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b/>
          <w:kern w:val="0"/>
          <w:sz w:val="44"/>
          <w:szCs w:val="44"/>
        </w:rPr>
      </w:pPr>
      <w:r>
        <w:rPr>
          <w:rFonts w:hint="eastAsia" w:ascii="宋体" w:hAnsi="宋体" w:cs="方正小标宋_GBK"/>
          <w:b/>
          <w:kern w:val="0"/>
          <w:sz w:val="44"/>
          <w:szCs w:val="44"/>
        </w:rPr>
        <w:t>宁夏紫光天化蛋氨酸有限责任公司</w:t>
      </w:r>
    </w:p>
    <w:p>
      <w:pPr>
        <w:jc w:val="center"/>
        <w:rPr>
          <w:rFonts w:ascii="宋体" w:hAnsi="宋体" w:cs="方正小标宋_GBK"/>
          <w:b/>
          <w:kern w:val="0"/>
          <w:sz w:val="44"/>
          <w:szCs w:val="44"/>
        </w:rPr>
      </w:pPr>
      <w:r>
        <w:rPr>
          <w:rFonts w:hint="eastAsia" w:ascii="宋体" w:hAnsi="宋体" w:cs="方正小标宋_GBK"/>
          <w:b/>
          <w:kern w:val="0"/>
          <w:sz w:val="44"/>
          <w:szCs w:val="44"/>
        </w:rPr>
        <w:t>2017年自行监测方案</w:t>
      </w:r>
    </w:p>
    <w:p>
      <w:pPr>
        <w:pStyle w:val="20"/>
        <w:spacing w:line="360" w:lineRule="auto"/>
        <w:jc w:val="both"/>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t xml:space="preserve">1.企业基本情况 </w:t>
      </w:r>
    </w:p>
    <w:p>
      <w:pPr>
        <w:pStyle w:val="20"/>
        <w:spacing w:line="360" w:lineRule="auto"/>
        <w:ind w:firstLine="560" w:firstLineChars="200"/>
        <w:jc w:val="both"/>
        <w:rPr>
          <w:rFonts w:hint="default" w:ascii="Times New Roman" w:hAnsi="Times New Roman" w:cs="Times New Roman" w:eastAsiaTheme="minorEastAsia"/>
          <w:color w:val="000000"/>
          <w:sz w:val="28"/>
          <w:szCs w:val="28"/>
        </w:rPr>
      </w:pPr>
      <w:r>
        <w:rPr>
          <w:rFonts w:hint="default" w:ascii="Times New Roman" w:hAnsi="Times New Roman" w:cs="Times New Roman"/>
          <w:color w:val="000000"/>
          <w:sz w:val="28"/>
          <w:szCs w:val="28"/>
        </w:rPr>
        <w:t>宁夏紫光天化蛋氨酸有限责任公司位于中卫市工业园区，主要为年产2×5万吨饲料级DL-蛋氨酸及产业配套项目和年产5万吨甲硫醇钠溶液（含量21%）。主体工程有：硫化氢和二硫化碳制备、丙烯醛制备、丙烯酸生产装置区、甲硫醇合成、甲硫基代丙醛合成、</w:t>
      </w:r>
      <w:r>
        <w:rPr>
          <w:rFonts w:hint="default" w:ascii="Times New Roman" w:hAnsi="Times New Roman" w:cs="Times New Roman"/>
          <w:color w:val="000000" w:themeColor="text1"/>
          <w:sz w:val="28"/>
          <w:szCs w:val="28"/>
          <w14:textFill>
            <w14:solidFill>
              <w14:schemeClr w14:val="tx1"/>
            </w14:solidFill>
          </w14:textFill>
        </w:rPr>
        <w:t>海因</w:t>
      </w:r>
      <w:r>
        <w:rPr>
          <w:rFonts w:hint="default" w:ascii="Times New Roman" w:hAnsi="Times New Roman" w:cs="Times New Roman"/>
          <w:color w:val="000000"/>
          <w:sz w:val="28"/>
          <w:szCs w:val="28"/>
        </w:rPr>
        <w:t>合成和水解、氰化钠生产装置区、蛋氨酸制备、硫酸钠、硫酸铵生产装置区。</w:t>
      </w:r>
      <w:r>
        <w:rPr>
          <w:rFonts w:hint="default" w:ascii="Times New Roman" w:hAnsi="Times New Roman" w:cs="Times New Roman" w:eastAsiaTheme="minorEastAsia"/>
          <w:sz w:val="28"/>
          <w:szCs w:val="28"/>
        </w:rPr>
        <w:t>企业信息表见表1-1。</w:t>
      </w:r>
    </w:p>
    <w:p>
      <w:pPr>
        <w:pStyle w:val="19"/>
        <w:jc w:val="center"/>
        <w:rPr>
          <w:rFonts w:hint="default" w:ascii="Times New Roman" w:hAnsi="Times New Roman" w:cs="Times New Roman"/>
          <w:b/>
        </w:rPr>
      </w:pPr>
      <w:r>
        <w:rPr>
          <w:rFonts w:hint="default" w:ascii="Times New Roman" w:hAnsi="Times New Roman" w:cs="Times New Roman"/>
          <w:b/>
        </w:rPr>
        <w:t xml:space="preserve">表1-1       </w:t>
      </w:r>
      <w:r>
        <w:rPr>
          <w:rFonts w:hint="default" w:ascii="Times New Roman" w:hAnsi="Times New Roman" w:cs="Times New Roman" w:eastAsiaTheme="minorEastAsia"/>
          <w:b/>
        </w:rPr>
        <w:t>企业信息表见表</w:t>
      </w:r>
    </w:p>
    <w:tbl>
      <w:tblPr>
        <w:tblStyle w:val="8"/>
        <w:tblW w:w="8618"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7"/>
        <w:gridCol w:w="2545"/>
        <w:gridCol w:w="1834"/>
        <w:gridCol w:w="21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87" w:type="dxa"/>
            <w:vAlign w:val="center"/>
          </w:tcPr>
          <w:p>
            <w:pPr>
              <w:pStyle w:val="2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企业名称</w:t>
            </w:r>
          </w:p>
        </w:tc>
        <w:tc>
          <w:tcPr>
            <w:tcW w:w="6531" w:type="dxa"/>
            <w:gridSpan w:val="3"/>
            <w:vAlign w:val="center"/>
          </w:tcPr>
          <w:p>
            <w:pPr>
              <w:jc w:val="center"/>
              <w:rPr>
                <w:rFonts w:hint="default" w:ascii="Times New Roman" w:hAnsi="Times New Roman" w:cs="Times New Roman"/>
                <w:b/>
                <w:kern w:val="0"/>
              </w:rPr>
            </w:pPr>
            <w:r>
              <w:rPr>
                <w:rFonts w:hint="default" w:ascii="Times New Roman" w:hAnsi="Times New Roman" w:cs="Times New Roman"/>
                <w:b/>
                <w:kern w:val="0"/>
              </w:rPr>
              <w:t>宁夏紫光天化蛋氨酸有限责任公司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87" w:type="dxa"/>
            <w:vAlign w:val="center"/>
          </w:tcPr>
          <w:p>
            <w:pPr>
              <w:pStyle w:val="2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地址</w:t>
            </w:r>
          </w:p>
        </w:tc>
        <w:tc>
          <w:tcPr>
            <w:tcW w:w="6531" w:type="dxa"/>
            <w:gridSpan w:val="3"/>
            <w:vAlign w:val="center"/>
          </w:tcPr>
          <w:p>
            <w:pPr>
              <w:pStyle w:val="13"/>
              <w:snapToGrid w:val="0"/>
              <w:spacing w:after="0" w:line="360" w:lineRule="auto"/>
              <w:ind w:left="0"/>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中卫市工业园区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87" w:type="dxa"/>
            <w:vAlign w:val="center"/>
          </w:tcPr>
          <w:p>
            <w:pPr>
              <w:pStyle w:val="2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法人代表</w:t>
            </w:r>
          </w:p>
        </w:tc>
        <w:tc>
          <w:tcPr>
            <w:tcW w:w="6531" w:type="dxa"/>
            <w:gridSpan w:val="3"/>
            <w:vAlign w:val="center"/>
          </w:tcPr>
          <w:p>
            <w:pPr>
              <w:pStyle w:val="13"/>
              <w:snapToGrid w:val="0"/>
              <w:spacing w:after="0" w:line="360" w:lineRule="auto"/>
              <w:ind w:left="0"/>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熊泽春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87" w:type="dxa"/>
            <w:vAlign w:val="center"/>
          </w:tcPr>
          <w:p>
            <w:pPr>
              <w:pStyle w:val="2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联系人</w:t>
            </w:r>
          </w:p>
        </w:tc>
        <w:tc>
          <w:tcPr>
            <w:tcW w:w="2545" w:type="dxa"/>
            <w:vAlign w:val="center"/>
          </w:tcPr>
          <w:p>
            <w:pPr>
              <w:pStyle w:val="13"/>
              <w:snapToGrid w:val="0"/>
              <w:spacing w:after="0" w:line="360" w:lineRule="auto"/>
              <w:ind w:left="0"/>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刘云</w:t>
            </w:r>
          </w:p>
        </w:tc>
        <w:tc>
          <w:tcPr>
            <w:tcW w:w="1834" w:type="dxa"/>
            <w:vAlign w:val="center"/>
          </w:tcPr>
          <w:p>
            <w:pPr>
              <w:pStyle w:val="13"/>
              <w:snapToGrid w:val="0"/>
              <w:spacing w:after="0" w:line="360" w:lineRule="auto"/>
              <w:ind w:left="0"/>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联系方式</w:t>
            </w:r>
          </w:p>
        </w:tc>
        <w:tc>
          <w:tcPr>
            <w:tcW w:w="2152" w:type="dxa"/>
            <w:vAlign w:val="center"/>
          </w:tcPr>
          <w:p>
            <w:pPr>
              <w:pStyle w:val="13"/>
              <w:snapToGrid w:val="0"/>
              <w:spacing w:after="0" w:line="360" w:lineRule="auto"/>
              <w:ind w:left="0"/>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15826220382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87" w:type="dxa"/>
            <w:vAlign w:val="center"/>
          </w:tcPr>
          <w:p>
            <w:pPr>
              <w:pStyle w:val="2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所属行业</w:t>
            </w:r>
          </w:p>
        </w:tc>
        <w:tc>
          <w:tcPr>
            <w:tcW w:w="2545" w:type="dxa"/>
            <w:vAlign w:val="center"/>
          </w:tcPr>
          <w:p>
            <w:pPr>
              <w:pStyle w:val="13"/>
              <w:snapToGrid w:val="0"/>
              <w:spacing w:after="0" w:line="360" w:lineRule="auto"/>
              <w:ind w:left="0"/>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化工行业</w:t>
            </w:r>
          </w:p>
        </w:tc>
        <w:tc>
          <w:tcPr>
            <w:tcW w:w="1834" w:type="dxa"/>
            <w:vAlign w:val="center"/>
          </w:tcPr>
          <w:p>
            <w:pPr>
              <w:pStyle w:val="13"/>
              <w:snapToGrid w:val="0"/>
              <w:spacing w:after="0" w:line="360" w:lineRule="auto"/>
              <w:ind w:left="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生产周期</w:t>
            </w:r>
          </w:p>
        </w:tc>
        <w:tc>
          <w:tcPr>
            <w:tcW w:w="2152" w:type="dxa"/>
            <w:vAlign w:val="center"/>
          </w:tcPr>
          <w:p>
            <w:pPr>
              <w:pStyle w:val="13"/>
              <w:snapToGrid w:val="0"/>
              <w:spacing w:after="0" w:line="360" w:lineRule="auto"/>
              <w:ind w:left="0"/>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全年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87" w:type="dxa"/>
            <w:vAlign w:val="center"/>
          </w:tcPr>
          <w:p>
            <w:pPr>
              <w:pStyle w:val="2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重点污染源类别</w:t>
            </w:r>
          </w:p>
        </w:tc>
        <w:tc>
          <w:tcPr>
            <w:tcW w:w="6531" w:type="dxa"/>
            <w:gridSpan w:val="3"/>
            <w:vAlign w:val="center"/>
          </w:tcPr>
          <w:p>
            <w:pPr>
              <w:pStyle w:val="13"/>
              <w:snapToGrid w:val="0"/>
              <w:spacing w:after="0" w:line="360" w:lineRule="auto"/>
              <w:ind w:left="0"/>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废水重点源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87" w:type="dxa"/>
            <w:vAlign w:val="center"/>
          </w:tcPr>
          <w:p>
            <w:pPr>
              <w:pStyle w:val="2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自行监测开展方式</w:t>
            </w:r>
          </w:p>
        </w:tc>
        <w:tc>
          <w:tcPr>
            <w:tcW w:w="6531" w:type="dxa"/>
            <w:gridSpan w:val="3"/>
            <w:vAlign w:val="center"/>
          </w:tcPr>
          <w:p>
            <w:pPr>
              <w:pStyle w:val="13"/>
              <w:snapToGrid w:val="0"/>
              <w:spacing w:after="0" w:line="360" w:lineRule="auto"/>
              <w:ind w:left="0"/>
              <w:jc w:val="center"/>
              <w:rPr>
                <w:rFonts w:hint="default" w:ascii="Times New Roman" w:hAnsi="Times New Roman" w:cs="Times New Roman" w:eastAsiaTheme="minorEastAsia"/>
                <w:kern w:val="2"/>
                <w:sz w:val="21"/>
                <w:szCs w:val="21"/>
                <w:lang w:eastAsia="zh-CN"/>
              </w:rPr>
            </w:pPr>
            <w:r>
              <w:rPr>
                <w:rFonts w:hint="default" w:ascii="Times New Roman" w:hAnsi="Times New Roman" w:cs="Times New Roman" w:eastAsiaTheme="minorEastAsia"/>
                <w:kern w:val="2"/>
                <w:sz w:val="21"/>
                <w:szCs w:val="21"/>
                <w:lang w:eastAsia="zh-CN"/>
              </w:rPr>
              <w:t>自动监测+手工监测</w:t>
            </w:r>
          </w:p>
          <w:p>
            <w:pPr>
              <w:pStyle w:val="13"/>
              <w:snapToGrid w:val="0"/>
              <w:spacing w:after="0" w:line="360" w:lineRule="auto"/>
              <w:ind w:left="0"/>
              <w:jc w:val="center"/>
              <w:rPr>
                <w:rFonts w:hint="default" w:ascii="Times New Roman" w:hAnsi="Times New Roman" w:cs="Times New Roman"/>
                <w:kern w:val="2"/>
                <w:sz w:val="21"/>
                <w:szCs w:val="21"/>
                <w:lang w:eastAsia="zh-CN"/>
              </w:rPr>
            </w:pPr>
            <w:r>
              <w:rPr>
                <w:rFonts w:hint="default" w:ascii="Times New Roman" w:hAnsi="Times New Roman" w:cs="Times New Roman" w:eastAsiaTheme="minorEastAsia"/>
                <w:kern w:val="2"/>
                <w:sz w:val="21"/>
                <w:szCs w:val="21"/>
                <w:lang w:eastAsia="zh-CN"/>
              </w:rPr>
              <w:t>（手工监测委托宁夏中科精科检测技术有限公司</w:t>
            </w:r>
            <w:r>
              <w:rPr>
                <w:rFonts w:hint="default" w:ascii="Times New Roman" w:hAnsi="Times New Roman" w:cs="Times New Roman" w:eastAsiaTheme="minorEastAsia"/>
                <w:sz w:val="21"/>
                <w:szCs w:val="21"/>
              </w:rPr>
              <w:t>监测</w:t>
            </w:r>
            <w:r>
              <w:rPr>
                <w:rFonts w:hint="default" w:ascii="Times New Roman" w:hAnsi="Times New Roman" w:cs="Times New Roman" w:eastAsiaTheme="minorEastAsia"/>
                <w:kern w:val="2"/>
                <w:sz w:val="21"/>
                <w:szCs w:val="21"/>
                <w:lang w:eastAsia="zh-CN"/>
              </w:rPr>
              <w:t>）</w:t>
            </w:r>
          </w:p>
        </w:tc>
      </w:tr>
    </w:tbl>
    <w:p>
      <w:pPr>
        <w:pStyle w:val="20"/>
        <w:rPr>
          <w:rFonts w:hint="default" w:ascii="Times New Roman" w:hAnsi="Times New Roman" w:cs="Times New Roman" w:eastAsiaTheme="minorEastAsia"/>
          <w:b/>
          <w:color w:val="000000"/>
          <w:sz w:val="28"/>
          <w:szCs w:val="28"/>
        </w:rPr>
      </w:pPr>
    </w:p>
    <w:p>
      <w:pPr>
        <w:pStyle w:val="20"/>
        <w:rPr>
          <w:rFonts w:hint="default" w:ascii="Times New Roman" w:hAnsi="Times New Roman" w:cs="Times New Roman" w:eastAsiaTheme="minorEastAsia"/>
          <w:b/>
          <w:color w:val="000000"/>
          <w:sz w:val="28"/>
          <w:szCs w:val="28"/>
        </w:rPr>
      </w:pPr>
      <w:r>
        <w:rPr>
          <w:rFonts w:hint="default" w:ascii="Times New Roman" w:hAnsi="Times New Roman" w:cs="Times New Roman" w:eastAsiaTheme="minorEastAsia"/>
          <w:b/>
          <w:color w:val="000000"/>
          <w:sz w:val="28"/>
          <w:szCs w:val="28"/>
        </w:rPr>
        <w:t>2.工艺简述及产污环节</w:t>
      </w:r>
    </w:p>
    <w:p>
      <w:pPr>
        <w:pStyle w:val="19"/>
        <w:spacing w:line="360" w:lineRule="auto"/>
        <w:rPr>
          <w:rFonts w:hint="default" w:ascii="Times New Roman" w:hAnsi="Times New Roman" w:cs="Times New Roman"/>
          <w:b/>
          <w:sz w:val="28"/>
          <w:szCs w:val="28"/>
        </w:rPr>
      </w:pPr>
      <w:r>
        <w:rPr>
          <w:rFonts w:hint="default" w:ascii="Times New Roman" w:hAnsi="Times New Roman" w:cs="Times New Roman"/>
          <w:b/>
          <w:sz w:val="28"/>
          <w:szCs w:val="28"/>
        </w:rPr>
        <w:t>2.1工艺简述</w:t>
      </w:r>
    </w:p>
    <w:p>
      <w:pPr>
        <w:pStyle w:val="19"/>
        <w:spacing w:line="360" w:lineRule="auto"/>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本项目工艺流程图见图1-1。</w:t>
      </w:r>
    </w:p>
    <w:p>
      <w:pPr>
        <w:pStyle w:val="19"/>
        <w:spacing w:line="360" w:lineRule="auto"/>
        <w:ind w:firstLine="480" w:firstLineChars="200"/>
        <w:rPr>
          <w:rFonts w:hint="default" w:ascii="Times New Roman" w:hAnsi="Times New Roman" w:cs="Times New Roman"/>
          <w:color w:val="FF0000"/>
          <w:sz w:val="28"/>
          <w:szCs w:val="28"/>
        </w:rPr>
      </w:pPr>
      <w:r>
        <w:rPr>
          <w:sz w:val="24"/>
        </w:rPr>
        <mc:AlternateContent>
          <mc:Choice Requires="wps">
            <w:drawing>
              <wp:anchor distT="0" distB="0" distL="114300" distR="114300" simplePos="0" relativeHeight="2048" behindDoc="0" locked="0" layoutInCell="1" allowOverlap="1">
                <wp:simplePos x="0" y="0"/>
                <wp:positionH relativeFrom="column">
                  <wp:posOffset>300990</wp:posOffset>
                </wp:positionH>
                <wp:positionV relativeFrom="paragraph">
                  <wp:posOffset>8583930</wp:posOffset>
                </wp:positionV>
                <wp:extent cx="5222875" cy="346075"/>
                <wp:effectExtent l="0" t="0" r="4445" b="4445"/>
                <wp:wrapNone/>
                <wp:docPr id="5" name="文本框 5"/>
                <wp:cNvGraphicFramePr/>
                <a:graphic xmlns:a="http://schemas.openxmlformats.org/drawingml/2006/main">
                  <a:graphicData uri="http://schemas.microsoft.com/office/word/2010/wordprocessingShape">
                    <wps:wsp>
                      <wps:cNvSpPr txBox="1"/>
                      <wps:spPr>
                        <a:xfrm>
                          <a:off x="1309370" y="9740265"/>
                          <a:ext cx="5222875" cy="34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图</w:t>
                            </w:r>
                            <w:r>
                              <w:rPr>
                                <w:rFonts w:hint="eastAsia"/>
                                <w:lang w:val="en-US" w:eastAsia="zh-CN"/>
                              </w:rPr>
                              <w:t>1-1 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pt;margin-top:675.9pt;height:27.25pt;width:411.25pt;z-index:2048;mso-width-relative:page;mso-height-relative:page;" fillcolor="#FFFFFF [3201]" filled="t" stroked="f" coordsize="21600,21600" o:gfxdata="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B+8ATWAAAADAEAAA8AAAAAAAAAAQAgAAAAIgAAAGRy&#10;cy9kb3ducmV2LnhtbFBLAQIUABQAAAAIAIdO4kBDo0kzQAIAAE0EAAAOAAAAAAAAAAEAIAAAACUB&#10;AABkcnMvZTJvRG9jLnhtbFBLBQYAAAAABgAGAFkBAADXBQAAAAA=&#10;">
                <v:fill on="t" focussize="0,0"/>
                <v:stroke on="f" weight="0.5pt"/>
                <v:imagedata o:title=""/>
                <o:lock v:ext="edit" aspectratio="f"/>
                <v:textbox>
                  <w:txbxContent>
                    <w:p>
                      <w:pPr>
                        <w:jc w:val="center"/>
                        <w:rPr>
                          <w:rFonts w:hint="eastAsia" w:eastAsia="宋体"/>
                          <w:lang w:eastAsia="zh-CN"/>
                        </w:rPr>
                      </w:pPr>
                      <w:r>
                        <w:rPr>
                          <w:rFonts w:hint="eastAsia"/>
                          <w:lang w:eastAsia="zh-CN"/>
                        </w:rPr>
                        <w:t>图</w:t>
                      </w:r>
                      <w:r>
                        <w:rPr>
                          <w:rFonts w:hint="eastAsia"/>
                          <w:lang w:val="en-US" w:eastAsia="zh-CN"/>
                        </w:rPr>
                        <w:t>1-1 工艺流程图</w:t>
                      </w:r>
                    </w:p>
                  </w:txbxContent>
                </v:textbox>
              </v:shape>
            </w:pict>
          </mc:Fallback>
        </mc:AlternateContent>
      </w:r>
      <w:r>
        <w:rPr>
          <w:rFonts w:hint="default" w:ascii="Times New Roman" w:hAnsi="Times New Roman" w:cs="Times New Roman"/>
          <w:color w:val="0000FF"/>
        </w:rPr>
        <w:object>
          <v:shape id="_x0000_i1025" o:spt="75" type="#_x0000_t75" style="height:668.2pt;width:404.55pt;" o:ole="t" filled="f" o:preferrelative="t" stroked="f" coordsize="21600,21600">
            <v:path/>
            <v:fill on="f" alignshape="1" focussize="0,0"/>
            <v:stroke on="f"/>
            <v:imagedata r:id="rId5" grayscale="f" bilevel="f" o:title=""/>
            <o:lock v:ext="edit" aspectratio="t"/>
            <w10:wrap type="none"/>
            <w10:anchorlock/>
          </v:shape>
          <o:OLEObject Type="Embed" ProgID="Visio.Drawing.11" ShapeID="_x0000_i1025" DrawAspect="Content" ObjectID="_1468075725" r:id="rId4">
            <o:LockedField>false</o:LockedField>
          </o:OLEObject>
        </w:object>
      </w:r>
    </w:p>
    <w:p>
      <w:pPr>
        <w:tabs>
          <w:tab w:val="left" w:pos="3218"/>
        </w:tabs>
        <w:spacing w:line="360" w:lineRule="auto"/>
        <w:jc w:val="left"/>
        <w:rPr>
          <w:rFonts w:hint="default" w:ascii="Times New Roman" w:hAnsi="Times New Roman" w:cs="Times New Roman"/>
          <w:sz w:val="28"/>
          <w:szCs w:val="28"/>
        </w:rPr>
      </w:pPr>
      <w:r>
        <w:rPr>
          <w:rFonts w:hint="default" w:ascii="Times New Roman" w:hAnsi="Times New Roman" w:cs="Times New Roman"/>
          <w:sz w:val="28"/>
          <w:szCs w:val="28"/>
        </w:rPr>
        <w:t>2.1.1产污环节及治理措施</w:t>
      </w:r>
    </w:p>
    <w:p>
      <w:pPr>
        <w:tabs>
          <w:tab w:val="left" w:pos="3218"/>
        </w:tabs>
        <w:spacing w:line="360" w:lineRule="auto"/>
        <w:ind w:firstLine="540"/>
        <w:jc w:val="left"/>
        <w:rPr>
          <w:rFonts w:hint="default" w:ascii="Times New Roman" w:hAnsi="Times New Roman" w:cs="Times New Roman"/>
          <w:sz w:val="28"/>
          <w:szCs w:val="28"/>
        </w:rPr>
      </w:pPr>
      <w:r>
        <w:rPr>
          <w:rFonts w:hint="default" w:ascii="Times New Roman" w:hAnsi="Times New Roman" w:cs="Times New Roman"/>
          <w:sz w:val="28"/>
          <w:szCs w:val="28"/>
        </w:rPr>
        <w:t>本项目生产过程中产生的污染物有废水、废气及噪声，各单元、车间产生的污染物来源及治理措施见表2-1。</w:t>
      </w:r>
    </w:p>
    <w:p>
      <w:pPr>
        <w:tabs>
          <w:tab w:val="left" w:pos="3218"/>
        </w:tabs>
        <w:spacing w:line="360" w:lineRule="auto"/>
        <w:ind w:firstLine="540"/>
        <w:jc w:val="center"/>
        <w:rPr>
          <w:rFonts w:hint="default" w:ascii="Times New Roman" w:hAnsi="Times New Roman" w:cs="Times New Roman"/>
          <w:b/>
        </w:rPr>
      </w:pPr>
      <w:r>
        <w:rPr>
          <w:rFonts w:hint="default" w:ascii="Times New Roman" w:hAnsi="Times New Roman" w:cs="Times New Roman"/>
          <w:b/>
        </w:rPr>
        <w:t>表2-1      各单元、车间产生的污染物来源及治理措施一览表</w:t>
      </w:r>
    </w:p>
    <w:tbl>
      <w:tblPr>
        <w:tblStyle w:val="8"/>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9"/>
        <w:gridCol w:w="804"/>
        <w:gridCol w:w="594"/>
        <w:gridCol w:w="1228"/>
        <w:gridCol w:w="886"/>
        <w:gridCol w:w="491"/>
        <w:gridCol w:w="566"/>
        <w:gridCol w:w="1109"/>
        <w:gridCol w:w="1852"/>
        <w:gridCol w:w="652"/>
        <w:gridCol w:w="1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2387" w:type="dxa"/>
            <w:gridSpan w:val="3"/>
            <w:vAlign w:val="center"/>
          </w:tcPr>
          <w:p>
            <w:pPr>
              <w:spacing w:line="36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污染物来源</w:t>
            </w:r>
          </w:p>
        </w:tc>
        <w:tc>
          <w:tcPr>
            <w:tcW w:w="2605" w:type="dxa"/>
            <w:gridSpan w:val="3"/>
            <w:vAlign w:val="center"/>
          </w:tcPr>
          <w:p>
            <w:pPr>
              <w:spacing w:line="36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污染处理设施名称</w:t>
            </w:r>
          </w:p>
        </w:tc>
        <w:tc>
          <w:tcPr>
            <w:tcW w:w="4179" w:type="dxa"/>
            <w:gridSpan w:val="4"/>
            <w:vAlign w:val="center"/>
          </w:tcPr>
          <w:p>
            <w:pPr>
              <w:spacing w:line="36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9171" w:type="dxa"/>
            <w:gridSpan w:val="10"/>
            <w:vAlign w:val="center"/>
          </w:tcPr>
          <w:p>
            <w:pPr>
              <w:spacing w:line="36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2387" w:type="dxa"/>
            <w:gridSpan w:val="3"/>
            <w:vAlign w:val="center"/>
          </w:tcPr>
          <w:p>
            <w:pPr>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所有生产单元、车间产生的废水</w:t>
            </w:r>
          </w:p>
        </w:tc>
        <w:tc>
          <w:tcPr>
            <w:tcW w:w="2605" w:type="dxa"/>
            <w:gridSpan w:val="3"/>
            <w:vAlign w:val="center"/>
          </w:tcPr>
          <w:p>
            <w:pPr>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污水处理站</w:t>
            </w:r>
          </w:p>
        </w:tc>
        <w:tc>
          <w:tcPr>
            <w:tcW w:w="4179" w:type="dxa"/>
            <w:gridSpan w:val="4"/>
            <w:vAlign w:val="center"/>
          </w:tcPr>
          <w:p>
            <w:pPr>
              <w:jc w:val="center"/>
              <w:rPr>
                <w:rFonts w:hint="default" w:ascii="Times New Roman" w:hAnsi="Times New Roman" w:cs="Times New Roman"/>
              </w:rPr>
            </w:pPr>
            <w:r>
              <w:rPr>
                <w:rFonts w:hint="default" w:ascii="Times New Roman" w:hAnsi="Times New Roman" w:cs="Times New Roman"/>
                <w:color w:val="000000" w:themeColor="text1"/>
                <w14:textFill>
                  <w14:solidFill>
                    <w14:schemeClr w14:val="tx1"/>
                  </w14:solidFill>
                </w14:textFill>
              </w:rPr>
              <w:t>氨氮、化学需氧量、悬浮物、氰化物、硫化物、生化需氧量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2387" w:type="dxa"/>
            <w:gridSpan w:val="3"/>
            <w:vAlign w:val="center"/>
          </w:tcPr>
          <w:p>
            <w:pPr>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污水处理站出水</w:t>
            </w:r>
          </w:p>
        </w:tc>
        <w:tc>
          <w:tcPr>
            <w:tcW w:w="2605" w:type="dxa"/>
            <w:gridSpan w:val="3"/>
            <w:vAlign w:val="center"/>
          </w:tcPr>
          <w:p>
            <w:pPr>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中水回用系统</w:t>
            </w:r>
          </w:p>
        </w:tc>
        <w:tc>
          <w:tcPr>
            <w:tcW w:w="4179" w:type="dxa"/>
            <w:gridSpan w:val="4"/>
            <w:vAlign w:val="center"/>
          </w:tcPr>
          <w:p>
            <w:pPr>
              <w:jc w:val="center"/>
              <w:rPr>
                <w:rFonts w:hint="default" w:ascii="Times New Roman" w:hAnsi="Times New Roman" w:cs="Times New Roman"/>
              </w:rPr>
            </w:pPr>
            <w:r>
              <w:rPr>
                <w:rFonts w:hint="default" w:ascii="Times New Roman" w:hAnsi="Times New Roman" w:cs="Times New Roman"/>
                <w:color w:val="000000" w:themeColor="text1"/>
                <w14:textFill>
                  <w14:solidFill>
                    <w14:schemeClr w14:val="tx1"/>
                  </w14:solidFill>
                </w14:textFill>
              </w:rPr>
              <w:t>悬浮物、生化需氧量、PH、化学需氧量、氨氮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9171" w:type="dxa"/>
            <w:gridSpan w:val="10"/>
            <w:vAlign w:val="center"/>
          </w:tcPr>
          <w:p>
            <w:pPr>
              <w:spacing w:line="360" w:lineRule="auto"/>
              <w:jc w:val="center"/>
              <w:rPr>
                <w:rFonts w:hint="default" w:ascii="Times New Roman" w:hAnsi="Times New Roman" w:cs="Times New Roman" w:eastAsiaTheme="minorEastAsia"/>
                <w:b/>
              </w:rPr>
            </w:pPr>
            <w:r>
              <w:rPr>
                <w:rFonts w:hint="default" w:ascii="Times New Roman" w:hAnsi="Times New Roman" w:cs="Times New Roman" w:eastAsiaTheme="minorEastAsia"/>
                <w:b/>
              </w:rPr>
              <w:t xml:space="preserve"> 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2387"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熔硫废气</w:t>
            </w:r>
          </w:p>
        </w:tc>
        <w:tc>
          <w:tcPr>
            <w:tcW w:w="2605"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冷凝回收</w:t>
            </w:r>
          </w:p>
        </w:tc>
        <w:tc>
          <w:tcPr>
            <w:tcW w:w="4179" w:type="dxa"/>
            <w:gridSpan w:val="4"/>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颗粒物、臭气浓度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2387"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克劳斯尾气</w:t>
            </w:r>
          </w:p>
        </w:tc>
        <w:tc>
          <w:tcPr>
            <w:tcW w:w="2605"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氨法脱硫</w:t>
            </w:r>
          </w:p>
        </w:tc>
        <w:tc>
          <w:tcPr>
            <w:tcW w:w="4179" w:type="dxa"/>
            <w:gridSpan w:val="4"/>
            <w:vAlign w:val="center"/>
          </w:tcPr>
          <w:p>
            <w:pPr>
              <w:jc w:val="center"/>
              <w:rPr>
                <w:rFonts w:hint="default" w:ascii="Times New Roman" w:hAnsi="Times New Roman" w:cs="Times New Roman"/>
              </w:rPr>
            </w:pPr>
            <w:r>
              <w:rPr>
                <w:rFonts w:hint="default" w:ascii="Times New Roman" w:hAnsi="Times New Roman" w:cs="Times New Roman"/>
              </w:rPr>
              <w:t>颗粒物、二氧化硫、氮氧化物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2387"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加热炉废气</w:t>
            </w:r>
          </w:p>
        </w:tc>
        <w:tc>
          <w:tcPr>
            <w:tcW w:w="2605"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排放口</w:t>
            </w:r>
          </w:p>
        </w:tc>
        <w:tc>
          <w:tcPr>
            <w:tcW w:w="4179" w:type="dxa"/>
            <w:gridSpan w:val="4"/>
            <w:vAlign w:val="center"/>
          </w:tcPr>
          <w:p>
            <w:pPr>
              <w:jc w:val="center"/>
              <w:rPr>
                <w:rFonts w:hint="default" w:ascii="Times New Roman" w:hAnsi="Times New Roman" w:cs="Times New Roman"/>
              </w:rPr>
            </w:pPr>
            <w:r>
              <w:rPr>
                <w:rFonts w:hint="default" w:ascii="Times New Roman" w:hAnsi="Times New Roman" w:cs="Times New Roman"/>
              </w:rPr>
              <w:t>颗粒物、二氧化硫、氮氧化物排放浓度及排放速率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2387"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硫化氢加热炉废气</w:t>
            </w:r>
          </w:p>
        </w:tc>
        <w:tc>
          <w:tcPr>
            <w:tcW w:w="2605"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排放口</w:t>
            </w:r>
          </w:p>
        </w:tc>
        <w:tc>
          <w:tcPr>
            <w:tcW w:w="4179" w:type="dxa"/>
            <w:gridSpan w:val="4"/>
            <w:vAlign w:val="center"/>
          </w:tcPr>
          <w:p>
            <w:pPr>
              <w:jc w:val="center"/>
              <w:rPr>
                <w:rFonts w:hint="default" w:ascii="Times New Roman" w:hAnsi="Times New Roman" w:cs="Times New Roman"/>
              </w:rPr>
            </w:pPr>
            <w:r>
              <w:rPr>
                <w:rFonts w:hint="default" w:ascii="Times New Roman" w:hAnsi="Times New Roman" w:cs="Times New Roman"/>
              </w:rPr>
              <w:t>颗粒物、二氧化硫、氮氧化物排放浓度及排放速率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2387"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氰化钠吸收塔尾气</w:t>
            </w:r>
          </w:p>
        </w:tc>
        <w:tc>
          <w:tcPr>
            <w:tcW w:w="2605"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焚烧炉</w:t>
            </w:r>
          </w:p>
        </w:tc>
        <w:tc>
          <w:tcPr>
            <w:tcW w:w="4179" w:type="dxa"/>
            <w:gridSpan w:val="4"/>
            <w:vAlign w:val="center"/>
          </w:tcPr>
          <w:p>
            <w:pPr>
              <w:jc w:val="center"/>
              <w:rPr>
                <w:rFonts w:hint="default" w:ascii="Times New Roman" w:hAnsi="Times New Roman" w:cs="Times New Roman"/>
              </w:rPr>
            </w:pPr>
            <w:r>
              <w:rPr>
                <w:rFonts w:hint="default" w:ascii="Times New Roman" w:hAnsi="Times New Roman" w:cs="Times New Roman"/>
              </w:rPr>
              <w:t>颗粒物、二氧化硫、氮氧化物、氰化氢排放浓度及排放速率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2387"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硫铵干燥尾气</w:t>
            </w:r>
          </w:p>
        </w:tc>
        <w:tc>
          <w:tcPr>
            <w:tcW w:w="2605"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喷淋</w:t>
            </w:r>
          </w:p>
        </w:tc>
        <w:tc>
          <w:tcPr>
            <w:tcW w:w="4179" w:type="dxa"/>
            <w:gridSpan w:val="4"/>
            <w:vAlign w:val="center"/>
          </w:tcPr>
          <w:p>
            <w:pPr>
              <w:jc w:val="center"/>
              <w:rPr>
                <w:rFonts w:hint="default" w:ascii="Times New Roman" w:hAnsi="Times New Roman" w:cs="Times New Roman"/>
              </w:rPr>
            </w:pPr>
            <w:r>
              <w:rPr>
                <w:rFonts w:hint="default" w:ascii="Times New Roman" w:hAnsi="Times New Roman" w:cs="Times New Roman"/>
              </w:rPr>
              <w:t>颗粒物排放浓度及排放速率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2387" w:type="dxa"/>
            <w:gridSpan w:val="3"/>
            <w:vAlign w:val="center"/>
          </w:tcPr>
          <w:p>
            <w:pPr>
              <w:tabs>
                <w:tab w:val="left" w:pos="860"/>
              </w:tabs>
              <w:jc w:val="center"/>
              <w:rPr>
                <w:rFonts w:hint="default" w:ascii="Times New Roman" w:hAnsi="Times New Roman" w:cs="Times New Roman"/>
              </w:rPr>
            </w:pPr>
            <w:r>
              <w:rPr>
                <w:rFonts w:hint="eastAsia" w:cs="Times New Roman"/>
                <w:lang w:eastAsia="zh-CN"/>
              </w:rPr>
              <w:t>鳞</w:t>
            </w:r>
            <w:r>
              <w:rPr>
                <w:rFonts w:hint="default" w:ascii="Times New Roman" w:hAnsi="Times New Roman" w:cs="Times New Roman"/>
              </w:rPr>
              <w:t>板焚烧炉</w:t>
            </w:r>
          </w:p>
        </w:tc>
        <w:tc>
          <w:tcPr>
            <w:tcW w:w="2605"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急冷塔+布袋除尘器</w:t>
            </w:r>
          </w:p>
        </w:tc>
        <w:tc>
          <w:tcPr>
            <w:tcW w:w="4179" w:type="dxa"/>
            <w:gridSpan w:val="4"/>
            <w:vAlign w:val="center"/>
          </w:tcPr>
          <w:p>
            <w:pPr>
              <w:spacing w:line="360" w:lineRule="auto"/>
              <w:jc w:val="center"/>
              <w:rPr>
                <w:rFonts w:hint="default" w:ascii="Times New Roman" w:hAnsi="Times New Roman" w:cs="Times New Roman" w:eastAsiaTheme="minorEastAsia"/>
              </w:rPr>
            </w:pPr>
            <w:r>
              <w:rPr>
                <w:rFonts w:hint="default" w:ascii="Times New Roman" w:hAnsi="Times New Roman" w:cs="Times New Roman"/>
              </w:rPr>
              <w:t>颗粒物、二氧化硫、氮氧化物、氰化氢排放浓度及排放速率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2387"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color w:val="000000"/>
              </w:rPr>
              <w:t>废气废液</w:t>
            </w:r>
            <w:r>
              <w:rPr>
                <w:rFonts w:hint="default" w:ascii="Times New Roman" w:hAnsi="Times New Roman" w:cs="Times New Roman"/>
              </w:rPr>
              <w:t>焚烧炉</w:t>
            </w:r>
          </w:p>
        </w:tc>
        <w:tc>
          <w:tcPr>
            <w:tcW w:w="2605"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氨法脱硫、芬顿氧化除臭</w:t>
            </w:r>
          </w:p>
        </w:tc>
        <w:tc>
          <w:tcPr>
            <w:tcW w:w="4179" w:type="dxa"/>
            <w:gridSpan w:val="4"/>
            <w:vAlign w:val="center"/>
          </w:tcPr>
          <w:p>
            <w:pPr>
              <w:jc w:val="center"/>
              <w:rPr>
                <w:rFonts w:hint="default" w:ascii="Times New Roman" w:hAnsi="Times New Roman" w:cs="Times New Roman"/>
              </w:rPr>
            </w:pPr>
            <w:r>
              <w:rPr>
                <w:rFonts w:hint="default" w:ascii="Times New Roman" w:hAnsi="Times New Roman" w:cs="Times New Roman"/>
              </w:rPr>
              <w:t>颗粒物、二氧化硫、氮氧化物</w:t>
            </w:r>
          </w:p>
          <w:p>
            <w:pPr>
              <w:jc w:val="center"/>
              <w:rPr>
                <w:rFonts w:hint="default" w:ascii="Times New Roman" w:hAnsi="Times New Roman" w:cs="Times New Roman"/>
              </w:rPr>
            </w:pPr>
            <w:r>
              <w:rPr>
                <w:rFonts w:hint="default" w:ascii="Times New Roman" w:hAnsi="Times New Roman" w:cs="Times New Roman"/>
              </w:rPr>
              <w:t>硫化氢、一氧化碳、氨、甲硫醇、甲硫醚、二硫化碳、丙烯醛、丙烯、二噁英排放浓度及排放速率、臭气浓度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2387"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丙烯醛尾气焚烧炉</w:t>
            </w:r>
          </w:p>
        </w:tc>
        <w:tc>
          <w:tcPr>
            <w:tcW w:w="2605"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焚烧炉</w:t>
            </w:r>
          </w:p>
        </w:tc>
        <w:tc>
          <w:tcPr>
            <w:tcW w:w="4179" w:type="dxa"/>
            <w:gridSpan w:val="4"/>
            <w:vAlign w:val="center"/>
          </w:tcPr>
          <w:p>
            <w:pPr>
              <w:jc w:val="center"/>
              <w:rPr>
                <w:rFonts w:hint="default" w:ascii="Times New Roman" w:hAnsi="Times New Roman" w:cs="Times New Roman"/>
              </w:rPr>
            </w:pPr>
            <w:r>
              <w:rPr>
                <w:rFonts w:hint="default" w:ascii="Times New Roman" w:hAnsi="Times New Roman" w:cs="Times New Roman"/>
              </w:rPr>
              <w:t>颗粒物、二氧化硫、氮氧化物、丙烯醛排放浓度及排放速率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2387"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生物除臭系统</w:t>
            </w:r>
          </w:p>
        </w:tc>
        <w:tc>
          <w:tcPr>
            <w:tcW w:w="2605"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生物滴虑、UV光解、活性炭吸附</w:t>
            </w:r>
          </w:p>
        </w:tc>
        <w:tc>
          <w:tcPr>
            <w:tcW w:w="4179" w:type="dxa"/>
            <w:gridSpan w:val="4"/>
            <w:vAlign w:val="center"/>
          </w:tcPr>
          <w:p>
            <w:pPr>
              <w:jc w:val="center"/>
              <w:rPr>
                <w:rFonts w:hint="default" w:ascii="Times New Roman" w:hAnsi="Times New Roman" w:cs="Times New Roman"/>
              </w:rPr>
            </w:pPr>
            <w:r>
              <w:rPr>
                <w:rFonts w:hint="default" w:ascii="Times New Roman" w:hAnsi="Times New Roman" w:cs="Times New Roman"/>
              </w:rPr>
              <w:t>甲醇、硫化氢、甲硫醇、甲硫醚、丙烯醛、TPMA排放浓度及排放速率、臭气浓度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9171" w:type="dxa"/>
            <w:gridSpan w:val="10"/>
            <w:vAlign w:val="center"/>
          </w:tcPr>
          <w:p>
            <w:pPr>
              <w:jc w:val="center"/>
              <w:rPr>
                <w:rFonts w:hint="default" w:ascii="Times New Roman" w:hAnsi="Times New Roman" w:cs="Times New Roman"/>
                <w:b/>
              </w:rPr>
            </w:pPr>
            <w:r>
              <w:rPr>
                <w:rFonts w:hint="default" w:ascii="Times New Roman" w:hAnsi="Times New Roman" w:cs="Times New Roman"/>
                <w:b/>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2387"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eastAsiaTheme="minorEastAsia"/>
              </w:rPr>
              <w:t>所有生产单元、车间设备</w:t>
            </w:r>
          </w:p>
        </w:tc>
        <w:tc>
          <w:tcPr>
            <w:tcW w:w="2605" w:type="dxa"/>
            <w:gridSpan w:val="3"/>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消声、减振、隔声、低噪</w:t>
            </w:r>
          </w:p>
        </w:tc>
        <w:tc>
          <w:tcPr>
            <w:tcW w:w="4179" w:type="dxa"/>
            <w:gridSpan w:val="4"/>
            <w:vAlign w:val="center"/>
          </w:tcPr>
          <w:p>
            <w:pPr>
              <w:jc w:val="center"/>
              <w:rPr>
                <w:rFonts w:hint="default" w:ascii="Times New Roman" w:hAnsi="Times New Roman" w:cs="Times New Roman"/>
              </w:rPr>
            </w:pPr>
            <w:r>
              <w:rPr>
                <w:rFonts w:hint="default" w:ascii="Times New Roman" w:hAnsi="Times New Roman" w:cs="Times New Roman"/>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5" w:type="dxa"/>
          <w:trHeight w:val="481" w:hRule="atLeast"/>
          <w:jc w:val="center"/>
        </w:trPr>
        <w:tc>
          <w:tcPr>
            <w:tcW w:w="9171" w:type="dxa"/>
            <w:gridSpan w:val="10"/>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b/>
                <w:bCs/>
                <w:lang w:val="en-US" w:eastAsia="zh-CN"/>
              </w:rPr>
              <w:t>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89"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序号</w:t>
            </w:r>
          </w:p>
        </w:tc>
        <w:tc>
          <w:tcPr>
            <w:tcW w:w="804"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来源</w:t>
            </w:r>
          </w:p>
        </w:tc>
        <w:tc>
          <w:tcPr>
            <w:tcW w:w="1822"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废渣名称</w:t>
            </w:r>
          </w:p>
        </w:tc>
        <w:tc>
          <w:tcPr>
            <w:tcW w:w="886"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主要</w:t>
            </w:r>
          </w:p>
          <w:p>
            <w:pPr>
              <w:jc w:val="center"/>
              <w:rPr>
                <w:rFonts w:hint="default" w:ascii="Times New Roman" w:hAnsi="Times New Roman" w:cs="Times New Roman"/>
                <w:sz w:val="18"/>
                <w:szCs w:val="18"/>
              </w:rPr>
            </w:pPr>
            <w:r>
              <w:rPr>
                <w:rFonts w:hint="default" w:ascii="Times New Roman" w:hAnsi="Times New Roman" w:cs="Times New Roman"/>
                <w:sz w:val="18"/>
                <w:szCs w:val="18"/>
              </w:rPr>
              <w:t>组成</w:t>
            </w:r>
          </w:p>
        </w:tc>
        <w:tc>
          <w:tcPr>
            <w:tcW w:w="1057"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性质</w:t>
            </w:r>
          </w:p>
        </w:tc>
        <w:tc>
          <w:tcPr>
            <w:tcW w:w="1109"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产生量</w:t>
            </w:r>
          </w:p>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（t/a）</w:t>
            </w:r>
          </w:p>
        </w:tc>
        <w:tc>
          <w:tcPr>
            <w:tcW w:w="1852"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治理措施</w:t>
            </w:r>
          </w:p>
        </w:tc>
        <w:tc>
          <w:tcPr>
            <w:tcW w:w="767" w:type="dxa"/>
            <w:gridSpan w:val="2"/>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排放量</w:t>
            </w:r>
          </w:p>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89"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S（1）-1-1</w:t>
            </w:r>
          </w:p>
        </w:tc>
        <w:tc>
          <w:tcPr>
            <w:tcW w:w="804" w:type="dxa"/>
            <w:vMerge w:val="restar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（1）-1单元</w:t>
            </w:r>
          </w:p>
        </w:tc>
        <w:tc>
          <w:tcPr>
            <w:tcW w:w="1822"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硫磺过滤废渣</w:t>
            </w:r>
          </w:p>
        </w:tc>
        <w:tc>
          <w:tcPr>
            <w:tcW w:w="886"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硫磺</w:t>
            </w:r>
          </w:p>
        </w:tc>
        <w:tc>
          <w:tcPr>
            <w:tcW w:w="1057"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危废</w:t>
            </w:r>
          </w:p>
          <w:p>
            <w:pPr>
              <w:jc w:val="center"/>
              <w:rPr>
                <w:rFonts w:hint="default" w:ascii="Times New Roman" w:hAnsi="Times New Roman" w:cs="Times New Roman"/>
                <w:sz w:val="18"/>
                <w:szCs w:val="18"/>
              </w:rPr>
            </w:pPr>
            <w:r>
              <w:rPr>
                <w:rFonts w:hint="default" w:ascii="Times New Roman" w:hAnsi="Times New Roman" w:cs="Times New Roman"/>
                <w:sz w:val="18"/>
                <w:szCs w:val="18"/>
              </w:rPr>
              <w:t>（HW34）</w:t>
            </w:r>
          </w:p>
        </w:tc>
        <w:tc>
          <w:tcPr>
            <w:tcW w:w="1109"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lang w:val="en-US" w:eastAsia="zh-CN"/>
              </w:rPr>
              <w:t>280</w:t>
            </w:r>
            <w:r>
              <w:rPr>
                <w:rFonts w:hint="default" w:ascii="Times New Roman" w:hAnsi="Times New Roman" w:cs="Times New Roman"/>
                <w:sz w:val="18"/>
                <w:szCs w:val="18"/>
              </w:rPr>
              <w:t>.00</w:t>
            </w:r>
          </w:p>
        </w:tc>
        <w:tc>
          <w:tcPr>
            <w:tcW w:w="1852"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送宁夏</w:t>
            </w:r>
            <w:r>
              <w:rPr>
                <w:rFonts w:hint="default" w:ascii="Times New Roman" w:hAnsi="Times New Roman" w:cs="Times New Roman"/>
                <w:sz w:val="18"/>
                <w:szCs w:val="18"/>
                <w:lang w:eastAsia="zh-CN"/>
              </w:rPr>
              <w:t>德坤环保科技实业集团有限公司</w:t>
            </w:r>
            <w:r>
              <w:rPr>
                <w:rFonts w:hint="default" w:ascii="Times New Roman" w:hAnsi="Times New Roman" w:cs="Times New Roman"/>
                <w:sz w:val="18"/>
                <w:szCs w:val="18"/>
              </w:rPr>
              <w:t>处置</w:t>
            </w:r>
          </w:p>
        </w:tc>
        <w:tc>
          <w:tcPr>
            <w:tcW w:w="767" w:type="dxa"/>
            <w:gridSpan w:val="2"/>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89"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S（1）-1-2</w:t>
            </w:r>
          </w:p>
        </w:tc>
        <w:tc>
          <w:tcPr>
            <w:tcW w:w="804" w:type="dxa"/>
            <w:vMerge w:val="continue"/>
            <w:vAlign w:val="center"/>
          </w:tcPr>
          <w:p>
            <w:pPr>
              <w:jc w:val="center"/>
              <w:rPr>
                <w:rFonts w:hint="default" w:ascii="Times New Roman" w:hAnsi="Times New Roman" w:cs="Times New Roman"/>
                <w:sz w:val="18"/>
                <w:szCs w:val="18"/>
              </w:rPr>
            </w:pPr>
          </w:p>
        </w:tc>
        <w:tc>
          <w:tcPr>
            <w:tcW w:w="1822"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硫回收工序废催化剂</w:t>
            </w:r>
          </w:p>
        </w:tc>
        <w:tc>
          <w:tcPr>
            <w:tcW w:w="886"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Al2O3</w:t>
            </w:r>
          </w:p>
        </w:tc>
        <w:tc>
          <w:tcPr>
            <w:tcW w:w="1057"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一般</w:t>
            </w:r>
          </w:p>
        </w:tc>
        <w:tc>
          <w:tcPr>
            <w:tcW w:w="1109"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lang w:val="en-US" w:eastAsia="zh-CN"/>
              </w:rPr>
              <w:t>16.5</w:t>
            </w:r>
            <w:r>
              <w:rPr>
                <w:rFonts w:hint="default" w:ascii="Times New Roman" w:hAnsi="Times New Roman" w:cs="Times New Roman"/>
                <w:sz w:val="18"/>
                <w:szCs w:val="18"/>
              </w:rPr>
              <w:t>.</w:t>
            </w:r>
          </w:p>
        </w:tc>
        <w:tc>
          <w:tcPr>
            <w:tcW w:w="1852" w:type="dxa"/>
            <w:vMerge w:val="restart"/>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由供应商负责回收处理</w:t>
            </w:r>
          </w:p>
        </w:tc>
        <w:tc>
          <w:tcPr>
            <w:tcW w:w="767" w:type="dxa"/>
            <w:gridSpan w:val="2"/>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89"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S（1）-1-1</w:t>
            </w:r>
          </w:p>
        </w:tc>
        <w:tc>
          <w:tcPr>
            <w:tcW w:w="804"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（1）-2单元</w:t>
            </w:r>
          </w:p>
        </w:tc>
        <w:tc>
          <w:tcPr>
            <w:tcW w:w="1822"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丙烯氧化废催化剂</w:t>
            </w:r>
          </w:p>
        </w:tc>
        <w:tc>
          <w:tcPr>
            <w:tcW w:w="886"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Al2O3</w:t>
            </w:r>
          </w:p>
        </w:tc>
        <w:tc>
          <w:tcPr>
            <w:tcW w:w="1057"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一般</w:t>
            </w:r>
          </w:p>
        </w:tc>
        <w:tc>
          <w:tcPr>
            <w:tcW w:w="1109"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lang w:val="en-US" w:eastAsia="zh-CN"/>
              </w:rPr>
              <w:t>26</w:t>
            </w:r>
            <w:r>
              <w:rPr>
                <w:rFonts w:hint="default" w:ascii="Times New Roman" w:hAnsi="Times New Roman" w:cs="Times New Roman"/>
                <w:sz w:val="18"/>
                <w:szCs w:val="18"/>
              </w:rPr>
              <w:t>.00</w:t>
            </w:r>
          </w:p>
        </w:tc>
        <w:tc>
          <w:tcPr>
            <w:tcW w:w="1852" w:type="dxa"/>
            <w:vMerge w:val="continue"/>
            <w:vAlign w:val="center"/>
          </w:tcPr>
          <w:p>
            <w:pPr>
              <w:pStyle w:val="23"/>
              <w:spacing w:line="300" w:lineRule="exact"/>
              <w:rPr>
                <w:rFonts w:hint="default" w:ascii="Times New Roman" w:hAnsi="Times New Roman" w:cs="Times New Roman"/>
                <w:sz w:val="18"/>
                <w:szCs w:val="18"/>
              </w:rPr>
            </w:pPr>
          </w:p>
        </w:tc>
        <w:tc>
          <w:tcPr>
            <w:tcW w:w="767" w:type="dxa"/>
            <w:gridSpan w:val="2"/>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89"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S（1）-3-1</w:t>
            </w:r>
          </w:p>
        </w:tc>
        <w:tc>
          <w:tcPr>
            <w:tcW w:w="804"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（1）-3单元</w:t>
            </w:r>
          </w:p>
        </w:tc>
        <w:tc>
          <w:tcPr>
            <w:tcW w:w="1822"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甲硫醇合成废触媒</w:t>
            </w:r>
          </w:p>
        </w:tc>
        <w:tc>
          <w:tcPr>
            <w:tcW w:w="886"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Al2O3、Mo、Fe</w:t>
            </w:r>
          </w:p>
        </w:tc>
        <w:tc>
          <w:tcPr>
            <w:tcW w:w="1057"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一般</w:t>
            </w:r>
          </w:p>
        </w:tc>
        <w:tc>
          <w:tcPr>
            <w:tcW w:w="1109"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lang w:val="en-US" w:eastAsia="zh-CN"/>
              </w:rPr>
              <w:t>30</w:t>
            </w:r>
            <w:r>
              <w:rPr>
                <w:rFonts w:hint="default" w:ascii="Times New Roman" w:hAnsi="Times New Roman" w:cs="Times New Roman"/>
                <w:sz w:val="18"/>
                <w:szCs w:val="18"/>
              </w:rPr>
              <w:t>.00</w:t>
            </w:r>
          </w:p>
        </w:tc>
        <w:tc>
          <w:tcPr>
            <w:tcW w:w="1852" w:type="dxa"/>
            <w:vMerge w:val="continue"/>
            <w:vAlign w:val="center"/>
          </w:tcPr>
          <w:p>
            <w:pPr>
              <w:pStyle w:val="23"/>
              <w:spacing w:line="300" w:lineRule="exact"/>
              <w:rPr>
                <w:rFonts w:hint="default" w:ascii="Times New Roman" w:hAnsi="Times New Roman" w:cs="Times New Roman"/>
                <w:sz w:val="18"/>
                <w:szCs w:val="18"/>
              </w:rPr>
            </w:pPr>
          </w:p>
        </w:tc>
        <w:tc>
          <w:tcPr>
            <w:tcW w:w="767" w:type="dxa"/>
            <w:gridSpan w:val="2"/>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89"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FY（1）-4-1</w:t>
            </w:r>
          </w:p>
        </w:tc>
        <w:tc>
          <w:tcPr>
            <w:tcW w:w="804" w:type="dxa"/>
            <w:vMerge w:val="restar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（1）-4单元</w:t>
            </w:r>
          </w:p>
        </w:tc>
        <w:tc>
          <w:tcPr>
            <w:tcW w:w="1822"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脱轻组分真空分离罐废液</w:t>
            </w:r>
          </w:p>
        </w:tc>
        <w:tc>
          <w:tcPr>
            <w:tcW w:w="886"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丙烯醛、甲硫醇</w:t>
            </w:r>
          </w:p>
        </w:tc>
        <w:tc>
          <w:tcPr>
            <w:tcW w:w="1057"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废液</w:t>
            </w:r>
          </w:p>
          <w:p>
            <w:pPr>
              <w:jc w:val="center"/>
              <w:rPr>
                <w:rFonts w:hint="default" w:ascii="Times New Roman" w:hAnsi="Times New Roman" w:cs="Times New Roman"/>
                <w:sz w:val="18"/>
                <w:szCs w:val="18"/>
              </w:rPr>
            </w:pPr>
            <w:r>
              <w:rPr>
                <w:rFonts w:hint="default" w:ascii="Times New Roman" w:hAnsi="Times New Roman" w:cs="Times New Roman"/>
                <w:sz w:val="18"/>
                <w:szCs w:val="18"/>
              </w:rPr>
              <w:t>（HW06）</w:t>
            </w:r>
          </w:p>
        </w:tc>
        <w:tc>
          <w:tcPr>
            <w:tcW w:w="1109"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lang w:val="en-US" w:eastAsia="zh-CN"/>
              </w:rPr>
              <w:t>92.02</w:t>
            </w:r>
          </w:p>
        </w:tc>
        <w:tc>
          <w:tcPr>
            <w:tcW w:w="1852"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送至（1）-9单元焚烧</w:t>
            </w:r>
          </w:p>
        </w:tc>
        <w:tc>
          <w:tcPr>
            <w:tcW w:w="767" w:type="dxa"/>
            <w:gridSpan w:val="2"/>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89"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FY（1）-4-2</w:t>
            </w:r>
          </w:p>
        </w:tc>
        <w:tc>
          <w:tcPr>
            <w:tcW w:w="804" w:type="dxa"/>
            <w:vMerge w:val="continue"/>
            <w:vAlign w:val="center"/>
          </w:tcPr>
          <w:p>
            <w:pPr>
              <w:jc w:val="center"/>
              <w:rPr>
                <w:rFonts w:hint="default" w:ascii="Times New Roman" w:hAnsi="Times New Roman" w:cs="Times New Roman"/>
                <w:sz w:val="18"/>
                <w:szCs w:val="18"/>
              </w:rPr>
            </w:pPr>
          </w:p>
        </w:tc>
        <w:tc>
          <w:tcPr>
            <w:tcW w:w="1822"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脱重组分真空分离罐废液</w:t>
            </w:r>
          </w:p>
        </w:tc>
        <w:tc>
          <w:tcPr>
            <w:tcW w:w="886"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TPMA</w:t>
            </w:r>
          </w:p>
        </w:tc>
        <w:tc>
          <w:tcPr>
            <w:tcW w:w="1057"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废液</w:t>
            </w:r>
          </w:p>
          <w:p>
            <w:pPr>
              <w:jc w:val="center"/>
              <w:rPr>
                <w:rFonts w:hint="default" w:ascii="Times New Roman" w:hAnsi="Times New Roman" w:cs="Times New Roman"/>
                <w:sz w:val="18"/>
                <w:szCs w:val="18"/>
              </w:rPr>
            </w:pPr>
            <w:r>
              <w:rPr>
                <w:rFonts w:hint="default" w:ascii="Times New Roman" w:hAnsi="Times New Roman" w:cs="Times New Roman"/>
                <w:sz w:val="18"/>
                <w:szCs w:val="18"/>
              </w:rPr>
              <w:t>（HW06）</w:t>
            </w:r>
          </w:p>
        </w:tc>
        <w:tc>
          <w:tcPr>
            <w:tcW w:w="1109"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lang w:val="en-US" w:eastAsia="zh-CN"/>
              </w:rPr>
              <w:t>4219</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48</w:t>
            </w:r>
          </w:p>
        </w:tc>
        <w:tc>
          <w:tcPr>
            <w:tcW w:w="1852"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送至（1）-9单元焚烧</w:t>
            </w:r>
          </w:p>
        </w:tc>
        <w:tc>
          <w:tcPr>
            <w:tcW w:w="767" w:type="dxa"/>
            <w:gridSpan w:val="2"/>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89" w:type="dxa"/>
            <w:vMerge w:val="restar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S（1）-8-1</w:t>
            </w:r>
          </w:p>
        </w:tc>
        <w:tc>
          <w:tcPr>
            <w:tcW w:w="804" w:type="dxa"/>
            <w:vMerge w:val="restar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（1）-8单元</w:t>
            </w:r>
          </w:p>
        </w:tc>
        <w:tc>
          <w:tcPr>
            <w:tcW w:w="1822"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天然气净化产生的废活性炭</w:t>
            </w:r>
          </w:p>
        </w:tc>
        <w:tc>
          <w:tcPr>
            <w:tcW w:w="886"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活性炭</w:t>
            </w:r>
          </w:p>
        </w:tc>
        <w:tc>
          <w:tcPr>
            <w:tcW w:w="1057"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危废</w:t>
            </w:r>
          </w:p>
          <w:p>
            <w:pPr>
              <w:jc w:val="center"/>
              <w:rPr>
                <w:rFonts w:hint="default" w:ascii="Times New Roman" w:hAnsi="Times New Roman" w:cs="Times New Roman"/>
                <w:sz w:val="18"/>
                <w:szCs w:val="18"/>
              </w:rPr>
            </w:pPr>
            <w:r>
              <w:rPr>
                <w:rFonts w:hint="default" w:ascii="Times New Roman" w:hAnsi="Times New Roman" w:cs="Times New Roman"/>
                <w:sz w:val="18"/>
                <w:szCs w:val="18"/>
              </w:rPr>
              <w:t>（HW06）</w:t>
            </w:r>
          </w:p>
        </w:tc>
        <w:tc>
          <w:tcPr>
            <w:tcW w:w="1109"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lang w:val="en-US" w:eastAsia="zh-CN"/>
              </w:rPr>
              <w:t>9.96</w:t>
            </w:r>
          </w:p>
        </w:tc>
        <w:tc>
          <w:tcPr>
            <w:tcW w:w="1852" w:type="dxa"/>
            <w:vMerge w:val="restart"/>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送宁夏</w:t>
            </w:r>
            <w:r>
              <w:rPr>
                <w:rFonts w:hint="default" w:ascii="Times New Roman" w:hAnsi="Times New Roman" w:cs="Times New Roman"/>
                <w:sz w:val="18"/>
                <w:szCs w:val="18"/>
                <w:lang w:eastAsia="zh-CN"/>
              </w:rPr>
              <w:t>德坤环保科技实业集团有限公司</w:t>
            </w:r>
            <w:r>
              <w:rPr>
                <w:rFonts w:hint="default" w:ascii="Times New Roman" w:hAnsi="Times New Roman" w:cs="Times New Roman"/>
                <w:sz w:val="18"/>
                <w:szCs w:val="18"/>
              </w:rPr>
              <w:t>处置</w:t>
            </w:r>
          </w:p>
        </w:tc>
        <w:tc>
          <w:tcPr>
            <w:tcW w:w="767" w:type="dxa"/>
            <w:gridSpan w:val="2"/>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89" w:type="dxa"/>
            <w:vMerge w:val="continue"/>
            <w:vAlign w:val="center"/>
          </w:tcPr>
          <w:p>
            <w:pPr>
              <w:jc w:val="center"/>
              <w:rPr>
                <w:rFonts w:hint="default" w:ascii="Times New Roman" w:hAnsi="Times New Roman" w:cs="Times New Roman"/>
                <w:sz w:val="18"/>
                <w:szCs w:val="18"/>
              </w:rPr>
            </w:pPr>
          </w:p>
        </w:tc>
        <w:tc>
          <w:tcPr>
            <w:tcW w:w="804" w:type="dxa"/>
            <w:vMerge w:val="continue"/>
            <w:vAlign w:val="center"/>
          </w:tcPr>
          <w:p>
            <w:pPr>
              <w:jc w:val="center"/>
              <w:rPr>
                <w:rFonts w:hint="default" w:ascii="Times New Roman" w:hAnsi="Times New Roman" w:cs="Times New Roman"/>
                <w:sz w:val="18"/>
                <w:szCs w:val="18"/>
              </w:rPr>
            </w:pPr>
          </w:p>
        </w:tc>
        <w:tc>
          <w:tcPr>
            <w:tcW w:w="1822"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液氨净化产生的废活性炭</w:t>
            </w:r>
          </w:p>
        </w:tc>
        <w:tc>
          <w:tcPr>
            <w:tcW w:w="886"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活性炭</w:t>
            </w:r>
          </w:p>
        </w:tc>
        <w:tc>
          <w:tcPr>
            <w:tcW w:w="1057"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危废</w:t>
            </w:r>
          </w:p>
          <w:p>
            <w:pPr>
              <w:jc w:val="center"/>
              <w:rPr>
                <w:rFonts w:hint="default" w:ascii="Times New Roman" w:hAnsi="Times New Roman" w:cs="Times New Roman"/>
                <w:sz w:val="18"/>
                <w:szCs w:val="18"/>
              </w:rPr>
            </w:pPr>
            <w:r>
              <w:rPr>
                <w:rFonts w:hint="default" w:ascii="Times New Roman" w:hAnsi="Times New Roman" w:cs="Times New Roman"/>
                <w:sz w:val="18"/>
                <w:szCs w:val="18"/>
              </w:rPr>
              <w:t>（HW06）</w:t>
            </w:r>
          </w:p>
        </w:tc>
        <w:tc>
          <w:tcPr>
            <w:tcW w:w="1109"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lang w:val="en-US" w:eastAsia="zh-CN"/>
              </w:rPr>
              <w:t>10.</w:t>
            </w:r>
            <w:r>
              <w:rPr>
                <w:rFonts w:hint="default" w:ascii="Times New Roman" w:hAnsi="Times New Roman" w:cs="Times New Roman"/>
                <w:sz w:val="18"/>
                <w:szCs w:val="18"/>
              </w:rPr>
              <w:t>0</w:t>
            </w:r>
            <w:r>
              <w:rPr>
                <w:rFonts w:hint="default" w:ascii="Times New Roman" w:hAnsi="Times New Roman" w:cs="Times New Roman"/>
                <w:sz w:val="18"/>
                <w:szCs w:val="18"/>
                <w:lang w:val="en-US" w:eastAsia="zh-CN"/>
              </w:rPr>
              <w:t>8</w:t>
            </w:r>
          </w:p>
        </w:tc>
        <w:tc>
          <w:tcPr>
            <w:tcW w:w="1852" w:type="dxa"/>
            <w:vMerge w:val="continue"/>
            <w:vAlign w:val="center"/>
          </w:tcPr>
          <w:p>
            <w:pPr>
              <w:pStyle w:val="23"/>
              <w:spacing w:line="300" w:lineRule="exact"/>
              <w:rPr>
                <w:rFonts w:hint="default" w:ascii="Times New Roman" w:hAnsi="Times New Roman" w:cs="Times New Roman"/>
                <w:sz w:val="18"/>
                <w:szCs w:val="18"/>
              </w:rPr>
            </w:pPr>
          </w:p>
        </w:tc>
        <w:tc>
          <w:tcPr>
            <w:tcW w:w="767" w:type="dxa"/>
            <w:gridSpan w:val="2"/>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89"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S（1）-8-1</w:t>
            </w:r>
          </w:p>
        </w:tc>
        <w:tc>
          <w:tcPr>
            <w:tcW w:w="804" w:type="dxa"/>
            <w:vMerge w:val="continue"/>
            <w:vAlign w:val="center"/>
          </w:tcPr>
          <w:p>
            <w:pPr>
              <w:jc w:val="center"/>
              <w:rPr>
                <w:rFonts w:hint="default" w:ascii="Times New Roman" w:hAnsi="Times New Roman" w:cs="Times New Roman"/>
                <w:sz w:val="18"/>
                <w:szCs w:val="18"/>
              </w:rPr>
            </w:pPr>
          </w:p>
        </w:tc>
        <w:tc>
          <w:tcPr>
            <w:tcW w:w="1822"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氰化氢反应器产生的废催化剂</w:t>
            </w:r>
          </w:p>
        </w:tc>
        <w:tc>
          <w:tcPr>
            <w:tcW w:w="886"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铂金网</w:t>
            </w:r>
          </w:p>
        </w:tc>
        <w:tc>
          <w:tcPr>
            <w:tcW w:w="1057"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一般</w:t>
            </w:r>
          </w:p>
        </w:tc>
        <w:tc>
          <w:tcPr>
            <w:tcW w:w="1109"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0.0</w:t>
            </w:r>
            <w:r>
              <w:rPr>
                <w:rFonts w:hint="default" w:ascii="Times New Roman" w:hAnsi="Times New Roman" w:cs="Times New Roman"/>
                <w:sz w:val="18"/>
                <w:szCs w:val="18"/>
                <w:lang w:val="en-US" w:eastAsia="zh-CN"/>
              </w:rPr>
              <w:t>168</w:t>
            </w:r>
          </w:p>
        </w:tc>
        <w:tc>
          <w:tcPr>
            <w:tcW w:w="1852"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由供应商负责回收处理</w:t>
            </w:r>
          </w:p>
        </w:tc>
        <w:tc>
          <w:tcPr>
            <w:tcW w:w="767" w:type="dxa"/>
            <w:gridSpan w:val="2"/>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89" w:type="dxa"/>
            <w:shd w:val="clear" w:color="auto" w:fill="auto"/>
            <w:vAlign w:val="center"/>
          </w:tcPr>
          <w:p>
            <w:pPr>
              <w:jc w:val="center"/>
              <w:rPr>
                <w:rFonts w:hint="default" w:ascii="Times New Roman" w:hAnsi="Times New Roman" w:cs="Times New Roman"/>
                <w:sz w:val="18"/>
                <w:szCs w:val="18"/>
              </w:rPr>
            </w:pPr>
            <w:bookmarkStart w:id="0" w:name="_Hlk259699517"/>
            <w:r>
              <w:rPr>
                <w:rFonts w:hint="default" w:ascii="Times New Roman" w:hAnsi="Times New Roman" w:cs="Times New Roman"/>
                <w:sz w:val="18"/>
                <w:szCs w:val="18"/>
              </w:rPr>
              <w:t>S（1）-13</w:t>
            </w:r>
          </w:p>
        </w:tc>
        <w:tc>
          <w:tcPr>
            <w:tcW w:w="804" w:type="dxa"/>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生活</w:t>
            </w:r>
          </w:p>
          <w:p>
            <w:pPr>
              <w:jc w:val="center"/>
              <w:rPr>
                <w:rFonts w:hint="default" w:ascii="Times New Roman" w:hAnsi="Times New Roman" w:cs="Times New Roman"/>
                <w:sz w:val="18"/>
                <w:szCs w:val="18"/>
              </w:rPr>
            </w:pPr>
            <w:r>
              <w:rPr>
                <w:rFonts w:hint="default" w:ascii="Times New Roman" w:hAnsi="Times New Roman" w:cs="Times New Roman"/>
                <w:sz w:val="18"/>
                <w:szCs w:val="18"/>
              </w:rPr>
              <w:t>垃圾</w:t>
            </w:r>
          </w:p>
        </w:tc>
        <w:tc>
          <w:tcPr>
            <w:tcW w:w="1822" w:type="dxa"/>
            <w:gridSpan w:val="2"/>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生活垃圾</w:t>
            </w:r>
          </w:p>
        </w:tc>
        <w:tc>
          <w:tcPr>
            <w:tcW w:w="886" w:type="dxa"/>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办公生活垃圾</w:t>
            </w:r>
          </w:p>
        </w:tc>
        <w:tc>
          <w:tcPr>
            <w:tcW w:w="1057" w:type="dxa"/>
            <w:gridSpan w:val="2"/>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一般</w:t>
            </w:r>
          </w:p>
        </w:tc>
        <w:tc>
          <w:tcPr>
            <w:tcW w:w="1109" w:type="dxa"/>
            <w:shd w:val="clear" w:color="auto" w:fill="auto"/>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lang w:val="en-US" w:eastAsia="zh-CN"/>
              </w:rPr>
              <w:t>202.5</w:t>
            </w:r>
          </w:p>
        </w:tc>
        <w:tc>
          <w:tcPr>
            <w:tcW w:w="1852" w:type="dxa"/>
            <w:shd w:val="clear" w:color="auto" w:fill="auto"/>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城市垃圾场处理</w:t>
            </w:r>
          </w:p>
        </w:tc>
        <w:tc>
          <w:tcPr>
            <w:tcW w:w="767" w:type="dxa"/>
            <w:gridSpan w:val="2"/>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89" w:type="dxa"/>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S（1）-14</w:t>
            </w:r>
          </w:p>
        </w:tc>
        <w:tc>
          <w:tcPr>
            <w:tcW w:w="804" w:type="dxa"/>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废水处理站</w:t>
            </w:r>
          </w:p>
        </w:tc>
        <w:tc>
          <w:tcPr>
            <w:tcW w:w="1822" w:type="dxa"/>
            <w:gridSpan w:val="2"/>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污泥</w:t>
            </w:r>
          </w:p>
        </w:tc>
        <w:tc>
          <w:tcPr>
            <w:tcW w:w="886" w:type="dxa"/>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污泥</w:t>
            </w:r>
          </w:p>
        </w:tc>
        <w:tc>
          <w:tcPr>
            <w:tcW w:w="1057" w:type="dxa"/>
            <w:gridSpan w:val="2"/>
            <w:shd w:val="clear" w:color="auto" w:fill="auto"/>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eastAsia="zh-CN"/>
              </w:rPr>
              <w:t>一般</w:t>
            </w:r>
          </w:p>
        </w:tc>
        <w:tc>
          <w:tcPr>
            <w:tcW w:w="1109" w:type="dxa"/>
            <w:shd w:val="clear" w:color="auto" w:fill="auto"/>
            <w:vAlign w:val="center"/>
          </w:tcPr>
          <w:p>
            <w:pPr>
              <w:pStyle w:val="23"/>
              <w:spacing w:line="300" w:lineRule="exact"/>
              <w:ind w:firstLine="0" w:firstLineChars="0"/>
              <w:rPr>
                <w:rFonts w:hint="default" w:ascii="Times New Roman" w:hAnsi="Times New Roman" w:cs="Times New Roman"/>
                <w:sz w:val="18"/>
                <w:szCs w:val="18"/>
              </w:rPr>
            </w:pPr>
            <w:r>
              <w:rPr>
                <w:rFonts w:hint="default" w:ascii="Times New Roman" w:hAnsi="Times New Roman" w:cs="Times New Roman"/>
                <w:sz w:val="18"/>
                <w:szCs w:val="18"/>
                <w:lang w:val="en-US" w:eastAsia="zh-CN"/>
              </w:rPr>
              <w:t>1500</w:t>
            </w:r>
          </w:p>
        </w:tc>
        <w:tc>
          <w:tcPr>
            <w:tcW w:w="1852" w:type="dxa"/>
            <w:shd w:val="clear" w:color="auto" w:fill="auto"/>
            <w:vAlign w:val="center"/>
          </w:tcPr>
          <w:p>
            <w:pPr>
              <w:pStyle w:val="23"/>
              <w:spacing w:line="300" w:lineRule="exact"/>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园区工业固废填埋场</w:t>
            </w:r>
          </w:p>
        </w:tc>
        <w:tc>
          <w:tcPr>
            <w:tcW w:w="767" w:type="dxa"/>
            <w:gridSpan w:val="2"/>
            <w:vAlign w:val="center"/>
          </w:tcPr>
          <w:p>
            <w:pPr>
              <w:pStyle w:val="23"/>
              <w:spacing w:line="300" w:lineRule="exact"/>
              <w:rPr>
                <w:rFonts w:hint="default" w:ascii="Times New Roman" w:hAnsi="Times New Roman"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89"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S-（1）-11</w:t>
            </w:r>
          </w:p>
        </w:tc>
        <w:tc>
          <w:tcPr>
            <w:tcW w:w="804"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生物除臭</w:t>
            </w:r>
          </w:p>
        </w:tc>
        <w:tc>
          <w:tcPr>
            <w:tcW w:w="1822"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废活性炭</w:t>
            </w:r>
          </w:p>
        </w:tc>
        <w:tc>
          <w:tcPr>
            <w:tcW w:w="886"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活性炭</w:t>
            </w:r>
          </w:p>
        </w:tc>
        <w:tc>
          <w:tcPr>
            <w:tcW w:w="1057" w:type="dxa"/>
            <w:gridSpan w:val="2"/>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危废</w:t>
            </w:r>
          </w:p>
          <w:p>
            <w:pPr>
              <w:jc w:val="center"/>
              <w:rPr>
                <w:rFonts w:hint="default" w:ascii="Times New Roman" w:hAnsi="Times New Roman" w:cs="Times New Roman"/>
                <w:sz w:val="18"/>
                <w:szCs w:val="18"/>
              </w:rPr>
            </w:pPr>
            <w:r>
              <w:rPr>
                <w:rFonts w:hint="default" w:ascii="Times New Roman" w:hAnsi="Times New Roman" w:cs="Times New Roman"/>
                <w:sz w:val="18"/>
                <w:szCs w:val="18"/>
              </w:rPr>
              <w:t>（HW06）</w:t>
            </w:r>
          </w:p>
        </w:tc>
        <w:tc>
          <w:tcPr>
            <w:tcW w:w="1109"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lang w:val="en-US" w:eastAsia="zh-CN"/>
              </w:rPr>
              <w:t>6</w:t>
            </w:r>
            <w:r>
              <w:rPr>
                <w:rFonts w:hint="default" w:ascii="Times New Roman" w:hAnsi="Times New Roman" w:cs="Times New Roman"/>
                <w:sz w:val="18"/>
                <w:szCs w:val="18"/>
              </w:rPr>
              <w:t>.</w:t>
            </w:r>
            <w:r>
              <w:rPr>
                <w:rFonts w:hint="default" w:ascii="Times New Roman" w:hAnsi="Times New Roman" w:cs="Times New Roman"/>
                <w:sz w:val="18"/>
                <w:szCs w:val="18"/>
                <w:lang w:val="en-US" w:eastAsia="zh-CN"/>
              </w:rPr>
              <w:t>34</w:t>
            </w:r>
          </w:p>
        </w:tc>
        <w:tc>
          <w:tcPr>
            <w:tcW w:w="1852" w:type="dxa"/>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送宁夏</w:t>
            </w:r>
            <w:r>
              <w:rPr>
                <w:rFonts w:hint="default" w:ascii="Times New Roman" w:hAnsi="Times New Roman" w:cs="Times New Roman"/>
                <w:sz w:val="18"/>
                <w:szCs w:val="18"/>
                <w:lang w:eastAsia="zh-CN"/>
              </w:rPr>
              <w:t>德坤环保科技实业集团有限公司</w:t>
            </w:r>
            <w:r>
              <w:rPr>
                <w:rFonts w:hint="default" w:ascii="Times New Roman" w:hAnsi="Times New Roman" w:cs="Times New Roman"/>
                <w:sz w:val="18"/>
                <w:szCs w:val="18"/>
              </w:rPr>
              <w:t>处置</w:t>
            </w:r>
          </w:p>
        </w:tc>
        <w:tc>
          <w:tcPr>
            <w:tcW w:w="767" w:type="dxa"/>
            <w:gridSpan w:val="2"/>
            <w:vAlign w:val="center"/>
          </w:tcPr>
          <w:p>
            <w:pPr>
              <w:pStyle w:val="23"/>
              <w:spacing w:line="300" w:lineRule="exact"/>
              <w:rPr>
                <w:rFonts w:hint="default" w:ascii="Times New Roman" w:hAnsi="Times New Roman" w:cs="Times New Roman"/>
                <w:sz w:val="18"/>
                <w:szCs w:val="18"/>
              </w:rPr>
            </w:pPr>
            <w:r>
              <w:rPr>
                <w:rFonts w:hint="default" w:ascii="Times New Roman" w:hAnsi="Times New Roman" w:cs="Times New Roman"/>
                <w:sz w:val="18"/>
                <w:szCs w:val="18"/>
              </w:rPr>
              <w:t>0</w:t>
            </w:r>
          </w:p>
        </w:tc>
      </w:tr>
      <w:bookmarkEnd w:id="0"/>
    </w:tbl>
    <w:p>
      <w:pPr>
        <w:pStyle w:val="20"/>
        <w:spacing w:line="360" w:lineRule="auto"/>
        <w:rPr>
          <w:rFonts w:hint="default" w:ascii="Times New Roman" w:hAnsi="Times New Roman" w:cs="Times New Roman" w:eastAsiaTheme="minorEastAsia"/>
          <w:b/>
          <w:color w:val="000000"/>
          <w:sz w:val="28"/>
          <w:szCs w:val="28"/>
        </w:rPr>
      </w:pPr>
      <w:r>
        <w:rPr>
          <w:rFonts w:hint="default" w:ascii="Times New Roman" w:hAnsi="Times New Roman" w:cs="Times New Roman" w:eastAsiaTheme="minorEastAsia"/>
          <w:b/>
          <w:color w:val="000000"/>
          <w:sz w:val="28"/>
          <w:szCs w:val="28"/>
        </w:rPr>
        <w:t>3.污染物排放方式及去向</w:t>
      </w:r>
    </w:p>
    <w:p>
      <w:pPr>
        <w:pStyle w:val="19"/>
        <w:spacing w:line="360" w:lineRule="auto"/>
        <w:rPr>
          <w:rFonts w:hint="default" w:ascii="Times New Roman" w:hAnsi="Times New Roman" w:cs="Times New Roman" w:eastAsiaTheme="minorEastAsia"/>
          <w:color w:val="000000" w:themeColor="text1"/>
          <w:sz w:val="28"/>
          <w:szCs w:val="28"/>
          <w14:textFill>
            <w14:solidFill>
              <w14:schemeClr w14:val="tx1"/>
            </w14:solidFill>
          </w14:textFill>
        </w:rPr>
      </w:pPr>
      <w:r>
        <w:rPr>
          <w:rFonts w:hint="default" w:ascii="Times New Roman" w:hAnsi="Times New Roman" w:cs="Times New Roman"/>
        </w:rPr>
        <w:t xml:space="preserve">   </w:t>
      </w:r>
      <w:r>
        <w:rPr>
          <w:rFonts w:hint="default" w:ascii="Times New Roman" w:hAnsi="Times New Roman" w:cs="Times New Roman"/>
          <w:sz w:val="28"/>
          <w:szCs w:val="28"/>
        </w:rPr>
        <w:t xml:space="preserve"> </w:t>
      </w:r>
      <w:r>
        <w:rPr>
          <w:rFonts w:hint="default" w:ascii="Times New Roman" w:hAnsi="Times New Roman" w:cs="Times New Roman"/>
          <w:color w:val="000000" w:themeColor="text1"/>
          <w:sz w:val="28"/>
          <w:szCs w:val="28"/>
          <w14:textFill>
            <w14:solidFill>
              <w14:schemeClr w14:val="tx1"/>
            </w14:solidFill>
          </w14:textFill>
        </w:rPr>
        <w:t>本项目</w:t>
      </w:r>
      <w:r>
        <w:rPr>
          <w:rFonts w:hint="default" w:ascii="Times New Roman" w:hAnsi="Times New Roman" w:cs="Times New Roman" w:eastAsiaTheme="minorEastAsia"/>
          <w:color w:val="000000" w:themeColor="text1"/>
          <w:sz w:val="28"/>
          <w:szCs w:val="28"/>
          <w14:textFill>
            <w14:solidFill>
              <w14:schemeClr w14:val="tx1"/>
            </w14:solidFill>
          </w14:textFill>
        </w:rPr>
        <w:t>废水排放方式为连续排放，排放去向至美利源水务有限公司污水处理厂</w:t>
      </w:r>
      <w:r>
        <w:rPr>
          <w:rFonts w:hint="default" w:ascii="Times New Roman" w:hAnsi="Times New Roman" w:cs="Times New Roman" w:eastAsiaTheme="minorEastAsia"/>
          <w:color w:val="000000" w:themeColor="text1"/>
          <w:sz w:val="28"/>
          <w:szCs w:val="28"/>
          <w:lang w:eastAsia="zh-CN"/>
          <w14:textFill>
            <w14:solidFill>
              <w14:schemeClr w14:val="tx1"/>
            </w14:solidFill>
          </w14:textFill>
        </w:rPr>
        <w:t>；</w:t>
      </w:r>
      <w:r>
        <w:rPr>
          <w:rFonts w:hint="default" w:ascii="Times New Roman" w:hAnsi="Times New Roman" w:cs="Times New Roman" w:eastAsiaTheme="minorEastAsia"/>
          <w:color w:val="000000" w:themeColor="text1"/>
          <w:sz w:val="28"/>
          <w:szCs w:val="28"/>
          <w14:textFill>
            <w14:solidFill>
              <w14:schemeClr w14:val="tx1"/>
            </w14:solidFill>
          </w14:textFill>
        </w:rPr>
        <w:t>废气经处理设施处理后排放至大气环境</w:t>
      </w:r>
      <w:r>
        <w:rPr>
          <w:rFonts w:hint="default" w:ascii="Times New Roman" w:hAnsi="Times New Roman" w:cs="Times New Roman" w:eastAsiaTheme="minorEastAsia"/>
          <w:color w:val="000000" w:themeColor="text1"/>
          <w:sz w:val="28"/>
          <w:szCs w:val="28"/>
          <w:lang w:eastAsia="zh-CN"/>
          <w14:textFill>
            <w14:solidFill>
              <w14:schemeClr w14:val="tx1"/>
            </w14:solidFill>
          </w14:textFill>
        </w:rPr>
        <w:t>；固体废物具体处置情况见表</w:t>
      </w:r>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2-1。</w:t>
      </w:r>
    </w:p>
    <w:p>
      <w:pPr>
        <w:pStyle w:val="19"/>
        <w:spacing w:line="360" w:lineRule="auto"/>
        <w:rPr>
          <w:rFonts w:hint="default" w:ascii="Times New Roman" w:hAnsi="Times New Roman" w:cs="Times New Roman" w:eastAsiaTheme="minorEastAsia"/>
          <w:b/>
          <w:color w:val="000000" w:themeColor="text1"/>
          <w:sz w:val="28"/>
          <w:szCs w:val="28"/>
          <w14:textFill>
            <w14:solidFill>
              <w14:schemeClr w14:val="tx1"/>
            </w14:solidFill>
          </w14:textFill>
        </w:rPr>
      </w:pPr>
      <w:r>
        <w:rPr>
          <w:rFonts w:hint="default" w:ascii="Times New Roman" w:hAnsi="Times New Roman" w:cs="Times New Roman" w:eastAsiaTheme="minorEastAsia"/>
          <w:b/>
          <w:color w:val="000000" w:themeColor="text1"/>
          <w:sz w:val="28"/>
          <w:szCs w:val="28"/>
          <w14:textFill>
            <w14:solidFill>
              <w14:schemeClr w14:val="tx1"/>
            </w14:solidFill>
          </w14:textFill>
        </w:rPr>
        <w:t>4.监测点位、项目及频次</w:t>
      </w:r>
    </w:p>
    <w:p>
      <w:pPr>
        <w:pStyle w:val="19"/>
        <w:spacing w:line="360" w:lineRule="auto"/>
        <w:rPr>
          <w:rFonts w:hint="default" w:ascii="Times New Roman" w:hAnsi="Times New Roman" w:cs="Times New Roman"/>
        </w:rPr>
      </w:pPr>
      <w:r>
        <w:rPr>
          <w:rFonts w:hint="default" w:ascii="Times New Roman" w:hAnsi="Times New Roman" w:cs="Times New Roman" w:eastAsiaTheme="minorEastAsia"/>
          <w:b/>
          <w:sz w:val="28"/>
          <w:szCs w:val="28"/>
        </w:rPr>
        <w:t xml:space="preserve">    </w:t>
      </w:r>
      <w:r>
        <w:rPr>
          <w:rFonts w:hint="default" w:ascii="Times New Roman" w:hAnsi="Times New Roman" w:cs="Times New Roman" w:eastAsiaTheme="minorEastAsia"/>
          <w:sz w:val="28"/>
          <w:szCs w:val="28"/>
        </w:rPr>
        <w:t>按照《自行监测技术指南》相关要求</w:t>
      </w:r>
      <w:r>
        <w:rPr>
          <w:rFonts w:hint="default" w:ascii="Times New Roman" w:hAnsi="Times New Roman" w:cs="Times New Roman" w:eastAsiaTheme="minorEastAsia"/>
          <w:color w:val="000000" w:themeColor="text1"/>
          <w:sz w:val="28"/>
          <w:szCs w:val="28"/>
          <w14:textFill>
            <w14:solidFill>
              <w14:schemeClr w14:val="tx1"/>
            </w14:solidFill>
          </w14:textFill>
        </w:rPr>
        <w:t>及企业《宁夏紫光天化蛋氨酸有限责任公司2×5万吨饲料级DL-蛋氨酸及产业配套项目</w:t>
      </w:r>
      <w:r>
        <w:rPr>
          <w:rFonts w:hint="default" w:ascii="Times New Roman" w:hAnsi="Times New Roman" w:cs="Times New Roman" w:eastAsiaTheme="minorEastAsia"/>
          <w:color w:val="000000" w:themeColor="text1"/>
          <w:sz w:val="28"/>
          <w:szCs w:val="28"/>
          <w:lang w:eastAsia="zh-CN"/>
          <w14:textFill>
            <w14:solidFill>
              <w14:schemeClr w14:val="tx1"/>
            </w14:solidFill>
          </w14:textFill>
        </w:rPr>
        <w:t>环境影响评价书</w:t>
      </w:r>
      <w:r>
        <w:rPr>
          <w:rFonts w:hint="default" w:ascii="Times New Roman" w:hAnsi="Times New Roman" w:cs="Times New Roman" w:eastAsiaTheme="minorEastAsia"/>
          <w:color w:val="000000" w:themeColor="text1"/>
          <w:sz w:val="28"/>
          <w:szCs w:val="28"/>
          <w14:textFill>
            <w14:solidFill>
              <w14:schemeClr w14:val="tx1"/>
            </w14:solidFill>
          </w14:textFill>
        </w:rPr>
        <w:t>》和验收报告等相关资料，结合企业生产排污特点，确定监测点位，项目</w:t>
      </w:r>
      <w:r>
        <w:rPr>
          <w:rFonts w:hint="default" w:ascii="Times New Roman" w:hAnsi="Times New Roman" w:cs="Times New Roman" w:eastAsiaTheme="minorEastAsia"/>
          <w:sz w:val="28"/>
          <w:szCs w:val="28"/>
        </w:rPr>
        <w:t>及频次。</w:t>
      </w:r>
    </w:p>
    <w:p>
      <w:pPr>
        <w:pStyle w:val="19"/>
        <w:spacing w:line="360" w:lineRule="auto"/>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4.1废水监测点位、项目及频次</w:t>
      </w:r>
    </w:p>
    <w:p>
      <w:pPr>
        <w:tabs>
          <w:tab w:val="left" w:pos="3218"/>
        </w:tabs>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废水监测点位、项目、频次及开展监测方式见表4-1。</w:t>
      </w:r>
    </w:p>
    <w:p>
      <w:pPr>
        <w:ind w:firstLine="118" w:firstLineChars="49"/>
        <w:jc w:val="center"/>
        <w:rPr>
          <w:rFonts w:hint="default" w:ascii="Times New Roman" w:hAnsi="Times New Roman" w:cs="Times New Roman"/>
          <w:b/>
          <w:bCs/>
          <w:position w:val="6"/>
          <w:sz w:val="24"/>
          <w:szCs w:val="24"/>
        </w:rPr>
      </w:pPr>
      <w:r>
        <w:rPr>
          <w:rFonts w:hint="default" w:ascii="Times New Roman" w:hAnsi="Times New Roman" w:cs="Times New Roman"/>
          <w:b/>
          <w:bCs/>
          <w:position w:val="6"/>
          <w:sz w:val="24"/>
          <w:szCs w:val="24"/>
        </w:rPr>
        <w:t>表4-1     废水监测点位、项目、频次及开展监测方式</w:t>
      </w:r>
    </w:p>
    <w:tbl>
      <w:tblPr>
        <w:tblStyle w:val="8"/>
        <w:tblW w:w="878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151"/>
        <w:gridCol w:w="1254"/>
        <w:gridCol w:w="1743"/>
        <w:gridCol w:w="1486"/>
        <w:gridCol w:w="19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46" w:type="dxa"/>
            <w:tcBorders>
              <w:top w:val="single" w:color="auto" w:sz="12" w:space="0"/>
            </w:tcBorders>
            <w:vAlign w:val="center"/>
          </w:tcPr>
          <w:p>
            <w:pPr>
              <w:jc w:val="center"/>
              <w:rPr>
                <w:rFonts w:hint="default" w:ascii="Times New Roman" w:hAnsi="Times New Roman" w:cs="Times New Roman"/>
                <w:b/>
                <w:bCs/>
              </w:rPr>
            </w:pPr>
            <w:r>
              <w:rPr>
                <w:rFonts w:hint="default" w:ascii="Times New Roman" w:hAnsi="Times New Roman" w:cs="Times New Roman"/>
                <w:b/>
                <w:bCs/>
              </w:rPr>
              <w:t>处理设施</w:t>
            </w:r>
          </w:p>
        </w:tc>
        <w:tc>
          <w:tcPr>
            <w:tcW w:w="1151" w:type="dxa"/>
            <w:tcBorders>
              <w:top w:val="single" w:color="auto" w:sz="12" w:space="0"/>
            </w:tcBorders>
            <w:vAlign w:val="center"/>
          </w:tcPr>
          <w:p>
            <w:pPr>
              <w:jc w:val="center"/>
              <w:rPr>
                <w:rFonts w:hint="default" w:ascii="Times New Roman" w:hAnsi="Times New Roman" w:cs="Times New Roman"/>
                <w:b/>
                <w:bCs/>
              </w:rPr>
            </w:pPr>
            <w:r>
              <w:rPr>
                <w:rFonts w:hint="default" w:ascii="Times New Roman" w:hAnsi="Times New Roman" w:cs="Times New Roman"/>
                <w:b/>
                <w:bCs/>
              </w:rPr>
              <w:t>监测点位</w:t>
            </w:r>
          </w:p>
        </w:tc>
        <w:tc>
          <w:tcPr>
            <w:tcW w:w="1254" w:type="dxa"/>
            <w:tcBorders>
              <w:top w:val="single" w:color="auto" w:sz="12" w:space="0"/>
            </w:tcBorders>
            <w:vAlign w:val="center"/>
          </w:tcPr>
          <w:p>
            <w:pPr>
              <w:jc w:val="center"/>
              <w:rPr>
                <w:rFonts w:hint="default" w:ascii="Times New Roman" w:hAnsi="Times New Roman" w:cs="Times New Roman"/>
                <w:b/>
                <w:bCs/>
              </w:rPr>
            </w:pPr>
            <w:r>
              <w:rPr>
                <w:rFonts w:hint="default" w:ascii="Times New Roman" w:hAnsi="Times New Roman" w:cs="Times New Roman"/>
                <w:b/>
                <w:bCs/>
              </w:rPr>
              <w:t>点位编号</w:t>
            </w:r>
          </w:p>
        </w:tc>
        <w:tc>
          <w:tcPr>
            <w:tcW w:w="1743" w:type="dxa"/>
            <w:tcBorders>
              <w:top w:val="single" w:color="auto" w:sz="12" w:space="0"/>
            </w:tcBorders>
            <w:vAlign w:val="center"/>
          </w:tcPr>
          <w:p>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项目</w:t>
            </w:r>
          </w:p>
        </w:tc>
        <w:tc>
          <w:tcPr>
            <w:tcW w:w="1486" w:type="dxa"/>
            <w:tcBorders>
              <w:top w:val="single" w:color="auto" w:sz="12" w:space="0"/>
            </w:tcBorders>
            <w:vAlign w:val="center"/>
          </w:tcPr>
          <w:p>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监测频次</w:t>
            </w:r>
          </w:p>
        </w:tc>
        <w:tc>
          <w:tcPr>
            <w:tcW w:w="1909" w:type="dxa"/>
            <w:tcBorders>
              <w:top w:val="single" w:color="auto" w:sz="12" w:space="0"/>
            </w:tcBorders>
            <w:vAlign w:val="center"/>
          </w:tcPr>
          <w:p>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46" w:type="dxa"/>
            <w:vMerge w:val="restart"/>
            <w:vAlign w:val="center"/>
          </w:tcPr>
          <w:p>
            <w:pPr>
              <w:jc w:val="center"/>
              <w:rPr>
                <w:rFonts w:hint="default" w:ascii="Times New Roman" w:hAnsi="Times New Roman" w:cs="Times New Roman"/>
              </w:rPr>
            </w:pPr>
            <w:r>
              <w:rPr>
                <w:rFonts w:hint="default" w:ascii="Times New Roman" w:hAnsi="Times New Roman" w:cs="Times New Roman"/>
              </w:rPr>
              <w:t>污水处理站</w:t>
            </w:r>
          </w:p>
        </w:tc>
        <w:tc>
          <w:tcPr>
            <w:tcW w:w="1151" w:type="dxa"/>
            <w:vMerge w:val="restart"/>
            <w:vAlign w:val="center"/>
          </w:tcPr>
          <w:p>
            <w:pPr>
              <w:jc w:val="center"/>
              <w:rPr>
                <w:rFonts w:hint="default" w:ascii="Times New Roman" w:hAnsi="Times New Roman" w:cs="Times New Roman"/>
              </w:rPr>
            </w:pPr>
            <w:r>
              <w:rPr>
                <w:rFonts w:hint="default" w:ascii="Times New Roman" w:hAnsi="Times New Roman" w:cs="Times New Roman"/>
              </w:rPr>
              <w:t>出口</w:t>
            </w:r>
          </w:p>
        </w:tc>
        <w:tc>
          <w:tcPr>
            <w:tcW w:w="1254" w:type="dxa"/>
            <w:vMerge w:val="restart"/>
            <w:vAlign w:val="center"/>
          </w:tcPr>
          <w:p>
            <w:pPr>
              <w:jc w:val="center"/>
              <w:rPr>
                <w:rFonts w:hint="default" w:ascii="Times New Roman" w:hAnsi="Times New Roman" w:cs="Times New Roman"/>
              </w:rPr>
            </w:pPr>
            <w:r>
              <w:rPr>
                <w:rFonts w:hint="default" w:ascii="Times New Roman" w:hAnsi="Times New Roman" w:cs="Times New Roman"/>
              </w:rPr>
              <w:t>1</w:t>
            </w:r>
          </w:p>
        </w:tc>
        <w:tc>
          <w:tcPr>
            <w:tcW w:w="174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氨氮、化学需氧量</w:t>
            </w:r>
          </w:p>
        </w:tc>
        <w:tc>
          <w:tcPr>
            <w:tcW w:w="1486"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连续监测</w:t>
            </w:r>
          </w:p>
        </w:tc>
        <w:tc>
          <w:tcPr>
            <w:tcW w:w="190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安装在线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46" w:type="dxa"/>
            <w:vMerge w:val="continue"/>
            <w:vAlign w:val="center"/>
          </w:tcPr>
          <w:p>
            <w:pPr>
              <w:jc w:val="center"/>
              <w:rPr>
                <w:rFonts w:hint="default" w:ascii="Times New Roman" w:hAnsi="Times New Roman" w:cs="Times New Roman"/>
              </w:rPr>
            </w:pPr>
          </w:p>
        </w:tc>
        <w:tc>
          <w:tcPr>
            <w:tcW w:w="1151" w:type="dxa"/>
            <w:vMerge w:val="continue"/>
            <w:vAlign w:val="center"/>
          </w:tcPr>
          <w:p>
            <w:pPr>
              <w:jc w:val="center"/>
              <w:rPr>
                <w:rFonts w:hint="default" w:ascii="Times New Roman" w:hAnsi="Times New Roman" w:cs="Times New Roman"/>
              </w:rPr>
            </w:pPr>
          </w:p>
        </w:tc>
        <w:tc>
          <w:tcPr>
            <w:tcW w:w="1254" w:type="dxa"/>
            <w:vMerge w:val="continue"/>
            <w:vAlign w:val="center"/>
          </w:tcPr>
          <w:p>
            <w:pPr>
              <w:jc w:val="center"/>
              <w:rPr>
                <w:rFonts w:hint="default" w:ascii="Times New Roman" w:hAnsi="Times New Roman" w:cs="Times New Roman"/>
              </w:rPr>
            </w:pPr>
          </w:p>
        </w:tc>
        <w:tc>
          <w:tcPr>
            <w:tcW w:w="174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悬浮物、氰化物、硫化物</w:t>
            </w:r>
          </w:p>
        </w:tc>
        <w:tc>
          <w:tcPr>
            <w:tcW w:w="1486"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每月监测1次，每次4个频次（混合样）</w:t>
            </w:r>
          </w:p>
        </w:tc>
        <w:tc>
          <w:tcPr>
            <w:tcW w:w="1909"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中卫市明源水质检测有限公司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46" w:type="dxa"/>
            <w:vMerge w:val="continue"/>
            <w:vAlign w:val="center"/>
          </w:tcPr>
          <w:p>
            <w:pPr>
              <w:jc w:val="center"/>
              <w:rPr>
                <w:rFonts w:hint="default" w:ascii="Times New Roman" w:hAnsi="Times New Roman" w:cs="Times New Roman"/>
              </w:rPr>
            </w:pPr>
          </w:p>
        </w:tc>
        <w:tc>
          <w:tcPr>
            <w:tcW w:w="1151" w:type="dxa"/>
            <w:vMerge w:val="continue"/>
            <w:vAlign w:val="center"/>
          </w:tcPr>
          <w:p>
            <w:pPr>
              <w:jc w:val="center"/>
              <w:rPr>
                <w:rFonts w:hint="default" w:ascii="Times New Roman" w:hAnsi="Times New Roman" w:cs="Times New Roman"/>
              </w:rPr>
            </w:pPr>
          </w:p>
        </w:tc>
        <w:tc>
          <w:tcPr>
            <w:tcW w:w="1254" w:type="dxa"/>
            <w:vMerge w:val="continue"/>
            <w:vAlign w:val="center"/>
          </w:tcPr>
          <w:p>
            <w:pPr>
              <w:jc w:val="center"/>
              <w:rPr>
                <w:rFonts w:hint="default" w:ascii="Times New Roman" w:hAnsi="Times New Roman" w:cs="Times New Roman"/>
              </w:rPr>
            </w:pPr>
          </w:p>
        </w:tc>
        <w:tc>
          <w:tcPr>
            <w:tcW w:w="174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生化需氧量</w:t>
            </w:r>
          </w:p>
        </w:tc>
        <w:tc>
          <w:tcPr>
            <w:tcW w:w="1486" w:type="dxa"/>
            <w:vMerge w:val="restart"/>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每月监测1次，每次4个频次（混合样）</w:t>
            </w:r>
          </w:p>
        </w:tc>
        <w:tc>
          <w:tcPr>
            <w:tcW w:w="1909" w:type="dxa"/>
            <w:vMerge w:val="restart"/>
            <w:vAlign w:val="center"/>
          </w:tcPr>
          <w:p>
            <w:pPr>
              <w:tabs>
                <w:tab w:val="left" w:pos="860"/>
              </w:tabs>
              <w:jc w:val="center"/>
              <w:rPr>
                <w:rFonts w:hint="default" w:ascii="Times New Roman" w:hAnsi="Times New Roman" w:cs="Times New Roman"/>
                <w:color w:val="0000FF"/>
              </w:rPr>
            </w:pPr>
            <w:r>
              <w:rPr>
                <w:rFonts w:hint="default" w:ascii="Times New Roman" w:hAnsi="Times New Roman" w:cs="Times New Roman"/>
                <w:color w:val="000000" w:themeColor="text1"/>
                <w14:textFill>
                  <w14:solidFill>
                    <w14:schemeClr w14:val="tx1"/>
                  </w14:solidFill>
                </w14:textFill>
              </w:rPr>
              <w:t>委托宁夏中科精科检测技术有限公司监测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46" w:type="dxa"/>
            <w:vMerge w:val="restart"/>
            <w:vAlign w:val="center"/>
          </w:tcPr>
          <w:p>
            <w:pPr>
              <w:jc w:val="center"/>
              <w:rPr>
                <w:rFonts w:hint="default" w:ascii="Times New Roman" w:hAnsi="Times New Roman" w:cs="Times New Roman"/>
              </w:rPr>
            </w:pPr>
            <w:r>
              <w:rPr>
                <w:rFonts w:hint="default" w:ascii="Times New Roman" w:hAnsi="Times New Roman" w:cs="Times New Roman"/>
              </w:rPr>
              <w:t>中水站</w:t>
            </w:r>
          </w:p>
        </w:tc>
        <w:tc>
          <w:tcPr>
            <w:tcW w:w="1151" w:type="dxa"/>
            <w:vMerge w:val="restart"/>
            <w:vAlign w:val="center"/>
          </w:tcPr>
          <w:p>
            <w:pPr>
              <w:jc w:val="center"/>
              <w:rPr>
                <w:rFonts w:hint="default" w:ascii="Times New Roman" w:hAnsi="Times New Roman" w:cs="Times New Roman"/>
              </w:rPr>
            </w:pPr>
            <w:r>
              <w:rPr>
                <w:rFonts w:hint="default" w:ascii="Times New Roman" w:hAnsi="Times New Roman" w:cs="Times New Roman"/>
              </w:rPr>
              <w:t>出口</w:t>
            </w:r>
          </w:p>
        </w:tc>
        <w:tc>
          <w:tcPr>
            <w:tcW w:w="1254" w:type="dxa"/>
            <w:vMerge w:val="restart"/>
            <w:vAlign w:val="center"/>
          </w:tcPr>
          <w:p>
            <w:pPr>
              <w:jc w:val="center"/>
              <w:rPr>
                <w:rFonts w:hint="default" w:ascii="Times New Roman" w:hAnsi="Times New Roman" w:cs="Times New Roman"/>
              </w:rPr>
            </w:pPr>
            <w:r>
              <w:rPr>
                <w:rFonts w:hint="default" w:ascii="Times New Roman" w:hAnsi="Times New Roman" w:cs="Times New Roman"/>
              </w:rPr>
              <w:t>1</w:t>
            </w:r>
          </w:p>
        </w:tc>
        <w:tc>
          <w:tcPr>
            <w:tcW w:w="174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悬浮物、生化需氧量</w:t>
            </w:r>
          </w:p>
        </w:tc>
        <w:tc>
          <w:tcPr>
            <w:tcW w:w="1486" w:type="dxa"/>
            <w:vMerge w:val="continue"/>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909" w:type="dxa"/>
            <w:vMerge w:val="continue"/>
            <w:vAlign w:val="center"/>
          </w:tcPr>
          <w:p>
            <w:pPr>
              <w:jc w:val="center"/>
              <w:rPr>
                <w:rFonts w:hint="default" w:ascii="Times New Roman" w:hAnsi="Times New Roman" w:cs="Times New Roman"/>
                <w:color w:val="0000FF"/>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46" w:type="dxa"/>
            <w:vMerge w:val="continue"/>
            <w:vAlign w:val="center"/>
          </w:tcPr>
          <w:p>
            <w:pPr>
              <w:jc w:val="center"/>
              <w:rPr>
                <w:rFonts w:hint="default" w:ascii="Times New Roman" w:hAnsi="Times New Roman" w:cs="Times New Roman"/>
              </w:rPr>
            </w:pPr>
          </w:p>
        </w:tc>
        <w:tc>
          <w:tcPr>
            <w:tcW w:w="1151" w:type="dxa"/>
            <w:vMerge w:val="continue"/>
            <w:vAlign w:val="center"/>
          </w:tcPr>
          <w:p>
            <w:pPr>
              <w:jc w:val="center"/>
              <w:rPr>
                <w:rFonts w:hint="default" w:ascii="Times New Roman" w:hAnsi="Times New Roman" w:cs="Times New Roman"/>
              </w:rPr>
            </w:pPr>
          </w:p>
        </w:tc>
        <w:tc>
          <w:tcPr>
            <w:tcW w:w="1254" w:type="dxa"/>
            <w:vMerge w:val="continue"/>
            <w:vAlign w:val="center"/>
          </w:tcPr>
          <w:p>
            <w:pPr>
              <w:jc w:val="center"/>
              <w:rPr>
                <w:rFonts w:hint="default" w:ascii="Times New Roman" w:hAnsi="Times New Roman" w:cs="Times New Roman"/>
              </w:rPr>
            </w:pPr>
          </w:p>
        </w:tc>
        <w:tc>
          <w:tcPr>
            <w:tcW w:w="1743"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PH、化学需氧量、氨氮</w:t>
            </w:r>
          </w:p>
        </w:tc>
        <w:tc>
          <w:tcPr>
            <w:tcW w:w="1486" w:type="dxa"/>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每月监测1次，每次4个频次（混合样）</w:t>
            </w:r>
          </w:p>
        </w:tc>
        <w:tc>
          <w:tcPr>
            <w:tcW w:w="1909" w:type="dxa"/>
            <w:vMerge w:val="continue"/>
            <w:vAlign w:val="center"/>
          </w:tcPr>
          <w:p>
            <w:pPr>
              <w:jc w:val="center"/>
              <w:rPr>
                <w:rFonts w:hint="default" w:ascii="Times New Roman" w:hAnsi="Times New Roman" w:cs="Times New Roman"/>
                <w:color w:val="0000FF"/>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46" w:type="dxa"/>
            <w:tcBorders>
              <w:bottom w:val="single" w:color="auto" w:sz="12" w:space="0"/>
            </w:tcBorders>
            <w:vAlign w:val="center"/>
          </w:tcPr>
          <w:p>
            <w:pPr>
              <w:jc w:val="center"/>
              <w:rPr>
                <w:rFonts w:hint="default" w:ascii="Times New Roman" w:hAnsi="Times New Roman" w:cs="Times New Roman"/>
              </w:rPr>
            </w:pPr>
            <w:r>
              <w:rPr>
                <w:rFonts w:hint="default" w:ascii="Times New Roman" w:hAnsi="Times New Roman" w:cs="Times New Roman"/>
              </w:rPr>
              <w:t>其他要求</w:t>
            </w:r>
          </w:p>
        </w:tc>
        <w:tc>
          <w:tcPr>
            <w:tcW w:w="7543" w:type="dxa"/>
            <w:gridSpan w:val="5"/>
            <w:tcBorders>
              <w:bottom w:val="single" w:color="auto" w:sz="12" w:space="0"/>
            </w:tcBorders>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安装自动在线监测设备的项目没有通过有效性审核的、在线监测设备发生故障或维修时，企业立即启动手工自行监测，监测频次参照《自行监测技术指南》</w:t>
            </w:r>
          </w:p>
        </w:tc>
      </w:tr>
    </w:tbl>
    <w:p>
      <w:pPr>
        <w:ind w:firstLine="103" w:firstLineChars="49"/>
        <w:jc w:val="center"/>
        <w:rPr>
          <w:rFonts w:hint="default" w:ascii="Times New Roman" w:hAnsi="Times New Roman" w:cs="Times New Roman"/>
          <w:b/>
          <w:bCs/>
          <w:position w:val="6"/>
        </w:rPr>
      </w:pPr>
    </w:p>
    <w:p>
      <w:pPr>
        <w:spacing w:beforeLines="100" w:line="360" w:lineRule="auto"/>
        <w:rPr>
          <w:rFonts w:hint="default" w:ascii="Times New Roman" w:hAnsi="Times New Roman" w:cs="Times New Roman"/>
          <w:b/>
          <w:sz w:val="28"/>
          <w:szCs w:val="28"/>
        </w:rPr>
      </w:pPr>
      <w:r>
        <w:rPr>
          <w:rFonts w:hint="default" w:ascii="Times New Roman" w:hAnsi="Times New Roman" w:cs="Times New Roman" w:eastAsiaTheme="minorEastAsia"/>
          <w:b/>
          <w:sz w:val="28"/>
          <w:szCs w:val="28"/>
        </w:rPr>
        <w:t>4.2</w:t>
      </w:r>
      <w:r>
        <w:rPr>
          <w:rFonts w:hint="default" w:ascii="Times New Roman" w:hAnsi="Times New Roman" w:cs="Times New Roman"/>
          <w:b/>
          <w:sz w:val="28"/>
          <w:szCs w:val="28"/>
        </w:rPr>
        <w:t>废水监测方法及使用仪器</w:t>
      </w:r>
    </w:p>
    <w:p>
      <w:pPr>
        <w:spacing w:line="360" w:lineRule="auto"/>
        <w:ind w:firstLine="560" w:firstLineChars="200"/>
        <w:rPr>
          <w:rFonts w:hint="default" w:ascii="Times New Roman" w:hAnsi="Times New Roman" w:cs="Times New Roman"/>
          <w:b/>
          <w:bCs/>
        </w:rPr>
      </w:pPr>
      <w:r>
        <w:rPr>
          <w:rFonts w:hint="default" w:ascii="Times New Roman" w:hAnsi="Times New Roman" w:cs="Times New Roman"/>
          <w:sz w:val="28"/>
          <w:szCs w:val="28"/>
        </w:rPr>
        <w:t>废水监测分析方法及分析仪器见表4-2</w:t>
      </w:r>
      <w:r>
        <w:rPr>
          <w:rFonts w:hint="default" w:ascii="Times New Roman" w:hAnsi="Times New Roman" w:cs="Times New Roman"/>
          <w:sz w:val="28"/>
          <w:szCs w:val="28"/>
          <w:lang w:eastAsia="zh-CN"/>
        </w:rPr>
        <w:t>。</w:t>
      </w:r>
    </w:p>
    <w:p>
      <w:pPr>
        <w:spacing w:line="360" w:lineRule="auto"/>
        <w:ind w:firstLine="2891" w:firstLineChars="1200"/>
        <w:jc w:val="both"/>
        <w:rPr>
          <w:rFonts w:hint="default" w:ascii="Times New Roman" w:hAnsi="Times New Roman" w:cs="Times New Roman"/>
          <w:b/>
          <w:bCs/>
          <w:sz w:val="24"/>
          <w:szCs w:val="24"/>
        </w:rPr>
      </w:pPr>
      <w:r>
        <w:rPr>
          <w:rFonts w:hint="default" w:ascii="Times New Roman" w:hAnsi="Times New Roman" w:cs="Times New Roman"/>
          <w:b/>
          <w:bCs/>
          <w:sz w:val="24"/>
          <w:szCs w:val="24"/>
        </w:rPr>
        <w:t>表4-2   废水污染物分析方法一览表</w:t>
      </w:r>
    </w:p>
    <w:tbl>
      <w:tblPr>
        <w:tblStyle w:val="8"/>
        <w:tblW w:w="872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2383"/>
        <w:gridCol w:w="1933"/>
        <w:gridCol w:w="1545"/>
        <w:gridCol w:w="11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78" w:type="dxa"/>
            <w:vAlign w:val="center"/>
          </w:tcPr>
          <w:p>
            <w:pPr>
              <w:tabs>
                <w:tab w:val="left" w:pos="860"/>
              </w:tabs>
              <w:jc w:val="center"/>
              <w:rPr>
                <w:rFonts w:hint="default" w:ascii="Times New Roman" w:hAnsi="Times New Roman" w:cs="Times New Roman"/>
                <w:b/>
                <w:bCs/>
              </w:rPr>
            </w:pPr>
            <w:r>
              <w:rPr>
                <w:rFonts w:hint="default" w:ascii="Times New Roman" w:hAnsi="Times New Roman" w:cs="Times New Roman"/>
                <w:b/>
                <w:bCs/>
              </w:rPr>
              <w:t>项目</w:t>
            </w:r>
          </w:p>
        </w:tc>
        <w:tc>
          <w:tcPr>
            <w:tcW w:w="2383" w:type="dxa"/>
            <w:vAlign w:val="center"/>
          </w:tcPr>
          <w:p>
            <w:pPr>
              <w:tabs>
                <w:tab w:val="left" w:pos="860"/>
              </w:tabs>
              <w:jc w:val="center"/>
              <w:rPr>
                <w:rFonts w:hint="default" w:ascii="Times New Roman" w:hAnsi="Times New Roman" w:cs="Times New Roman"/>
                <w:b/>
                <w:bCs/>
              </w:rPr>
            </w:pPr>
            <w:r>
              <w:rPr>
                <w:rFonts w:hint="default" w:ascii="Times New Roman" w:hAnsi="Times New Roman" w:cs="Times New Roman"/>
                <w:b/>
                <w:bCs/>
              </w:rPr>
              <w:t>分析方法</w:t>
            </w:r>
          </w:p>
        </w:tc>
        <w:tc>
          <w:tcPr>
            <w:tcW w:w="1933" w:type="dxa"/>
            <w:vAlign w:val="center"/>
          </w:tcPr>
          <w:p>
            <w:pPr>
              <w:tabs>
                <w:tab w:val="left" w:pos="860"/>
              </w:tabs>
              <w:jc w:val="center"/>
              <w:rPr>
                <w:rFonts w:hint="default" w:ascii="Times New Roman" w:hAnsi="Times New Roman" w:cs="Times New Roman"/>
                <w:b/>
                <w:bCs/>
              </w:rPr>
            </w:pPr>
            <w:r>
              <w:rPr>
                <w:rFonts w:hint="default" w:ascii="Times New Roman" w:hAnsi="Times New Roman" w:cs="Times New Roman"/>
                <w:b/>
                <w:bCs/>
              </w:rPr>
              <w:t>方法来源</w:t>
            </w:r>
          </w:p>
        </w:tc>
        <w:tc>
          <w:tcPr>
            <w:tcW w:w="1545" w:type="dxa"/>
            <w:vAlign w:val="center"/>
          </w:tcPr>
          <w:p>
            <w:pPr>
              <w:tabs>
                <w:tab w:val="left" w:pos="860"/>
              </w:tabs>
              <w:jc w:val="center"/>
              <w:rPr>
                <w:rFonts w:hint="default" w:ascii="Times New Roman" w:hAnsi="Times New Roman" w:cs="Times New Roman"/>
                <w:b/>
                <w:bCs/>
              </w:rPr>
            </w:pPr>
            <w:r>
              <w:rPr>
                <w:rFonts w:hint="default" w:ascii="Times New Roman" w:hAnsi="Times New Roman" w:cs="Times New Roman"/>
                <w:b/>
                <w:bCs/>
              </w:rPr>
              <w:t>使用仪器</w:t>
            </w:r>
          </w:p>
        </w:tc>
        <w:tc>
          <w:tcPr>
            <w:tcW w:w="1187" w:type="dxa"/>
            <w:vAlign w:val="center"/>
          </w:tcPr>
          <w:p>
            <w:pPr>
              <w:tabs>
                <w:tab w:val="left" w:pos="860"/>
              </w:tabs>
              <w:jc w:val="center"/>
              <w:rPr>
                <w:rFonts w:hint="default" w:ascii="Times New Roman" w:hAnsi="Times New Roman" w:cs="Times New Roman"/>
                <w:b/>
                <w:bCs/>
              </w:rPr>
            </w:pPr>
            <w:r>
              <w:rPr>
                <w:rFonts w:hint="default" w:ascii="Times New Roman" w:hAnsi="Times New Roman" w:cs="Times New Roman"/>
                <w:b/>
                <w:bCs/>
              </w:rPr>
              <w:t>鉴定时间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78" w:type="dxa"/>
            <w:vAlign w:val="center"/>
          </w:tcPr>
          <w:p>
            <w:pPr>
              <w:tabs>
                <w:tab w:val="left" w:pos="860"/>
              </w:tabs>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氨氮</w:t>
            </w:r>
          </w:p>
        </w:tc>
        <w:tc>
          <w:tcPr>
            <w:tcW w:w="2383" w:type="dxa"/>
            <w:vAlign w:val="center"/>
          </w:tcPr>
          <w:p>
            <w:pPr>
              <w:tabs>
                <w:tab w:val="left" w:pos="860"/>
              </w:tabs>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自动检测</w:t>
            </w:r>
          </w:p>
        </w:tc>
        <w:tc>
          <w:tcPr>
            <w:tcW w:w="1933" w:type="dxa"/>
            <w:vAlign w:val="center"/>
          </w:tcPr>
          <w:p>
            <w:pPr>
              <w:tabs>
                <w:tab w:val="left" w:pos="860"/>
              </w:tabs>
              <w:jc w:val="center"/>
              <w:rPr>
                <w:rFonts w:hint="default" w:ascii="Times New Roman" w:hAnsi="Times New Roman" w:cs="Times New Roman"/>
                <w:b/>
                <w:bCs/>
              </w:rPr>
            </w:pPr>
            <w:r>
              <w:rPr>
                <w:rFonts w:hint="default" w:ascii="Times New Roman" w:hAnsi="Times New Roman" w:cs="Times New Roman"/>
                <w:b/>
                <w:bCs/>
              </w:rPr>
              <w:t>/</w:t>
            </w:r>
          </w:p>
        </w:tc>
        <w:tc>
          <w:tcPr>
            <w:tcW w:w="1545" w:type="dxa"/>
            <w:vAlign w:val="center"/>
          </w:tcPr>
          <w:p>
            <w:pPr>
              <w:jc w:val="center"/>
              <w:rPr>
                <w:rFonts w:hint="default" w:ascii="Times New Roman" w:hAnsi="Times New Roman" w:eastAsia="宋体" w:cs="Times New Roman"/>
                <w:b w:val="0"/>
                <w:bCs w:val="0"/>
                <w:lang w:eastAsia="zh-CN"/>
              </w:rPr>
            </w:pPr>
            <w:r>
              <w:rPr>
                <w:rFonts w:hint="default" w:ascii="Times New Roman" w:hAnsi="Times New Roman" w:cs="Times New Roman"/>
                <w:sz w:val="21"/>
                <w:szCs w:val="21"/>
              </w:rPr>
              <w:t>在线分析仪</w:t>
            </w:r>
          </w:p>
        </w:tc>
        <w:tc>
          <w:tcPr>
            <w:tcW w:w="1187" w:type="dxa"/>
            <w:vAlign w:val="center"/>
          </w:tcPr>
          <w:p>
            <w:pPr>
              <w:tabs>
                <w:tab w:val="left" w:pos="860"/>
              </w:tabs>
              <w:jc w:val="cente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78" w:type="dxa"/>
            <w:vAlign w:val="center"/>
          </w:tcPr>
          <w:p>
            <w:pPr>
              <w:tabs>
                <w:tab w:val="left" w:pos="860"/>
              </w:tabs>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化学需氧量</w:t>
            </w:r>
          </w:p>
        </w:tc>
        <w:tc>
          <w:tcPr>
            <w:tcW w:w="2383" w:type="dxa"/>
            <w:vAlign w:val="center"/>
          </w:tcPr>
          <w:p>
            <w:pPr>
              <w:tabs>
                <w:tab w:val="left" w:pos="860"/>
              </w:tabs>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自动检测</w:t>
            </w:r>
          </w:p>
        </w:tc>
        <w:tc>
          <w:tcPr>
            <w:tcW w:w="1933" w:type="dxa"/>
            <w:vAlign w:val="center"/>
          </w:tcPr>
          <w:p>
            <w:pPr>
              <w:tabs>
                <w:tab w:val="left" w:pos="860"/>
              </w:tabs>
              <w:jc w:val="center"/>
              <w:rPr>
                <w:rFonts w:hint="default" w:ascii="Times New Roman" w:hAnsi="Times New Roman" w:cs="Times New Roman"/>
                <w:b/>
                <w:bCs/>
              </w:rPr>
            </w:pPr>
            <w:r>
              <w:rPr>
                <w:rFonts w:hint="default" w:ascii="Times New Roman" w:hAnsi="Times New Roman" w:cs="Times New Roman"/>
                <w:b/>
                <w:bCs/>
              </w:rPr>
              <w:t>/</w:t>
            </w:r>
          </w:p>
        </w:tc>
        <w:tc>
          <w:tcPr>
            <w:tcW w:w="1545" w:type="dxa"/>
            <w:vAlign w:val="center"/>
          </w:tcPr>
          <w:p>
            <w:pPr>
              <w:jc w:val="center"/>
              <w:rPr>
                <w:rFonts w:hint="default" w:ascii="Times New Roman" w:hAnsi="Times New Roman" w:eastAsia="宋体" w:cs="Times New Roman"/>
                <w:b w:val="0"/>
                <w:bCs w:val="0"/>
                <w:lang w:eastAsia="zh-CN"/>
              </w:rPr>
            </w:pPr>
            <w:r>
              <w:rPr>
                <w:rFonts w:hint="default" w:ascii="Times New Roman" w:hAnsi="Times New Roman" w:cs="Times New Roman"/>
                <w:sz w:val="21"/>
                <w:szCs w:val="21"/>
              </w:rPr>
              <w:t>在线分析仪</w:t>
            </w:r>
          </w:p>
        </w:tc>
        <w:tc>
          <w:tcPr>
            <w:tcW w:w="1187" w:type="dxa"/>
            <w:vAlign w:val="center"/>
          </w:tcPr>
          <w:p>
            <w:pPr>
              <w:tabs>
                <w:tab w:val="left" w:pos="860"/>
              </w:tabs>
              <w:jc w:val="cente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78"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水温</w:t>
            </w:r>
          </w:p>
        </w:tc>
        <w:tc>
          <w:tcPr>
            <w:tcW w:w="2383" w:type="dxa"/>
            <w:vAlign w:val="center"/>
          </w:tcPr>
          <w:p>
            <w:pPr>
              <w:pStyle w:val="6"/>
              <w:pBdr>
                <w:bottom w:val="none" w:color="auto" w:sz="0" w:space="0"/>
              </w:pBdr>
              <w:tabs>
                <w:tab w:val="left" w:pos="860"/>
                <w:tab w:val="clear" w:pos="4153"/>
                <w:tab w:val="clear" w:pos="8306"/>
              </w:tabs>
              <w:snapToGrid/>
              <w:rPr>
                <w:rFonts w:hint="default" w:ascii="Times New Roman" w:hAnsi="Times New Roman" w:cs="Times New Roman"/>
                <w:sz w:val="21"/>
                <w:szCs w:val="21"/>
              </w:rPr>
            </w:pPr>
            <w:r>
              <w:rPr>
                <w:rFonts w:hint="default" w:ascii="Times New Roman" w:hAnsi="Times New Roman" w:cs="Times New Roman"/>
                <w:sz w:val="21"/>
                <w:szCs w:val="21"/>
              </w:rPr>
              <w:t>水温计法</w:t>
            </w:r>
          </w:p>
        </w:tc>
        <w:tc>
          <w:tcPr>
            <w:tcW w:w="1933" w:type="dxa"/>
            <w:vAlign w:val="center"/>
          </w:tcPr>
          <w:p>
            <w:pPr>
              <w:pStyle w:val="6"/>
              <w:pBdr>
                <w:bottom w:val="none" w:color="auto" w:sz="0" w:space="0"/>
              </w:pBdr>
              <w:tabs>
                <w:tab w:val="left" w:pos="860"/>
                <w:tab w:val="clear" w:pos="4153"/>
                <w:tab w:val="clear" w:pos="8306"/>
              </w:tabs>
              <w:snapToGrid/>
              <w:rPr>
                <w:rFonts w:hint="default" w:ascii="Times New Roman" w:hAnsi="Times New Roman" w:cs="Times New Roman"/>
                <w:sz w:val="21"/>
                <w:szCs w:val="21"/>
              </w:rPr>
            </w:pPr>
            <w:r>
              <w:rPr>
                <w:rFonts w:hint="default" w:ascii="Times New Roman" w:hAnsi="Times New Roman" w:cs="Times New Roman"/>
                <w:sz w:val="21"/>
                <w:szCs w:val="21"/>
              </w:rPr>
              <w:t>GB 13195-91</w:t>
            </w:r>
          </w:p>
        </w:tc>
        <w:tc>
          <w:tcPr>
            <w:tcW w:w="1545" w:type="dxa"/>
            <w:vAlign w:val="center"/>
          </w:tcPr>
          <w:p>
            <w:pPr>
              <w:pStyle w:val="6"/>
              <w:pBdr>
                <w:bottom w:val="none" w:color="auto" w:sz="0" w:space="0"/>
              </w:pBdr>
              <w:tabs>
                <w:tab w:val="left" w:pos="860"/>
                <w:tab w:val="clear" w:pos="4153"/>
                <w:tab w:val="clear" w:pos="8306"/>
              </w:tabs>
              <w:snapToGrid/>
              <w:rPr>
                <w:rFonts w:hint="default" w:ascii="Times New Roman" w:hAnsi="Times New Roman" w:cs="Times New Roman"/>
                <w:sz w:val="21"/>
                <w:szCs w:val="21"/>
              </w:rPr>
            </w:pPr>
            <w:r>
              <w:rPr>
                <w:rFonts w:hint="default" w:ascii="Times New Roman" w:hAnsi="Times New Roman" w:cs="Times New Roman"/>
                <w:sz w:val="21"/>
                <w:szCs w:val="21"/>
              </w:rPr>
              <w:t>水温计</w:t>
            </w:r>
          </w:p>
        </w:tc>
        <w:tc>
          <w:tcPr>
            <w:tcW w:w="1187" w:type="dxa"/>
            <w:vMerge w:val="restart"/>
            <w:vAlign w:val="center"/>
          </w:tcPr>
          <w:p>
            <w:pPr>
              <w:pStyle w:val="6"/>
              <w:pBdr>
                <w:bottom w:val="none" w:color="auto" w:sz="0" w:space="0"/>
              </w:pBdr>
              <w:tabs>
                <w:tab w:val="left" w:pos="860"/>
                <w:tab w:val="clear" w:pos="4153"/>
                <w:tab w:val="clear" w:pos="8306"/>
              </w:tabs>
              <w:snapToGrid/>
              <w:rPr>
                <w:rFonts w:hint="default" w:ascii="Times New Roman" w:hAnsi="Times New Roman" w:cs="Times New Roman"/>
                <w:sz w:val="21"/>
                <w:szCs w:val="21"/>
              </w:rPr>
            </w:pPr>
            <w:r>
              <w:rPr>
                <w:rFonts w:hint="default" w:ascii="Times New Roman" w:hAnsi="Times New Roman" w:cs="Times New Roman"/>
                <w:sz w:val="21"/>
                <w:szCs w:val="21"/>
              </w:rPr>
              <w:t>2017.7.1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78"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生化需氧量</w:t>
            </w:r>
          </w:p>
        </w:tc>
        <w:tc>
          <w:tcPr>
            <w:tcW w:w="2383" w:type="dxa"/>
            <w:vAlign w:val="center"/>
          </w:tcPr>
          <w:p>
            <w:pPr>
              <w:jc w:val="center"/>
              <w:rPr>
                <w:rFonts w:hint="default" w:ascii="Times New Roman" w:hAnsi="Times New Roman" w:cs="Times New Roman"/>
              </w:rPr>
            </w:pPr>
            <w:r>
              <w:rPr>
                <w:rFonts w:hint="default" w:ascii="Times New Roman" w:hAnsi="Times New Roman" w:cs="Times New Roman"/>
              </w:rPr>
              <w:t>稀释接种法</w:t>
            </w:r>
          </w:p>
        </w:tc>
        <w:tc>
          <w:tcPr>
            <w:tcW w:w="1933" w:type="dxa"/>
            <w:vAlign w:val="center"/>
          </w:tcPr>
          <w:p>
            <w:pPr>
              <w:jc w:val="center"/>
              <w:rPr>
                <w:rFonts w:hint="default" w:ascii="Times New Roman" w:hAnsi="Times New Roman" w:cs="Times New Roman"/>
              </w:rPr>
            </w:pPr>
            <w:r>
              <w:rPr>
                <w:rFonts w:hint="default" w:ascii="Times New Roman" w:hAnsi="Times New Roman" w:cs="Times New Roman"/>
              </w:rPr>
              <w:t>HJ502.2009</w:t>
            </w:r>
          </w:p>
        </w:tc>
        <w:tc>
          <w:tcPr>
            <w:tcW w:w="1545" w:type="dxa"/>
            <w:vAlign w:val="center"/>
          </w:tcPr>
          <w:p>
            <w:pPr>
              <w:jc w:val="center"/>
              <w:rPr>
                <w:rFonts w:hint="default" w:ascii="Times New Roman" w:hAnsi="Times New Roman" w:cs="Times New Roman"/>
              </w:rPr>
            </w:pPr>
            <w:r>
              <w:rPr>
                <w:rFonts w:hint="default" w:ascii="Times New Roman" w:hAnsi="Times New Roman" w:cs="Times New Roman"/>
              </w:rPr>
              <w:t>生化培养箱</w:t>
            </w:r>
          </w:p>
        </w:tc>
        <w:tc>
          <w:tcPr>
            <w:tcW w:w="1187" w:type="dxa"/>
            <w:vMerge w:val="continue"/>
            <w:vAlign w:val="center"/>
          </w:tcPr>
          <w:p>
            <w:pPr>
              <w:ind w:firstLine="420"/>
              <w:jc w:val="center"/>
              <w:rPr>
                <w:rFonts w:hint="default" w:ascii="Times New Roman" w:hAnsi="Times New Roman" w:cs="Times New Roma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78"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悬浮物</w:t>
            </w:r>
          </w:p>
        </w:tc>
        <w:tc>
          <w:tcPr>
            <w:tcW w:w="2383" w:type="dxa"/>
            <w:vAlign w:val="center"/>
          </w:tcPr>
          <w:p>
            <w:pPr>
              <w:jc w:val="center"/>
              <w:rPr>
                <w:rFonts w:hint="default" w:ascii="Times New Roman" w:hAnsi="Times New Roman" w:cs="Times New Roman"/>
              </w:rPr>
            </w:pPr>
            <w:r>
              <w:rPr>
                <w:rFonts w:hint="default" w:ascii="Times New Roman" w:hAnsi="Times New Roman" w:cs="Times New Roman"/>
              </w:rPr>
              <w:t>重量法</w:t>
            </w:r>
          </w:p>
        </w:tc>
        <w:tc>
          <w:tcPr>
            <w:tcW w:w="1933" w:type="dxa"/>
            <w:vAlign w:val="center"/>
          </w:tcPr>
          <w:p>
            <w:pPr>
              <w:jc w:val="center"/>
              <w:rPr>
                <w:rFonts w:hint="default" w:ascii="Times New Roman" w:hAnsi="Times New Roman" w:cs="Times New Roman"/>
              </w:rPr>
            </w:pPr>
            <w:r>
              <w:rPr>
                <w:rFonts w:hint="default" w:ascii="Times New Roman" w:hAnsi="Times New Roman" w:cs="Times New Roman"/>
              </w:rPr>
              <w:t>GB11901.1989</w:t>
            </w:r>
          </w:p>
        </w:tc>
        <w:tc>
          <w:tcPr>
            <w:tcW w:w="1545" w:type="dxa"/>
            <w:vAlign w:val="center"/>
          </w:tcPr>
          <w:p>
            <w:pPr>
              <w:jc w:val="center"/>
              <w:rPr>
                <w:rFonts w:hint="default" w:ascii="Times New Roman" w:hAnsi="Times New Roman" w:cs="Times New Roman"/>
              </w:rPr>
            </w:pPr>
            <w:r>
              <w:rPr>
                <w:rFonts w:hint="default" w:ascii="Times New Roman" w:hAnsi="Times New Roman" w:cs="Times New Roman"/>
                <w:spacing w:val="-20"/>
              </w:rPr>
              <w:t>FA-2104B型</w:t>
            </w:r>
          </w:p>
        </w:tc>
        <w:tc>
          <w:tcPr>
            <w:tcW w:w="1187" w:type="dxa"/>
            <w:vAlign w:val="center"/>
          </w:tcPr>
          <w:p>
            <w:pPr>
              <w:rPr>
                <w:rFonts w:hint="default" w:ascii="Times New Roman" w:hAnsi="Times New Roman" w:cs="Times New Roman"/>
              </w:rPr>
            </w:pPr>
            <w:r>
              <w:rPr>
                <w:rFonts w:hint="default" w:ascii="Times New Roman" w:hAnsi="Times New Roman" w:cs="Times New Roman"/>
              </w:rPr>
              <w:t>2017.1.6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78"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氨氮</w:t>
            </w:r>
          </w:p>
        </w:tc>
        <w:tc>
          <w:tcPr>
            <w:tcW w:w="2383" w:type="dxa"/>
            <w:vAlign w:val="center"/>
          </w:tcPr>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纳氏试剂比色法</w:t>
            </w:r>
          </w:p>
        </w:tc>
        <w:tc>
          <w:tcPr>
            <w:tcW w:w="1933" w:type="dxa"/>
            <w:vAlign w:val="center"/>
          </w:tcPr>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HJ/T101--2003</w:t>
            </w:r>
          </w:p>
        </w:tc>
        <w:tc>
          <w:tcPr>
            <w:tcW w:w="1545" w:type="dxa"/>
            <w:vAlign w:val="center"/>
          </w:tcPr>
          <w:p>
            <w:pPr>
              <w:pStyle w:val="19"/>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可见光度计</w:t>
            </w:r>
          </w:p>
        </w:tc>
        <w:tc>
          <w:tcPr>
            <w:tcW w:w="1187" w:type="dxa"/>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2017.1.6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78"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化学需氧量</w:t>
            </w:r>
          </w:p>
        </w:tc>
        <w:tc>
          <w:tcPr>
            <w:tcW w:w="2383" w:type="dxa"/>
            <w:vAlign w:val="center"/>
          </w:tcPr>
          <w:p>
            <w:pPr>
              <w:pStyle w:val="19"/>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重铬酸钾氧化分光光度法</w:t>
            </w:r>
          </w:p>
        </w:tc>
        <w:tc>
          <w:tcPr>
            <w:tcW w:w="1933" w:type="dxa"/>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HJ/T377--2007</w:t>
            </w:r>
          </w:p>
        </w:tc>
        <w:tc>
          <w:tcPr>
            <w:tcW w:w="1545" w:type="dxa"/>
            <w:vAlign w:val="center"/>
          </w:tcPr>
          <w:p>
            <w:pPr>
              <w:pStyle w:val="19"/>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可见光度计</w:t>
            </w:r>
          </w:p>
        </w:tc>
        <w:tc>
          <w:tcPr>
            <w:tcW w:w="1187" w:type="dxa"/>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2017.1.6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78" w:type="dxa"/>
            <w:vAlign w:val="center"/>
          </w:tcPr>
          <w:p>
            <w:pPr>
              <w:tabs>
                <w:tab w:val="left" w:pos="860"/>
              </w:tabs>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硫化物</w:t>
            </w:r>
          </w:p>
        </w:tc>
        <w:tc>
          <w:tcPr>
            <w:tcW w:w="2383" w:type="dxa"/>
            <w:vAlign w:val="center"/>
          </w:tcPr>
          <w:p>
            <w:pPr>
              <w:pStyle w:val="19"/>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亚甲蓝光度法</w:t>
            </w:r>
          </w:p>
        </w:tc>
        <w:tc>
          <w:tcPr>
            <w:tcW w:w="1933" w:type="dxa"/>
            <w:vAlign w:val="center"/>
          </w:tcPr>
          <w:p>
            <w:pPr>
              <w:pStyle w:val="19"/>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GB/T 16489-1996</w:t>
            </w:r>
          </w:p>
        </w:tc>
        <w:tc>
          <w:tcPr>
            <w:tcW w:w="1545" w:type="dxa"/>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可见光度计</w:t>
            </w:r>
          </w:p>
        </w:tc>
        <w:tc>
          <w:tcPr>
            <w:tcW w:w="1187" w:type="dxa"/>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2017.1.6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678" w:type="dxa"/>
            <w:vAlign w:val="center"/>
          </w:tcPr>
          <w:p>
            <w:pPr>
              <w:tabs>
                <w:tab w:val="left" w:pos="860"/>
              </w:tabs>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氰化物</w:t>
            </w:r>
          </w:p>
        </w:tc>
        <w:tc>
          <w:tcPr>
            <w:tcW w:w="2383" w:type="dxa"/>
            <w:vAlign w:val="center"/>
          </w:tcPr>
          <w:p>
            <w:pPr>
              <w:pStyle w:val="19"/>
              <w:spacing w:line="24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异烟酸</w:t>
            </w:r>
            <w:r>
              <w:rPr>
                <w:rFonts w:hint="default" w:ascii="Times New Roman" w:hAnsi="Times New Roman" w:cs="Times New Roman"/>
                <w:sz w:val="21"/>
                <w:szCs w:val="21"/>
                <w:lang w:val="en-US" w:eastAsia="zh-CN"/>
              </w:rPr>
              <w:t>-吡唑啉酮光度法</w:t>
            </w:r>
          </w:p>
        </w:tc>
        <w:tc>
          <w:tcPr>
            <w:tcW w:w="1933" w:type="dxa"/>
            <w:vAlign w:val="center"/>
          </w:tcPr>
          <w:p>
            <w:pPr>
              <w:pStyle w:val="19"/>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HJ 484-2009</w:t>
            </w:r>
          </w:p>
        </w:tc>
        <w:tc>
          <w:tcPr>
            <w:tcW w:w="1545" w:type="dxa"/>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可见光度计</w:t>
            </w:r>
          </w:p>
        </w:tc>
        <w:tc>
          <w:tcPr>
            <w:tcW w:w="1187" w:type="dxa"/>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2017.1.6</w:t>
            </w:r>
          </w:p>
        </w:tc>
      </w:tr>
    </w:tbl>
    <w:p>
      <w:pPr>
        <w:pStyle w:val="19"/>
        <w:spacing w:line="360" w:lineRule="auto"/>
        <w:rPr>
          <w:rFonts w:hint="default" w:ascii="Times New Roman" w:hAnsi="Times New Roman" w:cs="Times New Roman" w:eastAsiaTheme="minorEastAsia"/>
          <w:b/>
          <w:sz w:val="28"/>
          <w:szCs w:val="28"/>
        </w:rPr>
      </w:pPr>
    </w:p>
    <w:p>
      <w:pPr>
        <w:pStyle w:val="19"/>
        <w:spacing w:line="360" w:lineRule="auto"/>
        <w:rPr>
          <w:rFonts w:hint="default" w:ascii="Times New Roman" w:hAnsi="Times New Roman" w:cs="Times New Roman" w:eastAsiaTheme="minorEastAsia"/>
          <w:b/>
          <w:sz w:val="28"/>
          <w:szCs w:val="28"/>
        </w:rPr>
      </w:pPr>
      <w:r>
        <w:rPr>
          <w:rFonts w:hint="default" w:ascii="Times New Roman" w:hAnsi="Times New Roman" w:cs="Times New Roman" w:eastAsiaTheme="minorEastAsia"/>
          <w:b/>
          <w:sz w:val="28"/>
          <w:szCs w:val="28"/>
        </w:rPr>
        <w:t>4.3废气监测点位、项目及频次</w:t>
      </w:r>
    </w:p>
    <w:p>
      <w:pPr>
        <w:tabs>
          <w:tab w:val="left" w:pos="3218"/>
        </w:tabs>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废气监测点位、项目、频次及开展监测方式见表4-3。</w:t>
      </w:r>
    </w:p>
    <w:p>
      <w:pPr>
        <w:spacing w:line="360" w:lineRule="auto"/>
        <w:ind w:firstLine="118" w:firstLineChars="49"/>
        <w:jc w:val="center"/>
        <w:rPr>
          <w:rFonts w:hint="default" w:ascii="Times New Roman" w:hAnsi="Times New Roman" w:cs="Times New Roman"/>
          <w:b/>
          <w:bCs/>
          <w:position w:val="6"/>
          <w:sz w:val="24"/>
          <w:szCs w:val="24"/>
        </w:rPr>
      </w:pPr>
      <w:r>
        <w:rPr>
          <w:rFonts w:hint="default" w:ascii="Times New Roman" w:hAnsi="Times New Roman" w:cs="Times New Roman"/>
          <w:b/>
          <w:bCs/>
          <w:position w:val="6"/>
          <w:sz w:val="24"/>
          <w:szCs w:val="24"/>
        </w:rPr>
        <w:t>表4-3     废气监测点位、项目、频次及开展监测方式</w:t>
      </w:r>
    </w:p>
    <w:tbl>
      <w:tblPr>
        <w:tblStyle w:val="8"/>
        <w:tblW w:w="932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208"/>
        <w:gridCol w:w="977"/>
        <w:gridCol w:w="745"/>
        <w:gridCol w:w="804"/>
        <w:gridCol w:w="2004"/>
        <w:gridCol w:w="1374"/>
        <w:gridCol w:w="16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1767" w:type="dxa"/>
            <w:gridSpan w:val="2"/>
            <w:vAlign w:val="center"/>
          </w:tcPr>
          <w:p>
            <w:pPr>
              <w:tabs>
                <w:tab w:val="left" w:pos="860"/>
              </w:tabs>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污染源</w:t>
            </w:r>
          </w:p>
        </w:tc>
        <w:tc>
          <w:tcPr>
            <w:tcW w:w="977" w:type="dxa"/>
            <w:vAlign w:val="center"/>
          </w:tcPr>
          <w:p>
            <w:pPr>
              <w:tabs>
                <w:tab w:val="left" w:pos="860"/>
              </w:tabs>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治理设施</w:t>
            </w:r>
          </w:p>
        </w:tc>
        <w:tc>
          <w:tcPr>
            <w:tcW w:w="745" w:type="dxa"/>
            <w:vAlign w:val="center"/>
          </w:tcPr>
          <w:p>
            <w:pPr>
              <w:tabs>
                <w:tab w:val="left" w:pos="860"/>
              </w:tabs>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监测点位</w:t>
            </w:r>
          </w:p>
        </w:tc>
        <w:tc>
          <w:tcPr>
            <w:tcW w:w="804" w:type="dxa"/>
            <w:vAlign w:val="center"/>
          </w:tcPr>
          <w:p>
            <w:pPr>
              <w:tabs>
                <w:tab w:val="left" w:pos="860"/>
              </w:tabs>
              <w:jc w:val="center"/>
              <w:rPr>
                <w:rFonts w:hint="default" w:ascii="Times New Roman" w:hAnsi="Times New Roman" w:cs="Times New Roman"/>
                <w:b/>
                <w:bCs/>
                <w:color w:val="FF0000"/>
                <w:spacing w:val="20"/>
              </w:rPr>
            </w:pPr>
            <w:r>
              <w:rPr>
                <w:rFonts w:hint="default" w:ascii="Times New Roman" w:hAnsi="Times New Roman" w:cs="Times New Roman"/>
                <w:b/>
                <w:bCs/>
                <w:color w:val="000000" w:themeColor="text1"/>
                <w:spacing w:val="20"/>
                <w14:textFill>
                  <w14:solidFill>
                    <w14:schemeClr w14:val="tx1"/>
                  </w14:solidFill>
                </w14:textFill>
              </w:rPr>
              <w:t>点位</w:t>
            </w:r>
            <w:r>
              <w:rPr>
                <w:rFonts w:hint="default" w:ascii="Times New Roman" w:hAnsi="Times New Roman" w:cs="Times New Roman"/>
                <w:b/>
                <w:bCs/>
                <w:color w:val="000000" w:themeColor="text1"/>
                <w:spacing w:val="20"/>
                <w:lang w:eastAsia="zh-CN"/>
                <w14:textFill>
                  <w14:solidFill>
                    <w14:schemeClr w14:val="tx1"/>
                  </w14:solidFill>
                </w14:textFill>
              </w:rPr>
              <w:t>数</w:t>
            </w:r>
          </w:p>
        </w:tc>
        <w:tc>
          <w:tcPr>
            <w:tcW w:w="2004" w:type="dxa"/>
            <w:vAlign w:val="center"/>
          </w:tcPr>
          <w:p>
            <w:pPr>
              <w:tabs>
                <w:tab w:val="left" w:pos="860"/>
              </w:tabs>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pacing w:val="20"/>
                <w14:textFill>
                  <w14:solidFill>
                    <w14:schemeClr w14:val="tx1"/>
                  </w14:solidFill>
                </w14:textFill>
              </w:rPr>
              <w:t>监测项目</w:t>
            </w:r>
          </w:p>
        </w:tc>
        <w:tc>
          <w:tcPr>
            <w:tcW w:w="1374" w:type="dxa"/>
            <w:vAlign w:val="center"/>
          </w:tcPr>
          <w:p>
            <w:pPr>
              <w:tabs>
                <w:tab w:val="left" w:pos="860"/>
              </w:tabs>
              <w:jc w:val="center"/>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14:textFill>
                  <w14:solidFill>
                    <w14:schemeClr w14:val="tx1"/>
                  </w14:solidFill>
                </w14:textFill>
              </w:rPr>
              <w:t>监测频次</w:t>
            </w:r>
          </w:p>
        </w:tc>
        <w:tc>
          <w:tcPr>
            <w:tcW w:w="1649" w:type="dxa"/>
            <w:vAlign w:val="center"/>
          </w:tcPr>
          <w:p>
            <w:pPr>
              <w:tabs>
                <w:tab w:val="left" w:pos="860"/>
              </w:tabs>
              <w:jc w:val="center"/>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14:textFill>
                  <w14:solidFill>
                    <w14:schemeClr w14:val="tx1"/>
                  </w14:solidFill>
                </w14:textFill>
              </w:rPr>
              <w:t>监测方式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7671" w:type="dxa"/>
            <w:gridSpan w:val="7"/>
            <w:vAlign w:val="center"/>
          </w:tcPr>
          <w:p>
            <w:pPr>
              <w:tabs>
                <w:tab w:val="left" w:pos="860"/>
              </w:tabs>
              <w:jc w:val="center"/>
              <w:rPr>
                <w:rFonts w:hint="default" w:ascii="Times New Roman" w:hAnsi="Times New Roman" w:cs="Times New Roman"/>
                <w:b/>
                <w:bCs/>
                <w:spacing w:val="20"/>
              </w:rPr>
            </w:pPr>
            <w:r>
              <w:rPr>
                <w:rFonts w:hint="default" w:ascii="Times New Roman" w:hAnsi="Times New Roman" w:cs="Times New Roman"/>
                <w:b/>
                <w:bCs/>
                <w:spacing w:val="20"/>
              </w:rPr>
              <w:t>有组织废气</w:t>
            </w:r>
          </w:p>
        </w:tc>
        <w:tc>
          <w:tcPr>
            <w:tcW w:w="1649" w:type="dxa"/>
            <w:vAlign w:val="center"/>
          </w:tcPr>
          <w:p>
            <w:pPr>
              <w:tabs>
                <w:tab w:val="left" w:pos="860"/>
              </w:tabs>
              <w:jc w:val="center"/>
              <w:rPr>
                <w:rFonts w:hint="default" w:ascii="Times New Roman" w:hAnsi="Times New Roman" w:cs="Times New Roman"/>
                <w:b/>
                <w:bCs/>
                <w:spacing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559" w:type="dxa"/>
            <w:vMerge w:val="restart"/>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一单元</w:t>
            </w:r>
          </w:p>
        </w:tc>
        <w:tc>
          <w:tcPr>
            <w:tcW w:w="120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熔硫废气</w:t>
            </w:r>
          </w:p>
        </w:tc>
        <w:tc>
          <w:tcPr>
            <w:tcW w:w="977"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冷凝回收</w:t>
            </w:r>
          </w:p>
        </w:tc>
        <w:tc>
          <w:tcPr>
            <w:tcW w:w="745"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出口</w:t>
            </w:r>
          </w:p>
        </w:tc>
        <w:tc>
          <w:tcPr>
            <w:tcW w:w="804"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1</w:t>
            </w:r>
          </w:p>
        </w:tc>
        <w:tc>
          <w:tcPr>
            <w:tcW w:w="2004"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颗粒物排放浓度及排放速率、臭气浓度</w:t>
            </w:r>
          </w:p>
        </w:tc>
        <w:tc>
          <w:tcPr>
            <w:tcW w:w="1374"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每半年监测1次，每次3个频次</w:t>
            </w:r>
          </w:p>
        </w:tc>
        <w:tc>
          <w:tcPr>
            <w:tcW w:w="1649"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委托宁夏中科精科检测技术有限公司监测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559" w:type="dxa"/>
            <w:vMerge w:val="continue"/>
            <w:vAlign w:val="center"/>
          </w:tcPr>
          <w:p>
            <w:pPr>
              <w:tabs>
                <w:tab w:val="left" w:pos="860"/>
              </w:tabs>
              <w:jc w:val="center"/>
              <w:rPr>
                <w:rFonts w:hint="default" w:ascii="Times New Roman" w:hAnsi="Times New Roman" w:cs="Times New Roman"/>
              </w:rPr>
            </w:pPr>
          </w:p>
        </w:tc>
        <w:tc>
          <w:tcPr>
            <w:tcW w:w="1208" w:type="dxa"/>
            <w:vMerge w:val="restart"/>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克劳斯尾气</w:t>
            </w:r>
          </w:p>
        </w:tc>
        <w:tc>
          <w:tcPr>
            <w:tcW w:w="977" w:type="dxa"/>
            <w:vMerge w:val="restart"/>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氨法脱硫</w:t>
            </w:r>
          </w:p>
        </w:tc>
        <w:tc>
          <w:tcPr>
            <w:tcW w:w="745" w:type="dxa"/>
            <w:vMerge w:val="restart"/>
            <w:vAlign w:val="center"/>
          </w:tcPr>
          <w:p>
            <w:pPr>
              <w:jc w:val="center"/>
              <w:rPr>
                <w:rFonts w:hint="default" w:ascii="Times New Roman" w:hAnsi="Times New Roman" w:cs="Times New Roman"/>
              </w:rPr>
            </w:pPr>
            <w:r>
              <w:rPr>
                <w:rFonts w:hint="default" w:ascii="Times New Roman" w:hAnsi="Times New Roman" w:cs="Times New Roman"/>
              </w:rPr>
              <w:t>出口</w:t>
            </w:r>
          </w:p>
        </w:tc>
        <w:tc>
          <w:tcPr>
            <w:tcW w:w="804" w:type="dxa"/>
            <w:vMerge w:val="restart"/>
            <w:vAlign w:val="center"/>
          </w:tcPr>
          <w:p>
            <w:pPr>
              <w:jc w:val="center"/>
              <w:rPr>
                <w:rFonts w:hint="default" w:ascii="Times New Roman" w:hAnsi="Times New Roman" w:cs="Times New Roman"/>
              </w:rPr>
            </w:pPr>
            <w:r>
              <w:rPr>
                <w:rFonts w:hint="default" w:ascii="Times New Roman" w:hAnsi="Times New Roman" w:cs="Times New Roman"/>
              </w:rPr>
              <w:t>1</w:t>
            </w:r>
          </w:p>
        </w:tc>
        <w:tc>
          <w:tcPr>
            <w:tcW w:w="2004" w:type="dxa"/>
            <w:vAlign w:val="center"/>
          </w:tcPr>
          <w:p>
            <w:pPr>
              <w:jc w:val="center"/>
              <w:rPr>
                <w:rFonts w:hint="default" w:ascii="Times New Roman" w:hAnsi="Times New Roman" w:cs="Times New Roman"/>
              </w:rPr>
            </w:pPr>
            <w:r>
              <w:rPr>
                <w:rFonts w:hint="default" w:ascii="Times New Roman" w:hAnsi="Times New Roman" w:cs="Times New Roman"/>
              </w:rPr>
              <w:t>颗粒物、二氧化硫、氮氧化物</w:t>
            </w:r>
          </w:p>
        </w:tc>
        <w:tc>
          <w:tcPr>
            <w:tcW w:w="1374" w:type="dxa"/>
            <w:vAlign w:val="center"/>
          </w:tcPr>
          <w:p>
            <w:pPr>
              <w:jc w:val="center"/>
              <w:rPr>
                <w:rFonts w:hint="default" w:ascii="Times New Roman" w:hAnsi="Times New Roman" w:cs="Times New Roman"/>
              </w:rPr>
            </w:pPr>
            <w:r>
              <w:rPr>
                <w:rFonts w:hint="default" w:ascii="Times New Roman" w:hAnsi="Times New Roman" w:cs="Times New Roman"/>
              </w:rPr>
              <w:t>连续监测</w:t>
            </w:r>
          </w:p>
        </w:tc>
        <w:tc>
          <w:tcPr>
            <w:tcW w:w="1649" w:type="dxa"/>
            <w:vAlign w:val="center"/>
          </w:tcPr>
          <w:p>
            <w:pPr>
              <w:jc w:val="center"/>
              <w:rPr>
                <w:rFonts w:hint="default" w:ascii="Times New Roman" w:hAnsi="Times New Roman" w:cs="Times New Roman"/>
              </w:rPr>
            </w:pPr>
            <w:r>
              <w:rPr>
                <w:rFonts w:hint="default" w:ascii="Times New Roman" w:hAnsi="Times New Roman" w:cs="Times New Roman"/>
              </w:rPr>
              <w:t>安装在线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559" w:type="dxa"/>
            <w:vMerge w:val="continue"/>
            <w:vAlign w:val="center"/>
          </w:tcPr>
          <w:p>
            <w:pPr>
              <w:tabs>
                <w:tab w:val="left" w:pos="860"/>
              </w:tabs>
              <w:jc w:val="center"/>
              <w:rPr>
                <w:rFonts w:hint="default" w:ascii="Times New Roman" w:hAnsi="Times New Roman" w:cs="Times New Roman"/>
              </w:rPr>
            </w:pPr>
          </w:p>
        </w:tc>
        <w:tc>
          <w:tcPr>
            <w:tcW w:w="1208" w:type="dxa"/>
            <w:vMerge w:val="continue"/>
            <w:vAlign w:val="center"/>
          </w:tcPr>
          <w:p>
            <w:pPr>
              <w:tabs>
                <w:tab w:val="left" w:pos="860"/>
              </w:tabs>
              <w:jc w:val="center"/>
              <w:rPr>
                <w:rFonts w:hint="default" w:ascii="Times New Roman" w:hAnsi="Times New Roman" w:cs="Times New Roman"/>
              </w:rPr>
            </w:pPr>
          </w:p>
        </w:tc>
        <w:tc>
          <w:tcPr>
            <w:tcW w:w="977" w:type="dxa"/>
            <w:vMerge w:val="continue"/>
            <w:vAlign w:val="center"/>
          </w:tcPr>
          <w:p>
            <w:pPr>
              <w:tabs>
                <w:tab w:val="left" w:pos="860"/>
              </w:tabs>
              <w:jc w:val="center"/>
              <w:rPr>
                <w:rFonts w:hint="default" w:ascii="Times New Roman" w:hAnsi="Times New Roman" w:cs="Times New Roman"/>
              </w:rPr>
            </w:pPr>
          </w:p>
        </w:tc>
        <w:tc>
          <w:tcPr>
            <w:tcW w:w="745" w:type="dxa"/>
            <w:vMerge w:val="continue"/>
            <w:vAlign w:val="center"/>
          </w:tcPr>
          <w:p>
            <w:pPr>
              <w:jc w:val="center"/>
              <w:rPr>
                <w:rFonts w:hint="default" w:ascii="Times New Roman" w:hAnsi="Times New Roman" w:cs="Times New Roman"/>
              </w:rPr>
            </w:pPr>
          </w:p>
        </w:tc>
        <w:tc>
          <w:tcPr>
            <w:tcW w:w="804" w:type="dxa"/>
            <w:vMerge w:val="continue"/>
            <w:vAlign w:val="center"/>
          </w:tcPr>
          <w:p>
            <w:pPr>
              <w:jc w:val="center"/>
              <w:rPr>
                <w:rFonts w:hint="default" w:ascii="Times New Roman" w:hAnsi="Times New Roman" w:cs="Times New Roman"/>
              </w:rPr>
            </w:pPr>
          </w:p>
        </w:tc>
        <w:tc>
          <w:tcPr>
            <w:tcW w:w="2004" w:type="dxa"/>
            <w:vAlign w:val="center"/>
          </w:tcPr>
          <w:p>
            <w:pPr>
              <w:jc w:val="center"/>
              <w:rPr>
                <w:rFonts w:hint="default" w:ascii="Times New Roman" w:hAnsi="Times New Roman" w:cs="Times New Roman"/>
              </w:rPr>
            </w:pPr>
            <w:r>
              <w:rPr>
                <w:rFonts w:hint="default" w:ascii="Times New Roman" w:hAnsi="Times New Roman" w:cs="Times New Roman"/>
              </w:rPr>
              <w:t>硫化氢、氨排放浓度及排放速率</w:t>
            </w:r>
          </w:p>
        </w:tc>
        <w:tc>
          <w:tcPr>
            <w:tcW w:w="1374" w:type="dxa"/>
            <w:vMerge w:val="restart"/>
            <w:vAlign w:val="center"/>
          </w:tcPr>
          <w:p>
            <w:pPr>
              <w:jc w:val="center"/>
              <w:rPr>
                <w:rFonts w:hint="default" w:ascii="Times New Roman" w:hAnsi="Times New Roman" w:cs="Times New Roman"/>
              </w:rPr>
            </w:pPr>
            <w:r>
              <w:rPr>
                <w:rFonts w:hint="default" w:ascii="Times New Roman" w:hAnsi="Times New Roman" w:cs="Times New Roman"/>
              </w:rPr>
              <w:t>每半年监测1次，每次3个频次</w:t>
            </w:r>
          </w:p>
        </w:tc>
        <w:tc>
          <w:tcPr>
            <w:tcW w:w="1649" w:type="dxa"/>
            <w:vMerge w:val="restart"/>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委托宁夏中科精科检测技术有限公司监测</w:t>
            </w:r>
          </w:p>
          <w:p>
            <w:pPr>
              <w:tabs>
                <w:tab w:val="left" w:pos="860"/>
              </w:tabs>
              <w:jc w:val="center"/>
              <w:rPr>
                <w:rFonts w:hint="default" w:ascii="Times New Roman" w:hAnsi="Times New Roman" w:cs="Times New Roma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559" w:type="dxa"/>
            <w:vMerge w:val="continue"/>
            <w:vAlign w:val="center"/>
          </w:tcPr>
          <w:p>
            <w:pPr>
              <w:tabs>
                <w:tab w:val="left" w:pos="860"/>
              </w:tabs>
              <w:jc w:val="center"/>
              <w:rPr>
                <w:rFonts w:hint="default" w:ascii="Times New Roman" w:hAnsi="Times New Roman" w:cs="Times New Roman"/>
              </w:rPr>
            </w:pPr>
          </w:p>
        </w:tc>
        <w:tc>
          <w:tcPr>
            <w:tcW w:w="120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加热炉废气</w:t>
            </w:r>
          </w:p>
        </w:tc>
        <w:tc>
          <w:tcPr>
            <w:tcW w:w="977"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排放口</w:t>
            </w:r>
          </w:p>
        </w:tc>
        <w:tc>
          <w:tcPr>
            <w:tcW w:w="745" w:type="dxa"/>
            <w:vAlign w:val="center"/>
          </w:tcPr>
          <w:p>
            <w:pPr>
              <w:jc w:val="center"/>
              <w:rPr>
                <w:rFonts w:hint="default" w:ascii="Times New Roman" w:hAnsi="Times New Roman" w:cs="Times New Roman"/>
              </w:rPr>
            </w:pPr>
            <w:r>
              <w:rPr>
                <w:rFonts w:hint="default" w:ascii="Times New Roman" w:hAnsi="Times New Roman" w:cs="Times New Roman"/>
              </w:rPr>
              <w:t>出口</w:t>
            </w:r>
          </w:p>
        </w:tc>
        <w:tc>
          <w:tcPr>
            <w:tcW w:w="804" w:type="dxa"/>
            <w:vAlign w:val="center"/>
          </w:tcPr>
          <w:p>
            <w:pPr>
              <w:jc w:val="center"/>
              <w:rPr>
                <w:rFonts w:hint="default" w:ascii="Times New Roman" w:hAnsi="Times New Roman" w:cs="Times New Roman"/>
              </w:rPr>
            </w:pPr>
            <w:r>
              <w:rPr>
                <w:rFonts w:hint="default" w:ascii="Times New Roman" w:hAnsi="Times New Roman" w:cs="Times New Roman"/>
              </w:rPr>
              <w:t>1</w:t>
            </w:r>
          </w:p>
        </w:tc>
        <w:tc>
          <w:tcPr>
            <w:tcW w:w="2004" w:type="dxa"/>
            <w:vAlign w:val="center"/>
          </w:tcPr>
          <w:p>
            <w:pPr>
              <w:jc w:val="center"/>
              <w:rPr>
                <w:rFonts w:hint="default" w:ascii="Times New Roman" w:hAnsi="Times New Roman" w:cs="Times New Roman"/>
              </w:rPr>
            </w:pPr>
            <w:r>
              <w:rPr>
                <w:rFonts w:hint="default" w:ascii="Times New Roman" w:hAnsi="Times New Roman" w:cs="Times New Roman"/>
              </w:rPr>
              <w:t>颗粒物、二氧化硫、氮氧化物排放浓度及排放速率</w:t>
            </w:r>
          </w:p>
        </w:tc>
        <w:tc>
          <w:tcPr>
            <w:tcW w:w="1374" w:type="dxa"/>
            <w:vMerge w:val="continue"/>
            <w:vAlign w:val="center"/>
          </w:tcPr>
          <w:p>
            <w:pPr>
              <w:jc w:val="center"/>
              <w:rPr>
                <w:rFonts w:hint="default" w:ascii="Times New Roman" w:hAnsi="Times New Roman" w:cs="Times New Roman"/>
              </w:rPr>
            </w:pPr>
          </w:p>
        </w:tc>
        <w:tc>
          <w:tcPr>
            <w:tcW w:w="1649" w:type="dxa"/>
            <w:vMerge w:val="continue"/>
            <w:vAlign w:val="center"/>
          </w:tcPr>
          <w:p>
            <w:pPr>
              <w:jc w:val="center"/>
              <w:rPr>
                <w:rFonts w:hint="default" w:ascii="Times New Roman" w:hAnsi="Times New Roman" w:cs="Times New Roma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559"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三单元</w:t>
            </w:r>
          </w:p>
        </w:tc>
        <w:tc>
          <w:tcPr>
            <w:tcW w:w="120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硫化氢加热炉废气</w:t>
            </w:r>
          </w:p>
        </w:tc>
        <w:tc>
          <w:tcPr>
            <w:tcW w:w="977"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排放口</w:t>
            </w:r>
          </w:p>
        </w:tc>
        <w:tc>
          <w:tcPr>
            <w:tcW w:w="745" w:type="dxa"/>
            <w:vAlign w:val="center"/>
          </w:tcPr>
          <w:p>
            <w:pPr>
              <w:jc w:val="center"/>
              <w:rPr>
                <w:rFonts w:hint="default" w:ascii="Times New Roman" w:hAnsi="Times New Roman" w:cs="Times New Roman"/>
              </w:rPr>
            </w:pPr>
            <w:r>
              <w:rPr>
                <w:rFonts w:hint="default" w:ascii="Times New Roman" w:hAnsi="Times New Roman" w:cs="Times New Roman"/>
              </w:rPr>
              <w:t>出口</w:t>
            </w:r>
          </w:p>
        </w:tc>
        <w:tc>
          <w:tcPr>
            <w:tcW w:w="804" w:type="dxa"/>
            <w:vAlign w:val="center"/>
          </w:tcPr>
          <w:p>
            <w:pPr>
              <w:jc w:val="center"/>
              <w:rPr>
                <w:rFonts w:hint="default" w:ascii="Times New Roman" w:hAnsi="Times New Roman" w:cs="Times New Roman"/>
              </w:rPr>
            </w:pPr>
            <w:r>
              <w:rPr>
                <w:rFonts w:hint="default" w:ascii="Times New Roman" w:hAnsi="Times New Roman" w:cs="Times New Roman"/>
              </w:rPr>
              <w:t>1</w:t>
            </w:r>
          </w:p>
        </w:tc>
        <w:tc>
          <w:tcPr>
            <w:tcW w:w="2004" w:type="dxa"/>
            <w:vAlign w:val="center"/>
          </w:tcPr>
          <w:p>
            <w:pPr>
              <w:jc w:val="center"/>
              <w:rPr>
                <w:rFonts w:hint="default" w:ascii="Times New Roman" w:hAnsi="Times New Roman" w:cs="Times New Roman"/>
              </w:rPr>
            </w:pPr>
            <w:r>
              <w:rPr>
                <w:rFonts w:hint="default" w:ascii="Times New Roman" w:hAnsi="Times New Roman" w:cs="Times New Roman"/>
              </w:rPr>
              <w:t>颗粒物、二氧化硫、氮氧化物排放浓度及排放速率</w:t>
            </w:r>
          </w:p>
        </w:tc>
        <w:tc>
          <w:tcPr>
            <w:tcW w:w="1374" w:type="dxa"/>
            <w:vMerge w:val="continue"/>
            <w:vAlign w:val="center"/>
          </w:tcPr>
          <w:p>
            <w:pPr>
              <w:jc w:val="center"/>
              <w:rPr>
                <w:rFonts w:hint="default" w:ascii="Times New Roman" w:hAnsi="Times New Roman" w:cs="Times New Roman"/>
              </w:rPr>
            </w:pPr>
          </w:p>
        </w:tc>
        <w:tc>
          <w:tcPr>
            <w:tcW w:w="1649" w:type="dxa"/>
            <w:vMerge w:val="continue"/>
            <w:vAlign w:val="center"/>
          </w:tcPr>
          <w:p>
            <w:pPr>
              <w:jc w:val="center"/>
              <w:rPr>
                <w:rFonts w:hint="default" w:ascii="Times New Roman" w:hAnsi="Times New Roman" w:cs="Times New Roma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559" w:type="dxa"/>
            <w:vMerge w:val="restart"/>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八单元</w:t>
            </w:r>
          </w:p>
        </w:tc>
        <w:tc>
          <w:tcPr>
            <w:tcW w:w="120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氰化钠吸收塔尾气</w:t>
            </w:r>
          </w:p>
        </w:tc>
        <w:tc>
          <w:tcPr>
            <w:tcW w:w="977"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焚烧炉</w:t>
            </w:r>
          </w:p>
        </w:tc>
        <w:tc>
          <w:tcPr>
            <w:tcW w:w="745" w:type="dxa"/>
            <w:vAlign w:val="center"/>
          </w:tcPr>
          <w:p>
            <w:pPr>
              <w:jc w:val="center"/>
              <w:rPr>
                <w:rFonts w:hint="default" w:ascii="Times New Roman" w:hAnsi="Times New Roman" w:cs="Times New Roman"/>
              </w:rPr>
            </w:pPr>
            <w:r>
              <w:rPr>
                <w:rFonts w:hint="default" w:ascii="Times New Roman" w:hAnsi="Times New Roman" w:cs="Times New Roman"/>
              </w:rPr>
              <w:t>出口</w:t>
            </w:r>
          </w:p>
        </w:tc>
        <w:tc>
          <w:tcPr>
            <w:tcW w:w="804" w:type="dxa"/>
            <w:vAlign w:val="center"/>
          </w:tcPr>
          <w:p>
            <w:pPr>
              <w:jc w:val="center"/>
              <w:rPr>
                <w:rFonts w:hint="default" w:ascii="Times New Roman" w:hAnsi="Times New Roman" w:cs="Times New Roman"/>
              </w:rPr>
            </w:pPr>
            <w:r>
              <w:rPr>
                <w:rFonts w:hint="default" w:ascii="Times New Roman" w:hAnsi="Times New Roman" w:cs="Times New Roman"/>
              </w:rPr>
              <w:t>1</w:t>
            </w:r>
          </w:p>
        </w:tc>
        <w:tc>
          <w:tcPr>
            <w:tcW w:w="2004" w:type="dxa"/>
            <w:vAlign w:val="center"/>
          </w:tcPr>
          <w:p>
            <w:pPr>
              <w:jc w:val="center"/>
              <w:rPr>
                <w:rFonts w:hint="default" w:ascii="Times New Roman" w:hAnsi="Times New Roman" w:cs="Times New Roman"/>
              </w:rPr>
            </w:pPr>
            <w:r>
              <w:rPr>
                <w:rFonts w:hint="default" w:ascii="Times New Roman" w:hAnsi="Times New Roman" w:cs="Times New Roman"/>
              </w:rPr>
              <w:t>颗粒物、二氧化硫、氮氧化物、氰化氢排放浓度及排放速率</w:t>
            </w:r>
          </w:p>
        </w:tc>
        <w:tc>
          <w:tcPr>
            <w:tcW w:w="1374" w:type="dxa"/>
            <w:vMerge w:val="continue"/>
            <w:vAlign w:val="center"/>
          </w:tcPr>
          <w:p>
            <w:pPr>
              <w:jc w:val="center"/>
              <w:rPr>
                <w:rFonts w:hint="default" w:ascii="Times New Roman" w:hAnsi="Times New Roman" w:cs="Times New Roman"/>
              </w:rPr>
            </w:pPr>
          </w:p>
        </w:tc>
        <w:tc>
          <w:tcPr>
            <w:tcW w:w="1649" w:type="dxa"/>
            <w:vMerge w:val="continue"/>
            <w:vAlign w:val="center"/>
          </w:tcPr>
          <w:p>
            <w:pPr>
              <w:jc w:val="center"/>
              <w:rPr>
                <w:rFonts w:hint="default" w:ascii="Times New Roman" w:hAnsi="Times New Roman" w:cs="Times New Roma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559" w:type="dxa"/>
            <w:vMerge w:val="continue"/>
            <w:vAlign w:val="center"/>
          </w:tcPr>
          <w:p>
            <w:pPr>
              <w:tabs>
                <w:tab w:val="left" w:pos="860"/>
              </w:tabs>
              <w:jc w:val="center"/>
              <w:rPr>
                <w:rFonts w:hint="default" w:ascii="Times New Roman" w:hAnsi="Times New Roman" w:cs="Times New Roman"/>
              </w:rPr>
            </w:pPr>
          </w:p>
        </w:tc>
        <w:tc>
          <w:tcPr>
            <w:tcW w:w="120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硫铵干燥尾气</w:t>
            </w:r>
          </w:p>
        </w:tc>
        <w:tc>
          <w:tcPr>
            <w:tcW w:w="977"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喷淋</w:t>
            </w:r>
          </w:p>
        </w:tc>
        <w:tc>
          <w:tcPr>
            <w:tcW w:w="745" w:type="dxa"/>
            <w:vAlign w:val="center"/>
          </w:tcPr>
          <w:p>
            <w:pPr>
              <w:jc w:val="center"/>
              <w:rPr>
                <w:rFonts w:hint="default" w:ascii="Times New Roman" w:hAnsi="Times New Roman" w:cs="Times New Roman"/>
              </w:rPr>
            </w:pPr>
            <w:r>
              <w:rPr>
                <w:rFonts w:hint="default" w:ascii="Times New Roman" w:hAnsi="Times New Roman" w:cs="Times New Roman"/>
              </w:rPr>
              <w:t>出口</w:t>
            </w:r>
          </w:p>
        </w:tc>
        <w:tc>
          <w:tcPr>
            <w:tcW w:w="804" w:type="dxa"/>
            <w:vAlign w:val="center"/>
          </w:tcPr>
          <w:p>
            <w:pPr>
              <w:jc w:val="center"/>
              <w:rPr>
                <w:rFonts w:hint="default" w:ascii="Times New Roman" w:hAnsi="Times New Roman" w:cs="Times New Roman"/>
              </w:rPr>
            </w:pPr>
            <w:r>
              <w:rPr>
                <w:rFonts w:hint="default" w:ascii="Times New Roman" w:hAnsi="Times New Roman" w:cs="Times New Roman"/>
              </w:rPr>
              <w:t>1</w:t>
            </w:r>
          </w:p>
        </w:tc>
        <w:tc>
          <w:tcPr>
            <w:tcW w:w="2004" w:type="dxa"/>
            <w:vAlign w:val="center"/>
          </w:tcPr>
          <w:p>
            <w:pPr>
              <w:jc w:val="center"/>
              <w:rPr>
                <w:rFonts w:hint="default" w:ascii="Times New Roman" w:hAnsi="Times New Roman" w:cs="Times New Roman"/>
              </w:rPr>
            </w:pPr>
            <w:r>
              <w:rPr>
                <w:rFonts w:hint="default" w:ascii="Times New Roman" w:hAnsi="Times New Roman" w:cs="Times New Roman"/>
              </w:rPr>
              <w:t>颗粒物排放浓度及排放速率</w:t>
            </w:r>
          </w:p>
        </w:tc>
        <w:tc>
          <w:tcPr>
            <w:tcW w:w="1374" w:type="dxa"/>
            <w:vMerge w:val="continue"/>
            <w:vAlign w:val="center"/>
          </w:tcPr>
          <w:p>
            <w:pPr>
              <w:jc w:val="center"/>
              <w:rPr>
                <w:rFonts w:hint="default" w:ascii="Times New Roman" w:hAnsi="Times New Roman" w:cs="Times New Roman"/>
              </w:rPr>
            </w:pPr>
          </w:p>
        </w:tc>
        <w:tc>
          <w:tcPr>
            <w:tcW w:w="1649" w:type="dxa"/>
            <w:vMerge w:val="continue"/>
            <w:vAlign w:val="center"/>
          </w:tcPr>
          <w:p>
            <w:pPr>
              <w:jc w:val="center"/>
              <w:rPr>
                <w:rFonts w:hint="default" w:ascii="Times New Roman" w:hAnsi="Times New Roman" w:cs="Times New Roma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559" w:type="dxa"/>
            <w:vMerge w:val="restart"/>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九单元</w:t>
            </w:r>
          </w:p>
        </w:tc>
        <w:tc>
          <w:tcPr>
            <w:tcW w:w="1208" w:type="dxa"/>
            <w:vAlign w:val="center"/>
          </w:tcPr>
          <w:p>
            <w:pPr>
              <w:tabs>
                <w:tab w:val="left" w:pos="860"/>
              </w:tabs>
              <w:jc w:val="center"/>
              <w:rPr>
                <w:rFonts w:hint="default" w:ascii="Times New Roman" w:hAnsi="Times New Roman" w:cs="Times New Roman"/>
              </w:rPr>
            </w:pPr>
            <w:r>
              <w:rPr>
                <w:rFonts w:hint="eastAsia" w:cs="Times New Roman"/>
                <w:lang w:eastAsia="zh-CN"/>
              </w:rPr>
              <w:t>鳞</w:t>
            </w:r>
            <w:r>
              <w:rPr>
                <w:rFonts w:hint="default" w:ascii="Times New Roman" w:hAnsi="Times New Roman" w:cs="Times New Roman"/>
              </w:rPr>
              <w:t>板焚烧炉</w:t>
            </w:r>
          </w:p>
        </w:tc>
        <w:tc>
          <w:tcPr>
            <w:tcW w:w="977"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急冷塔+布袋除尘器</w:t>
            </w:r>
          </w:p>
        </w:tc>
        <w:tc>
          <w:tcPr>
            <w:tcW w:w="745" w:type="dxa"/>
            <w:vAlign w:val="center"/>
          </w:tcPr>
          <w:p>
            <w:pPr>
              <w:jc w:val="center"/>
              <w:rPr>
                <w:rFonts w:hint="default" w:ascii="Times New Roman" w:hAnsi="Times New Roman" w:cs="Times New Roman"/>
              </w:rPr>
            </w:pPr>
            <w:r>
              <w:rPr>
                <w:rFonts w:hint="default" w:ascii="Times New Roman" w:hAnsi="Times New Roman" w:cs="Times New Roman"/>
              </w:rPr>
              <w:t>出口</w:t>
            </w:r>
          </w:p>
        </w:tc>
        <w:tc>
          <w:tcPr>
            <w:tcW w:w="804" w:type="dxa"/>
            <w:vAlign w:val="center"/>
          </w:tcPr>
          <w:p>
            <w:pPr>
              <w:jc w:val="center"/>
              <w:rPr>
                <w:rFonts w:hint="default" w:ascii="Times New Roman" w:hAnsi="Times New Roman" w:cs="Times New Roman"/>
              </w:rPr>
            </w:pPr>
            <w:r>
              <w:rPr>
                <w:rFonts w:hint="default" w:ascii="Times New Roman" w:hAnsi="Times New Roman" w:cs="Times New Roman"/>
              </w:rPr>
              <w:t>1</w:t>
            </w:r>
          </w:p>
        </w:tc>
        <w:tc>
          <w:tcPr>
            <w:tcW w:w="2004" w:type="dxa"/>
            <w:vAlign w:val="center"/>
          </w:tcPr>
          <w:p>
            <w:pPr>
              <w:jc w:val="center"/>
              <w:rPr>
                <w:rFonts w:hint="default" w:ascii="Times New Roman" w:hAnsi="Times New Roman" w:cs="Times New Roman"/>
              </w:rPr>
            </w:pPr>
            <w:r>
              <w:rPr>
                <w:rFonts w:hint="default" w:ascii="Times New Roman" w:hAnsi="Times New Roman" w:cs="Times New Roman"/>
              </w:rPr>
              <w:t>颗粒物、二氧化硫、氮氧化物、氰化氢排放浓度及排放速率</w:t>
            </w:r>
          </w:p>
        </w:tc>
        <w:tc>
          <w:tcPr>
            <w:tcW w:w="1374" w:type="dxa"/>
            <w:vMerge w:val="continue"/>
            <w:vAlign w:val="center"/>
          </w:tcPr>
          <w:p>
            <w:pPr>
              <w:jc w:val="center"/>
              <w:rPr>
                <w:rFonts w:hint="default" w:ascii="Times New Roman" w:hAnsi="Times New Roman" w:cs="Times New Roman"/>
              </w:rPr>
            </w:pPr>
          </w:p>
        </w:tc>
        <w:tc>
          <w:tcPr>
            <w:tcW w:w="1649" w:type="dxa"/>
            <w:vMerge w:val="continue"/>
            <w:vAlign w:val="center"/>
          </w:tcPr>
          <w:p>
            <w:pPr>
              <w:jc w:val="center"/>
              <w:rPr>
                <w:rFonts w:hint="default" w:ascii="Times New Roman" w:hAnsi="Times New Roman" w:cs="Times New Roma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559" w:type="dxa"/>
            <w:vMerge w:val="continue"/>
            <w:vAlign w:val="center"/>
          </w:tcPr>
          <w:p>
            <w:pPr>
              <w:tabs>
                <w:tab w:val="left" w:pos="860"/>
              </w:tabs>
              <w:jc w:val="center"/>
              <w:rPr>
                <w:rFonts w:hint="default" w:ascii="Times New Roman" w:hAnsi="Times New Roman" w:cs="Times New Roman"/>
              </w:rPr>
            </w:pPr>
          </w:p>
        </w:tc>
        <w:tc>
          <w:tcPr>
            <w:tcW w:w="1208" w:type="dxa"/>
            <w:vMerge w:val="restart"/>
            <w:vAlign w:val="center"/>
          </w:tcPr>
          <w:p>
            <w:pPr>
              <w:tabs>
                <w:tab w:val="left" w:pos="860"/>
              </w:tabs>
              <w:jc w:val="center"/>
              <w:rPr>
                <w:rFonts w:hint="default" w:ascii="Times New Roman" w:hAnsi="Times New Roman" w:cs="Times New Roman"/>
              </w:rPr>
            </w:pPr>
            <w:r>
              <w:rPr>
                <w:rFonts w:hint="default" w:ascii="Times New Roman" w:hAnsi="Times New Roman" w:cs="Times New Roman"/>
                <w:color w:val="000000"/>
              </w:rPr>
              <w:t>废气废液</w:t>
            </w:r>
            <w:r>
              <w:rPr>
                <w:rFonts w:hint="default" w:ascii="Times New Roman" w:hAnsi="Times New Roman" w:cs="Times New Roman"/>
              </w:rPr>
              <w:t>焚烧炉</w:t>
            </w:r>
          </w:p>
        </w:tc>
        <w:tc>
          <w:tcPr>
            <w:tcW w:w="977" w:type="dxa"/>
            <w:vMerge w:val="restart"/>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氨法脱硫、芬顿氧化除臭</w:t>
            </w:r>
          </w:p>
        </w:tc>
        <w:tc>
          <w:tcPr>
            <w:tcW w:w="745" w:type="dxa"/>
            <w:vMerge w:val="restart"/>
            <w:vAlign w:val="center"/>
          </w:tcPr>
          <w:p>
            <w:pPr>
              <w:jc w:val="center"/>
              <w:rPr>
                <w:rFonts w:hint="default" w:ascii="Times New Roman" w:hAnsi="Times New Roman" w:cs="Times New Roman"/>
              </w:rPr>
            </w:pPr>
            <w:r>
              <w:rPr>
                <w:rFonts w:hint="default" w:ascii="Times New Roman" w:hAnsi="Times New Roman" w:cs="Times New Roman"/>
              </w:rPr>
              <w:t>出口</w:t>
            </w:r>
          </w:p>
        </w:tc>
        <w:tc>
          <w:tcPr>
            <w:tcW w:w="804" w:type="dxa"/>
            <w:vMerge w:val="restart"/>
            <w:vAlign w:val="center"/>
          </w:tcPr>
          <w:p>
            <w:pPr>
              <w:jc w:val="center"/>
              <w:rPr>
                <w:rFonts w:hint="default" w:ascii="Times New Roman" w:hAnsi="Times New Roman" w:cs="Times New Roman"/>
              </w:rPr>
            </w:pPr>
            <w:r>
              <w:rPr>
                <w:rFonts w:hint="default" w:ascii="Times New Roman" w:hAnsi="Times New Roman" w:cs="Times New Roman"/>
              </w:rPr>
              <w:t>1</w:t>
            </w:r>
          </w:p>
        </w:tc>
        <w:tc>
          <w:tcPr>
            <w:tcW w:w="2004" w:type="dxa"/>
            <w:vAlign w:val="center"/>
          </w:tcPr>
          <w:p>
            <w:pPr>
              <w:jc w:val="center"/>
              <w:rPr>
                <w:rFonts w:hint="default" w:ascii="Times New Roman" w:hAnsi="Times New Roman" w:cs="Times New Roman"/>
              </w:rPr>
            </w:pPr>
            <w:r>
              <w:rPr>
                <w:rFonts w:hint="default" w:ascii="Times New Roman" w:hAnsi="Times New Roman" w:cs="Times New Roman"/>
              </w:rPr>
              <w:t>颗粒物、二氧化硫、氮氧化物</w:t>
            </w:r>
          </w:p>
        </w:tc>
        <w:tc>
          <w:tcPr>
            <w:tcW w:w="1374" w:type="dxa"/>
            <w:vAlign w:val="center"/>
          </w:tcPr>
          <w:p>
            <w:pPr>
              <w:jc w:val="center"/>
              <w:rPr>
                <w:rFonts w:hint="default" w:ascii="Times New Roman" w:hAnsi="Times New Roman" w:cs="Times New Roman"/>
              </w:rPr>
            </w:pPr>
            <w:r>
              <w:rPr>
                <w:rFonts w:hint="default" w:ascii="Times New Roman" w:hAnsi="Times New Roman" w:cs="Times New Roman"/>
              </w:rPr>
              <w:t>连续监测</w:t>
            </w:r>
          </w:p>
        </w:tc>
        <w:tc>
          <w:tcPr>
            <w:tcW w:w="1649" w:type="dxa"/>
            <w:vAlign w:val="center"/>
          </w:tcPr>
          <w:p>
            <w:pPr>
              <w:jc w:val="center"/>
              <w:rPr>
                <w:rFonts w:hint="default" w:ascii="Times New Roman" w:hAnsi="Times New Roman" w:cs="Times New Roman"/>
              </w:rPr>
            </w:pPr>
            <w:r>
              <w:rPr>
                <w:rFonts w:hint="default" w:ascii="Times New Roman" w:hAnsi="Times New Roman" w:cs="Times New Roman"/>
              </w:rPr>
              <w:t>安装在线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559" w:type="dxa"/>
            <w:vMerge w:val="continue"/>
            <w:vAlign w:val="center"/>
          </w:tcPr>
          <w:p>
            <w:pPr>
              <w:tabs>
                <w:tab w:val="left" w:pos="860"/>
              </w:tabs>
              <w:jc w:val="center"/>
              <w:rPr>
                <w:rFonts w:hint="default" w:ascii="Times New Roman" w:hAnsi="Times New Roman" w:cs="Times New Roman"/>
              </w:rPr>
            </w:pPr>
          </w:p>
        </w:tc>
        <w:tc>
          <w:tcPr>
            <w:tcW w:w="1208" w:type="dxa"/>
            <w:vMerge w:val="continue"/>
            <w:vAlign w:val="center"/>
          </w:tcPr>
          <w:p>
            <w:pPr>
              <w:tabs>
                <w:tab w:val="left" w:pos="860"/>
              </w:tabs>
              <w:jc w:val="center"/>
              <w:rPr>
                <w:rFonts w:hint="default" w:ascii="Times New Roman" w:hAnsi="Times New Roman" w:cs="Times New Roman"/>
                <w:color w:val="000000"/>
              </w:rPr>
            </w:pPr>
          </w:p>
        </w:tc>
        <w:tc>
          <w:tcPr>
            <w:tcW w:w="977" w:type="dxa"/>
            <w:vMerge w:val="continue"/>
            <w:vAlign w:val="center"/>
          </w:tcPr>
          <w:p>
            <w:pPr>
              <w:tabs>
                <w:tab w:val="left" w:pos="860"/>
              </w:tabs>
              <w:jc w:val="center"/>
              <w:rPr>
                <w:rFonts w:hint="default" w:ascii="Times New Roman" w:hAnsi="Times New Roman" w:cs="Times New Roman"/>
              </w:rPr>
            </w:pPr>
          </w:p>
        </w:tc>
        <w:tc>
          <w:tcPr>
            <w:tcW w:w="745" w:type="dxa"/>
            <w:vMerge w:val="continue"/>
            <w:vAlign w:val="center"/>
          </w:tcPr>
          <w:p>
            <w:pPr>
              <w:jc w:val="center"/>
              <w:rPr>
                <w:rFonts w:hint="default" w:ascii="Times New Roman" w:hAnsi="Times New Roman" w:cs="Times New Roman"/>
              </w:rPr>
            </w:pPr>
          </w:p>
        </w:tc>
        <w:tc>
          <w:tcPr>
            <w:tcW w:w="804" w:type="dxa"/>
            <w:vMerge w:val="continue"/>
            <w:vAlign w:val="center"/>
          </w:tcPr>
          <w:p>
            <w:pPr>
              <w:jc w:val="center"/>
              <w:rPr>
                <w:rFonts w:hint="default" w:ascii="Times New Roman" w:hAnsi="Times New Roman" w:cs="Times New Roman"/>
              </w:rPr>
            </w:pPr>
          </w:p>
        </w:tc>
        <w:tc>
          <w:tcPr>
            <w:tcW w:w="2004" w:type="dxa"/>
            <w:vAlign w:val="center"/>
          </w:tcPr>
          <w:p>
            <w:pPr>
              <w:jc w:val="center"/>
              <w:rPr>
                <w:rFonts w:hint="default" w:ascii="Times New Roman" w:hAnsi="Times New Roman" w:cs="Times New Roman"/>
              </w:rPr>
            </w:pPr>
            <w:r>
              <w:rPr>
                <w:rFonts w:hint="default" w:ascii="Times New Roman" w:hAnsi="Times New Roman" w:cs="Times New Roman"/>
              </w:rPr>
              <w:t>硫化氢、一氧化碳、氨、甲硫醇、甲硫醚、二硫化碳、丙烯醛、丙烯、二噁英排放浓度及排放速率、臭气浓度</w:t>
            </w:r>
          </w:p>
        </w:tc>
        <w:tc>
          <w:tcPr>
            <w:tcW w:w="1374" w:type="dxa"/>
            <w:vMerge w:val="restart"/>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二噁英、TPMA：</w:t>
            </w:r>
            <w:r>
              <w:rPr>
                <w:rFonts w:hint="default" w:ascii="Times New Roman" w:hAnsi="Times New Roman" w:cs="Times New Roman"/>
                <w:color w:val="000000"/>
              </w:rPr>
              <w:t>每年检测一次，其余项目</w:t>
            </w:r>
          </w:p>
          <w:p>
            <w:pPr>
              <w:jc w:val="center"/>
              <w:rPr>
                <w:rFonts w:hint="default" w:ascii="Times New Roman" w:hAnsi="Times New Roman" w:cs="Times New Roman"/>
              </w:rPr>
            </w:pPr>
            <w:r>
              <w:rPr>
                <w:rFonts w:hint="default" w:ascii="Times New Roman" w:hAnsi="Times New Roman" w:cs="Times New Roman"/>
              </w:rPr>
              <w:t>每半年监测1次，每次3个频次</w:t>
            </w:r>
          </w:p>
        </w:tc>
        <w:tc>
          <w:tcPr>
            <w:tcW w:w="1649" w:type="dxa"/>
            <w:vMerge w:val="restart"/>
            <w:vAlign w:val="center"/>
          </w:tcPr>
          <w:p>
            <w:pPr>
              <w:tabs>
                <w:tab w:val="left" w:pos="860"/>
              </w:tabs>
              <w:jc w:val="center"/>
              <w:rPr>
                <w:rFonts w:hint="default" w:ascii="Times New Roman" w:hAnsi="Times New Roman" w:cs="Times New Roman"/>
                <w:color w:val="000000"/>
              </w:rPr>
            </w:pPr>
            <w:r>
              <w:rPr>
                <w:rFonts w:hint="default" w:ascii="Times New Roman" w:hAnsi="Times New Roman" w:cs="Times New Roman"/>
              </w:rPr>
              <w:t>氰化氢、甲硫醇、甲硫醚丙烯、二噁英、TPMA：外送委托上海德</w:t>
            </w:r>
            <w:r>
              <w:rPr>
                <w:rFonts w:hint="default" w:ascii="Times New Roman" w:hAnsi="Times New Roman" w:cs="Times New Roman"/>
                <w:color w:val="000000"/>
              </w:rPr>
              <w:t>奈斯检测技术有限公司监测</w:t>
            </w:r>
          </w:p>
          <w:p>
            <w:pPr>
              <w:tabs>
                <w:tab w:val="left" w:pos="860"/>
              </w:tabs>
              <w:jc w:val="center"/>
              <w:rPr>
                <w:rFonts w:hint="default" w:ascii="Times New Roman" w:hAnsi="Times New Roman" w:cs="Times New Roman"/>
              </w:rPr>
            </w:pPr>
            <w:r>
              <w:rPr>
                <w:rFonts w:hint="default" w:ascii="Times New Roman" w:hAnsi="Times New Roman" w:cs="Times New Roman"/>
                <w:color w:val="000000"/>
              </w:rPr>
              <w:t>其余项目</w:t>
            </w:r>
            <w:r>
              <w:rPr>
                <w:rFonts w:hint="default" w:ascii="Times New Roman" w:hAnsi="Times New Roman" w:cs="Times New Roman"/>
              </w:rPr>
              <w:t>委托宁夏中科精科检测技术有限公司监测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559" w:type="dxa"/>
            <w:vMerge w:val="continue"/>
            <w:vAlign w:val="center"/>
          </w:tcPr>
          <w:p>
            <w:pPr>
              <w:tabs>
                <w:tab w:val="left" w:pos="860"/>
              </w:tabs>
              <w:jc w:val="center"/>
              <w:rPr>
                <w:rFonts w:hint="default" w:ascii="Times New Roman" w:hAnsi="Times New Roman" w:cs="Times New Roman"/>
              </w:rPr>
            </w:pPr>
          </w:p>
        </w:tc>
        <w:tc>
          <w:tcPr>
            <w:tcW w:w="120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丙烯醛尾气焚烧炉</w:t>
            </w:r>
          </w:p>
        </w:tc>
        <w:tc>
          <w:tcPr>
            <w:tcW w:w="977"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焚烧炉</w:t>
            </w:r>
          </w:p>
        </w:tc>
        <w:tc>
          <w:tcPr>
            <w:tcW w:w="745" w:type="dxa"/>
            <w:vAlign w:val="center"/>
          </w:tcPr>
          <w:p>
            <w:pPr>
              <w:jc w:val="center"/>
              <w:rPr>
                <w:rFonts w:hint="default" w:ascii="Times New Roman" w:hAnsi="Times New Roman" w:cs="Times New Roman"/>
              </w:rPr>
            </w:pPr>
            <w:r>
              <w:rPr>
                <w:rFonts w:hint="default" w:ascii="Times New Roman" w:hAnsi="Times New Roman" w:cs="Times New Roman"/>
              </w:rPr>
              <w:t>出口</w:t>
            </w:r>
          </w:p>
        </w:tc>
        <w:tc>
          <w:tcPr>
            <w:tcW w:w="804" w:type="dxa"/>
            <w:vAlign w:val="center"/>
          </w:tcPr>
          <w:p>
            <w:pPr>
              <w:jc w:val="center"/>
              <w:rPr>
                <w:rFonts w:hint="default" w:ascii="Times New Roman" w:hAnsi="Times New Roman" w:cs="Times New Roman"/>
              </w:rPr>
            </w:pPr>
            <w:r>
              <w:rPr>
                <w:rFonts w:hint="default" w:ascii="Times New Roman" w:hAnsi="Times New Roman" w:cs="Times New Roman"/>
              </w:rPr>
              <w:t>1</w:t>
            </w:r>
          </w:p>
        </w:tc>
        <w:tc>
          <w:tcPr>
            <w:tcW w:w="2004" w:type="dxa"/>
            <w:vAlign w:val="center"/>
          </w:tcPr>
          <w:p>
            <w:pPr>
              <w:jc w:val="center"/>
              <w:rPr>
                <w:rFonts w:hint="default" w:ascii="Times New Roman" w:hAnsi="Times New Roman" w:cs="Times New Roman"/>
              </w:rPr>
            </w:pPr>
            <w:r>
              <w:rPr>
                <w:rFonts w:hint="default" w:ascii="Times New Roman" w:hAnsi="Times New Roman" w:cs="Times New Roman"/>
              </w:rPr>
              <w:t>颗粒物、二氧化硫、氮氧化物、丙烯醛排放浓度及排放速率</w:t>
            </w:r>
          </w:p>
        </w:tc>
        <w:tc>
          <w:tcPr>
            <w:tcW w:w="1374" w:type="dxa"/>
            <w:vMerge w:val="continue"/>
            <w:vAlign w:val="center"/>
          </w:tcPr>
          <w:p>
            <w:pPr>
              <w:jc w:val="center"/>
              <w:rPr>
                <w:rFonts w:hint="default" w:ascii="Times New Roman" w:hAnsi="Times New Roman" w:cs="Times New Roman"/>
              </w:rPr>
            </w:pPr>
          </w:p>
        </w:tc>
        <w:tc>
          <w:tcPr>
            <w:tcW w:w="1649" w:type="dxa"/>
            <w:vMerge w:val="continue"/>
            <w:vAlign w:val="center"/>
          </w:tcPr>
          <w:p>
            <w:pPr>
              <w:jc w:val="center"/>
              <w:rPr>
                <w:rFonts w:hint="default" w:ascii="Times New Roman" w:hAnsi="Times New Roman" w:cs="Times New Roma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559"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十一单元</w:t>
            </w:r>
          </w:p>
        </w:tc>
        <w:tc>
          <w:tcPr>
            <w:tcW w:w="120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生物除臭系统</w:t>
            </w:r>
          </w:p>
        </w:tc>
        <w:tc>
          <w:tcPr>
            <w:tcW w:w="977"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生物滴虑、UV光解、活性炭吸附</w:t>
            </w:r>
          </w:p>
        </w:tc>
        <w:tc>
          <w:tcPr>
            <w:tcW w:w="745" w:type="dxa"/>
            <w:vAlign w:val="center"/>
          </w:tcPr>
          <w:p>
            <w:pPr>
              <w:jc w:val="center"/>
              <w:rPr>
                <w:rFonts w:hint="default" w:ascii="Times New Roman" w:hAnsi="Times New Roman" w:cs="Times New Roman"/>
              </w:rPr>
            </w:pPr>
            <w:r>
              <w:rPr>
                <w:rFonts w:hint="default" w:ascii="Times New Roman" w:hAnsi="Times New Roman" w:cs="Times New Roman"/>
              </w:rPr>
              <w:t>出口</w:t>
            </w:r>
          </w:p>
        </w:tc>
        <w:tc>
          <w:tcPr>
            <w:tcW w:w="804" w:type="dxa"/>
            <w:vAlign w:val="center"/>
          </w:tcPr>
          <w:p>
            <w:pPr>
              <w:jc w:val="center"/>
              <w:rPr>
                <w:rFonts w:hint="default" w:ascii="Times New Roman" w:hAnsi="Times New Roman" w:cs="Times New Roman"/>
              </w:rPr>
            </w:pPr>
            <w:r>
              <w:rPr>
                <w:rFonts w:hint="default" w:ascii="Times New Roman" w:hAnsi="Times New Roman" w:cs="Times New Roman"/>
              </w:rPr>
              <w:t>3</w:t>
            </w:r>
          </w:p>
        </w:tc>
        <w:tc>
          <w:tcPr>
            <w:tcW w:w="2004" w:type="dxa"/>
            <w:vAlign w:val="center"/>
          </w:tcPr>
          <w:p>
            <w:pPr>
              <w:jc w:val="center"/>
              <w:rPr>
                <w:rFonts w:hint="default" w:ascii="Times New Roman" w:hAnsi="Times New Roman" w:cs="Times New Roman"/>
              </w:rPr>
            </w:pPr>
            <w:r>
              <w:rPr>
                <w:rFonts w:hint="default" w:ascii="Times New Roman" w:hAnsi="Times New Roman" w:cs="Times New Roman"/>
              </w:rPr>
              <w:t>甲醇、硫化氢、甲硫醇、甲硫醚、丙烯醛、TPMA排放浓度及排放速率、臭气浓度</w:t>
            </w:r>
          </w:p>
        </w:tc>
        <w:tc>
          <w:tcPr>
            <w:tcW w:w="1374" w:type="dxa"/>
            <w:vMerge w:val="continue"/>
            <w:vAlign w:val="center"/>
          </w:tcPr>
          <w:p>
            <w:pPr>
              <w:jc w:val="center"/>
              <w:rPr>
                <w:rFonts w:hint="default" w:ascii="Times New Roman" w:hAnsi="Times New Roman" w:cs="Times New Roman"/>
              </w:rPr>
            </w:pPr>
          </w:p>
        </w:tc>
        <w:tc>
          <w:tcPr>
            <w:tcW w:w="1649" w:type="dxa"/>
            <w:vMerge w:val="continue"/>
            <w:vAlign w:val="center"/>
          </w:tcPr>
          <w:p>
            <w:pPr>
              <w:jc w:val="center"/>
              <w:rPr>
                <w:rFonts w:hint="default" w:ascii="Times New Roman" w:hAnsi="Times New Roman" w:cs="Times New Roma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7671" w:type="dxa"/>
            <w:gridSpan w:val="7"/>
            <w:vAlign w:val="center"/>
          </w:tcPr>
          <w:p>
            <w:pPr>
              <w:jc w:val="center"/>
              <w:rPr>
                <w:rFonts w:hint="default" w:ascii="Times New Roman" w:hAnsi="Times New Roman" w:cs="Times New Roman"/>
                <w:b/>
              </w:rPr>
            </w:pPr>
            <w:r>
              <w:rPr>
                <w:rFonts w:hint="default" w:ascii="Times New Roman" w:hAnsi="Times New Roman" w:cs="Times New Roman"/>
                <w:b/>
              </w:rPr>
              <w:t>无组织废气</w:t>
            </w:r>
          </w:p>
        </w:tc>
        <w:tc>
          <w:tcPr>
            <w:tcW w:w="1649" w:type="dxa"/>
            <w:vAlign w:val="center"/>
          </w:tcPr>
          <w:p>
            <w:pPr>
              <w:jc w:val="center"/>
              <w:rPr>
                <w:rFonts w:hint="default" w:ascii="Times New Roman" w:hAnsi="Times New Roman" w:cs="Times New Roman"/>
                <w:b/>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559"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无组织废气</w:t>
            </w:r>
          </w:p>
        </w:tc>
        <w:tc>
          <w:tcPr>
            <w:tcW w:w="120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厂区</w:t>
            </w:r>
          </w:p>
        </w:tc>
        <w:tc>
          <w:tcPr>
            <w:tcW w:w="977"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厂界</w:t>
            </w:r>
          </w:p>
        </w:tc>
        <w:tc>
          <w:tcPr>
            <w:tcW w:w="1549" w:type="dxa"/>
            <w:gridSpan w:val="2"/>
            <w:vAlign w:val="center"/>
          </w:tcPr>
          <w:p>
            <w:pPr>
              <w:jc w:val="center"/>
              <w:rPr>
                <w:rFonts w:hint="default" w:ascii="Times New Roman" w:hAnsi="Times New Roman" w:cs="Times New Roman"/>
              </w:rPr>
            </w:pPr>
            <w:r>
              <w:rPr>
                <w:rFonts w:hint="default" w:ascii="Times New Roman" w:hAnsi="Times New Roman" w:cs="Times New Roman"/>
              </w:rPr>
              <w:t>上风向1个对照点，下风向3个监控点(小时值)</w:t>
            </w:r>
          </w:p>
        </w:tc>
        <w:tc>
          <w:tcPr>
            <w:tcW w:w="2004" w:type="dxa"/>
            <w:vAlign w:val="center"/>
          </w:tcPr>
          <w:p>
            <w:pPr>
              <w:jc w:val="center"/>
              <w:rPr>
                <w:rFonts w:hint="default" w:ascii="Times New Roman" w:hAnsi="Times New Roman" w:cs="Times New Roman"/>
              </w:rPr>
            </w:pPr>
            <w:r>
              <w:rPr>
                <w:rFonts w:hint="default" w:ascii="Times New Roman" w:hAnsi="Times New Roman" w:cs="Times New Roman"/>
              </w:rPr>
              <w:t>颗粒物、甲醇、硫化氢、甲硫醇、甲硫醚、丙烯醛、氨、同时记录气象参数</w:t>
            </w:r>
          </w:p>
        </w:tc>
        <w:tc>
          <w:tcPr>
            <w:tcW w:w="1374" w:type="dxa"/>
            <w:vAlign w:val="center"/>
          </w:tcPr>
          <w:p>
            <w:pPr>
              <w:jc w:val="center"/>
              <w:rPr>
                <w:rFonts w:hint="default" w:ascii="Times New Roman" w:hAnsi="Times New Roman" w:cs="Times New Roman"/>
              </w:rPr>
            </w:pPr>
            <w:r>
              <w:rPr>
                <w:rFonts w:hint="default" w:ascii="Times New Roman" w:hAnsi="Times New Roman" w:cs="Times New Roman"/>
              </w:rPr>
              <w:t>每年监测1次，每次4个频次</w:t>
            </w:r>
          </w:p>
        </w:tc>
        <w:tc>
          <w:tcPr>
            <w:tcW w:w="1649"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委托宁夏中科精科检测技术有限公司监测</w:t>
            </w:r>
          </w:p>
          <w:p>
            <w:pPr>
              <w:tabs>
                <w:tab w:val="left" w:pos="860"/>
              </w:tabs>
              <w:jc w:val="center"/>
              <w:rPr>
                <w:rFonts w:hint="default" w:ascii="Times New Roman" w:hAnsi="Times New Roman" w:cs="Times New Roma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559"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其他要求</w:t>
            </w:r>
          </w:p>
        </w:tc>
        <w:tc>
          <w:tcPr>
            <w:tcW w:w="8761" w:type="dxa"/>
            <w:gridSpan w:val="7"/>
            <w:vAlign w:val="center"/>
          </w:tcPr>
          <w:p>
            <w:pPr>
              <w:rPr>
                <w:rFonts w:hint="default" w:ascii="Times New Roman" w:hAnsi="Times New Roman" w:cs="Times New Roman"/>
                <w:color w:val="000000"/>
              </w:rPr>
            </w:pPr>
            <w:r>
              <w:rPr>
                <w:rFonts w:hint="default" w:ascii="Times New Roman" w:hAnsi="Times New Roman" w:cs="Times New Roman"/>
                <w:color w:val="000000"/>
              </w:rPr>
              <w:t>1.九单元二噁英和十一单元TPMA两项无监测能力需外送委托监测(上海德奈斯检测技术有限公司)</w:t>
            </w:r>
          </w:p>
          <w:p>
            <w:pPr>
              <w:jc w:val="left"/>
              <w:rPr>
                <w:rFonts w:hint="default" w:ascii="Times New Roman" w:hAnsi="Times New Roman" w:cs="Times New Roman"/>
                <w:color w:val="000000"/>
              </w:rPr>
            </w:pPr>
            <w:r>
              <w:rPr>
                <w:rFonts w:hint="default" w:ascii="Times New Roman" w:hAnsi="Times New Roman" w:cs="Times New Roman"/>
                <w:color w:val="000000"/>
              </w:rPr>
              <w:t>2.安装自动在线监测设备的项目没有通过有效性审核的、在线监测设备发生故障或维修时，企业立即启动手工自行监测，监测频次参照《自行监测技术指南》中相关要求进行</w:t>
            </w:r>
          </w:p>
        </w:tc>
      </w:tr>
    </w:tbl>
    <w:p>
      <w:pPr>
        <w:spacing w:beforeLines="100" w:line="360" w:lineRule="auto"/>
        <w:rPr>
          <w:rFonts w:hint="default" w:ascii="Times New Roman" w:hAnsi="Times New Roman" w:cs="Times New Roman"/>
          <w:b/>
          <w:sz w:val="28"/>
          <w:szCs w:val="28"/>
        </w:rPr>
      </w:pPr>
      <w:r>
        <w:rPr>
          <w:rFonts w:hint="default" w:ascii="Times New Roman" w:hAnsi="Times New Roman" w:cs="Times New Roman" w:eastAsiaTheme="minorEastAsia"/>
          <w:b/>
          <w:sz w:val="28"/>
          <w:szCs w:val="28"/>
        </w:rPr>
        <w:t xml:space="preserve"> 4.4</w:t>
      </w:r>
      <w:r>
        <w:rPr>
          <w:rFonts w:hint="default" w:ascii="Times New Roman" w:hAnsi="Times New Roman" w:cs="Times New Roman"/>
          <w:b/>
          <w:sz w:val="28"/>
          <w:szCs w:val="28"/>
        </w:rPr>
        <w:t>废气监测方法及使用仪器</w:t>
      </w:r>
    </w:p>
    <w:p>
      <w:pPr>
        <w:pStyle w:val="4"/>
        <w:spacing w:line="360" w:lineRule="auto"/>
        <w:ind w:firstLine="560"/>
        <w:rPr>
          <w:rFonts w:hint="default" w:ascii="Times New Roman" w:hAnsi="Times New Roman" w:cs="Times New Roman" w:eastAsiaTheme="minorEastAsia"/>
          <w:b w:val="0"/>
          <w:bCs w:val="0"/>
          <w:sz w:val="28"/>
          <w:szCs w:val="28"/>
        </w:rPr>
      </w:pPr>
      <w:r>
        <w:rPr>
          <w:rFonts w:hint="default" w:ascii="Times New Roman" w:hAnsi="Times New Roman" w:eastAsia="宋体" w:cs="Times New Roman"/>
          <w:sz w:val="28"/>
          <w:szCs w:val="28"/>
        </w:rPr>
        <w:t>按照《固定污染源排气中颗粒物测定与气态污染物采样方法》（GB／T16157－1996）、《固定源废气监测技术规范》（HJ/T397-2007）的规定执行。</w:t>
      </w:r>
      <w:r>
        <w:rPr>
          <w:rFonts w:hint="default" w:ascii="Times New Roman" w:hAnsi="Times New Roman" w:cs="Times New Roman" w:eastAsiaTheme="minorEastAsia"/>
          <w:b w:val="0"/>
          <w:bCs w:val="0"/>
          <w:sz w:val="28"/>
          <w:szCs w:val="28"/>
        </w:rPr>
        <w:t>废气监测分析方法及分析仪器见表4-4。</w:t>
      </w:r>
    </w:p>
    <w:p>
      <w:pPr>
        <w:spacing w:line="360" w:lineRule="auto"/>
        <w:ind w:firstLine="103" w:firstLineChars="49"/>
        <w:jc w:val="center"/>
        <w:rPr>
          <w:rFonts w:hint="default" w:ascii="Times New Roman" w:hAnsi="Times New Roman" w:cs="Times New Roman"/>
          <w:b/>
          <w:bCs/>
        </w:rPr>
      </w:pPr>
    </w:p>
    <w:p>
      <w:pPr>
        <w:spacing w:line="360" w:lineRule="auto"/>
        <w:ind w:firstLine="103" w:firstLineChars="49"/>
        <w:jc w:val="center"/>
        <w:rPr>
          <w:rFonts w:hint="default" w:ascii="Times New Roman" w:hAnsi="Times New Roman" w:cs="Times New Roman"/>
          <w:b/>
          <w:bCs/>
        </w:rPr>
      </w:pPr>
    </w:p>
    <w:p>
      <w:pPr>
        <w:spacing w:line="360" w:lineRule="auto"/>
        <w:ind w:firstLine="103" w:firstLineChars="49"/>
        <w:jc w:val="center"/>
        <w:rPr>
          <w:rFonts w:hint="default" w:ascii="Times New Roman" w:hAnsi="Times New Roman" w:cs="Times New Roman"/>
          <w:b/>
          <w:bCs/>
        </w:rPr>
      </w:pPr>
    </w:p>
    <w:p>
      <w:pPr>
        <w:spacing w:line="360" w:lineRule="auto"/>
        <w:ind w:firstLine="103" w:firstLineChars="49"/>
        <w:jc w:val="center"/>
        <w:rPr>
          <w:rFonts w:hint="default" w:ascii="Times New Roman" w:hAnsi="Times New Roman" w:cs="Times New Roman"/>
          <w:b/>
          <w:bCs/>
        </w:rPr>
      </w:pPr>
      <w:r>
        <w:rPr>
          <w:rFonts w:hint="default" w:ascii="Times New Roman" w:hAnsi="Times New Roman" w:cs="Times New Roman"/>
          <w:b/>
          <w:bCs/>
        </w:rPr>
        <w:t>表4-4     废气监测方法及使用仪器</w:t>
      </w:r>
    </w:p>
    <w:tbl>
      <w:tblPr>
        <w:tblStyle w:val="8"/>
        <w:tblW w:w="9087" w:type="dxa"/>
        <w:tblInd w:w="-10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511"/>
        <w:gridCol w:w="1559"/>
        <w:gridCol w:w="1276"/>
        <w:gridCol w:w="1134"/>
        <w:gridCol w:w="1418"/>
        <w:gridCol w:w="10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Merge w:val="restart"/>
            <w:vAlign w:val="center"/>
          </w:tcPr>
          <w:p>
            <w:pPr>
              <w:tabs>
                <w:tab w:val="left" w:pos="860"/>
              </w:tabs>
              <w:jc w:val="center"/>
              <w:rPr>
                <w:rFonts w:hint="default" w:ascii="Times New Roman" w:hAnsi="Times New Roman" w:cs="Times New Roman"/>
                <w:b/>
                <w:bCs/>
              </w:rPr>
            </w:pPr>
            <w:r>
              <w:rPr>
                <w:rFonts w:hint="default" w:ascii="Times New Roman" w:hAnsi="Times New Roman" w:cs="Times New Roman"/>
                <w:b/>
                <w:bCs/>
              </w:rPr>
              <w:t>项目</w:t>
            </w:r>
          </w:p>
        </w:tc>
        <w:tc>
          <w:tcPr>
            <w:tcW w:w="3070" w:type="dxa"/>
            <w:gridSpan w:val="2"/>
            <w:vAlign w:val="center"/>
          </w:tcPr>
          <w:p>
            <w:pPr>
              <w:tabs>
                <w:tab w:val="left" w:pos="860"/>
              </w:tabs>
              <w:jc w:val="center"/>
              <w:rPr>
                <w:rFonts w:hint="default" w:ascii="Times New Roman" w:hAnsi="Times New Roman" w:cs="Times New Roman"/>
                <w:b/>
                <w:bCs/>
              </w:rPr>
            </w:pPr>
            <w:r>
              <w:rPr>
                <w:rFonts w:hint="default" w:ascii="Times New Roman" w:hAnsi="Times New Roman" w:cs="Times New Roman"/>
                <w:b/>
                <w:bCs/>
              </w:rPr>
              <w:t>监测方法</w:t>
            </w:r>
          </w:p>
        </w:tc>
        <w:tc>
          <w:tcPr>
            <w:tcW w:w="4904" w:type="dxa"/>
            <w:gridSpan w:val="4"/>
            <w:vAlign w:val="center"/>
          </w:tcPr>
          <w:p>
            <w:pPr>
              <w:tabs>
                <w:tab w:val="left" w:pos="860"/>
              </w:tabs>
              <w:jc w:val="center"/>
              <w:rPr>
                <w:rFonts w:hint="default" w:ascii="Times New Roman" w:hAnsi="Times New Roman" w:cs="Times New Roman"/>
                <w:b/>
                <w:bCs/>
              </w:rPr>
            </w:pPr>
            <w:r>
              <w:rPr>
                <w:rFonts w:hint="default" w:ascii="Times New Roman" w:hAnsi="Times New Roman" w:cs="Times New Roman"/>
                <w:b/>
                <w:bCs/>
              </w:rPr>
              <w:t>使用仪器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Merge w:val="continue"/>
            <w:vAlign w:val="center"/>
          </w:tcPr>
          <w:p>
            <w:pPr>
              <w:tabs>
                <w:tab w:val="left" w:pos="860"/>
              </w:tabs>
              <w:jc w:val="center"/>
              <w:rPr>
                <w:rFonts w:hint="default" w:ascii="Times New Roman" w:hAnsi="Times New Roman" w:cs="Times New Roman"/>
                <w:b/>
                <w:bCs/>
              </w:rPr>
            </w:pPr>
          </w:p>
        </w:tc>
        <w:tc>
          <w:tcPr>
            <w:tcW w:w="1511" w:type="dxa"/>
            <w:vAlign w:val="center"/>
          </w:tcPr>
          <w:p>
            <w:pPr>
              <w:tabs>
                <w:tab w:val="left" w:pos="860"/>
              </w:tabs>
              <w:jc w:val="center"/>
              <w:rPr>
                <w:rFonts w:hint="default" w:ascii="Times New Roman" w:hAnsi="Times New Roman" w:cs="Times New Roman"/>
                <w:b/>
                <w:bCs/>
              </w:rPr>
            </w:pPr>
            <w:r>
              <w:rPr>
                <w:rFonts w:hint="default" w:ascii="Times New Roman" w:hAnsi="Times New Roman" w:cs="Times New Roman"/>
                <w:b/>
                <w:bCs/>
              </w:rPr>
              <w:t>分析方法</w:t>
            </w:r>
          </w:p>
        </w:tc>
        <w:tc>
          <w:tcPr>
            <w:tcW w:w="1559" w:type="dxa"/>
            <w:vAlign w:val="center"/>
          </w:tcPr>
          <w:p>
            <w:pPr>
              <w:jc w:val="center"/>
              <w:rPr>
                <w:rFonts w:hint="default" w:ascii="Times New Roman" w:hAnsi="Times New Roman" w:cs="Times New Roman"/>
                <w:b/>
                <w:bCs/>
              </w:rPr>
            </w:pPr>
            <w:r>
              <w:rPr>
                <w:rFonts w:hint="default" w:ascii="Times New Roman" w:hAnsi="Times New Roman" w:cs="Times New Roman"/>
                <w:b/>
                <w:bCs/>
              </w:rPr>
              <w:t>方法来源</w:t>
            </w:r>
          </w:p>
        </w:tc>
        <w:tc>
          <w:tcPr>
            <w:tcW w:w="1276" w:type="dxa"/>
            <w:vAlign w:val="center"/>
          </w:tcPr>
          <w:p>
            <w:pPr>
              <w:tabs>
                <w:tab w:val="left" w:pos="860"/>
              </w:tabs>
              <w:jc w:val="center"/>
              <w:rPr>
                <w:rFonts w:hint="default" w:ascii="Times New Roman" w:hAnsi="Times New Roman" w:cs="Times New Roman"/>
                <w:b/>
                <w:bCs/>
              </w:rPr>
            </w:pPr>
            <w:r>
              <w:rPr>
                <w:rFonts w:hint="default" w:ascii="Times New Roman" w:hAnsi="Times New Roman" w:cs="Times New Roman"/>
                <w:b/>
                <w:bCs/>
              </w:rPr>
              <w:t>仪器名称</w:t>
            </w:r>
          </w:p>
        </w:tc>
        <w:tc>
          <w:tcPr>
            <w:tcW w:w="1134" w:type="dxa"/>
            <w:vAlign w:val="center"/>
          </w:tcPr>
          <w:p>
            <w:pPr>
              <w:tabs>
                <w:tab w:val="left" w:pos="860"/>
              </w:tabs>
              <w:jc w:val="center"/>
              <w:rPr>
                <w:rFonts w:hint="default" w:ascii="Times New Roman" w:hAnsi="Times New Roman" w:cs="Times New Roman"/>
                <w:b/>
                <w:bCs/>
              </w:rPr>
            </w:pPr>
            <w:r>
              <w:rPr>
                <w:rFonts w:hint="default" w:ascii="Times New Roman" w:hAnsi="Times New Roman" w:cs="Times New Roman"/>
                <w:b/>
                <w:bCs/>
              </w:rPr>
              <w:t>仪器型号</w:t>
            </w:r>
          </w:p>
        </w:tc>
        <w:tc>
          <w:tcPr>
            <w:tcW w:w="1418" w:type="dxa"/>
            <w:vAlign w:val="center"/>
          </w:tcPr>
          <w:p>
            <w:pPr>
              <w:tabs>
                <w:tab w:val="left" w:pos="860"/>
              </w:tabs>
              <w:jc w:val="center"/>
              <w:rPr>
                <w:rFonts w:hint="default" w:ascii="Times New Roman" w:hAnsi="Times New Roman" w:cs="Times New Roman"/>
                <w:b/>
                <w:bCs/>
              </w:rPr>
            </w:pPr>
            <w:r>
              <w:rPr>
                <w:rFonts w:hint="default" w:ascii="Times New Roman" w:hAnsi="Times New Roman" w:cs="Times New Roman"/>
                <w:b/>
                <w:bCs/>
              </w:rPr>
              <w:t>生产厂家</w:t>
            </w:r>
          </w:p>
        </w:tc>
        <w:tc>
          <w:tcPr>
            <w:tcW w:w="1076" w:type="dxa"/>
            <w:vAlign w:val="center"/>
          </w:tcPr>
          <w:p>
            <w:pPr>
              <w:tabs>
                <w:tab w:val="left" w:pos="860"/>
              </w:tabs>
              <w:jc w:val="center"/>
              <w:rPr>
                <w:rFonts w:hint="default" w:ascii="Times New Roman" w:hAnsi="Times New Roman" w:cs="Times New Roman"/>
                <w:b/>
                <w:bCs/>
              </w:rPr>
            </w:pPr>
            <w:r>
              <w:rPr>
                <w:rFonts w:hint="default" w:ascii="Times New Roman" w:hAnsi="Times New Roman" w:cs="Times New Roman"/>
                <w:b/>
                <w:bCs/>
              </w:rPr>
              <w:t>鉴定日期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颗粒物</w:t>
            </w:r>
          </w:p>
        </w:tc>
        <w:tc>
          <w:tcPr>
            <w:tcW w:w="1511"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自动检测</w:t>
            </w:r>
          </w:p>
        </w:tc>
        <w:tc>
          <w:tcPr>
            <w:tcW w:w="1559" w:type="dxa"/>
            <w:vAlign w:val="center"/>
          </w:tcPr>
          <w:p>
            <w:pPr>
              <w:jc w:val="center"/>
              <w:rPr>
                <w:rFonts w:hint="default" w:ascii="Times New Roman" w:hAnsi="Times New Roman" w:cs="Times New Roman"/>
                <w:b w:val="0"/>
                <w:bCs w:val="0"/>
              </w:rPr>
            </w:pPr>
            <w:r>
              <w:rPr>
                <w:rFonts w:hint="default" w:ascii="Times New Roman" w:hAnsi="Times New Roman" w:cs="Times New Roman"/>
                <w:b w:val="0"/>
                <w:bCs w:val="0"/>
              </w:rPr>
              <w:t>/</w:t>
            </w:r>
          </w:p>
        </w:tc>
        <w:tc>
          <w:tcPr>
            <w:tcW w:w="1276" w:type="dxa"/>
            <w:vAlign w:val="center"/>
          </w:tcPr>
          <w:p>
            <w:pPr>
              <w:tabs>
                <w:tab w:val="left" w:pos="860"/>
              </w:tabs>
              <w:jc w:val="center"/>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在线分析仪</w:t>
            </w:r>
          </w:p>
        </w:tc>
        <w:tc>
          <w:tcPr>
            <w:tcW w:w="1134" w:type="dxa"/>
            <w:vAlign w:val="center"/>
          </w:tcPr>
          <w:p>
            <w:pPr>
              <w:tabs>
                <w:tab w:val="left" w:pos="860"/>
              </w:tabs>
              <w:jc w:val="center"/>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w:t>
            </w:r>
          </w:p>
        </w:tc>
        <w:tc>
          <w:tcPr>
            <w:tcW w:w="1418" w:type="dxa"/>
            <w:vAlign w:val="center"/>
          </w:tcPr>
          <w:p>
            <w:pPr>
              <w:tabs>
                <w:tab w:val="left" w:pos="860"/>
              </w:tabs>
              <w:jc w:val="center"/>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w:t>
            </w:r>
          </w:p>
        </w:tc>
        <w:tc>
          <w:tcPr>
            <w:tcW w:w="1076" w:type="dxa"/>
            <w:vAlign w:val="center"/>
          </w:tcPr>
          <w:p>
            <w:pPr>
              <w:tabs>
                <w:tab w:val="left" w:pos="860"/>
              </w:tabs>
              <w:jc w:val="center"/>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二氧化硫</w:t>
            </w:r>
          </w:p>
        </w:tc>
        <w:tc>
          <w:tcPr>
            <w:tcW w:w="1511"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自动检测</w:t>
            </w:r>
          </w:p>
        </w:tc>
        <w:tc>
          <w:tcPr>
            <w:tcW w:w="1559" w:type="dxa"/>
            <w:vAlign w:val="center"/>
          </w:tcPr>
          <w:p>
            <w:pPr>
              <w:jc w:val="center"/>
              <w:rPr>
                <w:rFonts w:hint="default" w:ascii="Times New Roman" w:hAnsi="Times New Roman" w:cs="Times New Roman"/>
                <w:b w:val="0"/>
                <w:bCs w:val="0"/>
              </w:rPr>
            </w:pPr>
            <w:r>
              <w:rPr>
                <w:rFonts w:hint="default" w:ascii="Times New Roman" w:hAnsi="Times New Roman" w:cs="Times New Roman"/>
                <w:b w:val="0"/>
                <w:bCs w:val="0"/>
              </w:rPr>
              <w:t>/</w:t>
            </w:r>
          </w:p>
        </w:tc>
        <w:tc>
          <w:tcPr>
            <w:tcW w:w="1276" w:type="dxa"/>
            <w:vAlign w:val="center"/>
          </w:tcPr>
          <w:p>
            <w:pPr>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在线分析仪</w:t>
            </w:r>
          </w:p>
        </w:tc>
        <w:tc>
          <w:tcPr>
            <w:tcW w:w="1134" w:type="dxa"/>
            <w:vAlign w:val="center"/>
          </w:tcPr>
          <w:p>
            <w:pPr>
              <w:tabs>
                <w:tab w:val="left" w:pos="860"/>
              </w:tabs>
              <w:jc w:val="center"/>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w:t>
            </w:r>
          </w:p>
        </w:tc>
        <w:tc>
          <w:tcPr>
            <w:tcW w:w="1418" w:type="dxa"/>
            <w:vAlign w:val="center"/>
          </w:tcPr>
          <w:p>
            <w:pPr>
              <w:tabs>
                <w:tab w:val="left" w:pos="860"/>
              </w:tabs>
              <w:jc w:val="center"/>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w:t>
            </w:r>
          </w:p>
        </w:tc>
        <w:tc>
          <w:tcPr>
            <w:tcW w:w="1076" w:type="dxa"/>
            <w:vAlign w:val="center"/>
          </w:tcPr>
          <w:p>
            <w:pPr>
              <w:tabs>
                <w:tab w:val="left" w:pos="860"/>
              </w:tabs>
              <w:jc w:val="center"/>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氮氧化物</w:t>
            </w:r>
          </w:p>
        </w:tc>
        <w:tc>
          <w:tcPr>
            <w:tcW w:w="1511"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自动检测</w:t>
            </w:r>
          </w:p>
        </w:tc>
        <w:tc>
          <w:tcPr>
            <w:tcW w:w="1559" w:type="dxa"/>
            <w:vAlign w:val="center"/>
          </w:tcPr>
          <w:p>
            <w:pPr>
              <w:jc w:val="center"/>
              <w:rPr>
                <w:rFonts w:hint="default" w:ascii="Times New Roman" w:hAnsi="Times New Roman" w:cs="Times New Roman"/>
                <w:b w:val="0"/>
                <w:bCs w:val="0"/>
              </w:rPr>
            </w:pPr>
            <w:r>
              <w:rPr>
                <w:rFonts w:hint="default" w:ascii="Times New Roman" w:hAnsi="Times New Roman" w:cs="Times New Roman"/>
                <w:b w:val="0"/>
                <w:bCs w:val="0"/>
              </w:rPr>
              <w:t>/</w:t>
            </w:r>
          </w:p>
        </w:tc>
        <w:tc>
          <w:tcPr>
            <w:tcW w:w="1276" w:type="dxa"/>
            <w:vAlign w:val="center"/>
          </w:tcPr>
          <w:p>
            <w:pPr>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在线分析仪</w:t>
            </w:r>
          </w:p>
        </w:tc>
        <w:tc>
          <w:tcPr>
            <w:tcW w:w="1134" w:type="dxa"/>
            <w:vAlign w:val="center"/>
          </w:tcPr>
          <w:p>
            <w:pPr>
              <w:tabs>
                <w:tab w:val="left" w:pos="860"/>
              </w:tabs>
              <w:jc w:val="center"/>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w:t>
            </w:r>
          </w:p>
        </w:tc>
        <w:tc>
          <w:tcPr>
            <w:tcW w:w="1418" w:type="dxa"/>
            <w:vAlign w:val="center"/>
          </w:tcPr>
          <w:p>
            <w:pPr>
              <w:tabs>
                <w:tab w:val="left" w:pos="860"/>
              </w:tabs>
              <w:jc w:val="center"/>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w:t>
            </w:r>
          </w:p>
        </w:tc>
        <w:tc>
          <w:tcPr>
            <w:tcW w:w="1076" w:type="dxa"/>
            <w:vAlign w:val="center"/>
          </w:tcPr>
          <w:p>
            <w:pPr>
              <w:tabs>
                <w:tab w:val="left" w:pos="860"/>
              </w:tabs>
              <w:jc w:val="center"/>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cantSplit/>
          <w:trHeight w:val="624" w:hRule="exact"/>
        </w:trPr>
        <w:tc>
          <w:tcPr>
            <w:tcW w:w="1113" w:type="dxa"/>
            <w:vMerge w:val="restart"/>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颗粒物</w:t>
            </w:r>
          </w:p>
        </w:tc>
        <w:tc>
          <w:tcPr>
            <w:tcW w:w="1511" w:type="dxa"/>
            <w:vMerge w:val="restart"/>
            <w:vAlign w:val="center"/>
          </w:tcPr>
          <w:p>
            <w:pPr>
              <w:jc w:val="center"/>
              <w:rPr>
                <w:rFonts w:hint="default" w:ascii="Times New Roman" w:hAnsi="Times New Roman" w:cs="Times New Roman"/>
              </w:rPr>
            </w:pPr>
            <w:r>
              <w:rPr>
                <w:rFonts w:hint="default" w:ascii="Times New Roman" w:hAnsi="Times New Roman" w:cs="Times New Roman"/>
              </w:rPr>
              <w:t>重量法</w:t>
            </w:r>
          </w:p>
        </w:tc>
        <w:tc>
          <w:tcPr>
            <w:tcW w:w="1559" w:type="dxa"/>
            <w:vMerge w:val="restart"/>
            <w:vAlign w:val="center"/>
          </w:tcPr>
          <w:p>
            <w:pPr>
              <w:jc w:val="center"/>
              <w:rPr>
                <w:rFonts w:hint="default" w:ascii="Times New Roman" w:hAnsi="Times New Roman" w:cs="Times New Roman"/>
                <w:spacing w:val="-20"/>
              </w:rPr>
            </w:pPr>
            <w:r>
              <w:rPr>
                <w:rFonts w:hint="default" w:ascii="Times New Roman" w:hAnsi="Times New Roman" w:cs="Times New Roman"/>
                <w:spacing w:val="-20"/>
              </w:rPr>
              <w:t>GB/T16157-1996</w:t>
            </w:r>
          </w:p>
        </w:tc>
        <w:tc>
          <w:tcPr>
            <w:tcW w:w="1276" w:type="dxa"/>
            <w:vAlign w:val="center"/>
          </w:tcPr>
          <w:p>
            <w:pPr>
              <w:tabs>
                <w:tab w:val="left" w:pos="860"/>
              </w:tabs>
              <w:jc w:val="center"/>
              <w:rPr>
                <w:rFonts w:hint="default" w:ascii="Times New Roman" w:hAnsi="Times New Roman" w:cs="Times New Roman"/>
                <w:spacing w:val="-20"/>
              </w:rPr>
            </w:pPr>
            <w:r>
              <w:rPr>
                <w:rFonts w:hint="default" w:ascii="Times New Roman" w:hAnsi="Times New Roman" w:cs="Times New Roman"/>
                <w:spacing w:val="-20"/>
              </w:rPr>
              <w:t>电子天平</w:t>
            </w:r>
          </w:p>
        </w:tc>
        <w:tc>
          <w:tcPr>
            <w:tcW w:w="1134"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spacing w:val="-20"/>
              </w:rPr>
              <w:t>FA-2104B型</w:t>
            </w:r>
          </w:p>
        </w:tc>
        <w:tc>
          <w:tcPr>
            <w:tcW w:w="1418" w:type="dxa"/>
            <w:vAlign w:val="center"/>
          </w:tcPr>
          <w:p>
            <w:pPr>
              <w:pStyle w:val="6"/>
              <w:pBdr>
                <w:bottom w:val="none" w:color="auto" w:sz="0" w:space="0"/>
              </w:pBdr>
              <w:tabs>
                <w:tab w:val="left" w:pos="860"/>
                <w:tab w:val="clear" w:pos="4153"/>
                <w:tab w:val="clear" w:pos="8306"/>
              </w:tabs>
              <w:snapToGrid/>
              <w:rPr>
                <w:rFonts w:hint="default" w:ascii="Times New Roman" w:hAnsi="Times New Roman" w:cs="Times New Roman"/>
                <w:sz w:val="21"/>
                <w:szCs w:val="21"/>
              </w:rPr>
            </w:pPr>
            <w:r>
              <w:rPr>
                <w:rFonts w:hint="default" w:ascii="Times New Roman" w:hAnsi="Times New Roman" w:cs="Times New Roman"/>
                <w:sz w:val="21"/>
                <w:szCs w:val="21"/>
              </w:rPr>
              <w:t>上海越平仪科</w:t>
            </w:r>
          </w:p>
        </w:tc>
        <w:tc>
          <w:tcPr>
            <w:tcW w:w="1076" w:type="dxa"/>
            <w:vAlign w:val="center"/>
          </w:tcPr>
          <w:p>
            <w:pPr>
              <w:pStyle w:val="6"/>
              <w:pBdr>
                <w:bottom w:val="none" w:color="auto" w:sz="0" w:space="0"/>
              </w:pBdr>
              <w:tabs>
                <w:tab w:val="left" w:pos="860"/>
                <w:tab w:val="clear" w:pos="4153"/>
                <w:tab w:val="clear" w:pos="8306"/>
              </w:tabs>
              <w:snapToGrid/>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2017.7.1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Merge w:val="continue"/>
            <w:vAlign w:val="center"/>
          </w:tcPr>
          <w:p>
            <w:pPr>
              <w:tabs>
                <w:tab w:val="left" w:pos="860"/>
              </w:tabs>
              <w:jc w:val="center"/>
              <w:rPr>
                <w:rFonts w:hint="default" w:ascii="Times New Roman" w:hAnsi="Times New Roman" w:cs="Times New Roman"/>
                <w:bCs/>
              </w:rPr>
            </w:pPr>
          </w:p>
        </w:tc>
        <w:tc>
          <w:tcPr>
            <w:tcW w:w="1511" w:type="dxa"/>
            <w:vMerge w:val="continue"/>
            <w:vAlign w:val="center"/>
          </w:tcPr>
          <w:p>
            <w:pPr>
              <w:tabs>
                <w:tab w:val="left" w:pos="860"/>
              </w:tabs>
              <w:ind w:firstLine="420"/>
              <w:jc w:val="center"/>
              <w:rPr>
                <w:rFonts w:hint="default" w:ascii="Times New Roman" w:hAnsi="Times New Roman" w:cs="Times New Roman"/>
              </w:rPr>
            </w:pPr>
          </w:p>
        </w:tc>
        <w:tc>
          <w:tcPr>
            <w:tcW w:w="1559" w:type="dxa"/>
            <w:vMerge w:val="continue"/>
            <w:vAlign w:val="center"/>
          </w:tcPr>
          <w:p>
            <w:pPr>
              <w:tabs>
                <w:tab w:val="left" w:pos="860"/>
              </w:tabs>
              <w:ind w:firstLine="420"/>
              <w:jc w:val="center"/>
              <w:rPr>
                <w:rFonts w:hint="default" w:ascii="Times New Roman" w:hAnsi="Times New Roman" w:cs="Times New Roman"/>
              </w:rPr>
            </w:pPr>
          </w:p>
        </w:tc>
        <w:tc>
          <w:tcPr>
            <w:tcW w:w="1276" w:type="dxa"/>
            <w:vAlign w:val="center"/>
          </w:tcPr>
          <w:p>
            <w:pPr>
              <w:tabs>
                <w:tab w:val="left" w:pos="860"/>
              </w:tabs>
              <w:jc w:val="center"/>
              <w:rPr>
                <w:rFonts w:hint="default" w:ascii="Times New Roman" w:hAnsi="Times New Roman" w:cs="Times New Roman"/>
                <w:spacing w:val="-20"/>
              </w:rPr>
            </w:pPr>
            <w:r>
              <w:rPr>
                <w:rFonts w:hint="default" w:ascii="Times New Roman" w:hAnsi="Times New Roman" w:cs="Times New Roman"/>
                <w:spacing w:val="-20"/>
              </w:rPr>
              <w:t>自动烟尘测试仪</w:t>
            </w:r>
          </w:p>
        </w:tc>
        <w:tc>
          <w:tcPr>
            <w:tcW w:w="1134" w:type="dxa"/>
            <w:vAlign w:val="center"/>
          </w:tcPr>
          <w:p>
            <w:pPr>
              <w:tabs>
                <w:tab w:val="left" w:pos="860"/>
              </w:tabs>
              <w:jc w:val="center"/>
              <w:rPr>
                <w:rFonts w:hint="default" w:ascii="Times New Roman" w:hAnsi="Times New Roman" w:cs="Times New Roman"/>
                <w:spacing w:val="-20"/>
              </w:rPr>
            </w:pPr>
            <w:r>
              <w:rPr>
                <w:rFonts w:hint="default" w:ascii="Times New Roman" w:hAnsi="Times New Roman" w:cs="Times New Roman"/>
              </w:rPr>
              <w:t>崂应3012H型</w:t>
            </w:r>
          </w:p>
        </w:tc>
        <w:tc>
          <w:tcPr>
            <w:tcW w:w="141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青岛崂山应用技术所</w:t>
            </w:r>
          </w:p>
        </w:tc>
        <w:tc>
          <w:tcPr>
            <w:tcW w:w="1076" w:type="dxa"/>
            <w:vAlign w:val="center"/>
          </w:tcPr>
          <w:p>
            <w:pPr>
              <w:tabs>
                <w:tab w:val="left" w:pos="860"/>
              </w:tabs>
              <w:ind w:firstLine="105" w:firstLineChars="50"/>
              <w:rPr>
                <w:rFonts w:hint="default" w:ascii="Times New Roman" w:hAnsi="Times New Roman" w:cs="Times New Roman"/>
                <w:color w:val="000000"/>
              </w:rPr>
            </w:pPr>
            <w:r>
              <w:rPr>
                <w:rFonts w:hint="default" w:ascii="Times New Roman" w:hAnsi="Times New Roman" w:cs="Times New Roman"/>
                <w:color w:val="000000"/>
              </w:rPr>
              <w:t>2017.7.1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二氧化硫</w:t>
            </w:r>
          </w:p>
        </w:tc>
        <w:tc>
          <w:tcPr>
            <w:tcW w:w="1511"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定电位电解法</w:t>
            </w:r>
          </w:p>
        </w:tc>
        <w:tc>
          <w:tcPr>
            <w:tcW w:w="1559" w:type="dxa"/>
            <w:vAlign w:val="center"/>
          </w:tcPr>
          <w:p>
            <w:pPr>
              <w:tabs>
                <w:tab w:val="left" w:pos="860"/>
              </w:tabs>
              <w:jc w:val="center"/>
              <w:rPr>
                <w:rFonts w:hint="default" w:ascii="Times New Roman" w:hAnsi="Times New Roman" w:cs="Times New Roman"/>
                <w:spacing w:val="-8"/>
              </w:rPr>
            </w:pPr>
            <w:r>
              <w:rPr>
                <w:rFonts w:hint="default" w:ascii="Times New Roman" w:hAnsi="Times New Roman" w:cs="Times New Roman"/>
                <w:spacing w:val="-8"/>
              </w:rPr>
              <w:t>HJ/T57-2000</w:t>
            </w:r>
          </w:p>
        </w:tc>
        <w:tc>
          <w:tcPr>
            <w:tcW w:w="1276" w:type="dxa"/>
            <w:vMerge w:val="restart"/>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青岛众瑞烟气测试仪</w:t>
            </w:r>
          </w:p>
        </w:tc>
        <w:tc>
          <w:tcPr>
            <w:tcW w:w="1134" w:type="dxa"/>
            <w:vMerge w:val="restart"/>
            <w:vAlign w:val="center"/>
          </w:tcPr>
          <w:p>
            <w:pPr>
              <w:tabs>
                <w:tab w:val="left" w:pos="860"/>
              </w:tabs>
              <w:ind w:right="-134" w:rightChars="-64"/>
              <w:jc w:val="center"/>
              <w:rPr>
                <w:rFonts w:hint="default" w:ascii="Times New Roman" w:hAnsi="Times New Roman" w:cs="Times New Roman"/>
              </w:rPr>
            </w:pPr>
            <w:r>
              <w:rPr>
                <w:rFonts w:hint="default" w:ascii="Times New Roman" w:hAnsi="Times New Roman" w:cs="Times New Roman"/>
              </w:rPr>
              <w:t>ZR-3200型</w:t>
            </w:r>
          </w:p>
        </w:tc>
        <w:tc>
          <w:tcPr>
            <w:tcW w:w="1418" w:type="dxa"/>
            <w:vMerge w:val="restart"/>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青岛众瑞智能仪器有限公司</w:t>
            </w:r>
          </w:p>
        </w:tc>
        <w:tc>
          <w:tcPr>
            <w:tcW w:w="1076" w:type="dxa"/>
            <w:vMerge w:val="restart"/>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2017.7.1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氮氧化物</w:t>
            </w:r>
          </w:p>
        </w:tc>
        <w:tc>
          <w:tcPr>
            <w:tcW w:w="1511"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定电位电解法</w:t>
            </w:r>
          </w:p>
        </w:tc>
        <w:tc>
          <w:tcPr>
            <w:tcW w:w="1559"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《空气和废气监测分析方法》第四版（增补版）</w:t>
            </w:r>
          </w:p>
        </w:tc>
        <w:tc>
          <w:tcPr>
            <w:tcW w:w="1276" w:type="dxa"/>
            <w:vMerge w:val="continue"/>
            <w:vAlign w:val="center"/>
          </w:tcPr>
          <w:p>
            <w:pPr>
              <w:tabs>
                <w:tab w:val="left" w:pos="860"/>
              </w:tabs>
              <w:jc w:val="center"/>
              <w:rPr>
                <w:rFonts w:hint="default" w:ascii="Times New Roman" w:hAnsi="Times New Roman" w:cs="Times New Roman"/>
              </w:rPr>
            </w:pPr>
          </w:p>
        </w:tc>
        <w:tc>
          <w:tcPr>
            <w:tcW w:w="1134" w:type="dxa"/>
            <w:vMerge w:val="continue"/>
            <w:vAlign w:val="center"/>
          </w:tcPr>
          <w:p>
            <w:pPr>
              <w:tabs>
                <w:tab w:val="left" w:pos="860"/>
              </w:tabs>
              <w:ind w:right="-134" w:rightChars="-64"/>
              <w:jc w:val="center"/>
              <w:rPr>
                <w:rFonts w:hint="default" w:ascii="Times New Roman" w:hAnsi="Times New Roman" w:cs="Times New Roman"/>
              </w:rPr>
            </w:pPr>
          </w:p>
        </w:tc>
        <w:tc>
          <w:tcPr>
            <w:tcW w:w="1418" w:type="dxa"/>
            <w:vMerge w:val="continue"/>
            <w:vAlign w:val="center"/>
          </w:tcPr>
          <w:p>
            <w:pPr>
              <w:tabs>
                <w:tab w:val="left" w:pos="860"/>
              </w:tabs>
              <w:jc w:val="center"/>
              <w:rPr>
                <w:rFonts w:hint="default" w:ascii="Times New Roman" w:hAnsi="Times New Roman" w:cs="Times New Roman"/>
              </w:rPr>
            </w:pPr>
          </w:p>
        </w:tc>
        <w:tc>
          <w:tcPr>
            <w:tcW w:w="1076" w:type="dxa"/>
            <w:vMerge w:val="continue"/>
            <w:vAlign w:val="center"/>
          </w:tcPr>
          <w:p>
            <w:pPr>
              <w:ind w:firstLine="420"/>
              <w:jc w:val="center"/>
              <w:rPr>
                <w:rFonts w:hint="default" w:ascii="Times New Roman" w:hAnsi="Times New Roman" w:cs="Times New Roman"/>
                <w:color w:val="00000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硫化氢</w:t>
            </w:r>
          </w:p>
        </w:tc>
        <w:tc>
          <w:tcPr>
            <w:tcW w:w="1511"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亚甲基蓝分光光度法</w:t>
            </w:r>
          </w:p>
        </w:tc>
        <w:tc>
          <w:tcPr>
            <w:tcW w:w="1559"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w:t>
            </w:r>
          </w:p>
        </w:tc>
        <w:tc>
          <w:tcPr>
            <w:tcW w:w="1276"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可见分光光度计</w:t>
            </w:r>
          </w:p>
        </w:tc>
        <w:tc>
          <w:tcPr>
            <w:tcW w:w="1134"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721</w:t>
            </w:r>
          </w:p>
        </w:tc>
        <w:tc>
          <w:tcPr>
            <w:tcW w:w="141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天津冠泽科技有限公司</w:t>
            </w:r>
          </w:p>
        </w:tc>
        <w:tc>
          <w:tcPr>
            <w:tcW w:w="1076" w:type="dxa"/>
            <w:vAlign w:val="center"/>
          </w:tcPr>
          <w:p>
            <w:pPr>
              <w:rPr>
                <w:rFonts w:hint="default" w:ascii="Times New Roman" w:hAnsi="Times New Roman" w:cs="Times New Roman"/>
              </w:rPr>
            </w:pPr>
            <w:r>
              <w:rPr>
                <w:rFonts w:hint="default" w:ascii="Times New Roman" w:hAnsi="Times New Roman" w:cs="Times New Roman"/>
              </w:rPr>
              <w:t>2017.1.6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氨</w:t>
            </w:r>
          </w:p>
        </w:tc>
        <w:tc>
          <w:tcPr>
            <w:tcW w:w="1511"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纳氏试剂分光光度法</w:t>
            </w:r>
          </w:p>
        </w:tc>
        <w:tc>
          <w:tcPr>
            <w:tcW w:w="1559"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HJ 533-2009</w:t>
            </w:r>
          </w:p>
        </w:tc>
        <w:tc>
          <w:tcPr>
            <w:tcW w:w="1276"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可见分光光度计</w:t>
            </w:r>
          </w:p>
        </w:tc>
        <w:tc>
          <w:tcPr>
            <w:tcW w:w="1134"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721</w:t>
            </w:r>
          </w:p>
        </w:tc>
        <w:tc>
          <w:tcPr>
            <w:tcW w:w="141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天津冠泽科技有限公司</w:t>
            </w:r>
          </w:p>
        </w:tc>
        <w:tc>
          <w:tcPr>
            <w:tcW w:w="1076" w:type="dxa"/>
            <w:vAlign w:val="center"/>
          </w:tcPr>
          <w:p>
            <w:pPr>
              <w:rPr>
                <w:rFonts w:hint="default" w:ascii="Times New Roman" w:hAnsi="Times New Roman" w:cs="Times New Roman"/>
              </w:rPr>
            </w:pPr>
            <w:r>
              <w:rPr>
                <w:rFonts w:hint="default" w:ascii="Times New Roman" w:hAnsi="Times New Roman" w:cs="Times New Roman"/>
              </w:rPr>
              <w:t>2017.1.6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氰化氢</w:t>
            </w:r>
          </w:p>
        </w:tc>
        <w:tc>
          <w:tcPr>
            <w:tcW w:w="1511"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color w:val="333333"/>
                <w:lang w:eastAsia="zh-CN"/>
              </w:rPr>
              <w:t>异烟酸-吡唑啉酮分光光度法</w:t>
            </w:r>
          </w:p>
        </w:tc>
        <w:tc>
          <w:tcPr>
            <w:tcW w:w="1559"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color w:val="333333"/>
                <w:sz w:val="21"/>
                <w:szCs w:val="21"/>
              </w:rPr>
              <w:t>HJ/T 28-1999</w:t>
            </w:r>
          </w:p>
        </w:tc>
        <w:tc>
          <w:tcPr>
            <w:tcW w:w="1276"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可见分光光度计</w:t>
            </w:r>
          </w:p>
        </w:tc>
        <w:tc>
          <w:tcPr>
            <w:tcW w:w="1134"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721</w:t>
            </w:r>
          </w:p>
        </w:tc>
        <w:tc>
          <w:tcPr>
            <w:tcW w:w="141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天津冠泽科技有限公司</w:t>
            </w:r>
          </w:p>
        </w:tc>
        <w:tc>
          <w:tcPr>
            <w:tcW w:w="1076" w:type="dxa"/>
            <w:vAlign w:val="center"/>
          </w:tcPr>
          <w:p>
            <w:pPr>
              <w:rPr>
                <w:rFonts w:hint="default" w:ascii="Times New Roman" w:hAnsi="Times New Roman" w:cs="Times New Roman"/>
              </w:rPr>
            </w:pPr>
            <w:r>
              <w:rPr>
                <w:rFonts w:hint="default" w:ascii="Times New Roman" w:hAnsi="Times New Roman" w:cs="Times New Roman"/>
              </w:rPr>
              <w:t>2017.1.6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color w:val="000000"/>
              </w:rPr>
            </w:pPr>
            <w:r>
              <w:rPr>
                <w:rFonts w:hint="default" w:ascii="Times New Roman" w:hAnsi="Times New Roman" w:cs="Times New Roman"/>
                <w:bCs/>
                <w:color w:val="000000"/>
              </w:rPr>
              <w:t>一氧化碳</w:t>
            </w:r>
          </w:p>
        </w:tc>
        <w:tc>
          <w:tcPr>
            <w:tcW w:w="1511" w:type="dxa"/>
            <w:vAlign w:val="center"/>
          </w:tcPr>
          <w:p>
            <w:pPr>
              <w:pStyle w:val="17"/>
              <w:snapToGrid w:val="0"/>
              <w:spacing w:after="0" w:line="240" w:lineRule="auto"/>
              <w:ind w:left="0"/>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非色散红外吸收法</w:t>
            </w:r>
          </w:p>
        </w:tc>
        <w:tc>
          <w:tcPr>
            <w:tcW w:w="1559" w:type="dxa"/>
            <w:vAlign w:val="center"/>
          </w:tcPr>
          <w:p>
            <w:pPr>
              <w:pStyle w:val="17"/>
              <w:snapToGrid w:val="0"/>
              <w:spacing w:after="0" w:line="240" w:lineRule="auto"/>
              <w:ind w:left="0"/>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HJ/T44-1999</w:t>
            </w:r>
          </w:p>
        </w:tc>
        <w:tc>
          <w:tcPr>
            <w:tcW w:w="1276" w:type="dxa"/>
            <w:vAlign w:val="center"/>
          </w:tcPr>
          <w:p>
            <w:pPr>
              <w:tabs>
                <w:tab w:val="left" w:pos="860"/>
              </w:tabs>
              <w:jc w:val="center"/>
              <w:rPr>
                <w:rFonts w:hint="default" w:ascii="Times New Roman" w:hAnsi="Times New Roman" w:cs="Times New Roman"/>
                <w:color w:val="000000"/>
              </w:rPr>
            </w:pPr>
            <w:r>
              <w:rPr>
                <w:rFonts w:hint="default" w:ascii="Times New Roman" w:hAnsi="Times New Roman" w:cs="Times New Roman"/>
                <w:color w:val="000000"/>
              </w:rPr>
              <w:t>非色散红外气体分析仪</w:t>
            </w:r>
          </w:p>
        </w:tc>
        <w:tc>
          <w:tcPr>
            <w:tcW w:w="1134"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w:t>
            </w:r>
          </w:p>
        </w:tc>
        <w:tc>
          <w:tcPr>
            <w:tcW w:w="141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w:t>
            </w:r>
          </w:p>
        </w:tc>
        <w:tc>
          <w:tcPr>
            <w:tcW w:w="1076" w:type="dxa"/>
            <w:vAlign w:val="center"/>
          </w:tcPr>
          <w:p>
            <w:pPr>
              <w:ind w:firstLine="420"/>
              <w:jc w:val="center"/>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甲硫醇</w:t>
            </w:r>
          </w:p>
        </w:tc>
        <w:tc>
          <w:tcPr>
            <w:tcW w:w="1511"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气象色谱法</w:t>
            </w:r>
          </w:p>
        </w:tc>
        <w:tc>
          <w:tcPr>
            <w:tcW w:w="1559"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GB/T 14678-1993</w:t>
            </w:r>
          </w:p>
        </w:tc>
        <w:tc>
          <w:tcPr>
            <w:tcW w:w="1276"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气象色谱仪</w:t>
            </w:r>
          </w:p>
        </w:tc>
        <w:tc>
          <w:tcPr>
            <w:tcW w:w="1134"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SP-3420A</w:t>
            </w:r>
          </w:p>
        </w:tc>
        <w:tc>
          <w:tcPr>
            <w:tcW w:w="141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北京分瑞利仪器有限公司</w:t>
            </w:r>
          </w:p>
        </w:tc>
        <w:tc>
          <w:tcPr>
            <w:tcW w:w="1076" w:type="dxa"/>
            <w:vAlign w:val="center"/>
          </w:tcPr>
          <w:p>
            <w:pPr>
              <w:rPr>
                <w:rFonts w:hint="default" w:ascii="Times New Roman" w:hAnsi="Times New Roman" w:cs="Times New Roman"/>
              </w:rPr>
            </w:pPr>
            <w:r>
              <w:rPr>
                <w:rFonts w:hint="default" w:ascii="Times New Roman" w:hAnsi="Times New Roman" w:cs="Times New Roman"/>
              </w:rPr>
              <w:t>2017.1.6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甲硫醚</w:t>
            </w:r>
          </w:p>
        </w:tc>
        <w:tc>
          <w:tcPr>
            <w:tcW w:w="1511"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气象色谱法</w:t>
            </w:r>
          </w:p>
        </w:tc>
        <w:tc>
          <w:tcPr>
            <w:tcW w:w="1559"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GB/T 14678-1993</w:t>
            </w:r>
          </w:p>
        </w:tc>
        <w:tc>
          <w:tcPr>
            <w:tcW w:w="1276"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气象色谱仪</w:t>
            </w:r>
          </w:p>
        </w:tc>
        <w:tc>
          <w:tcPr>
            <w:tcW w:w="1134"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SP-3420A</w:t>
            </w:r>
          </w:p>
        </w:tc>
        <w:tc>
          <w:tcPr>
            <w:tcW w:w="141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北京分瑞利仪器有限公司</w:t>
            </w:r>
          </w:p>
        </w:tc>
        <w:tc>
          <w:tcPr>
            <w:tcW w:w="1076" w:type="dxa"/>
            <w:vAlign w:val="center"/>
          </w:tcPr>
          <w:p>
            <w:pPr>
              <w:rPr>
                <w:rFonts w:hint="default" w:ascii="Times New Roman" w:hAnsi="Times New Roman" w:cs="Times New Roman"/>
              </w:rPr>
            </w:pPr>
            <w:r>
              <w:rPr>
                <w:rFonts w:hint="default" w:ascii="Times New Roman" w:hAnsi="Times New Roman" w:cs="Times New Roman"/>
              </w:rPr>
              <w:t>2017.1.6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二硫化碳</w:t>
            </w:r>
          </w:p>
        </w:tc>
        <w:tc>
          <w:tcPr>
            <w:tcW w:w="1511"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气象色谱法</w:t>
            </w:r>
          </w:p>
        </w:tc>
        <w:tc>
          <w:tcPr>
            <w:tcW w:w="1559"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GB/T 14678-1993</w:t>
            </w:r>
          </w:p>
        </w:tc>
        <w:tc>
          <w:tcPr>
            <w:tcW w:w="1276"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气象色谱仪</w:t>
            </w:r>
          </w:p>
        </w:tc>
        <w:tc>
          <w:tcPr>
            <w:tcW w:w="1134"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SP-3420A</w:t>
            </w:r>
          </w:p>
        </w:tc>
        <w:tc>
          <w:tcPr>
            <w:tcW w:w="141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北京分瑞利仪器有限公司</w:t>
            </w:r>
          </w:p>
        </w:tc>
        <w:tc>
          <w:tcPr>
            <w:tcW w:w="1076" w:type="dxa"/>
            <w:vAlign w:val="center"/>
          </w:tcPr>
          <w:p>
            <w:pPr>
              <w:rPr>
                <w:rFonts w:hint="default" w:ascii="Times New Roman" w:hAnsi="Times New Roman" w:cs="Times New Roman"/>
              </w:rPr>
            </w:pPr>
            <w:r>
              <w:rPr>
                <w:rFonts w:hint="default" w:ascii="Times New Roman" w:hAnsi="Times New Roman" w:cs="Times New Roman"/>
              </w:rPr>
              <w:t>2017.1.6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丙烯醛</w:t>
            </w:r>
          </w:p>
        </w:tc>
        <w:tc>
          <w:tcPr>
            <w:tcW w:w="1511"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高效液相色谱法</w:t>
            </w:r>
          </w:p>
        </w:tc>
        <w:tc>
          <w:tcPr>
            <w:tcW w:w="1559"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HJ683-2017</w:t>
            </w:r>
          </w:p>
        </w:tc>
        <w:tc>
          <w:tcPr>
            <w:tcW w:w="1276" w:type="dxa"/>
            <w:vAlign w:val="center"/>
          </w:tcPr>
          <w:p>
            <w:pPr>
              <w:jc w:val="center"/>
              <w:rPr>
                <w:rFonts w:hint="default" w:ascii="Times New Roman" w:hAnsi="Times New Roman" w:cs="Times New Roman"/>
                <w:sz w:val="24"/>
                <w:szCs w:val="24"/>
              </w:rPr>
            </w:pPr>
            <w:r>
              <w:rPr>
                <w:rFonts w:hint="default" w:ascii="Times New Roman" w:hAnsi="Times New Roman" w:cs="Times New Roman"/>
              </w:rPr>
              <w:t>液相色谱仪</w:t>
            </w:r>
          </w:p>
        </w:tc>
        <w:tc>
          <w:tcPr>
            <w:tcW w:w="1134" w:type="dxa"/>
            <w:vAlign w:val="center"/>
          </w:tcPr>
          <w:p>
            <w:pPr>
              <w:jc w:val="center"/>
              <w:rPr>
                <w:rFonts w:hint="default" w:ascii="Times New Roman" w:hAnsi="Times New Roman" w:cs="Times New Roman"/>
                <w:sz w:val="24"/>
                <w:szCs w:val="24"/>
              </w:rPr>
            </w:pPr>
            <w:r>
              <w:rPr>
                <w:rFonts w:hint="default" w:ascii="Times New Roman" w:hAnsi="Times New Roman" w:cs="Times New Roman"/>
              </w:rPr>
              <w:t>1220LC</w:t>
            </w:r>
          </w:p>
        </w:tc>
        <w:tc>
          <w:tcPr>
            <w:tcW w:w="1418" w:type="dxa"/>
            <w:vAlign w:val="center"/>
          </w:tcPr>
          <w:p>
            <w:pPr>
              <w:jc w:val="center"/>
              <w:rPr>
                <w:rFonts w:hint="default" w:ascii="Times New Roman" w:hAnsi="Times New Roman" w:cs="Times New Roman"/>
                <w:sz w:val="24"/>
                <w:szCs w:val="24"/>
              </w:rPr>
            </w:pPr>
            <w:r>
              <w:rPr>
                <w:rFonts w:hint="default" w:ascii="Times New Roman" w:hAnsi="Times New Roman" w:cs="Times New Roman"/>
              </w:rPr>
              <w:t>美国安捷伦</w:t>
            </w:r>
          </w:p>
        </w:tc>
        <w:tc>
          <w:tcPr>
            <w:tcW w:w="1076" w:type="dxa"/>
            <w:vAlign w:val="center"/>
          </w:tcPr>
          <w:p>
            <w:pPr>
              <w:rPr>
                <w:rFonts w:hint="default" w:ascii="Times New Roman" w:hAnsi="Times New Roman" w:cs="Times New Roman"/>
              </w:rPr>
            </w:pPr>
            <w:r>
              <w:rPr>
                <w:rFonts w:hint="default" w:ascii="Times New Roman" w:hAnsi="Times New Roman" w:cs="Times New Roman"/>
              </w:rPr>
              <w:t>2017.1.6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丙烯</w:t>
            </w:r>
          </w:p>
        </w:tc>
        <w:tc>
          <w:tcPr>
            <w:tcW w:w="1511"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高效液相色谱法</w:t>
            </w:r>
          </w:p>
        </w:tc>
        <w:tc>
          <w:tcPr>
            <w:tcW w:w="1559"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GB/T160.39-2007</w:t>
            </w:r>
          </w:p>
        </w:tc>
        <w:tc>
          <w:tcPr>
            <w:tcW w:w="1276"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气质连用仪</w:t>
            </w:r>
          </w:p>
        </w:tc>
        <w:tc>
          <w:tcPr>
            <w:tcW w:w="1134" w:type="dxa"/>
            <w:vAlign w:val="center"/>
          </w:tcPr>
          <w:p>
            <w:pPr>
              <w:jc w:val="center"/>
              <w:rPr>
                <w:rFonts w:hint="default" w:ascii="Times New Roman" w:hAnsi="Times New Roman" w:cs="Times New Roman"/>
                <w:sz w:val="24"/>
                <w:szCs w:val="24"/>
              </w:rPr>
            </w:pPr>
            <w:r>
              <w:rPr>
                <w:rFonts w:hint="default" w:ascii="Times New Roman" w:hAnsi="Times New Roman" w:cs="Times New Roman"/>
              </w:rPr>
              <w:t>1220LC</w:t>
            </w:r>
          </w:p>
        </w:tc>
        <w:tc>
          <w:tcPr>
            <w:tcW w:w="1418" w:type="dxa"/>
            <w:vAlign w:val="center"/>
          </w:tcPr>
          <w:p>
            <w:pPr>
              <w:jc w:val="center"/>
              <w:rPr>
                <w:rFonts w:hint="default" w:ascii="Times New Roman" w:hAnsi="Times New Roman" w:cs="Times New Roman"/>
                <w:sz w:val="24"/>
                <w:szCs w:val="24"/>
              </w:rPr>
            </w:pPr>
            <w:r>
              <w:rPr>
                <w:rFonts w:hint="default" w:ascii="Times New Roman" w:hAnsi="Times New Roman" w:cs="Times New Roman"/>
              </w:rPr>
              <w:t>美国安捷伦</w:t>
            </w:r>
          </w:p>
        </w:tc>
        <w:tc>
          <w:tcPr>
            <w:tcW w:w="1076" w:type="dxa"/>
            <w:vAlign w:val="center"/>
          </w:tcPr>
          <w:p>
            <w:pPr>
              <w:rPr>
                <w:rFonts w:hint="default" w:ascii="Times New Roman" w:hAnsi="Times New Roman" w:cs="Times New Roman"/>
              </w:rPr>
            </w:pPr>
            <w:r>
              <w:rPr>
                <w:rFonts w:hint="default" w:ascii="Times New Roman" w:hAnsi="Times New Roman" w:cs="Times New Roman"/>
              </w:rPr>
              <w:t>2017.1.6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rPr>
            </w:pPr>
            <w:r>
              <w:rPr>
                <w:rFonts w:hint="default" w:ascii="Times New Roman" w:hAnsi="Times New Roman" w:cs="Times New Roman"/>
                <w:bCs/>
              </w:rPr>
              <w:t>甲醇</w:t>
            </w:r>
          </w:p>
        </w:tc>
        <w:tc>
          <w:tcPr>
            <w:tcW w:w="1511"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气象色谱法</w:t>
            </w:r>
          </w:p>
        </w:tc>
        <w:tc>
          <w:tcPr>
            <w:tcW w:w="1559"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HJ/T33-1999</w:t>
            </w:r>
          </w:p>
        </w:tc>
        <w:tc>
          <w:tcPr>
            <w:tcW w:w="1276"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气象色谱仪</w:t>
            </w:r>
          </w:p>
        </w:tc>
        <w:tc>
          <w:tcPr>
            <w:tcW w:w="1134"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SP-3420A</w:t>
            </w:r>
          </w:p>
        </w:tc>
        <w:tc>
          <w:tcPr>
            <w:tcW w:w="141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北京分瑞利仪器有限公司</w:t>
            </w:r>
          </w:p>
        </w:tc>
        <w:tc>
          <w:tcPr>
            <w:tcW w:w="1076" w:type="dxa"/>
            <w:vAlign w:val="center"/>
          </w:tcPr>
          <w:p>
            <w:pPr>
              <w:rPr>
                <w:rFonts w:hint="default" w:ascii="Times New Roman" w:hAnsi="Times New Roman" w:cs="Times New Roman"/>
              </w:rPr>
            </w:pPr>
            <w:r>
              <w:rPr>
                <w:rFonts w:hint="default" w:ascii="Times New Roman" w:hAnsi="Times New Roman" w:cs="Times New Roman"/>
              </w:rPr>
              <w:t>2017.1.6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74" w:hRule="exact"/>
        </w:trPr>
        <w:tc>
          <w:tcPr>
            <w:tcW w:w="1113" w:type="dxa"/>
            <w:vAlign w:val="center"/>
          </w:tcPr>
          <w:p>
            <w:pPr>
              <w:tabs>
                <w:tab w:val="left" w:pos="860"/>
              </w:tabs>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二噁英</w:t>
            </w:r>
          </w:p>
        </w:tc>
        <w:tc>
          <w:tcPr>
            <w:tcW w:w="1511"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同位素稀释高分辨气象色谱质谱法</w:t>
            </w:r>
          </w:p>
        </w:tc>
        <w:tc>
          <w:tcPr>
            <w:tcW w:w="1559"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HJ77.2-2008</w:t>
            </w:r>
          </w:p>
        </w:tc>
        <w:tc>
          <w:tcPr>
            <w:tcW w:w="1276"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二噁英烟尘采样器</w:t>
            </w:r>
          </w:p>
        </w:tc>
        <w:tc>
          <w:tcPr>
            <w:tcW w:w="1134"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w:t>
            </w:r>
          </w:p>
        </w:tc>
        <w:tc>
          <w:tcPr>
            <w:tcW w:w="141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w:t>
            </w:r>
          </w:p>
        </w:tc>
        <w:tc>
          <w:tcPr>
            <w:tcW w:w="1076" w:type="dxa"/>
            <w:vAlign w:val="center"/>
          </w:tcPr>
          <w:p>
            <w:pPr>
              <w:jc w:val="center"/>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甲硫基代丙醛(TPMA)</w:t>
            </w:r>
          </w:p>
        </w:tc>
        <w:tc>
          <w:tcPr>
            <w:tcW w:w="1511"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工作场所空气有毒物质测定</w:t>
            </w:r>
          </w:p>
        </w:tc>
        <w:tc>
          <w:tcPr>
            <w:tcW w:w="1559"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GBZ/T160.54-2007</w:t>
            </w:r>
          </w:p>
        </w:tc>
        <w:tc>
          <w:tcPr>
            <w:tcW w:w="1276"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气质连用仪</w:t>
            </w:r>
          </w:p>
        </w:tc>
        <w:tc>
          <w:tcPr>
            <w:tcW w:w="1134"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w:t>
            </w:r>
          </w:p>
        </w:tc>
        <w:tc>
          <w:tcPr>
            <w:tcW w:w="141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w:t>
            </w:r>
          </w:p>
        </w:tc>
        <w:tc>
          <w:tcPr>
            <w:tcW w:w="1076" w:type="dxa"/>
            <w:vAlign w:val="center"/>
          </w:tcPr>
          <w:p>
            <w:pPr>
              <w:jc w:val="center"/>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1113" w:type="dxa"/>
            <w:vAlign w:val="center"/>
          </w:tcPr>
          <w:p>
            <w:pPr>
              <w:tabs>
                <w:tab w:val="left" w:pos="860"/>
              </w:tabs>
              <w:jc w:val="center"/>
              <w:rPr>
                <w:rFonts w:hint="default" w:ascii="Times New Roman" w:hAnsi="Times New Roman" w:cs="Times New Roman"/>
                <w:bCs/>
                <w:color w:val="000000"/>
              </w:rPr>
            </w:pPr>
            <w:r>
              <w:rPr>
                <w:rFonts w:hint="default" w:ascii="Times New Roman" w:hAnsi="Times New Roman" w:cs="Times New Roman"/>
                <w:bCs/>
                <w:color w:val="000000"/>
              </w:rPr>
              <w:t>臭气浓度</w:t>
            </w:r>
          </w:p>
        </w:tc>
        <w:tc>
          <w:tcPr>
            <w:tcW w:w="1511"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三点比较式臭袋法</w:t>
            </w:r>
          </w:p>
        </w:tc>
        <w:tc>
          <w:tcPr>
            <w:tcW w:w="1559"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GB/T14675-93</w:t>
            </w:r>
          </w:p>
        </w:tc>
        <w:tc>
          <w:tcPr>
            <w:tcW w:w="1276"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w:t>
            </w:r>
          </w:p>
        </w:tc>
        <w:tc>
          <w:tcPr>
            <w:tcW w:w="1134" w:type="dxa"/>
            <w:vAlign w:val="center"/>
          </w:tcPr>
          <w:p>
            <w:pPr>
              <w:pStyle w:val="17"/>
              <w:snapToGrid w:val="0"/>
              <w:spacing w:after="0" w:line="240" w:lineRule="auto"/>
              <w:ind w:lef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w:t>
            </w:r>
          </w:p>
        </w:tc>
        <w:tc>
          <w:tcPr>
            <w:tcW w:w="1418" w:type="dxa"/>
            <w:vAlign w:val="center"/>
          </w:tcPr>
          <w:p>
            <w:pPr>
              <w:tabs>
                <w:tab w:val="left" w:pos="860"/>
              </w:tabs>
              <w:jc w:val="center"/>
              <w:rPr>
                <w:rFonts w:hint="default" w:ascii="Times New Roman" w:hAnsi="Times New Roman" w:cs="Times New Roman"/>
              </w:rPr>
            </w:pPr>
            <w:r>
              <w:rPr>
                <w:rFonts w:hint="default" w:ascii="Times New Roman" w:hAnsi="Times New Roman" w:cs="Times New Roman"/>
              </w:rPr>
              <w:t>/</w:t>
            </w:r>
          </w:p>
        </w:tc>
        <w:tc>
          <w:tcPr>
            <w:tcW w:w="1076" w:type="dxa"/>
            <w:vAlign w:val="center"/>
          </w:tcPr>
          <w:p>
            <w:pPr>
              <w:jc w:val="center"/>
              <w:rPr>
                <w:rFonts w:hint="default" w:ascii="Times New Roman" w:hAnsi="Times New Roman" w:cs="Times New Roman"/>
              </w:rPr>
            </w:pPr>
            <w:r>
              <w:rPr>
                <w:rFonts w:hint="default" w:ascii="Times New Roman" w:hAnsi="Times New Roman" w:cs="Times New Roman"/>
              </w:rPr>
              <w:t>/</w:t>
            </w:r>
          </w:p>
        </w:tc>
      </w:tr>
    </w:tbl>
    <w:p>
      <w:pPr>
        <w:spacing w:line="360" w:lineRule="auto"/>
        <w:ind w:firstLine="560" w:firstLineChars="200"/>
        <w:rPr>
          <w:rFonts w:ascii="宋体" w:cs="宋体"/>
          <w:sz w:val="28"/>
          <w:szCs w:val="28"/>
        </w:rPr>
      </w:pPr>
    </w:p>
    <w:p>
      <w:pPr>
        <w:pStyle w:val="19"/>
        <w:spacing w:line="360" w:lineRule="auto"/>
        <w:rPr>
          <w:rFonts w:hint="default" w:cs="仿宋_GB2312" w:asciiTheme="minorEastAsia" w:hAnsiTheme="minorEastAsia" w:eastAsiaTheme="minorEastAsia"/>
          <w:b/>
          <w:sz w:val="28"/>
          <w:szCs w:val="28"/>
        </w:rPr>
      </w:pPr>
      <w:r>
        <w:rPr>
          <w:rFonts w:cs="仿宋_GB2312" w:asciiTheme="minorEastAsia" w:hAnsiTheme="minorEastAsia" w:eastAsiaTheme="minorEastAsia"/>
          <w:b/>
          <w:sz w:val="28"/>
          <w:szCs w:val="28"/>
        </w:rPr>
        <w:t>4.5噪声监测点位、项目及频次</w:t>
      </w:r>
    </w:p>
    <w:p>
      <w:pPr>
        <w:spacing w:line="360" w:lineRule="auto"/>
        <w:ind w:firstLine="560" w:firstLineChars="200"/>
        <w:rPr>
          <w:rFonts w:ascii="宋体"/>
          <w:sz w:val="28"/>
          <w:szCs w:val="28"/>
        </w:rPr>
      </w:pPr>
      <w:r>
        <w:rPr>
          <w:rFonts w:hint="eastAsia" w:ascii="宋体" w:hAnsi="宋体" w:cs="宋体"/>
          <w:sz w:val="28"/>
          <w:szCs w:val="28"/>
        </w:rPr>
        <w:t>厂界噪声按照</w:t>
      </w:r>
      <w:r>
        <w:rPr>
          <w:rFonts w:ascii="宋体" w:hAnsi="宋体" w:cs="宋体"/>
          <w:sz w:val="28"/>
          <w:szCs w:val="28"/>
        </w:rPr>
        <w:t xml:space="preserve"> </w:t>
      </w:r>
      <w:r>
        <w:rPr>
          <w:rFonts w:hint="eastAsia" w:ascii="宋体" w:hAnsi="宋体" w:cs="宋体"/>
          <w:sz w:val="28"/>
          <w:szCs w:val="28"/>
        </w:rPr>
        <w:t>《工业企业厂界噪声测量方法》（</w:t>
      </w:r>
      <w:r>
        <w:rPr>
          <w:rFonts w:ascii="宋体" w:hAnsi="宋体" w:cs="宋体"/>
          <w:sz w:val="28"/>
          <w:szCs w:val="28"/>
        </w:rPr>
        <w:t>GB12349</w:t>
      </w:r>
      <w:r>
        <w:rPr>
          <w:rFonts w:hint="eastAsia" w:ascii="宋体" w:hAnsi="宋体" w:cs="宋体"/>
          <w:sz w:val="28"/>
          <w:szCs w:val="28"/>
        </w:rPr>
        <w:t>－</w:t>
      </w:r>
      <w:r>
        <w:rPr>
          <w:rFonts w:ascii="宋体" w:hAnsi="宋体" w:cs="宋体"/>
          <w:sz w:val="28"/>
          <w:szCs w:val="28"/>
        </w:rPr>
        <w:t>2008</w:t>
      </w:r>
      <w:r>
        <w:rPr>
          <w:rFonts w:hint="eastAsia" w:ascii="宋体" w:hAnsi="宋体" w:cs="宋体"/>
          <w:sz w:val="28"/>
          <w:szCs w:val="28"/>
        </w:rPr>
        <w:t>）</w:t>
      </w:r>
      <w:r>
        <w:rPr>
          <w:rFonts w:ascii="宋体" w:hAnsi="宋体" w:cs="宋体"/>
          <w:sz w:val="28"/>
          <w:szCs w:val="28"/>
        </w:rPr>
        <w:t xml:space="preserve"> </w:t>
      </w:r>
      <w:r>
        <w:rPr>
          <w:rFonts w:hint="eastAsia" w:ascii="宋体" w:hAnsi="宋体" w:cs="宋体"/>
          <w:sz w:val="28"/>
          <w:szCs w:val="28"/>
        </w:rPr>
        <w:t>的规定进行监测，监测点位、项目和频次见表4-5，噪声监测方法及使用仪器见表4-6。</w:t>
      </w:r>
    </w:p>
    <w:p>
      <w:pPr>
        <w:ind w:firstLine="1687" w:firstLineChars="700"/>
        <w:rPr>
          <w:rFonts w:ascii="宋体"/>
          <w:b/>
          <w:bCs/>
          <w:sz w:val="24"/>
          <w:szCs w:val="24"/>
        </w:rPr>
      </w:pPr>
      <w:r>
        <w:rPr>
          <w:rFonts w:hint="eastAsia" w:ascii="宋体" w:hAnsi="宋体" w:cs="宋体"/>
          <w:b/>
          <w:bCs/>
          <w:sz w:val="24"/>
          <w:szCs w:val="24"/>
        </w:rPr>
        <w:t>表4</w:t>
      </w:r>
      <w:r>
        <w:rPr>
          <w:rFonts w:ascii="宋体" w:hAnsi="宋体" w:cs="宋体"/>
          <w:b/>
          <w:bCs/>
          <w:sz w:val="24"/>
          <w:szCs w:val="24"/>
        </w:rPr>
        <w:t xml:space="preserve">-5     </w:t>
      </w:r>
      <w:r>
        <w:rPr>
          <w:rFonts w:hint="eastAsia" w:ascii="宋体" w:hAnsi="宋体" w:cs="宋体"/>
          <w:b/>
          <w:bCs/>
          <w:sz w:val="24"/>
          <w:szCs w:val="24"/>
        </w:rPr>
        <w:t>监测点位、因子和频次及开展监测方式</w:t>
      </w:r>
    </w:p>
    <w:tbl>
      <w:tblPr>
        <w:tblStyle w:val="8"/>
        <w:tblW w:w="9505" w:type="dxa"/>
        <w:tblInd w:w="-10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2424"/>
        <w:gridCol w:w="1454"/>
        <w:gridCol w:w="2282"/>
        <w:gridCol w:w="21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1156" w:type="dxa"/>
            <w:vAlign w:val="center"/>
          </w:tcPr>
          <w:p>
            <w:pPr>
              <w:tabs>
                <w:tab w:val="left" w:pos="860"/>
              </w:tabs>
              <w:jc w:val="center"/>
              <w:rPr>
                <w:rFonts w:ascii="宋体"/>
                <w:b/>
                <w:bCs/>
              </w:rPr>
            </w:pPr>
            <w:r>
              <w:rPr>
                <w:rFonts w:hint="eastAsia" w:ascii="宋体" w:hAnsi="宋体" w:cs="宋体"/>
                <w:b/>
                <w:bCs/>
              </w:rPr>
              <w:t>监测项目</w:t>
            </w:r>
          </w:p>
        </w:tc>
        <w:tc>
          <w:tcPr>
            <w:tcW w:w="2424" w:type="dxa"/>
            <w:vAlign w:val="center"/>
          </w:tcPr>
          <w:p>
            <w:pPr>
              <w:tabs>
                <w:tab w:val="left" w:pos="860"/>
              </w:tabs>
              <w:jc w:val="center"/>
              <w:rPr>
                <w:rFonts w:ascii="宋体"/>
                <w:b/>
                <w:bCs/>
              </w:rPr>
            </w:pPr>
            <w:r>
              <w:rPr>
                <w:rFonts w:hint="eastAsia" w:ascii="宋体" w:hAnsi="宋体" w:cs="宋体"/>
                <w:b/>
                <w:bCs/>
              </w:rPr>
              <w:t>监测点位</w:t>
            </w:r>
          </w:p>
        </w:tc>
        <w:tc>
          <w:tcPr>
            <w:tcW w:w="1454" w:type="dxa"/>
            <w:vAlign w:val="center"/>
          </w:tcPr>
          <w:p>
            <w:pPr>
              <w:tabs>
                <w:tab w:val="left" w:pos="860"/>
              </w:tabs>
              <w:jc w:val="center"/>
              <w:rPr>
                <w:rFonts w:ascii="宋体"/>
                <w:b/>
                <w:bCs/>
              </w:rPr>
            </w:pPr>
            <w:r>
              <w:rPr>
                <w:rFonts w:hint="eastAsia" w:ascii="宋体" w:hAnsi="宋体" w:cs="宋体"/>
                <w:b/>
                <w:bCs/>
              </w:rPr>
              <w:t>监测因子</w:t>
            </w:r>
          </w:p>
        </w:tc>
        <w:tc>
          <w:tcPr>
            <w:tcW w:w="2282" w:type="dxa"/>
            <w:vAlign w:val="center"/>
          </w:tcPr>
          <w:p>
            <w:pPr>
              <w:tabs>
                <w:tab w:val="left" w:pos="860"/>
              </w:tabs>
              <w:jc w:val="center"/>
              <w:rPr>
                <w:rFonts w:ascii="宋体"/>
                <w:b/>
                <w:bCs/>
              </w:rPr>
            </w:pPr>
            <w:r>
              <w:rPr>
                <w:rFonts w:hint="eastAsia" w:ascii="宋体" w:hAnsi="宋体" w:cs="宋体"/>
                <w:b/>
                <w:bCs/>
              </w:rPr>
              <w:t>监测频次</w:t>
            </w:r>
          </w:p>
        </w:tc>
        <w:tc>
          <w:tcPr>
            <w:tcW w:w="2189" w:type="dxa"/>
            <w:vAlign w:val="center"/>
          </w:tcPr>
          <w:p>
            <w:pPr>
              <w:tabs>
                <w:tab w:val="left" w:pos="860"/>
              </w:tabs>
              <w:jc w:val="center"/>
              <w:rPr>
                <w:rFonts w:ascii="宋体" w:hAnsi="宋体" w:cs="宋体"/>
                <w:b/>
                <w:bCs/>
              </w:rPr>
            </w:pPr>
            <w:r>
              <w:rPr>
                <w:rFonts w:hint="eastAsia" w:ascii="宋体" w:hAnsi="宋体" w:cs="宋体"/>
                <w:b/>
                <w:bCs/>
              </w:rPr>
              <w:t>监测方式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87" w:hRule="atLeast"/>
        </w:trPr>
        <w:tc>
          <w:tcPr>
            <w:tcW w:w="1156" w:type="dxa"/>
            <w:vAlign w:val="center"/>
          </w:tcPr>
          <w:p>
            <w:pPr>
              <w:pStyle w:val="6"/>
              <w:pBdr>
                <w:bottom w:val="none" w:color="auto" w:sz="0" w:space="0"/>
              </w:pBdr>
              <w:tabs>
                <w:tab w:val="left" w:pos="860"/>
                <w:tab w:val="clear" w:pos="4153"/>
                <w:tab w:val="clear" w:pos="8306"/>
              </w:tabs>
              <w:snapToGrid/>
              <w:rPr>
                <w:rFonts w:ascii="宋体" w:cs="Times New Roman"/>
                <w:sz w:val="21"/>
                <w:szCs w:val="21"/>
              </w:rPr>
            </w:pPr>
            <w:r>
              <w:rPr>
                <w:rFonts w:hint="eastAsia" w:ascii="宋体" w:hAnsi="宋体" w:cs="宋体"/>
                <w:sz w:val="21"/>
                <w:szCs w:val="21"/>
              </w:rPr>
              <w:t>厂界噪声</w:t>
            </w:r>
          </w:p>
        </w:tc>
        <w:tc>
          <w:tcPr>
            <w:tcW w:w="2424" w:type="dxa"/>
            <w:vAlign w:val="center"/>
          </w:tcPr>
          <w:p>
            <w:pPr>
              <w:pStyle w:val="6"/>
              <w:pBdr>
                <w:bottom w:val="none" w:color="auto" w:sz="0" w:space="0"/>
              </w:pBdr>
              <w:tabs>
                <w:tab w:val="left" w:pos="860"/>
                <w:tab w:val="clear" w:pos="4153"/>
                <w:tab w:val="clear" w:pos="8306"/>
              </w:tabs>
              <w:snapToGrid/>
              <w:rPr>
                <w:rFonts w:ascii="宋体" w:cs="Times New Roman"/>
                <w:sz w:val="21"/>
                <w:szCs w:val="21"/>
              </w:rPr>
            </w:pPr>
            <w:r>
              <w:rPr>
                <w:rFonts w:hint="eastAsia" w:ascii="宋体" w:hAnsi="宋体" w:cs="宋体"/>
                <w:sz w:val="21"/>
                <w:szCs w:val="21"/>
              </w:rPr>
              <w:t>厂区东、南、西、北侧厂界各布</w:t>
            </w:r>
            <w:r>
              <w:rPr>
                <w:rFonts w:ascii="宋体" w:hAnsi="宋体" w:cs="宋体"/>
                <w:sz w:val="21"/>
                <w:szCs w:val="21"/>
              </w:rPr>
              <w:t>2</w:t>
            </w:r>
            <w:r>
              <w:rPr>
                <w:rFonts w:hint="eastAsia" w:ascii="宋体" w:hAnsi="宋体" w:cs="宋体"/>
                <w:sz w:val="21"/>
                <w:szCs w:val="21"/>
              </w:rPr>
              <w:t>个监测点位（共8个点位）</w:t>
            </w:r>
          </w:p>
        </w:tc>
        <w:tc>
          <w:tcPr>
            <w:tcW w:w="1454" w:type="dxa"/>
            <w:vAlign w:val="center"/>
          </w:tcPr>
          <w:p>
            <w:pPr>
              <w:pStyle w:val="6"/>
              <w:pBdr>
                <w:bottom w:val="none" w:color="auto" w:sz="0" w:space="0"/>
              </w:pBdr>
              <w:tabs>
                <w:tab w:val="left" w:pos="860"/>
                <w:tab w:val="clear" w:pos="4153"/>
                <w:tab w:val="clear" w:pos="8306"/>
              </w:tabs>
              <w:snapToGrid/>
              <w:rPr>
                <w:rFonts w:ascii="宋体" w:cs="Times New Roman"/>
                <w:sz w:val="21"/>
                <w:szCs w:val="21"/>
              </w:rPr>
            </w:pPr>
            <w:r>
              <w:rPr>
                <w:rFonts w:hint="eastAsia" w:ascii="宋体" w:hAnsi="宋体" w:cs="宋体"/>
                <w:sz w:val="21"/>
                <w:szCs w:val="21"/>
              </w:rPr>
              <w:t>连续等效</w:t>
            </w:r>
            <w:r>
              <w:rPr>
                <w:rFonts w:ascii="宋体" w:hAnsi="宋体" w:cs="宋体"/>
                <w:sz w:val="21"/>
                <w:szCs w:val="21"/>
              </w:rPr>
              <w:t>A</w:t>
            </w:r>
            <w:r>
              <w:rPr>
                <w:rFonts w:hint="eastAsia" w:ascii="宋体" w:hAnsi="宋体" w:cs="宋体"/>
                <w:sz w:val="21"/>
                <w:szCs w:val="21"/>
              </w:rPr>
              <w:t>声级</w:t>
            </w:r>
          </w:p>
        </w:tc>
        <w:tc>
          <w:tcPr>
            <w:tcW w:w="2282" w:type="dxa"/>
            <w:vAlign w:val="center"/>
          </w:tcPr>
          <w:p>
            <w:pPr>
              <w:pStyle w:val="6"/>
              <w:pBdr>
                <w:bottom w:val="none" w:color="auto" w:sz="0" w:space="0"/>
              </w:pBdr>
              <w:tabs>
                <w:tab w:val="left" w:pos="860"/>
                <w:tab w:val="clear" w:pos="4153"/>
                <w:tab w:val="clear" w:pos="8306"/>
              </w:tabs>
              <w:snapToGrid/>
              <w:rPr>
                <w:rFonts w:ascii="宋体" w:cs="Times New Roman"/>
                <w:sz w:val="21"/>
                <w:szCs w:val="21"/>
              </w:rPr>
            </w:pPr>
            <w:r>
              <w:rPr>
                <w:rFonts w:hint="eastAsia" w:ascii="宋体" w:hAnsi="宋体" w:cs="宋体"/>
                <w:sz w:val="21"/>
                <w:szCs w:val="21"/>
              </w:rPr>
              <w:t>每季度监测1次，每次昼间、夜间各监测1次</w:t>
            </w:r>
          </w:p>
        </w:tc>
        <w:tc>
          <w:tcPr>
            <w:tcW w:w="2189" w:type="dxa"/>
            <w:vAlign w:val="center"/>
          </w:tcPr>
          <w:p>
            <w:pPr>
              <w:tabs>
                <w:tab w:val="left" w:pos="860"/>
              </w:tabs>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委托宁夏中科精科检测技术有限公司监测</w:t>
            </w:r>
          </w:p>
        </w:tc>
      </w:tr>
    </w:tbl>
    <w:p>
      <w:pPr>
        <w:tabs>
          <w:tab w:val="left" w:pos="2325"/>
        </w:tabs>
        <w:ind w:firstLine="482"/>
        <w:jc w:val="center"/>
        <w:rPr>
          <w:rFonts w:ascii="宋体" w:hAnsi="宋体" w:cs="宋体"/>
          <w:b/>
          <w:bCs/>
          <w:sz w:val="24"/>
          <w:szCs w:val="24"/>
        </w:rPr>
      </w:pPr>
    </w:p>
    <w:p>
      <w:pPr>
        <w:tabs>
          <w:tab w:val="left" w:pos="2325"/>
        </w:tabs>
        <w:ind w:firstLine="2168" w:firstLineChars="900"/>
        <w:rPr>
          <w:rFonts w:ascii="宋体"/>
          <w:b/>
          <w:bCs/>
        </w:rPr>
      </w:pPr>
      <w:r>
        <w:rPr>
          <w:rFonts w:hint="eastAsia" w:ascii="宋体" w:hAnsi="宋体" w:cs="宋体"/>
          <w:b/>
          <w:bCs/>
          <w:sz w:val="24"/>
          <w:szCs w:val="24"/>
        </w:rPr>
        <w:t>表4</w:t>
      </w:r>
      <w:r>
        <w:rPr>
          <w:rFonts w:ascii="宋体" w:hAnsi="宋体" w:cs="宋体"/>
          <w:b/>
          <w:bCs/>
          <w:sz w:val="24"/>
          <w:szCs w:val="24"/>
        </w:rPr>
        <w:t>-</w:t>
      </w:r>
      <w:r>
        <w:rPr>
          <w:rFonts w:hint="eastAsia" w:ascii="宋体" w:hAnsi="宋体" w:cs="宋体"/>
          <w:b/>
          <w:bCs/>
          <w:sz w:val="24"/>
          <w:szCs w:val="24"/>
        </w:rPr>
        <w:t>6</w:t>
      </w:r>
      <w:r>
        <w:rPr>
          <w:rFonts w:ascii="宋体" w:hAnsi="宋体" w:cs="宋体"/>
          <w:b/>
          <w:bCs/>
          <w:sz w:val="24"/>
          <w:szCs w:val="24"/>
        </w:rPr>
        <w:t xml:space="preserve">     </w:t>
      </w:r>
      <w:r>
        <w:rPr>
          <w:rFonts w:hint="eastAsia" w:ascii="宋体" w:hAnsi="宋体" w:cs="宋体"/>
          <w:b/>
          <w:bCs/>
          <w:sz w:val="24"/>
          <w:szCs w:val="24"/>
        </w:rPr>
        <w:t>噪声监测方法及使用仪器</w:t>
      </w:r>
    </w:p>
    <w:tbl>
      <w:tblPr>
        <w:tblStyle w:val="8"/>
        <w:tblW w:w="9330" w:type="dxa"/>
        <w:tblInd w:w="-10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51"/>
        <w:gridCol w:w="1331"/>
        <w:gridCol w:w="1521"/>
        <w:gridCol w:w="2091"/>
        <w:gridCol w:w="15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2851" w:type="dxa"/>
            <w:vAlign w:val="center"/>
          </w:tcPr>
          <w:p>
            <w:pPr>
              <w:tabs>
                <w:tab w:val="left" w:pos="860"/>
              </w:tabs>
              <w:jc w:val="center"/>
              <w:rPr>
                <w:rFonts w:ascii="宋体"/>
                <w:b/>
                <w:bCs/>
              </w:rPr>
            </w:pPr>
            <w:r>
              <w:rPr>
                <w:rFonts w:hint="eastAsia" w:ascii="宋体" w:hAnsi="宋体" w:cs="宋体"/>
                <w:b/>
                <w:bCs/>
              </w:rPr>
              <w:t>监测方法</w:t>
            </w:r>
          </w:p>
        </w:tc>
        <w:tc>
          <w:tcPr>
            <w:tcW w:w="1331" w:type="dxa"/>
            <w:vAlign w:val="center"/>
          </w:tcPr>
          <w:p>
            <w:pPr>
              <w:tabs>
                <w:tab w:val="left" w:pos="860"/>
              </w:tabs>
              <w:jc w:val="center"/>
              <w:rPr>
                <w:rFonts w:ascii="宋体"/>
                <w:b/>
                <w:bCs/>
              </w:rPr>
            </w:pPr>
            <w:r>
              <w:rPr>
                <w:rFonts w:hint="eastAsia" w:ascii="宋体" w:hAnsi="宋体" w:cs="宋体"/>
                <w:b/>
                <w:bCs/>
              </w:rPr>
              <w:t>使用仪器</w:t>
            </w:r>
          </w:p>
        </w:tc>
        <w:tc>
          <w:tcPr>
            <w:tcW w:w="1521" w:type="dxa"/>
            <w:vAlign w:val="center"/>
          </w:tcPr>
          <w:p>
            <w:pPr>
              <w:tabs>
                <w:tab w:val="left" w:pos="860"/>
              </w:tabs>
              <w:jc w:val="center"/>
              <w:rPr>
                <w:rFonts w:ascii="宋体"/>
                <w:b/>
                <w:bCs/>
              </w:rPr>
            </w:pPr>
            <w:r>
              <w:rPr>
                <w:rFonts w:hint="eastAsia" w:ascii="宋体" w:hAnsi="宋体" w:cs="宋体"/>
                <w:b/>
                <w:bCs/>
              </w:rPr>
              <w:t>仪器型号</w:t>
            </w:r>
          </w:p>
        </w:tc>
        <w:tc>
          <w:tcPr>
            <w:tcW w:w="2091" w:type="dxa"/>
            <w:vAlign w:val="center"/>
          </w:tcPr>
          <w:p>
            <w:pPr>
              <w:tabs>
                <w:tab w:val="left" w:pos="860"/>
              </w:tabs>
              <w:jc w:val="center"/>
              <w:rPr>
                <w:rFonts w:ascii="宋体"/>
                <w:b/>
                <w:bCs/>
              </w:rPr>
            </w:pPr>
            <w:r>
              <w:rPr>
                <w:rFonts w:hint="eastAsia" w:ascii="宋体" w:hAnsi="宋体" w:cs="宋体"/>
                <w:b/>
                <w:bCs/>
              </w:rPr>
              <w:t>仪器测量值范围</w:t>
            </w:r>
          </w:p>
        </w:tc>
        <w:tc>
          <w:tcPr>
            <w:tcW w:w="1536" w:type="dxa"/>
            <w:vAlign w:val="center"/>
          </w:tcPr>
          <w:p>
            <w:pPr>
              <w:tabs>
                <w:tab w:val="left" w:pos="860"/>
              </w:tabs>
              <w:jc w:val="center"/>
              <w:rPr>
                <w:rFonts w:ascii="宋体"/>
                <w:b/>
                <w:bCs/>
              </w:rPr>
            </w:pPr>
            <w:r>
              <w:rPr>
                <w:rFonts w:hint="eastAsia" w:ascii="宋体" w:hAnsi="宋体" w:cs="宋体"/>
                <w:b/>
                <w:bCs/>
              </w:rPr>
              <w:t>鉴定时间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62" w:hRule="atLeast"/>
        </w:trPr>
        <w:tc>
          <w:tcPr>
            <w:tcW w:w="2851" w:type="dxa"/>
            <w:vAlign w:val="center"/>
          </w:tcPr>
          <w:p>
            <w:pPr>
              <w:jc w:val="center"/>
              <w:rPr>
                <w:rFonts w:ascii="宋体"/>
              </w:rPr>
            </w:pPr>
            <w:r>
              <w:rPr>
                <w:rFonts w:hint="eastAsia" w:ascii="宋体" w:hAnsi="宋体" w:cs="宋体"/>
              </w:rPr>
              <w:t>《工业企业厂界环境噪声排放标准》（</w:t>
            </w:r>
            <w:r>
              <w:rPr>
                <w:rFonts w:ascii="宋体" w:hAnsi="宋体" w:cs="宋体"/>
              </w:rPr>
              <w:t>GB12348-2008</w:t>
            </w:r>
            <w:r>
              <w:rPr>
                <w:rFonts w:hint="eastAsia" w:ascii="宋体" w:hAnsi="宋体" w:cs="宋体"/>
              </w:rPr>
              <w:t>）</w:t>
            </w:r>
          </w:p>
        </w:tc>
        <w:tc>
          <w:tcPr>
            <w:tcW w:w="1331" w:type="dxa"/>
            <w:vAlign w:val="center"/>
          </w:tcPr>
          <w:p>
            <w:pPr>
              <w:ind w:right="-108"/>
              <w:jc w:val="center"/>
              <w:rPr>
                <w:rFonts w:ascii="宋体" w:hAnsi="宋体" w:cs="宋体"/>
              </w:rPr>
            </w:pPr>
            <w:r>
              <w:rPr>
                <w:rFonts w:ascii="宋体" w:hAnsi="宋体" w:cs="宋体"/>
              </w:rPr>
              <w:t>AWA5680</w:t>
            </w:r>
          </w:p>
        </w:tc>
        <w:tc>
          <w:tcPr>
            <w:tcW w:w="1521" w:type="dxa"/>
            <w:vAlign w:val="center"/>
          </w:tcPr>
          <w:p>
            <w:pPr>
              <w:jc w:val="center"/>
              <w:rPr>
                <w:rFonts w:ascii="宋体" w:hAnsi="宋体" w:cs="宋体"/>
              </w:rPr>
            </w:pPr>
            <w:r>
              <w:rPr>
                <w:rFonts w:ascii="宋体" w:hAnsi="宋体" w:cs="宋体"/>
              </w:rPr>
              <w:t>AWA6221B</w:t>
            </w:r>
          </w:p>
        </w:tc>
        <w:tc>
          <w:tcPr>
            <w:tcW w:w="2091" w:type="dxa"/>
            <w:vAlign w:val="center"/>
          </w:tcPr>
          <w:p>
            <w:pPr>
              <w:jc w:val="center"/>
              <w:rPr>
                <w:rFonts w:ascii="宋体"/>
              </w:rPr>
            </w:pPr>
            <w:r>
              <w:rPr>
                <w:rFonts w:ascii="宋体" w:hAnsi="宋体" w:cs="宋体"/>
              </w:rPr>
              <w:t>35-130dB</w:t>
            </w:r>
            <w:r>
              <w:rPr>
                <w:rFonts w:hint="eastAsia" w:ascii="宋体" w:hAnsi="宋体" w:cs="宋体"/>
              </w:rPr>
              <w:t>（</w:t>
            </w:r>
            <w:r>
              <w:rPr>
                <w:rFonts w:ascii="宋体" w:hAnsi="宋体" w:cs="宋体"/>
              </w:rPr>
              <w:t>A</w:t>
            </w:r>
            <w:r>
              <w:rPr>
                <w:rFonts w:hint="eastAsia" w:ascii="宋体" w:hAnsi="宋体" w:cs="宋体"/>
              </w:rPr>
              <w:t>）</w:t>
            </w:r>
          </w:p>
        </w:tc>
        <w:tc>
          <w:tcPr>
            <w:tcW w:w="1536" w:type="dxa"/>
            <w:vAlign w:val="center"/>
          </w:tcPr>
          <w:p>
            <w:pPr>
              <w:jc w:val="center"/>
              <w:rPr>
                <w:rFonts w:ascii="宋体" w:hAnsi="宋体" w:cs="宋体"/>
              </w:rPr>
            </w:pPr>
            <w:r>
              <w:rPr>
                <w:rFonts w:ascii="宋体" w:hAnsi="宋体" w:cs="宋体"/>
              </w:rPr>
              <w:t>201</w:t>
            </w:r>
            <w:r>
              <w:rPr>
                <w:rFonts w:hint="eastAsia" w:ascii="宋体" w:hAnsi="宋体" w:cs="宋体"/>
              </w:rPr>
              <w:t>7</w:t>
            </w:r>
            <w:r>
              <w:rPr>
                <w:rFonts w:ascii="宋体" w:hAnsi="宋体" w:cs="宋体"/>
              </w:rPr>
              <w:t>.</w:t>
            </w:r>
            <w:r>
              <w:rPr>
                <w:rFonts w:hint="eastAsia" w:ascii="宋体" w:hAnsi="宋体" w:cs="宋体"/>
              </w:rPr>
              <w:t>7</w:t>
            </w:r>
            <w:r>
              <w:rPr>
                <w:rFonts w:ascii="宋体" w:hAnsi="宋体" w:cs="宋体"/>
              </w:rPr>
              <w:t>.01</w:t>
            </w:r>
          </w:p>
        </w:tc>
      </w:tr>
    </w:tbl>
    <w:p>
      <w:pPr>
        <w:pStyle w:val="17"/>
        <w:spacing w:line="360" w:lineRule="auto"/>
        <w:ind w:left="0"/>
        <w:outlineLvl w:val="0"/>
        <w:rPr>
          <w:rFonts w:ascii="宋体" w:hAnsi="宋体" w:cs="宋体"/>
          <w:b/>
          <w:bCs/>
          <w:sz w:val="28"/>
          <w:szCs w:val="28"/>
          <w:lang w:eastAsia="zh-CN"/>
        </w:rPr>
      </w:pPr>
      <w:r>
        <w:rPr>
          <w:rFonts w:hint="eastAsia" w:cs="仿宋_GB2312" w:asciiTheme="minorEastAsia" w:hAnsiTheme="minorEastAsia" w:eastAsiaTheme="minorEastAsia"/>
          <w:b/>
          <w:sz w:val="28"/>
          <w:szCs w:val="28"/>
        </w:rPr>
        <w:t>4.6</w:t>
      </w:r>
      <w:r>
        <w:rPr>
          <w:rFonts w:hint="eastAsia" w:ascii="宋体" w:hAnsi="宋体" w:cs="宋体"/>
          <w:b/>
          <w:bCs/>
          <w:sz w:val="28"/>
          <w:szCs w:val="28"/>
          <w:lang w:eastAsia="zh-CN"/>
        </w:rPr>
        <w:t>监测点位布设</w:t>
      </w:r>
    </w:p>
    <w:p>
      <w:pPr>
        <w:pStyle w:val="17"/>
        <w:spacing w:line="360" w:lineRule="auto"/>
        <w:ind w:left="0"/>
        <w:outlineLvl w:val="0"/>
        <w:rPr>
          <w:rFonts w:ascii="宋体" w:hAnsi="宋体" w:cs="宋体"/>
          <w:bCs/>
          <w:sz w:val="28"/>
          <w:szCs w:val="28"/>
          <w:lang w:eastAsia="zh-CN"/>
        </w:rPr>
      </w:pPr>
      <w:r>
        <w:rPr>
          <w:rFonts w:hint="eastAsia" w:ascii="宋体" w:hAnsi="宋体" w:cs="宋体"/>
          <w:bCs/>
          <w:sz w:val="28"/>
          <w:szCs w:val="28"/>
          <w:lang w:eastAsia="zh-CN"/>
        </w:rPr>
        <w:t>无组织废气和厂界噪声监测点位布设图见图4-1，有组织废气和废水点位不布设图见图4-2。</w:t>
      </w:r>
    </w:p>
    <w:p>
      <w:pPr>
        <w:pStyle w:val="19"/>
        <w:spacing w:line="360" w:lineRule="auto"/>
        <w:rPr>
          <w:rFonts w:hint="default" w:cs="仿宋_GB2312" w:asciiTheme="minorEastAsia" w:hAnsiTheme="minorEastAsia" w:eastAsiaTheme="minorEastAsia"/>
          <w:b/>
          <w:sz w:val="28"/>
          <w:szCs w:val="28"/>
        </w:rPr>
        <w:sectPr>
          <w:pgSz w:w="11906" w:h="16838"/>
          <w:pgMar w:top="1701" w:right="1474" w:bottom="1701" w:left="1588" w:header="851" w:footer="992" w:gutter="0"/>
          <w:cols w:space="425" w:num="1"/>
          <w:docGrid w:type="lines" w:linePitch="312" w:charSpace="0"/>
        </w:sectPr>
      </w:pPr>
    </w:p>
    <w:p>
      <w:pPr>
        <w:pStyle w:val="19"/>
        <w:spacing w:line="360" w:lineRule="auto"/>
        <w:rPr>
          <w:rFonts w:hint="default" w:cs="仿宋_GB2312" w:asciiTheme="minorEastAsia" w:hAnsiTheme="minorEastAsia" w:eastAsiaTheme="minorEastAsia"/>
          <w:b/>
          <w:sz w:val="28"/>
          <w:szCs w:val="28"/>
        </w:rPr>
        <w:sectPr>
          <w:pgSz w:w="16838" w:h="11906" w:orient="landscape"/>
          <w:pgMar w:top="1474" w:right="1701" w:bottom="1588" w:left="1701" w:header="851" w:footer="992" w:gutter="0"/>
          <w:cols w:space="425" w:num="1"/>
          <w:docGrid w:type="linesAndChars" w:linePitch="312" w:charSpace="0"/>
        </w:sectPr>
      </w:pPr>
      <w:r>
        <w:rPr>
          <w:rFonts w:hint="default" w:hAnsi="宋体" w:cs="宋体"/>
          <w:b/>
          <w:bCs/>
          <w:sz w:val="28"/>
          <w:szCs w:val="28"/>
        </w:rPr>
        <mc:AlternateContent>
          <mc:Choice Requires="wps">
            <w:drawing>
              <wp:anchor distT="0" distB="0" distL="114300" distR="114300" simplePos="0" relativeHeight="1024" behindDoc="0" locked="0" layoutInCell="1" allowOverlap="1">
                <wp:simplePos x="0" y="0"/>
                <wp:positionH relativeFrom="column">
                  <wp:posOffset>2636520</wp:posOffset>
                </wp:positionH>
                <wp:positionV relativeFrom="paragraph">
                  <wp:posOffset>5610860</wp:posOffset>
                </wp:positionV>
                <wp:extent cx="3411855" cy="289560"/>
                <wp:effectExtent l="0" t="0" r="0" b="0"/>
                <wp:wrapNone/>
                <wp:docPr id="1" name="文本框 33"/>
                <wp:cNvGraphicFramePr/>
                <a:graphic xmlns:a="http://schemas.openxmlformats.org/drawingml/2006/main">
                  <a:graphicData uri="http://schemas.microsoft.com/office/word/2010/wordprocessingShape">
                    <wps:wsp>
                      <wps:cNvSpPr txBox="1"/>
                      <wps:spPr>
                        <a:xfrm>
                          <a:off x="0" y="0"/>
                          <a:ext cx="3411855" cy="289560"/>
                        </a:xfrm>
                        <a:prstGeom prst="rect">
                          <a:avLst/>
                        </a:prstGeom>
                        <a:noFill/>
                        <a:ln w="9525">
                          <a:noFill/>
                        </a:ln>
                      </wps:spPr>
                      <wps:txbx>
                        <w:txbxContent>
                          <w:p>
                            <w:pPr>
                              <w:rPr>
                                <w:color w:val="000000"/>
                              </w:rPr>
                            </w:pPr>
                            <w:r>
                              <w:rPr>
                                <w:rFonts w:hint="eastAsia"/>
                                <w:b/>
                                <w:color w:val="000000"/>
                              </w:rPr>
                              <w:t xml:space="preserve">图4-1 </w:t>
                            </w:r>
                            <w:r>
                              <w:rPr>
                                <w:rFonts w:hint="eastAsia"/>
                                <w:color w:val="000000"/>
                              </w:rPr>
                              <w:t xml:space="preserve"> </w:t>
                            </w:r>
                            <w:r>
                              <w:rPr>
                                <w:rFonts w:hint="eastAsia" w:ascii="宋体" w:hAnsi="宋体" w:cs="宋体"/>
                                <w:b/>
                                <w:bCs/>
                                <w:color w:val="000000"/>
                              </w:rPr>
                              <w:t>无组织废气和厂界噪声监测点位布设图</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33" o:spid="_x0000_s1026" o:spt="202" type="#_x0000_t202" style="position:absolute;left:0pt;margin-left:207.6pt;margin-top:441.8pt;height:22.8pt;width:268.65pt;z-index:1024;mso-width-relative:margin;mso-height-relative:margin;mso-width-percent:400;mso-height-percent:200;" filled="f" stroked="f" coordsize="21600,21600" o:gfxdata="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9+3lnZAAAACwEA&#10;AA8AAAAAAAAAAQAgAAAAIgAAAGRycy9kb3ducmV2LnhtbFBLAQIUABQAAAAIAIdO4kAQ/54apwEA&#10;ACQDAAAOAAAAAAAAAAEAIAAAACgBAABkcnMvZTJvRG9jLnhtbFBLBQYAAAAABgAGAFkBAABBBQAA&#10;AAA=&#10;">
                <v:fill on="f" focussize="0,0"/>
                <v:stroke on="f"/>
                <v:imagedata o:title=""/>
                <o:lock v:ext="edit" aspectratio="f"/>
                <v:textbox style="mso-fit-shape-to-text:t;">
                  <w:txbxContent>
                    <w:p>
                      <w:pPr>
                        <w:rPr>
                          <w:color w:val="000000"/>
                        </w:rPr>
                      </w:pPr>
                      <w:r>
                        <w:rPr>
                          <w:rFonts w:hint="eastAsia"/>
                          <w:b/>
                          <w:color w:val="000000"/>
                        </w:rPr>
                        <w:t xml:space="preserve">图4-1 </w:t>
                      </w:r>
                      <w:r>
                        <w:rPr>
                          <w:rFonts w:hint="eastAsia"/>
                          <w:color w:val="000000"/>
                        </w:rPr>
                        <w:t xml:space="preserve"> </w:t>
                      </w:r>
                      <w:r>
                        <w:rPr>
                          <w:rFonts w:hint="eastAsia" w:ascii="宋体" w:hAnsi="宋体" w:cs="宋体"/>
                          <w:b/>
                          <w:bCs/>
                          <w:color w:val="000000"/>
                        </w:rPr>
                        <w:t>无组织废气和厂界噪声监测点位布设图</w:t>
                      </w:r>
                    </w:p>
                  </w:txbxContent>
                </v:textbox>
              </v:shape>
            </w:pict>
          </mc:Fallback>
        </mc:AlternateContent>
      </w:r>
      <w:r>
        <w:rPr>
          <w:rFonts w:hAnsi="宋体" w:cs="宋体"/>
          <w:b/>
          <w:bCs/>
          <w:sz w:val="28"/>
          <w:szCs w:val="28"/>
        </w:rPr>
        <w:drawing>
          <wp:inline distT="0" distB="0" distL="114300" distR="114300">
            <wp:extent cx="8956675" cy="6002020"/>
            <wp:effectExtent l="0" t="0" r="4445" b="2540"/>
            <wp:docPr id="3" name="图片 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4-1"/>
                    <pic:cNvPicPr>
                      <a:picLocks noChangeAspect="1"/>
                    </pic:cNvPicPr>
                  </pic:nvPicPr>
                  <pic:blipFill>
                    <a:blip r:embed="rId6"/>
                    <a:stretch>
                      <a:fillRect/>
                    </a:stretch>
                  </pic:blipFill>
                  <pic:spPr>
                    <a:xfrm>
                      <a:off x="0" y="0"/>
                      <a:ext cx="8956675" cy="6002020"/>
                    </a:xfrm>
                    <a:prstGeom prst="rect">
                      <a:avLst/>
                    </a:prstGeom>
                    <a:noFill/>
                    <a:ln w="9525">
                      <a:noFill/>
                    </a:ln>
                  </pic:spPr>
                </pic:pic>
              </a:graphicData>
            </a:graphic>
          </wp:inline>
        </w:drawing>
      </w:r>
    </w:p>
    <w:p>
      <w:pPr>
        <w:pStyle w:val="17"/>
        <w:spacing w:line="360" w:lineRule="auto"/>
        <w:ind w:left="0"/>
        <w:outlineLvl w:val="0"/>
        <w:rPr>
          <w:rFonts w:cs="宋体" w:asciiTheme="minorEastAsia" w:hAnsiTheme="minorEastAsia" w:eastAsiaTheme="minorEastAsia"/>
          <w:b/>
          <w:sz w:val="28"/>
          <w:szCs w:val="28"/>
          <w:lang w:eastAsia="zh-CN"/>
        </w:rPr>
        <w:sectPr>
          <w:pgSz w:w="16838" w:h="11906" w:orient="landscape"/>
          <w:pgMar w:top="1474" w:right="1701" w:bottom="1588" w:left="1701" w:header="851" w:footer="992" w:gutter="0"/>
          <w:cols w:space="425" w:num="1"/>
          <w:docGrid w:type="linesAndChars" w:linePitch="312" w:charSpace="0"/>
        </w:sectPr>
      </w:pPr>
      <w:r>
        <w:rPr>
          <w:rFonts w:ascii="宋体" w:hAnsi="宋体" w:cs="宋体"/>
          <w:b/>
          <w:bCs/>
          <w:sz w:val="28"/>
          <w:szCs w:val="28"/>
          <w:lang w:eastAsia="zh-CN"/>
        </w:rPr>
        <mc:AlternateContent>
          <mc:Choice Requires="wps">
            <w:drawing>
              <wp:anchor distT="0" distB="0" distL="114300" distR="114300" simplePos="0" relativeHeight="1024" behindDoc="0" locked="0" layoutInCell="1" allowOverlap="1">
                <wp:simplePos x="0" y="0"/>
                <wp:positionH relativeFrom="column">
                  <wp:posOffset>2519045</wp:posOffset>
                </wp:positionH>
                <wp:positionV relativeFrom="paragraph">
                  <wp:posOffset>5135880</wp:posOffset>
                </wp:positionV>
                <wp:extent cx="3313430" cy="365125"/>
                <wp:effectExtent l="0" t="0" r="8890" b="635"/>
                <wp:wrapNone/>
                <wp:docPr id="2" name="文本框 34"/>
                <wp:cNvGraphicFramePr/>
                <a:graphic xmlns:a="http://schemas.openxmlformats.org/drawingml/2006/main">
                  <a:graphicData uri="http://schemas.microsoft.com/office/word/2010/wordprocessingShape">
                    <wps:wsp>
                      <wps:cNvSpPr txBox="1"/>
                      <wps:spPr>
                        <a:xfrm>
                          <a:off x="0" y="0"/>
                          <a:ext cx="3313430" cy="365125"/>
                        </a:xfrm>
                        <a:prstGeom prst="rect">
                          <a:avLst/>
                        </a:prstGeom>
                        <a:solidFill>
                          <a:srgbClr val="FFFFFF"/>
                        </a:solidFill>
                        <a:ln w="9525">
                          <a:noFill/>
                        </a:ln>
                      </wps:spPr>
                      <wps:txbx>
                        <w:txbxContent>
                          <w:p>
                            <w:r>
                              <w:rPr>
                                <w:rFonts w:hint="eastAsia"/>
                                <w:b/>
                              </w:rPr>
                              <w:t xml:space="preserve">图4-2 </w:t>
                            </w:r>
                            <w:r>
                              <w:rPr>
                                <w:rFonts w:hint="eastAsia"/>
                              </w:rPr>
                              <w:t xml:space="preserve"> </w:t>
                            </w:r>
                            <w:r>
                              <w:rPr>
                                <w:rFonts w:hint="eastAsia" w:ascii="宋体" w:hAnsi="宋体" w:cs="宋体"/>
                                <w:b/>
                                <w:bCs/>
                              </w:rPr>
                              <w:t>有组织废气和废水监测点位布设图</w:t>
                            </w:r>
                          </w:p>
                          <w:p/>
                        </w:txbxContent>
                      </wps:txbx>
                      <wps:bodyPr upright="1"/>
                    </wps:wsp>
                  </a:graphicData>
                </a:graphic>
              </wp:anchor>
            </w:drawing>
          </mc:Choice>
          <mc:Fallback>
            <w:pict>
              <v:shape id="文本框 34" o:spid="_x0000_s1026" o:spt="202" type="#_x0000_t202" style="position:absolute;left:0pt;margin-left:198.35pt;margin-top:404.4pt;height:28.75pt;width:260.9pt;z-index:1024;mso-width-relative:page;mso-height-relative:page;" fillcolor="#FFFFFF" filled="t" stroked="f" coordsize="21600,21600" o:gfxdata="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JU7u/Z&#10;AAAACwEAAA8AAAAAAAAAAQAgAAAAIgAAAGRycy9kb3ducmV2LnhtbFBLAQIUABQAAAAIAIdO4kBt&#10;K1lKrQEAADMDAAAOAAAAAAAAAAEAIAAAACgBAABkcnMvZTJvRG9jLnhtbFBLBQYAAAAABgAGAFkB&#10;AABHBQAAAAA=&#10;">
                <v:fill on="t" focussize="0,0"/>
                <v:stroke on="f"/>
                <v:imagedata o:title=""/>
                <o:lock v:ext="edit" aspectratio="f"/>
                <v:textbox>
                  <w:txbxContent>
                    <w:p>
                      <w:r>
                        <w:rPr>
                          <w:rFonts w:hint="eastAsia"/>
                          <w:b/>
                        </w:rPr>
                        <w:t xml:space="preserve">图4-2 </w:t>
                      </w:r>
                      <w:r>
                        <w:rPr>
                          <w:rFonts w:hint="eastAsia"/>
                        </w:rPr>
                        <w:t xml:space="preserve"> </w:t>
                      </w:r>
                      <w:r>
                        <w:rPr>
                          <w:rFonts w:hint="eastAsia" w:ascii="宋体" w:hAnsi="宋体" w:cs="宋体"/>
                          <w:b/>
                          <w:bCs/>
                        </w:rPr>
                        <w:t>有组织废气和废水监测点位布设图</w:t>
                      </w:r>
                    </w:p>
                    <w:p/>
                  </w:txbxContent>
                </v:textbox>
              </v:shape>
            </w:pict>
          </mc:Fallback>
        </mc:AlternateContent>
      </w:r>
      <w:r>
        <w:rPr>
          <w:rFonts w:ascii="宋体" w:hAnsi="宋体" w:cs="宋体"/>
          <w:b/>
          <w:bCs/>
          <w:sz w:val="28"/>
          <w:szCs w:val="28"/>
          <w:lang w:eastAsia="zh-CN"/>
        </w:rPr>
        <w:drawing>
          <wp:inline distT="0" distB="0" distL="114300" distR="114300">
            <wp:extent cx="8522970" cy="5339715"/>
            <wp:effectExtent l="0" t="0" r="11430" b="9525"/>
            <wp:docPr id="4" name="图片 3" descr="QQ图片2017090710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图片20170907103144"/>
                    <pic:cNvPicPr>
                      <a:picLocks noChangeAspect="1"/>
                    </pic:cNvPicPr>
                  </pic:nvPicPr>
                  <pic:blipFill>
                    <a:blip r:embed="rId7"/>
                    <a:stretch>
                      <a:fillRect/>
                    </a:stretch>
                  </pic:blipFill>
                  <pic:spPr>
                    <a:xfrm>
                      <a:off x="0" y="0"/>
                      <a:ext cx="8522970" cy="5339715"/>
                    </a:xfrm>
                    <a:prstGeom prst="rect">
                      <a:avLst/>
                    </a:prstGeom>
                    <a:noFill/>
                    <a:ln w="9525">
                      <a:noFill/>
                    </a:ln>
                  </pic:spPr>
                </pic:pic>
              </a:graphicData>
            </a:graphic>
          </wp:inline>
        </w:drawing>
      </w:r>
    </w:p>
    <w:p>
      <w:pPr>
        <w:pStyle w:val="17"/>
        <w:spacing w:line="360" w:lineRule="auto"/>
        <w:ind w:left="0"/>
        <w:outlineLvl w:val="0"/>
        <w:rPr>
          <w:rFonts w:ascii="宋体" w:hAnsi="宋体" w:cs="宋体"/>
          <w:b/>
          <w:bCs/>
          <w:sz w:val="28"/>
          <w:szCs w:val="28"/>
          <w:lang w:eastAsia="zh-CN"/>
        </w:rPr>
      </w:pPr>
      <w:r>
        <w:rPr>
          <w:rFonts w:hint="eastAsia" w:cs="宋体" w:asciiTheme="minorEastAsia" w:hAnsiTheme="minorEastAsia" w:eastAsiaTheme="minorEastAsia"/>
          <w:b/>
          <w:sz w:val="28"/>
          <w:szCs w:val="28"/>
        </w:rPr>
        <w:t>5.</w:t>
      </w:r>
      <w:r>
        <w:rPr>
          <w:rFonts w:hint="eastAsia" w:ascii="宋体" w:hAnsi="宋体" w:cs="宋体"/>
          <w:b/>
          <w:bCs/>
          <w:sz w:val="28"/>
          <w:szCs w:val="28"/>
          <w:lang w:eastAsia="zh-CN"/>
        </w:rPr>
        <w:t xml:space="preserve"> 执行标准</w:t>
      </w:r>
    </w:p>
    <w:p>
      <w:pPr>
        <w:tabs>
          <w:tab w:val="left" w:pos="860"/>
        </w:tabs>
        <w:spacing w:line="360" w:lineRule="auto"/>
        <w:rPr>
          <w:rFonts w:ascii="宋体"/>
          <w:b/>
          <w:bCs/>
          <w:sz w:val="28"/>
          <w:szCs w:val="28"/>
        </w:rPr>
      </w:pPr>
      <w:r>
        <w:rPr>
          <w:rFonts w:hint="eastAsia" w:ascii="宋体" w:hAnsi="宋体" w:cs="宋体"/>
          <w:b/>
          <w:bCs/>
          <w:sz w:val="28"/>
          <w:szCs w:val="28"/>
        </w:rPr>
        <w:t>5.1废气排放标准</w:t>
      </w:r>
    </w:p>
    <w:p>
      <w:pPr>
        <w:tabs>
          <w:tab w:val="left" w:pos="860"/>
        </w:tabs>
        <w:spacing w:line="360" w:lineRule="auto"/>
        <w:ind w:firstLine="560" w:firstLineChars="200"/>
        <w:rPr>
          <w:rFonts w:ascii="宋体"/>
          <w:sz w:val="28"/>
          <w:szCs w:val="28"/>
        </w:rPr>
      </w:pPr>
      <w:r>
        <w:rPr>
          <w:rFonts w:hint="eastAsia" w:ascii="宋体" w:hAnsi="宋体" w:cs="宋体"/>
          <w:sz w:val="28"/>
          <w:szCs w:val="28"/>
        </w:rPr>
        <w:t>本次监测有组织废气</w:t>
      </w:r>
      <w:r>
        <w:rPr>
          <w:rFonts w:hint="eastAsia" w:ascii="宋体" w:hAnsi="宋体" w:cs="宋体"/>
          <w:sz w:val="28"/>
          <w:szCs w:val="28"/>
          <w:lang w:eastAsia="zh-CN"/>
        </w:rPr>
        <w:t>分别</w:t>
      </w:r>
      <w:r>
        <w:rPr>
          <w:rFonts w:hint="eastAsia" w:ascii="宋体" w:hAnsi="宋体" w:cs="宋体"/>
          <w:bCs/>
          <w:sz w:val="28"/>
          <w:szCs w:val="28"/>
        </w:rPr>
        <w:t>执行《大气污染物综合排放标准》（GB16297-1996）</w:t>
      </w:r>
      <w:r>
        <w:rPr>
          <w:rFonts w:hint="eastAsia" w:ascii="宋体" w:hAnsi="宋体" w:cs="宋体"/>
          <w:bCs/>
          <w:sz w:val="28"/>
          <w:szCs w:val="28"/>
          <w:lang w:eastAsia="zh-CN"/>
        </w:rPr>
        <w:t>、</w:t>
      </w:r>
      <w:r>
        <w:rPr>
          <w:rFonts w:hint="eastAsia" w:ascii="宋体" w:hAnsi="宋体" w:cs="宋体"/>
          <w:bCs/>
          <w:sz w:val="28"/>
          <w:szCs w:val="28"/>
        </w:rPr>
        <w:t>《</w:t>
      </w:r>
      <w:r>
        <w:rPr>
          <w:rFonts w:hint="eastAsia" w:ascii="宋体" w:hAnsi="宋体" w:cs="宋体"/>
          <w:bCs/>
          <w:sz w:val="28"/>
          <w:szCs w:val="28"/>
          <w:lang w:eastAsia="zh-CN"/>
        </w:rPr>
        <w:t>恶臭污染物排放标准</w:t>
      </w:r>
      <w:r>
        <w:rPr>
          <w:rFonts w:hint="eastAsia" w:ascii="宋体" w:hAnsi="宋体" w:cs="宋体"/>
          <w:bCs/>
          <w:sz w:val="28"/>
          <w:szCs w:val="28"/>
        </w:rPr>
        <w:t>》（GB1</w:t>
      </w:r>
      <w:r>
        <w:rPr>
          <w:rFonts w:hint="eastAsia" w:ascii="宋体" w:hAnsi="宋体" w:cs="宋体"/>
          <w:bCs/>
          <w:sz w:val="28"/>
          <w:szCs w:val="28"/>
          <w:lang w:val="en-US" w:eastAsia="zh-CN"/>
        </w:rPr>
        <w:t>4554</w:t>
      </w:r>
      <w:r>
        <w:rPr>
          <w:rFonts w:hint="eastAsia" w:ascii="宋体" w:hAnsi="宋体" w:cs="宋体"/>
          <w:bCs/>
          <w:sz w:val="28"/>
          <w:szCs w:val="28"/>
        </w:rPr>
        <w:t>-</w:t>
      </w:r>
      <w:r>
        <w:rPr>
          <w:rFonts w:hint="eastAsia" w:ascii="宋体" w:hAnsi="宋体" w:cs="宋体"/>
          <w:bCs/>
          <w:sz w:val="28"/>
          <w:szCs w:val="28"/>
          <w:lang w:val="en-US" w:eastAsia="zh-CN"/>
        </w:rPr>
        <w:t>93）和</w:t>
      </w:r>
      <w:r>
        <w:rPr>
          <w:rFonts w:hint="eastAsia" w:ascii="宋体" w:hAnsi="宋体" w:cs="宋体"/>
          <w:bCs/>
          <w:sz w:val="28"/>
          <w:szCs w:val="28"/>
        </w:rPr>
        <w:t>《</w:t>
      </w:r>
      <w:r>
        <w:rPr>
          <w:rFonts w:hint="eastAsia" w:ascii="宋体" w:hAnsi="宋体" w:cs="宋体"/>
          <w:bCs/>
          <w:sz w:val="28"/>
          <w:szCs w:val="28"/>
          <w:lang w:eastAsia="zh-CN"/>
        </w:rPr>
        <w:t>危险废物焚烧控制标准</w:t>
      </w:r>
      <w:r>
        <w:rPr>
          <w:rFonts w:hint="eastAsia" w:ascii="宋体" w:hAnsi="宋体" w:cs="宋体"/>
          <w:bCs/>
          <w:sz w:val="28"/>
          <w:szCs w:val="28"/>
        </w:rPr>
        <w:t>》（GB</w:t>
      </w:r>
      <w:r>
        <w:rPr>
          <w:rFonts w:hint="eastAsia" w:ascii="宋体" w:hAnsi="宋体" w:cs="宋体"/>
          <w:bCs/>
          <w:sz w:val="28"/>
          <w:szCs w:val="28"/>
          <w:lang w:val="en-US" w:eastAsia="zh-CN"/>
        </w:rPr>
        <w:t>18484-2001</w:t>
      </w:r>
      <w:r>
        <w:rPr>
          <w:rFonts w:hint="eastAsia" w:ascii="宋体" w:hAnsi="宋体" w:cs="宋体"/>
          <w:bCs/>
          <w:sz w:val="28"/>
          <w:szCs w:val="28"/>
        </w:rPr>
        <w:t>）</w:t>
      </w:r>
      <w:r>
        <w:rPr>
          <w:rFonts w:hint="eastAsia" w:ascii="宋体" w:hAnsi="宋体" w:cs="宋体"/>
          <w:bCs/>
          <w:sz w:val="28"/>
          <w:szCs w:val="28"/>
          <w:lang w:eastAsia="zh-CN"/>
        </w:rPr>
        <w:t>标准限制</w:t>
      </w:r>
      <w:r>
        <w:rPr>
          <w:rFonts w:hint="eastAsia" w:ascii="宋体" w:hAnsi="宋体" w:cs="宋体"/>
          <w:bCs/>
          <w:sz w:val="28"/>
          <w:szCs w:val="28"/>
        </w:rPr>
        <w:t>，</w:t>
      </w:r>
      <w:r>
        <w:rPr>
          <w:rFonts w:hint="eastAsia" w:ascii="宋体" w:hAnsi="宋体" w:cs="宋体"/>
          <w:bCs/>
          <w:sz w:val="28"/>
          <w:szCs w:val="28"/>
          <w:lang w:eastAsia="zh-CN"/>
        </w:rPr>
        <w:t>无组织</w:t>
      </w:r>
      <w:r>
        <w:rPr>
          <w:rFonts w:hint="eastAsia" w:ascii="宋体" w:hAnsi="宋体" w:cs="宋体"/>
          <w:bCs/>
          <w:sz w:val="28"/>
          <w:szCs w:val="28"/>
        </w:rPr>
        <w:t>废气执行《大气污染物综合排放标准》（GB16297-1996）</w:t>
      </w:r>
      <w:r>
        <w:rPr>
          <w:rFonts w:hint="eastAsia" w:ascii="宋体" w:hAnsi="宋体" w:cs="宋体"/>
          <w:bCs/>
          <w:sz w:val="28"/>
          <w:szCs w:val="28"/>
          <w:lang w:eastAsia="zh-CN"/>
        </w:rPr>
        <w:t>和</w:t>
      </w:r>
      <w:r>
        <w:rPr>
          <w:rFonts w:hint="eastAsia" w:ascii="宋体" w:hAnsi="宋体" w:cs="宋体"/>
          <w:bCs/>
          <w:sz w:val="28"/>
          <w:szCs w:val="28"/>
        </w:rPr>
        <w:t>《</w:t>
      </w:r>
      <w:r>
        <w:rPr>
          <w:rFonts w:hint="eastAsia" w:ascii="宋体" w:hAnsi="宋体" w:cs="宋体"/>
          <w:bCs/>
          <w:sz w:val="28"/>
          <w:szCs w:val="28"/>
          <w:lang w:eastAsia="zh-CN"/>
        </w:rPr>
        <w:t>恶臭污染物排放标准</w:t>
      </w:r>
      <w:r>
        <w:rPr>
          <w:rFonts w:hint="eastAsia" w:ascii="宋体" w:hAnsi="宋体" w:cs="宋体"/>
          <w:bCs/>
          <w:sz w:val="28"/>
          <w:szCs w:val="28"/>
        </w:rPr>
        <w:t>》（GB1</w:t>
      </w:r>
      <w:r>
        <w:rPr>
          <w:rFonts w:hint="eastAsia" w:ascii="宋体" w:hAnsi="宋体" w:cs="宋体"/>
          <w:bCs/>
          <w:sz w:val="28"/>
          <w:szCs w:val="28"/>
          <w:lang w:val="en-US" w:eastAsia="zh-CN"/>
        </w:rPr>
        <w:t>4554</w:t>
      </w:r>
      <w:r>
        <w:rPr>
          <w:rFonts w:hint="eastAsia" w:ascii="宋体" w:hAnsi="宋体" w:cs="宋体"/>
          <w:bCs/>
          <w:sz w:val="28"/>
          <w:szCs w:val="28"/>
        </w:rPr>
        <w:t>-</w:t>
      </w:r>
      <w:r>
        <w:rPr>
          <w:rFonts w:hint="eastAsia" w:ascii="宋体" w:hAnsi="宋体" w:cs="宋体"/>
          <w:bCs/>
          <w:sz w:val="28"/>
          <w:szCs w:val="28"/>
          <w:lang w:val="en-US" w:eastAsia="zh-CN"/>
        </w:rPr>
        <w:t>93）</w:t>
      </w:r>
      <w:r>
        <w:rPr>
          <w:rFonts w:hint="eastAsia" w:ascii="宋体" w:hAnsi="宋体" w:cs="宋体"/>
          <w:bCs/>
          <w:sz w:val="28"/>
          <w:szCs w:val="28"/>
        </w:rPr>
        <w:t>标准限值，详见表5-1。</w:t>
      </w:r>
    </w:p>
    <w:p>
      <w:pPr>
        <w:tabs>
          <w:tab w:val="left" w:pos="860"/>
        </w:tabs>
        <w:ind w:firstLine="482"/>
        <w:jc w:val="center"/>
        <w:rPr>
          <w:rFonts w:ascii="宋体" w:hAnsi="宋体" w:cs="宋体"/>
          <w:b/>
          <w:bCs/>
          <w:sz w:val="24"/>
          <w:szCs w:val="24"/>
        </w:rPr>
      </w:pPr>
    </w:p>
    <w:p>
      <w:pPr>
        <w:tabs>
          <w:tab w:val="left" w:pos="860"/>
        </w:tabs>
        <w:ind w:firstLine="482"/>
        <w:jc w:val="center"/>
        <w:rPr>
          <w:rFonts w:ascii="宋体" w:hAnsi="宋体" w:cs="宋体"/>
          <w:b/>
          <w:bCs/>
          <w:sz w:val="24"/>
          <w:szCs w:val="24"/>
        </w:rPr>
      </w:pPr>
    </w:p>
    <w:p>
      <w:pPr>
        <w:tabs>
          <w:tab w:val="left" w:pos="860"/>
        </w:tabs>
        <w:ind w:firstLine="482"/>
        <w:jc w:val="center"/>
        <w:rPr>
          <w:rFonts w:ascii="宋体" w:hAnsi="宋体" w:cs="宋体"/>
          <w:b/>
          <w:bCs/>
          <w:sz w:val="24"/>
          <w:szCs w:val="24"/>
        </w:rPr>
      </w:pPr>
      <w:r>
        <w:rPr>
          <w:rFonts w:hint="eastAsia" w:ascii="宋体" w:hAnsi="宋体" w:cs="宋体"/>
          <w:b/>
          <w:bCs/>
          <w:sz w:val="24"/>
          <w:szCs w:val="24"/>
        </w:rPr>
        <w:t>表5</w:t>
      </w:r>
      <w:r>
        <w:rPr>
          <w:rFonts w:ascii="宋体" w:hAnsi="宋体" w:cs="宋体"/>
          <w:b/>
          <w:bCs/>
          <w:sz w:val="24"/>
          <w:szCs w:val="24"/>
        </w:rPr>
        <w:t xml:space="preserve">-1     </w:t>
      </w:r>
      <w:r>
        <w:rPr>
          <w:rFonts w:hint="eastAsia" w:ascii="宋体" w:hAnsi="宋体" w:cs="宋体"/>
          <w:b/>
          <w:bCs/>
          <w:sz w:val="24"/>
          <w:szCs w:val="24"/>
        </w:rPr>
        <w:t>废气污染物排放执行标准</w:t>
      </w:r>
    </w:p>
    <w:tbl>
      <w:tblPr>
        <w:tblStyle w:val="8"/>
        <w:tblW w:w="878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781"/>
        <w:gridCol w:w="1570"/>
        <w:gridCol w:w="1507"/>
        <w:gridCol w:w="25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b/>
                <w:color w:val="000000"/>
                <w:kern w:val="0"/>
              </w:rPr>
            </w:pPr>
            <w:r>
              <w:rPr>
                <w:rFonts w:hint="eastAsia" w:cs="宋体" w:asciiTheme="minorEastAsia" w:hAnsiTheme="minorEastAsia" w:eastAsiaTheme="minorEastAsia"/>
                <w:b/>
                <w:color w:val="000000"/>
                <w:kern w:val="0"/>
              </w:rPr>
              <w:t>废气类型</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b/>
                <w:color w:val="000000"/>
                <w:kern w:val="0"/>
              </w:rPr>
            </w:pPr>
            <w:r>
              <w:rPr>
                <w:rFonts w:hint="eastAsia" w:cs="宋体" w:asciiTheme="minorEastAsia" w:hAnsiTheme="minorEastAsia" w:eastAsiaTheme="minorEastAsia"/>
                <w:b/>
                <w:color w:val="000000"/>
                <w:kern w:val="0"/>
              </w:rPr>
              <w:t>监测点位</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b/>
                <w:color w:val="000000"/>
                <w:kern w:val="0"/>
              </w:rPr>
            </w:pPr>
            <w:r>
              <w:rPr>
                <w:rFonts w:hint="eastAsia" w:cs="宋体" w:asciiTheme="minorEastAsia" w:hAnsiTheme="minorEastAsia" w:eastAsiaTheme="minorEastAsia"/>
                <w:b/>
                <w:color w:val="000000"/>
                <w:kern w:val="0"/>
              </w:rPr>
              <w:t>监测项目</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b/>
                <w:color w:val="000000"/>
                <w:kern w:val="0"/>
                <w:lang w:eastAsia="zh-CN"/>
              </w:rPr>
            </w:pPr>
            <w:r>
              <w:rPr>
                <w:rFonts w:hint="eastAsia" w:cs="宋体" w:asciiTheme="minorEastAsia" w:hAnsiTheme="minorEastAsia" w:eastAsiaTheme="minorEastAsia"/>
                <w:b/>
                <w:color w:val="000000"/>
                <w:kern w:val="0"/>
                <w:lang w:eastAsia="zh-CN"/>
              </w:rPr>
              <w:t>标准限制（</w:t>
            </w:r>
            <w:r>
              <w:rPr>
                <w:rFonts w:ascii="宋体" w:hAnsi="宋体" w:cs="宋体"/>
              </w:rPr>
              <w:t>mg/m</w:t>
            </w:r>
            <w:r>
              <w:rPr>
                <w:rFonts w:ascii="宋体" w:hAnsi="宋体" w:cs="宋体"/>
                <w:vertAlign w:val="superscript"/>
              </w:rPr>
              <w:t>3</w:t>
            </w:r>
            <w:r>
              <w:rPr>
                <w:rFonts w:hint="eastAsia" w:ascii="宋体" w:hAnsi="宋体" w:cs="宋体"/>
              </w:rPr>
              <w:t>）</w:t>
            </w:r>
          </w:p>
        </w:tc>
        <w:tc>
          <w:tcPr>
            <w:tcW w:w="257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b/>
                <w:color w:val="000000"/>
                <w:kern w:val="0"/>
              </w:rPr>
            </w:pPr>
            <w:r>
              <w:rPr>
                <w:rFonts w:hint="eastAsia" w:cs="宋体" w:asciiTheme="minorEastAsia" w:hAnsiTheme="minorEastAsia" w:eastAsiaTheme="minorEastAsia"/>
                <w:b/>
                <w:color w:val="000000"/>
                <w:kern w:val="0"/>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有组织废气</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kern w:val="0"/>
                <w:lang w:eastAsia="zh-CN"/>
              </w:rPr>
            </w:pPr>
            <w:r>
              <w:rPr>
                <w:rFonts w:hint="eastAsia" w:cs="宋体" w:asciiTheme="minorEastAsia" w:hAnsiTheme="minorEastAsia" w:eastAsiaTheme="minorEastAsia"/>
                <w:color w:val="000000"/>
                <w:kern w:val="0"/>
                <w:lang w:eastAsia="zh-CN"/>
              </w:rPr>
              <w:t>熔硫废气</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kern w:val="0"/>
                <w:lang w:eastAsia="zh-CN"/>
              </w:rPr>
            </w:pPr>
            <w:r>
              <w:rPr>
                <w:rFonts w:hint="eastAsia" w:asciiTheme="minorEastAsia" w:hAnsiTheme="minorEastAsia" w:eastAsiaTheme="minorEastAsia"/>
                <w:color w:val="000000"/>
                <w:lang w:eastAsia="zh-CN"/>
              </w:rPr>
              <w:t>颗粒物</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120</w:t>
            </w:r>
          </w:p>
        </w:tc>
        <w:tc>
          <w:tcPr>
            <w:tcW w:w="257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r>
              <w:rPr>
                <w:rFonts w:hint="eastAsia" w:ascii="宋体" w:hAnsi="宋体" w:cs="宋体"/>
                <w:bCs/>
              </w:rPr>
              <w:t>《大气污染物综合排放标准》（GB16297-1996）</w:t>
            </w:r>
            <w:r>
              <w:rPr>
                <w:rFonts w:hint="eastAsia" w:ascii="宋体" w:hAnsi="宋体" w:cs="宋体"/>
                <w:bCs/>
                <w:lang w:eastAsia="zh-CN"/>
              </w:rPr>
              <w:t>表</w:t>
            </w:r>
            <w:r>
              <w:rPr>
                <w:rFonts w:hint="eastAsia" w:ascii="宋体" w:hAnsi="宋体" w:cs="宋体"/>
                <w:bCs/>
                <w:lang w:val="en-US" w:eastAsia="zh-CN"/>
              </w:rPr>
              <w:t>2二级标准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kern w:val="0"/>
                <w:lang w:eastAsia="zh-CN"/>
              </w:rPr>
            </w:pPr>
            <w:r>
              <w:rPr>
                <w:rFonts w:hint="eastAsia" w:cs="宋体" w:asciiTheme="minorEastAsia" w:hAnsiTheme="minorEastAsia" w:eastAsiaTheme="minorEastAsia"/>
                <w:color w:val="000000"/>
                <w:kern w:val="0"/>
                <w:lang w:eastAsia="zh-CN"/>
              </w:rPr>
              <w:t>克劳斯尾气</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lang w:eastAsia="zh-CN"/>
              </w:rPr>
            </w:pPr>
            <w:r>
              <w:rPr>
                <w:rFonts w:hint="eastAsia" w:cs="宋体" w:asciiTheme="minorEastAsia" w:hAnsiTheme="minorEastAsia" w:eastAsiaTheme="minorEastAsia"/>
                <w:color w:val="000000"/>
                <w:lang w:eastAsia="zh-CN"/>
              </w:rPr>
              <w:t>硫化氢</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w:t>
            </w:r>
          </w:p>
        </w:tc>
        <w:tc>
          <w:tcPr>
            <w:tcW w:w="257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r>
              <w:rPr>
                <w:rFonts w:hint="eastAsia" w:ascii="宋体" w:hAnsi="宋体" w:cs="宋体"/>
                <w:bCs/>
              </w:rPr>
              <w:t>《</w:t>
            </w:r>
            <w:r>
              <w:rPr>
                <w:rFonts w:hint="eastAsia" w:ascii="宋体" w:hAnsi="宋体" w:cs="宋体"/>
                <w:bCs/>
                <w:lang w:eastAsia="zh-CN"/>
              </w:rPr>
              <w:t>恶臭污染物排放标准</w:t>
            </w:r>
            <w:r>
              <w:rPr>
                <w:rFonts w:hint="eastAsia" w:ascii="宋体" w:hAnsi="宋体" w:cs="宋体"/>
                <w:bCs/>
              </w:rPr>
              <w:t>》（GB1</w:t>
            </w:r>
            <w:r>
              <w:rPr>
                <w:rFonts w:hint="eastAsia" w:ascii="宋体" w:hAnsi="宋体" w:cs="宋体"/>
                <w:bCs/>
                <w:lang w:val="en-US" w:eastAsia="zh-CN"/>
              </w:rPr>
              <w:t>4554</w:t>
            </w:r>
            <w:r>
              <w:rPr>
                <w:rFonts w:hint="eastAsia" w:ascii="宋体" w:hAnsi="宋体" w:cs="宋体"/>
                <w:bCs/>
              </w:rPr>
              <w:t>-</w:t>
            </w:r>
            <w:r>
              <w:rPr>
                <w:rFonts w:hint="eastAsia" w:ascii="宋体" w:hAnsi="宋体" w:cs="宋体"/>
                <w:bCs/>
                <w:lang w:val="en-US" w:eastAsia="zh-CN"/>
              </w:rPr>
              <w:t>93）表2标准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仿宋_GB2312" w:asciiTheme="minorEastAsia" w:hAnsiTheme="minorEastAsia" w:eastAsiaTheme="minorEastAsia"/>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氨</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仿宋_GB2312" w:asciiTheme="minorEastAsia" w:hAnsiTheme="minorEastAsia" w:eastAsiaTheme="minorEastAsia"/>
                <w:lang w:eastAsia="zh-CN"/>
              </w:rPr>
            </w:pPr>
            <w:r>
              <w:rPr>
                <w:rFonts w:hint="eastAsia" w:cs="仿宋_GB2312" w:asciiTheme="minorEastAsia" w:hAnsiTheme="minorEastAsia" w:eastAsiaTheme="minorEastAsia"/>
                <w:lang w:eastAsia="zh-CN"/>
              </w:rPr>
              <w:t>加热炉废气</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颗粒物</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120</w:t>
            </w:r>
          </w:p>
        </w:tc>
        <w:tc>
          <w:tcPr>
            <w:tcW w:w="257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r>
              <w:rPr>
                <w:rFonts w:hint="eastAsia" w:ascii="宋体" w:hAnsi="宋体" w:cs="宋体"/>
                <w:bCs/>
              </w:rPr>
              <w:t>《大气污染物综合排放标准》（GB16297-1996）</w:t>
            </w:r>
            <w:r>
              <w:rPr>
                <w:rFonts w:hint="eastAsia" w:ascii="宋体" w:hAnsi="宋体" w:cs="宋体"/>
                <w:bCs/>
                <w:lang w:eastAsia="zh-CN"/>
              </w:rPr>
              <w:t>表</w:t>
            </w:r>
            <w:r>
              <w:rPr>
                <w:rFonts w:hint="eastAsia" w:ascii="宋体" w:hAnsi="宋体" w:cs="宋体"/>
                <w:bCs/>
                <w:lang w:val="en-US" w:eastAsia="zh-CN"/>
              </w:rPr>
              <w:t>2二级标准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二氧化硫</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550</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kern w:val="0"/>
                <w:lang w:eastAsia="zh-CN"/>
              </w:rPr>
            </w:pPr>
            <w:r>
              <w:rPr>
                <w:rFonts w:hint="eastAsia" w:asciiTheme="minorEastAsia" w:hAnsiTheme="minorEastAsia" w:eastAsiaTheme="minorEastAsia"/>
                <w:color w:val="000000"/>
                <w:lang w:eastAsia="zh-CN"/>
              </w:rPr>
              <w:t>氮氧化物</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kern w:val="0"/>
                <w:lang w:val="en-US" w:eastAsia="zh-CN"/>
              </w:rPr>
            </w:pPr>
            <w:r>
              <w:rPr>
                <w:rFonts w:hint="eastAsia" w:cs="宋体" w:asciiTheme="minorEastAsia" w:hAnsiTheme="minorEastAsia" w:eastAsiaTheme="minorEastAsia"/>
                <w:color w:val="000000"/>
                <w:kern w:val="0"/>
                <w:lang w:val="en-US" w:eastAsia="zh-CN"/>
              </w:rPr>
              <w:t>240</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kern w:val="0"/>
                <w:lang w:eastAsia="zh-CN"/>
              </w:rPr>
            </w:pPr>
            <w:r>
              <w:rPr>
                <w:rFonts w:hint="eastAsia" w:cs="宋体" w:asciiTheme="minorEastAsia" w:hAnsiTheme="minorEastAsia" w:eastAsiaTheme="minorEastAsia"/>
                <w:color w:val="000000"/>
                <w:kern w:val="0"/>
                <w:lang w:eastAsia="zh-CN"/>
              </w:rPr>
              <w:t>硫化氢加热炉废气</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颗粒物</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120</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二氧化硫</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550</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氮氧化物</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240</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kern w:val="0"/>
                <w:lang w:val="en-US" w:eastAsia="zh-CN"/>
              </w:rPr>
            </w:pPr>
            <w:r>
              <w:rPr>
                <w:rFonts w:hint="eastAsia" w:cs="宋体" w:asciiTheme="minorEastAsia" w:hAnsiTheme="minorEastAsia" w:eastAsiaTheme="minorEastAsia"/>
                <w:color w:val="000000"/>
                <w:kern w:val="0"/>
                <w:lang w:val="en-US" w:eastAsia="zh-CN"/>
              </w:rPr>
              <w:t>氰化钠吸收塔尾气</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颗粒物</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120</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二氧化硫</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550</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氮氧化物</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240</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氰化氢</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1.9</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kern w:val="0"/>
                <w:lang w:eastAsia="zh-CN"/>
              </w:rPr>
            </w:pPr>
            <w:r>
              <w:rPr>
                <w:rFonts w:hint="eastAsia" w:cs="宋体" w:asciiTheme="minorEastAsia" w:hAnsiTheme="minorEastAsia" w:eastAsiaTheme="minorEastAsia"/>
                <w:color w:val="000000"/>
                <w:kern w:val="0"/>
                <w:lang w:eastAsia="zh-CN"/>
              </w:rPr>
              <w:t>硫铵干燥尾气</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颗粒物</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120</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kern w:val="0"/>
                <w:lang w:eastAsia="zh-CN"/>
              </w:rPr>
            </w:pPr>
            <w:r>
              <w:rPr>
                <w:rFonts w:hint="eastAsia" w:cs="宋体" w:asciiTheme="minorEastAsia" w:hAnsiTheme="minorEastAsia" w:eastAsiaTheme="minorEastAsia"/>
                <w:color w:val="000000"/>
                <w:kern w:val="0"/>
                <w:lang w:eastAsia="zh-CN"/>
              </w:rPr>
              <w:t>鳞板焚烧炉和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kern w:val="0"/>
                <w:lang w:eastAsia="zh-CN"/>
              </w:rPr>
            </w:pPr>
            <w:r>
              <w:rPr>
                <w:rFonts w:hint="eastAsia" w:cs="宋体" w:asciiTheme="minorEastAsia" w:hAnsiTheme="minorEastAsia" w:eastAsiaTheme="minorEastAsia"/>
                <w:color w:val="000000"/>
                <w:kern w:val="0"/>
                <w:lang w:eastAsia="zh-CN"/>
              </w:rPr>
              <w:t>废气、废液焚烧炉</w:t>
            </w:r>
            <w:bookmarkStart w:id="1" w:name="_GoBack"/>
            <w:bookmarkEnd w:id="1"/>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颗粒物</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80</w:t>
            </w:r>
          </w:p>
        </w:tc>
        <w:tc>
          <w:tcPr>
            <w:tcW w:w="257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r>
              <w:rPr>
                <w:rFonts w:hint="eastAsia" w:ascii="宋体" w:hAnsi="宋体" w:cs="宋体"/>
                <w:bCs/>
              </w:rPr>
              <w:t>《</w:t>
            </w:r>
            <w:r>
              <w:rPr>
                <w:rFonts w:hint="eastAsia" w:ascii="宋体" w:hAnsi="宋体" w:cs="宋体"/>
                <w:bCs/>
                <w:lang w:eastAsia="zh-CN"/>
              </w:rPr>
              <w:t>危险废物焚烧控制标准</w:t>
            </w:r>
            <w:r>
              <w:rPr>
                <w:rFonts w:hint="eastAsia" w:ascii="宋体" w:hAnsi="宋体" w:cs="宋体"/>
                <w:bCs/>
              </w:rPr>
              <w:t>》（GB</w:t>
            </w:r>
            <w:r>
              <w:rPr>
                <w:rFonts w:hint="eastAsia" w:ascii="宋体" w:hAnsi="宋体" w:cs="宋体"/>
                <w:bCs/>
                <w:lang w:val="en-US" w:eastAsia="zh-CN"/>
              </w:rPr>
              <w:t>18484-2001</w:t>
            </w:r>
            <w:r>
              <w:rPr>
                <w:rFonts w:hint="eastAsia" w:ascii="宋体" w:hAnsi="宋体" w:cs="宋体"/>
                <w:bCs/>
              </w:rPr>
              <w:t>）</w:t>
            </w:r>
            <w:r>
              <w:rPr>
                <w:rFonts w:hint="eastAsia" w:ascii="宋体" w:hAnsi="宋体" w:cs="宋体"/>
                <w:bCs/>
                <w:lang w:eastAsia="zh-CN"/>
              </w:rPr>
              <w:t>表</w:t>
            </w:r>
            <w:r>
              <w:rPr>
                <w:rFonts w:hint="eastAsia" w:ascii="宋体" w:hAnsi="宋体" w:cs="宋体"/>
                <w:bCs/>
                <w:lang w:val="en-US" w:eastAsia="zh-CN"/>
              </w:rPr>
              <w:t>3（300-2500kg/h)焚烧容量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二氧化硫</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300</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氮氧化物</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500</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二噁英</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0.5TEQng/m</w:t>
            </w:r>
            <w:r>
              <w:rPr>
                <w:rFonts w:hint="eastAsia" w:asciiTheme="minorEastAsia" w:hAnsiTheme="minorEastAsia" w:eastAsiaTheme="minorEastAsia"/>
                <w:color w:val="000000"/>
                <w:vertAlign w:val="superscript"/>
                <w:lang w:val="en-US" w:eastAsia="zh-CN"/>
              </w:rPr>
              <w:t>3</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kern w:val="0"/>
                <w:lang w:eastAsia="zh-CN"/>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一氧化碳</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80</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硫化氢</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w:t>
            </w:r>
          </w:p>
        </w:tc>
        <w:tc>
          <w:tcPr>
            <w:tcW w:w="257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r>
              <w:rPr>
                <w:rFonts w:hint="eastAsia" w:ascii="宋体" w:hAnsi="宋体" w:cs="宋体"/>
                <w:bCs/>
              </w:rPr>
              <w:t>《</w:t>
            </w:r>
            <w:r>
              <w:rPr>
                <w:rFonts w:hint="eastAsia" w:ascii="宋体" w:hAnsi="宋体" w:cs="宋体"/>
                <w:bCs/>
                <w:lang w:eastAsia="zh-CN"/>
              </w:rPr>
              <w:t>恶臭污染物排放标准</w:t>
            </w:r>
            <w:r>
              <w:rPr>
                <w:rFonts w:hint="eastAsia" w:ascii="宋体" w:hAnsi="宋体" w:cs="宋体"/>
                <w:bCs/>
              </w:rPr>
              <w:t>》（GB1</w:t>
            </w:r>
            <w:r>
              <w:rPr>
                <w:rFonts w:hint="eastAsia" w:ascii="宋体" w:hAnsi="宋体" w:cs="宋体"/>
                <w:bCs/>
                <w:lang w:val="en-US" w:eastAsia="zh-CN"/>
              </w:rPr>
              <w:t>4554</w:t>
            </w:r>
            <w:r>
              <w:rPr>
                <w:rFonts w:hint="eastAsia" w:ascii="宋体" w:hAnsi="宋体" w:cs="宋体"/>
                <w:bCs/>
              </w:rPr>
              <w:t>-</w:t>
            </w:r>
            <w:r>
              <w:rPr>
                <w:rFonts w:hint="eastAsia" w:ascii="宋体" w:hAnsi="宋体" w:cs="宋体"/>
                <w:bCs/>
                <w:lang w:val="en-US" w:eastAsia="zh-CN"/>
              </w:rPr>
              <w:t>93）表2标准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氨</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甲硫醇</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甲硫醚</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二硫化碳</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丙烯醛</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16</w:t>
            </w:r>
          </w:p>
        </w:tc>
        <w:tc>
          <w:tcPr>
            <w:tcW w:w="257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r>
              <w:rPr>
                <w:rFonts w:hint="eastAsia" w:ascii="宋体" w:hAnsi="宋体" w:cs="宋体"/>
                <w:bCs/>
              </w:rPr>
              <w:t>《大气污染物综合排放标准》（GB16297-1996）</w:t>
            </w:r>
            <w:r>
              <w:rPr>
                <w:rFonts w:hint="eastAsia" w:ascii="宋体" w:hAnsi="宋体" w:cs="宋体"/>
                <w:bCs/>
                <w:lang w:eastAsia="zh-CN"/>
              </w:rPr>
              <w:t>表</w:t>
            </w:r>
            <w:r>
              <w:rPr>
                <w:rFonts w:hint="eastAsia" w:ascii="宋体" w:hAnsi="宋体" w:cs="宋体"/>
                <w:bCs/>
                <w:lang w:val="en-US" w:eastAsia="zh-CN"/>
              </w:rPr>
              <w:t>2二级标准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丙烯</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0.39</w:t>
            </w:r>
          </w:p>
        </w:tc>
        <w:tc>
          <w:tcPr>
            <w:tcW w:w="257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kern w:val="0"/>
                <w:lang w:eastAsia="zh-CN"/>
              </w:rPr>
            </w:pPr>
            <w:r>
              <w:rPr>
                <w:rFonts w:hint="eastAsia" w:cs="宋体" w:asciiTheme="minorEastAsia" w:hAnsiTheme="minorEastAsia" w:eastAsiaTheme="minorEastAsia"/>
                <w:color w:val="000000"/>
                <w:kern w:val="0"/>
                <w:lang w:eastAsia="zh-CN"/>
              </w:rPr>
              <w:t>环评批复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kern w:val="0"/>
                <w:lang w:val="en-US" w:eastAsia="zh-CN"/>
              </w:rPr>
            </w:pPr>
            <w:r>
              <w:rPr>
                <w:rFonts w:hint="eastAsia" w:cs="宋体" w:asciiTheme="minorEastAsia" w:hAnsiTheme="minorEastAsia" w:eastAsiaTheme="minorEastAsia"/>
                <w:color w:val="000000"/>
                <w:kern w:val="0"/>
                <w:lang w:val="en-US" w:eastAsia="zh-CN"/>
              </w:rPr>
              <w:t>丙烯醛尾气焚烧炉</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颗粒物</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120</w:t>
            </w:r>
          </w:p>
        </w:tc>
        <w:tc>
          <w:tcPr>
            <w:tcW w:w="257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r>
              <w:rPr>
                <w:rFonts w:hint="eastAsia" w:ascii="宋体" w:hAnsi="宋体" w:cs="宋体"/>
                <w:bCs/>
              </w:rPr>
              <w:t>《大气污染物综合排放标准》（GB16297-1996）</w:t>
            </w:r>
            <w:r>
              <w:rPr>
                <w:rFonts w:hint="eastAsia" w:ascii="宋体" w:hAnsi="宋体" w:cs="宋体"/>
                <w:bCs/>
                <w:lang w:eastAsia="zh-CN"/>
              </w:rPr>
              <w:t>表</w:t>
            </w:r>
            <w:r>
              <w:rPr>
                <w:rFonts w:hint="eastAsia" w:ascii="宋体" w:hAnsi="宋体" w:cs="宋体"/>
                <w:bCs/>
                <w:lang w:val="en-US" w:eastAsia="zh-CN"/>
              </w:rPr>
              <w:t>2二级标准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二氧化硫</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550</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氮氧化物</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240</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丙烯醛</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16</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kern w:val="0"/>
                <w:lang w:eastAsia="zh-CN"/>
              </w:rPr>
            </w:pPr>
            <w:r>
              <w:rPr>
                <w:rFonts w:hint="eastAsia" w:cs="宋体" w:asciiTheme="minorEastAsia" w:hAnsiTheme="minorEastAsia" w:eastAsiaTheme="minorEastAsia"/>
                <w:color w:val="000000"/>
                <w:kern w:val="0"/>
                <w:lang w:eastAsia="zh-CN"/>
              </w:rPr>
              <w:t>生物除臭系统</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甲醇</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190</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丙烯醛</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16</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甲硫醇</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w:t>
            </w:r>
          </w:p>
        </w:tc>
        <w:tc>
          <w:tcPr>
            <w:tcW w:w="257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r>
              <w:rPr>
                <w:rFonts w:hint="eastAsia" w:ascii="宋体" w:hAnsi="宋体" w:cs="宋体"/>
                <w:bCs/>
              </w:rPr>
              <w:t>《</w:t>
            </w:r>
            <w:r>
              <w:rPr>
                <w:rFonts w:hint="eastAsia" w:ascii="宋体" w:hAnsi="宋体" w:cs="宋体"/>
                <w:bCs/>
                <w:lang w:eastAsia="zh-CN"/>
              </w:rPr>
              <w:t>恶臭污染物排放标准</w:t>
            </w:r>
            <w:r>
              <w:rPr>
                <w:rFonts w:hint="eastAsia" w:ascii="宋体" w:hAnsi="宋体" w:cs="宋体"/>
                <w:bCs/>
              </w:rPr>
              <w:t>》（GB1</w:t>
            </w:r>
            <w:r>
              <w:rPr>
                <w:rFonts w:hint="eastAsia" w:ascii="宋体" w:hAnsi="宋体" w:cs="宋体"/>
                <w:bCs/>
                <w:lang w:val="en-US" w:eastAsia="zh-CN"/>
              </w:rPr>
              <w:t>4554</w:t>
            </w:r>
            <w:r>
              <w:rPr>
                <w:rFonts w:hint="eastAsia" w:ascii="宋体" w:hAnsi="宋体" w:cs="宋体"/>
                <w:bCs/>
              </w:rPr>
              <w:t>-</w:t>
            </w:r>
            <w:r>
              <w:rPr>
                <w:rFonts w:hint="eastAsia" w:ascii="宋体" w:hAnsi="宋体" w:cs="宋体"/>
                <w:bCs/>
                <w:lang w:val="en-US" w:eastAsia="zh-CN"/>
              </w:rPr>
              <w:t>93）表2标准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甲硫醚</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硫化氢</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TPMA</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无组织废气</w:t>
            </w:r>
          </w:p>
        </w:tc>
        <w:tc>
          <w:tcPr>
            <w:tcW w:w="178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厂区</w:t>
            </w: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rPr>
            </w:pPr>
            <w:r>
              <w:rPr>
                <w:rFonts w:hint="eastAsia" w:asciiTheme="minorEastAsia" w:hAnsiTheme="minorEastAsia" w:eastAsiaTheme="minorEastAsia"/>
                <w:color w:val="000000"/>
              </w:rPr>
              <w:t>颗粒物</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1.0</w:t>
            </w:r>
          </w:p>
        </w:tc>
        <w:tc>
          <w:tcPr>
            <w:tcW w:w="257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r>
              <w:rPr>
                <w:rFonts w:hint="eastAsia" w:ascii="宋体" w:hAnsi="宋体" w:cs="宋体"/>
                <w:bCs/>
              </w:rPr>
              <w:t>《大气污染物综合排放标准》（GB16297-1996）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甲醇</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12</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lang w:eastAsia="zh-CN"/>
              </w:rPr>
            </w:pPr>
            <w:r>
              <w:rPr>
                <w:rFonts w:hint="eastAsia" w:cs="宋体" w:asciiTheme="minorEastAsia" w:hAnsiTheme="minorEastAsia" w:eastAsiaTheme="minorEastAsia"/>
                <w:color w:val="000000"/>
                <w:lang w:eastAsia="zh-CN"/>
              </w:rPr>
              <w:t>丙烯醛</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lang w:val="en-US" w:eastAsia="zh-CN"/>
              </w:rPr>
            </w:pPr>
            <w:r>
              <w:rPr>
                <w:rFonts w:hint="eastAsia" w:cs="宋体" w:asciiTheme="minorEastAsia" w:hAnsiTheme="minorEastAsia" w:eastAsiaTheme="minorEastAsia"/>
                <w:color w:val="000000"/>
                <w:lang w:val="en-US" w:eastAsia="zh-CN"/>
              </w:rPr>
              <w:t>0.4</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甲硫醇</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0.007</w:t>
            </w:r>
          </w:p>
        </w:tc>
        <w:tc>
          <w:tcPr>
            <w:tcW w:w="257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r>
              <w:rPr>
                <w:rFonts w:hint="eastAsia" w:ascii="宋体" w:hAnsi="宋体" w:cs="宋体"/>
                <w:bCs/>
              </w:rPr>
              <w:t>《</w:t>
            </w:r>
            <w:r>
              <w:rPr>
                <w:rFonts w:hint="eastAsia" w:ascii="宋体" w:hAnsi="宋体" w:cs="宋体"/>
                <w:bCs/>
                <w:lang w:eastAsia="zh-CN"/>
              </w:rPr>
              <w:t>恶臭污染物排放标准</w:t>
            </w:r>
            <w:r>
              <w:rPr>
                <w:rFonts w:hint="eastAsia" w:ascii="宋体" w:hAnsi="宋体" w:cs="宋体"/>
                <w:bCs/>
              </w:rPr>
              <w:t>》（GB1</w:t>
            </w:r>
            <w:r>
              <w:rPr>
                <w:rFonts w:hint="eastAsia" w:ascii="宋体" w:hAnsi="宋体" w:cs="宋体"/>
                <w:bCs/>
                <w:lang w:val="en-US" w:eastAsia="zh-CN"/>
              </w:rPr>
              <w:t>4554</w:t>
            </w:r>
            <w:r>
              <w:rPr>
                <w:rFonts w:hint="eastAsia" w:ascii="宋体" w:hAnsi="宋体" w:cs="宋体"/>
                <w:bCs/>
              </w:rPr>
              <w:t>-</w:t>
            </w:r>
            <w:r>
              <w:rPr>
                <w:rFonts w:hint="eastAsia" w:ascii="宋体" w:hAnsi="宋体" w:cs="宋体"/>
                <w:bCs/>
                <w:lang w:val="en-US" w:eastAsia="zh-CN"/>
              </w:rPr>
              <w:t>93</w:t>
            </w:r>
            <w:r>
              <w:rPr>
                <w:rFonts w:hint="eastAsia" w:ascii="宋体" w:hAnsi="宋体" w:cs="宋体"/>
                <w:bCs/>
              </w:rPr>
              <w:t>）</w:t>
            </w:r>
            <w:r>
              <w:rPr>
                <w:rFonts w:hint="eastAsia" w:ascii="宋体" w:hAnsi="宋体" w:cs="宋体"/>
                <w:bCs/>
                <w:lang w:eastAsia="zh-CN"/>
              </w:rPr>
              <w:t>二级（新建）无组织排放厂界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lang w:eastAsia="zh-CN"/>
              </w:rPr>
            </w:pPr>
            <w:r>
              <w:rPr>
                <w:rFonts w:hint="eastAsia" w:cs="宋体" w:asciiTheme="minorEastAsia" w:hAnsiTheme="minorEastAsia" w:eastAsiaTheme="minorEastAsia"/>
                <w:color w:val="000000"/>
                <w:lang w:eastAsia="zh-CN"/>
              </w:rPr>
              <w:t>甲硫醚</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lang w:val="en-US" w:eastAsia="zh-CN"/>
              </w:rPr>
            </w:pPr>
            <w:r>
              <w:rPr>
                <w:rFonts w:hint="eastAsia" w:cs="宋体" w:asciiTheme="minorEastAsia" w:hAnsiTheme="minorEastAsia" w:eastAsiaTheme="minorEastAsia"/>
                <w:color w:val="000000"/>
                <w:lang w:val="en-US" w:eastAsia="zh-CN"/>
              </w:rPr>
              <w:t>0.07</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硫化氢</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0.06</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7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c>
          <w:tcPr>
            <w:tcW w:w="15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eastAsia="zh-CN"/>
              </w:rPr>
            </w:pPr>
            <w:r>
              <w:rPr>
                <w:rFonts w:hint="eastAsia" w:asciiTheme="minorEastAsia" w:hAnsiTheme="minorEastAsia" w:eastAsiaTheme="minorEastAsia"/>
                <w:color w:val="000000"/>
                <w:lang w:eastAsia="zh-CN"/>
              </w:rPr>
              <w:t>氨</w:t>
            </w:r>
          </w:p>
        </w:tc>
        <w:tc>
          <w:tcPr>
            <w:tcW w:w="15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olor w:val="000000"/>
                <w:lang w:val="en-US" w:eastAsia="zh-CN"/>
              </w:rPr>
            </w:pPr>
            <w:r>
              <w:rPr>
                <w:rFonts w:hint="eastAsia" w:asciiTheme="minorEastAsia" w:hAnsiTheme="minorEastAsia" w:eastAsiaTheme="minorEastAsia"/>
                <w:color w:val="000000"/>
                <w:lang w:val="en-US" w:eastAsia="zh-CN"/>
              </w:rPr>
              <w:t>1.5</w:t>
            </w:r>
          </w:p>
        </w:tc>
        <w:tc>
          <w:tcPr>
            <w:tcW w:w="25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cs="宋体" w:asciiTheme="minorEastAsia" w:hAnsiTheme="minorEastAsia" w:eastAsiaTheme="minorEastAsia"/>
                <w:color w:val="000000"/>
                <w:kern w:val="0"/>
              </w:rPr>
            </w:pPr>
          </w:p>
        </w:tc>
      </w:tr>
    </w:tbl>
    <w:p>
      <w:pPr>
        <w:tabs>
          <w:tab w:val="left" w:pos="860"/>
        </w:tabs>
        <w:ind w:firstLine="482"/>
        <w:jc w:val="center"/>
        <w:rPr>
          <w:rFonts w:ascii="宋体" w:hAnsi="宋体" w:cs="宋体"/>
          <w:b/>
          <w:bCs/>
          <w:sz w:val="24"/>
          <w:szCs w:val="24"/>
        </w:rPr>
      </w:pPr>
    </w:p>
    <w:p>
      <w:pPr>
        <w:tabs>
          <w:tab w:val="left" w:pos="860"/>
        </w:tabs>
        <w:spacing w:line="360" w:lineRule="auto"/>
        <w:rPr>
          <w:rFonts w:asciiTheme="minorEastAsia" w:hAnsiTheme="minorEastAsia" w:eastAsiaTheme="minorEastAsia"/>
          <w:b/>
          <w:bCs/>
          <w:sz w:val="28"/>
          <w:szCs w:val="28"/>
        </w:rPr>
      </w:pPr>
      <w:r>
        <w:rPr>
          <w:rFonts w:hint="eastAsia" w:cs="宋体" w:asciiTheme="minorEastAsia" w:hAnsiTheme="minorEastAsia" w:eastAsiaTheme="minorEastAsia"/>
          <w:b/>
          <w:bCs/>
          <w:sz w:val="28"/>
          <w:szCs w:val="28"/>
        </w:rPr>
        <w:t>5.2废水水排放标准</w:t>
      </w:r>
    </w:p>
    <w:p>
      <w:pPr>
        <w:pStyle w:val="19"/>
        <w:spacing w:line="360" w:lineRule="auto"/>
        <w:ind w:firstLine="560" w:firstLineChars="200"/>
        <w:rPr>
          <w:rFonts w:hint="default" w:cs="仿宋_GB2312" w:asciiTheme="minorEastAsia" w:hAnsiTheme="minorEastAsia" w:eastAsiaTheme="minorEastAsia"/>
          <w:sz w:val="28"/>
          <w:szCs w:val="28"/>
        </w:rPr>
      </w:pPr>
      <w:r>
        <w:rPr>
          <w:rFonts w:hint="eastAsia" w:cs="仿宋_GB2312" w:asciiTheme="minorEastAsia" w:hAnsiTheme="minorEastAsia" w:eastAsiaTheme="minorEastAsia"/>
          <w:sz w:val="28"/>
          <w:szCs w:val="28"/>
          <w:lang w:eastAsia="zh-CN"/>
        </w:rPr>
        <w:t>污水处理站执行</w:t>
      </w:r>
      <w:r>
        <w:rPr>
          <w:rFonts w:cs="仿宋_GB2312" w:asciiTheme="minorEastAsia" w:hAnsiTheme="minorEastAsia" w:eastAsiaTheme="minorEastAsia"/>
          <w:sz w:val="28"/>
          <w:szCs w:val="28"/>
        </w:rPr>
        <w:t>《污水综合排放标准》（GB8978-1996）</w:t>
      </w:r>
      <w:r>
        <w:rPr>
          <w:rFonts w:hint="eastAsia" w:cs="仿宋_GB2312" w:asciiTheme="minorEastAsia" w:hAnsiTheme="minorEastAsia" w:eastAsiaTheme="minorEastAsia"/>
          <w:sz w:val="28"/>
          <w:szCs w:val="28"/>
          <w:lang w:eastAsia="zh-CN"/>
        </w:rPr>
        <w:t>中表</w:t>
      </w:r>
      <w:r>
        <w:rPr>
          <w:rFonts w:hint="eastAsia" w:cs="仿宋_GB2312" w:asciiTheme="minorEastAsia" w:hAnsiTheme="minorEastAsia" w:eastAsiaTheme="minorEastAsia"/>
          <w:sz w:val="28"/>
          <w:szCs w:val="28"/>
          <w:lang w:val="en-US" w:eastAsia="zh-CN"/>
        </w:rPr>
        <w:t>4二级标准限制要求</w:t>
      </w:r>
      <w:r>
        <w:rPr>
          <w:rFonts w:cs="仿宋_GB2312" w:asciiTheme="minorEastAsia" w:hAnsiTheme="minorEastAsia" w:eastAsiaTheme="minorEastAsia"/>
          <w:sz w:val="28"/>
          <w:szCs w:val="28"/>
        </w:rPr>
        <w:t>；</w:t>
      </w:r>
      <w:r>
        <w:rPr>
          <w:rFonts w:hint="eastAsia" w:cs="仿宋_GB2312" w:asciiTheme="minorEastAsia" w:hAnsiTheme="minorEastAsia" w:eastAsiaTheme="minorEastAsia"/>
          <w:sz w:val="28"/>
          <w:szCs w:val="28"/>
          <w:lang w:eastAsia="zh-CN"/>
        </w:rPr>
        <w:t>中水处理站执行</w:t>
      </w:r>
      <w:r>
        <w:rPr>
          <w:rFonts w:cs="仿宋_GB2312" w:asciiTheme="minorEastAsia" w:hAnsiTheme="minorEastAsia" w:eastAsiaTheme="minorEastAsia"/>
          <w:sz w:val="28"/>
          <w:szCs w:val="28"/>
        </w:rPr>
        <w:t>《</w:t>
      </w:r>
      <w:r>
        <w:rPr>
          <w:rFonts w:hint="eastAsia" w:cs="仿宋_GB2312" w:asciiTheme="minorEastAsia" w:hAnsiTheme="minorEastAsia" w:eastAsiaTheme="minorEastAsia"/>
          <w:sz w:val="28"/>
          <w:szCs w:val="28"/>
          <w:lang w:eastAsia="zh-CN"/>
        </w:rPr>
        <w:t>城市污水再生利用</w:t>
      </w:r>
      <w:r>
        <w:rPr>
          <w:rFonts w:hint="eastAsia" w:ascii="宋体" w:hAnsi="宋体" w:eastAsia="宋体" w:cs="宋体"/>
          <w:sz w:val="28"/>
          <w:szCs w:val="28"/>
          <w:lang w:eastAsia="zh-CN"/>
        </w:rPr>
        <w:t>·</w:t>
      </w:r>
      <w:r>
        <w:rPr>
          <w:rFonts w:hint="eastAsia" w:asciiTheme="minorEastAsia" w:hAnsiTheme="minorEastAsia" w:eastAsiaTheme="minorEastAsia" w:cstheme="minorEastAsia"/>
          <w:sz w:val="28"/>
          <w:szCs w:val="28"/>
          <w:lang w:eastAsia="zh-CN"/>
        </w:rPr>
        <w:t>工业用水水质</w:t>
      </w:r>
      <w:r>
        <w:rPr>
          <w:rFonts w:cs="仿宋_GB2312" w:asciiTheme="minorEastAsia" w:hAnsiTheme="minorEastAsia" w:eastAsiaTheme="minorEastAsia"/>
          <w:sz w:val="28"/>
          <w:szCs w:val="28"/>
        </w:rPr>
        <w:t>》（GB</w:t>
      </w:r>
      <w:r>
        <w:rPr>
          <w:rFonts w:hint="eastAsia" w:cs="仿宋_GB2312" w:asciiTheme="minorEastAsia" w:hAnsiTheme="minorEastAsia" w:eastAsiaTheme="minorEastAsia"/>
          <w:sz w:val="28"/>
          <w:szCs w:val="28"/>
          <w:lang w:val="en-US" w:eastAsia="zh-CN"/>
        </w:rPr>
        <w:t>/T19923-2005</w:t>
      </w:r>
      <w:r>
        <w:rPr>
          <w:rFonts w:cs="仿宋_GB2312" w:asciiTheme="minorEastAsia" w:hAnsiTheme="minorEastAsia" w:eastAsiaTheme="minorEastAsia"/>
          <w:sz w:val="28"/>
          <w:szCs w:val="28"/>
        </w:rPr>
        <w:t>）</w:t>
      </w:r>
      <w:r>
        <w:rPr>
          <w:rFonts w:hint="eastAsia" w:cs="仿宋_GB2312" w:asciiTheme="minorEastAsia" w:hAnsiTheme="minorEastAsia" w:eastAsiaTheme="minorEastAsia"/>
          <w:sz w:val="28"/>
          <w:szCs w:val="28"/>
          <w:lang w:eastAsia="zh-CN"/>
        </w:rPr>
        <w:t>敞开式循环冷却水系统补充水水质标准；</w:t>
      </w:r>
      <w:r>
        <w:rPr>
          <w:rFonts w:cs="仿宋_GB2312" w:asciiTheme="minorEastAsia" w:hAnsiTheme="minorEastAsia" w:eastAsiaTheme="minorEastAsia"/>
          <w:sz w:val="28"/>
          <w:szCs w:val="28"/>
        </w:rPr>
        <w:t>详见表5-2。</w:t>
      </w:r>
    </w:p>
    <w:p>
      <w:pPr>
        <w:tabs>
          <w:tab w:val="left" w:pos="860"/>
        </w:tabs>
        <w:ind w:firstLine="482"/>
        <w:jc w:val="center"/>
        <w:rPr>
          <w:rFonts w:ascii="宋体" w:hAnsi="宋体" w:cs="宋体"/>
          <w:b/>
          <w:bCs/>
          <w:sz w:val="24"/>
          <w:szCs w:val="24"/>
        </w:rPr>
      </w:pPr>
    </w:p>
    <w:p>
      <w:pPr>
        <w:tabs>
          <w:tab w:val="left" w:pos="860"/>
        </w:tabs>
        <w:ind w:firstLine="482"/>
        <w:jc w:val="center"/>
        <w:rPr>
          <w:rFonts w:ascii="宋体"/>
          <w:b/>
          <w:bCs/>
          <w:sz w:val="24"/>
          <w:szCs w:val="24"/>
        </w:rPr>
      </w:pPr>
      <w:r>
        <w:rPr>
          <w:rFonts w:hint="eastAsia" w:ascii="宋体" w:hAnsi="宋体" w:cs="宋体"/>
          <w:b/>
          <w:bCs/>
          <w:sz w:val="24"/>
          <w:szCs w:val="24"/>
        </w:rPr>
        <w:t>表5</w:t>
      </w:r>
      <w:r>
        <w:rPr>
          <w:rFonts w:ascii="宋体" w:hAnsi="宋体" w:cs="宋体"/>
          <w:b/>
          <w:bCs/>
          <w:sz w:val="24"/>
          <w:szCs w:val="24"/>
        </w:rPr>
        <w:t>-</w:t>
      </w:r>
      <w:r>
        <w:rPr>
          <w:rFonts w:hint="eastAsia" w:ascii="宋体" w:hAnsi="宋体" w:cs="宋体"/>
          <w:b/>
          <w:bCs/>
          <w:sz w:val="24"/>
          <w:szCs w:val="24"/>
        </w:rPr>
        <w:t>2</w:t>
      </w:r>
      <w:r>
        <w:rPr>
          <w:rFonts w:ascii="宋体" w:hAnsi="宋体" w:cs="宋体"/>
          <w:b/>
          <w:bCs/>
          <w:sz w:val="24"/>
          <w:szCs w:val="24"/>
        </w:rPr>
        <w:t xml:space="preserve">  </w:t>
      </w:r>
      <w:r>
        <w:rPr>
          <w:rFonts w:hint="eastAsia" w:ascii="宋体" w:hAnsi="宋体" w:cs="宋体"/>
          <w:b/>
          <w:bCs/>
          <w:sz w:val="24"/>
          <w:szCs w:val="24"/>
        </w:rPr>
        <w:t>水污染物排放浓度限值</w:t>
      </w:r>
    </w:p>
    <w:tbl>
      <w:tblPr>
        <w:tblStyle w:val="8"/>
        <w:tblW w:w="855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317"/>
        <w:gridCol w:w="1317"/>
        <w:gridCol w:w="2356"/>
        <w:gridCol w:w="23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1206" w:type="dxa"/>
            <w:tcBorders>
              <w:top w:val="single" w:color="auto" w:sz="12" w:space="0"/>
            </w:tcBorders>
            <w:vAlign w:val="center"/>
          </w:tcPr>
          <w:p>
            <w:pPr>
              <w:jc w:val="center"/>
              <w:rPr>
                <w:rFonts w:ascii="宋体"/>
                <w:b/>
                <w:bCs/>
              </w:rPr>
            </w:pPr>
            <w:r>
              <w:rPr>
                <w:rFonts w:hint="eastAsia" w:ascii="宋体" w:hAnsi="宋体" w:cs="宋体"/>
                <w:b/>
                <w:bCs/>
              </w:rPr>
              <w:t>监测点位</w:t>
            </w:r>
          </w:p>
        </w:tc>
        <w:tc>
          <w:tcPr>
            <w:tcW w:w="1317" w:type="dxa"/>
            <w:tcBorders>
              <w:top w:val="single" w:color="auto" w:sz="12" w:space="0"/>
            </w:tcBorders>
            <w:vAlign w:val="center"/>
          </w:tcPr>
          <w:p>
            <w:pPr>
              <w:jc w:val="center"/>
              <w:rPr>
                <w:rFonts w:ascii="宋体"/>
                <w:b/>
                <w:bCs/>
              </w:rPr>
            </w:pPr>
            <w:r>
              <w:rPr>
                <w:rFonts w:hint="eastAsia" w:ascii="宋体" w:hAnsi="宋体" w:cs="宋体"/>
                <w:b/>
                <w:bCs/>
              </w:rPr>
              <w:t>项目</w:t>
            </w:r>
          </w:p>
        </w:tc>
        <w:tc>
          <w:tcPr>
            <w:tcW w:w="1317" w:type="dxa"/>
            <w:tcBorders>
              <w:top w:val="single" w:color="auto" w:sz="12" w:space="0"/>
            </w:tcBorders>
            <w:vAlign w:val="center"/>
          </w:tcPr>
          <w:p>
            <w:pPr>
              <w:jc w:val="center"/>
              <w:rPr>
                <w:rFonts w:ascii="宋体"/>
                <w:b/>
                <w:bCs/>
              </w:rPr>
            </w:pPr>
            <w:r>
              <w:rPr>
                <w:rFonts w:hint="eastAsia" w:ascii="宋体"/>
                <w:b/>
                <w:bCs/>
              </w:rPr>
              <w:t>单位</w:t>
            </w:r>
          </w:p>
        </w:tc>
        <w:tc>
          <w:tcPr>
            <w:tcW w:w="2356" w:type="dxa"/>
            <w:tcBorders>
              <w:top w:val="single" w:color="auto" w:sz="12" w:space="0"/>
            </w:tcBorders>
          </w:tcPr>
          <w:p>
            <w:pPr>
              <w:jc w:val="center"/>
              <w:rPr>
                <w:rFonts w:ascii="宋体" w:hAnsi="宋体" w:cs="宋体"/>
                <w:b/>
                <w:bCs/>
              </w:rPr>
            </w:pPr>
            <w:r>
              <w:rPr>
                <w:rFonts w:hint="eastAsia" w:ascii="宋体" w:hAnsi="宋体" w:cs="宋体"/>
                <w:b/>
                <w:bCs/>
              </w:rPr>
              <w:t>标准限值</w:t>
            </w:r>
          </w:p>
        </w:tc>
        <w:tc>
          <w:tcPr>
            <w:tcW w:w="2356" w:type="dxa"/>
            <w:tcBorders>
              <w:top w:val="single" w:color="auto" w:sz="12" w:space="0"/>
            </w:tcBorders>
            <w:vAlign w:val="center"/>
          </w:tcPr>
          <w:p>
            <w:pPr>
              <w:jc w:val="center"/>
              <w:rPr>
                <w:rFonts w:ascii="宋体"/>
                <w:b/>
                <w:bCs/>
              </w:rPr>
            </w:pPr>
            <w:r>
              <w:rPr>
                <w:rFonts w:hint="eastAsia" w:ascii="宋体" w:hAnsi="宋体" w:cs="宋体"/>
                <w:b/>
                <w:bCs/>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206" w:type="dxa"/>
            <w:vMerge w:val="restart"/>
            <w:vAlign w:val="center"/>
          </w:tcPr>
          <w:p>
            <w:pPr>
              <w:jc w:val="center"/>
              <w:rPr>
                <w:rFonts w:hint="eastAsia" w:ascii="宋体" w:eastAsia="宋体"/>
                <w:lang w:eastAsia="zh-CN"/>
              </w:rPr>
            </w:pPr>
            <w:r>
              <w:rPr>
                <w:rFonts w:hint="eastAsia" w:ascii="宋体" w:cs="宋体"/>
                <w:lang w:eastAsia="zh-CN"/>
              </w:rPr>
              <w:t>污水处理站</w:t>
            </w:r>
          </w:p>
        </w:tc>
        <w:tc>
          <w:tcPr>
            <w:tcW w:w="1317" w:type="dxa"/>
            <w:vAlign w:val="center"/>
          </w:tcPr>
          <w:p>
            <w:pPr>
              <w:jc w:val="center"/>
              <w:rPr>
                <w:rFonts w:ascii="仿宋_GB2312" w:hAnsi="宋体" w:eastAsia="仿宋_GB2312" w:cs="宋体"/>
                <w:color w:val="000000"/>
              </w:rPr>
            </w:pPr>
            <w:r>
              <w:rPr>
                <w:rFonts w:hint="eastAsia" w:ascii="仿宋_GB2312" w:eastAsia="仿宋_GB2312"/>
                <w:color w:val="000000"/>
              </w:rPr>
              <w:t>pH</w:t>
            </w:r>
          </w:p>
        </w:tc>
        <w:tc>
          <w:tcPr>
            <w:tcW w:w="1317" w:type="dxa"/>
            <w:vAlign w:val="center"/>
          </w:tcPr>
          <w:p>
            <w:pPr>
              <w:jc w:val="center"/>
              <w:rPr>
                <w:rFonts w:ascii="宋体" w:hAnsi="宋体" w:cs="宋体"/>
              </w:rPr>
            </w:pPr>
            <w:r>
              <w:rPr>
                <w:rFonts w:hint="eastAsia" w:ascii="宋体" w:hAnsi="宋体" w:cs="宋体"/>
              </w:rPr>
              <w:t>无量纲</w:t>
            </w:r>
          </w:p>
        </w:tc>
        <w:tc>
          <w:tcPr>
            <w:tcW w:w="2356" w:type="dxa"/>
          </w:tcPr>
          <w:p>
            <w:pPr>
              <w:jc w:val="center"/>
              <w:rPr>
                <w:rFonts w:ascii="宋体"/>
              </w:rPr>
            </w:pPr>
            <w:r>
              <w:rPr>
                <w:rFonts w:hint="eastAsia" w:ascii="宋体"/>
              </w:rPr>
              <w:t>6-9</w:t>
            </w:r>
          </w:p>
        </w:tc>
        <w:tc>
          <w:tcPr>
            <w:tcW w:w="2356" w:type="dxa"/>
            <w:vMerge w:val="restart"/>
            <w:vAlign w:val="center"/>
          </w:tcPr>
          <w:p>
            <w:pPr>
              <w:jc w:val="center"/>
              <w:rPr>
                <w:rFonts w:ascii="宋体"/>
              </w:rPr>
            </w:pPr>
            <w:r>
              <w:rPr>
                <w:rFonts w:cs="仿宋_GB2312" w:asciiTheme="minorEastAsia" w:hAnsiTheme="minorEastAsia" w:eastAsiaTheme="minorEastAsia"/>
                <w:sz w:val="21"/>
                <w:szCs w:val="21"/>
              </w:rPr>
              <w:t>《污水综合排放标准》（GB8978-1996）</w:t>
            </w:r>
            <w:r>
              <w:rPr>
                <w:rFonts w:hint="eastAsia" w:cs="仿宋_GB2312" w:asciiTheme="minorEastAsia" w:hAnsiTheme="minorEastAsia" w:eastAsiaTheme="minorEastAsia"/>
                <w:sz w:val="21"/>
                <w:szCs w:val="21"/>
                <w:lang w:eastAsia="zh-CN"/>
              </w:rPr>
              <w:t>中表</w:t>
            </w:r>
            <w:r>
              <w:rPr>
                <w:rFonts w:hint="eastAsia" w:cs="仿宋_GB2312" w:asciiTheme="minorEastAsia" w:hAnsiTheme="minorEastAsia" w:eastAsiaTheme="minorEastAsia"/>
                <w:sz w:val="21"/>
                <w:szCs w:val="21"/>
                <w:lang w:val="en-US" w:eastAsia="zh-CN"/>
              </w:rPr>
              <w:t>4二级标准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206" w:type="dxa"/>
            <w:vMerge w:val="continue"/>
            <w:vAlign w:val="center"/>
          </w:tcPr>
          <w:p>
            <w:pPr>
              <w:jc w:val="center"/>
              <w:rPr>
                <w:rFonts w:ascii="宋体" w:hAnsi="宋体" w:cs="宋体"/>
              </w:rPr>
            </w:pPr>
          </w:p>
        </w:tc>
        <w:tc>
          <w:tcPr>
            <w:tcW w:w="1317" w:type="dxa"/>
            <w:vAlign w:val="center"/>
          </w:tcPr>
          <w:p>
            <w:pPr>
              <w:jc w:val="center"/>
              <w:rPr>
                <w:rFonts w:ascii="仿宋_GB2312" w:hAnsi="宋体" w:eastAsia="仿宋_GB2312" w:cs="宋体"/>
                <w:color w:val="000000"/>
              </w:rPr>
            </w:pPr>
            <w:r>
              <w:rPr>
                <w:rFonts w:hint="eastAsia" w:ascii="仿宋_GB2312" w:eastAsia="仿宋_GB2312"/>
                <w:color w:val="000000"/>
              </w:rPr>
              <w:t>COD</w:t>
            </w:r>
          </w:p>
        </w:tc>
        <w:tc>
          <w:tcPr>
            <w:tcW w:w="1317" w:type="dxa"/>
            <w:vAlign w:val="center"/>
          </w:tcPr>
          <w:p>
            <w:pPr>
              <w:jc w:val="center"/>
            </w:pPr>
            <w:r>
              <w:t>mg/l</w:t>
            </w:r>
          </w:p>
        </w:tc>
        <w:tc>
          <w:tcPr>
            <w:tcW w:w="2356" w:type="dxa"/>
          </w:tcPr>
          <w:p>
            <w:pPr>
              <w:jc w:val="center"/>
              <w:rPr>
                <w:rFonts w:hint="eastAsia" w:ascii="宋体" w:eastAsia="宋体"/>
                <w:lang w:val="en-US" w:eastAsia="zh-CN"/>
              </w:rPr>
            </w:pPr>
            <w:r>
              <w:rPr>
                <w:rFonts w:hint="eastAsia" w:ascii="宋体"/>
                <w:lang w:val="en-US" w:eastAsia="zh-CN"/>
              </w:rPr>
              <w:t>150</w:t>
            </w:r>
          </w:p>
        </w:tc>
        <w:tc>
          <w:tcPr>
            <w:tcW w:w="2356" w:type="dxa"/>
            <w:vMerge w:val="continue"/>
            <w:vAlign w:val="center"/>
          </w:tcPr>
          <w:p>
            <w:pPr>
              <w:jc w:val="center"/>
              <w:rPr>
                <w:rFonts w:ascii="宋体"/>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206" w:type="dxa"/>
            <w:vMerge w:val="continue"/>
            <w:vAlign w:val="center"/>
          </w:tcPr>
          <w:p>
            <w:pPr>
              <w:jc w:val="center"/>
              <w:rPr>
                <w:rFonts w:ascii="宋体" w:hAnsi="宋体" w:cs="宋体"/>
              </w:rPr>
            </w:pPr>
          </w:p>
        </w:tc>
        <w:tc>
          <w:tcPr>
            <w:tcW w:w="1317" w:type="dxa"/>
            <w:vAlign w:val="center"/>
          </w:tcPr>
          <w:p>
            <w:pPr>
              <w:jc w:val="center"/>
              <w:rPr>
                <w:rFonts w:ascii="仿宋_GB2312" w:hAnsi="宋体" w:eastAsia="仿宋_GB2312" w:cs="宋体"/>
                <w:color w:val="000000"/>
              </w:rPr>
            </w:pPr>
            <w:r>
              <w:rPr>
                <w:rFonts w:hint="eastAsia" w:cs="仿宋_GB2312" w:asciiTheme="minorEastAsia" w:hAnsiTheme="minorEastAsia" w:eastAsiaTheme="minorEastAsia"/>
              </w:rPr>
              <w:t>SS</w:t>
            </w:r>
          </w:p>
        </w:tc>
        <w:tc>
          <w:tcPr>
            <w:tcW w:w="1317" w:type="dxa"/>
            <w:vAlign w:val="center"/>
          </w:tcPr>
          <w:p>
            <w:pPr>
              <w:jc w:val="center"/>
            </w:pPr>
            <w:r>
              <w:t>mg/l</w:t>
            </w:r>
          </w:p>
        </w:tc>
        <w:tc>
          <w:tcPr>
            <w:tcW w:w="2356" w:type="dxa"/>
          </w:tcPr>
          <w:p>
            <w:pPr>
              <w:jc w:val="center"/>
              <w:rPr>
                <w:rFonts w:hint="eastAsia" w:ascii="宋体" w:eastAsia="宋体"/>
                <w:lang w:eastAsia="zh-CN"/>
              </w:rPr>
            </w:pPr>
            <w:r>
              <w:rPr>
                <w:rFonts w:hint="eastAsia" w:ascii="宋体"/>
                <w:lang w:val="en-US" w:eastAsia="zh-CN"/>
              </w:rPr>
              <w:t>150</w:t>
            </w:r>
          </w:p>
        </w:tc>
        <w:tc>
          <w:tcPr>
            <w:tcW w:w="2356" w:type="dxa"/>
            <w:vMerge w:val="continue"/>
            <w:vAlign w:val="center"/>
          </w:tcPr>
          <w:p>
            <w:pPr>
              <w:jc w:val="center"/>
              <w:rPr>
                <w:rFonts w:ascii="宋体"/>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206" w:type="dxa"/>
            <w:vMerge w:val="continue"/>
            <w:vAlign w:val="center"/>
          </w:tcPr>
          <w:p>
            <w:pPr>
              <w:jc w:val="center"/>
              <w:rPr>
                <w:rFonts w:ascii="宋体" w:hAnsi="宋体" w:cs="宋体"/>
              </w:rPr>
            </w:pPr>
          </w:p>
        </w:tc>
        <w:tc>
          <w:tcPr>
            <w:tcW w:w="1317" w:type="dxa"/>
            <w:vAlign w:val="center"/>
          </w:tcPr>
          <w:p>
            <w:pPr>
              <w:jc w:val="center"/>
              <w:rPr>
                <w:rFonts w:hint="eastAsia" w:cs="仿宋_GB2312" w:asciiTheme="minorEastAsia" w:hAnsiTheme="minorEastAsia" w:eastAsiaTheme="minorEastAsia"/>
                <w:lang w:eastAsia="zh-CN"/>
              </w:rPr>
            </w:pPr>
            <w:r>
              <w:rPr>
                <w:rFonts w:hint="eastAsia" w:cs="仿宋_GB2312" w:asciiTheme="minorEastAsia" w:hAnsiTheme="minorEastAsia" w:eastAsiaTheme="minorEastAsia"/>
                <w:lang w:eastAsia="zh-CN"/>
              </w:rPr>
              <w:t>氨氮</w:t>
            </w:r>
          </w:p>
        </w:tc>
        <w:tc>
          <w:tcPr>
            <w:tcW w:w="1317" w:type="dxa"/>
            <w:vAlign w:val="center"/>
          </w:tcPr>
          <w:p>
            <w:pPr>
              <w:jc w:val="center"/>
            </w:pPr>
            <w:r>
              <w:t>mg/l</w:t>
            </w:r>
          </w:p>
        </w:tc>
        <w:tc>
          <w:tcPr>
            <w:tcW w:w="2356" w:type="dxa"/>
          </w:tcPr>
          <w:p>
            <w:pPr>
              <w:jc w:val="center"/>
              <w:rPr>
                <w:rFonts w:hint="eastAsia" w:ascii="宋体" w:eastAsia="宋体"/>
                <w:lang w:val="en-US" w:eastAsia="zh-CN"/>
              </w:rPr>
            </w:pPr>
            <w:r>
              <w:rPr>
                <w:rFonts w:hint="eastAsia" w:ascii="宋体"/>
                <w:lang w:val="en-US" w:eastAsia="zh-CN"/>
              </w:rPr>
              <w:t>25</w:t>
            </w:r>
          </w:p>
        </w:tc>
        <w:tc>
          <w:tcPr>
            <w:tcW w:w="2356" w:type="dxa"/>
            <w:vMerge w:val="continue"/>
            <w:vAlign w:val="center"/>
          </w:tcPr>
          <w:p>
            <w:pPr>
              <w:jc w:val="center"/>
              <w:rPr>
                <w:rFonts w:ascii="宋体"/>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02" w:hRule="atLeast"/>
          <w:jc w:val="center"/>
        </w:trPr>
        <w:tc>
          <w:tcPr>
            <w:tcW w:w="1206" w:type="dxa"/>
            <w:vMerge w:val="continue"/>
            <w:vAlign w:val="center"/>
          </w:tcPr>
          <w:p>
            <w:pPr>
              <w:jc w:val="center"/>
              <w:rPr>
                <w:rFonts w:ascii="宋体" w:hAnsi="宋体" w:cs="宋体"/>
              </w:rPr>
            </w:pPr>
          </w:p>
        </w:tc>
        <w:tc>
          <w:tcPr>
            <w:tcW w:w="1317" w:type="dxa"/>
            <w:vAlign w:val="center"/>
          </w:tcPr>
          <w:p>
            <w:pPr>
              <w:jc w:val="center"/>
              <w:rPr>
                <w:rFonts w:hint="eastAsia" w:cs="仿宋_GB2312" w:asciiTheme="minorEastAsia" w:hAnsiTheme="minorEastAsia" w:eastAsiaTheme="minorEastAsia"/>
                <w:lang w:eastAsia="zh-CN"/>
              </w:rPr>
            </w:pPr>
            <w:r>
              <w:rPr>
                <w:rFonts w:hint="eastAsia" w:cs="仿宋_GB2312" w:asciiTheme="minorEastAsia" w:hAnsiTheme="minorEastAsia" w:eastAsiaTheme="minorEastAsia"/>
                <w:lang w:eastAsia="zh-CN"/>
              </w:rPr>
              <w:t>氰化物</w:t>
            </w:r>
          </w:p>
        </w:tc>
        <w:tc>
          <w:tcPr>
            <w:tcW w:w="1317" w:type="dxa"/>
            <w:vAlign w:val="center"/>
          </w:tcPr>
          <w:p>
            <w:pPr>
              <w:jc w:val="center"/>
            </w:pPr>
            <w:r>
              <w:t>mg/l</w:t>
            </w:r>
          </w:p>
        </w:tc>
        <w:tc>
          <w:tcPr>
            <w:tcW w:w="2356" w:type="dxa"/>
          </w:tcPr>
          <w:p>
            <w:pPr>
              <w:jc w:val="center"/>
              <w:rPr>
                <w:rFonts w:hint="eastAsia" w:ascii="宋体" w:eastAsia="宋体"/>
                <w:lang w:val="en-US" w:eastAsia="zh-CN"/>
              </w:rPr>
            </w:pPr>
            <w:r>
              <w:rPr>
                <w:rFonts w:hint="eastAsia" w:ascii="宋体"/>
                <w:lang w:val="en-US" w:eastAsia="zh-CN"/>
              </w:rPr>
              <w:t>0.5</w:t>
            </w:r>
          </w:p>
        </w:tc>
        <w:tc>
          <w:tcPr>
            <w:tcW w:w="2356" w:type="dxa"/>
            <w:vMerge w:val="continue"/>
            <w:vAlign w:val="center"/>
          </w:tcPr>
          <w:p>
            <w:pPr>
              <w:jc w:val="center"/>
              <w:rPr>
                <w:rFonts w:ascii="宋体"/>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206" w:type="dxa"/>
            <w:vMerge w:val="continue"/>
            <w:vAlign w:val="center"/>
          </w:tcPr>
          <w:p>
            <w:pPr>
              <w:jc w:val="center"/>
              <w:rPr>
                <w:rFonts w:ascii="宋体" w:hAnsi="宋体" w:cs="宋体"/>
              </w:rPr>
            </w:pPr>
          </w:p>
        </w:tc>
        <w:tc>
          <w:tcPr>
            <w:tcW w:w="1317" w:type="dxa"/>
            <w:vAlign w:val="center"/>
          </w:tcPr>
          <w:p>
            <w:pPr>
              <w:jc w:val="center"/>
              <w:rPr>
                <w:rFonts w:hint="eastAsia" w:cs="仿宋_GB2312" w:asciiTheme="minorEastAsia" w:hAnsiTheme="minorEastAsia" w:eastAsiaTheme="minorEastAsia"/>
                <w:lang w:eastAsia="zh-CN"/>
              </w:rPr>
            </w:pPr>
            <w:r>
              <w:rPr>
                <w:rFonts w:hint="eastAsia" w:cs="仿宋_GB2312" w:asciiTheme="minorEastAsia" w:hAnsiTheme="minorEastAsia" w:eastAsiaTheme="minorEastAsia"/>
                <w:lang w:eastAsia="zh-CN"/>
              </w:rPr>
              <w:t>硫化物</w:t>
            </w:r>
          </w:p>
        </w:tc>
        <w:tc>
          <w:tcPr>
            <w:tcW w:w="1317" w:type="dxa"/>
            <w:vAlign w:val="center"/>
          </w:tcPr>
          <w:p>
            <w:pPr>
              <w:jc w:val="center"/>
            </w:pPr>
            <w:r>
              <w:t>mg/l</w:t>
            </w:r>
          </w:p>
        </w:tc>
        <w:tc>
          <w:tcPr>
            <w:tcW w:w="2356" w:type="dxa"/>
          </w:tcPr>
          <w:p>
            <w:pPr>
              <w:jc w:val="center"/>
              <w:rPr>
                <w:rFonts w:hint="eastAsia" w:ascii="宋体" w:eastAsia="宋体"/>
                <w:lang w:val="en-US" w:eastAsia="zh-CN"/>
              </w:rPr>
            </w:pPr>
            <w:r>
              <w:rPr>
                <w:rFonts w:hint="eastAsia" w:ascii="宋体"/>
                <w:lang w:val="en-US" w:eastAsia="zh-CN"/>
              </w:rPr>
              <w:t>1.0</w:t>
            </w:r>
          </w:p>
        </w:tc>
        <w:tc>
          <w:tcPr>
            <w:tcW w:w="2356" w:type="dxa"/>
            <w:vMerge w:val="continue"/>
            <w:vAlign w:val="center"/>
          </w:tcPr>
          <w:p>
            <w:pPr>
              <w:jc w:val="center"/>
              <w:rPr>
                <w:rFonts w:ascii="宋体"/>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206" w:type="dxa"/>
            <w:vMerge w:val="continue"/>
            <w:vAlign w:val="center"/>
          </w:tcPr>
          <w:p>
            <w:pPr>
              <w:jc w:val="center"/>
              <w:rPr>
                <w:rFonts w:ascii="宋体" w:hAnsi="宋体" w:cs="宋体"/>
              </w:rPr>
            </w:pPr>
          </w:p>
        </w:tc>
        <w:tc>
          <w:tcPr>
            <w:tcW w:w="1317" w:type="dxa"/>
            <w:vAlign w:val="center"/>
          </w:tcPr>
          <w:p>
            <w:pPr>
              <w:jc w:val="center"/>
              <w:rPr>
                <w:rFonts w:ascii="仿宋_GB2312" w:hAnsi="宋体" w:eastAsia="仿宋_GB2312" w:cs="宋体"/>
                <w:color w:val="000000"/>
              </w:rPr>
            </w:pPr>
            <w:r>
              <w:rPr>
                <w:rFonts w:hint="eastAsia" w:cs="仿宋_GB2312" w:asciiTheme="minorEastAsia" w:hAnsiTheme="minorEastAsia" w:eastAsiaTheme="minorEastAsia"/>
              </w:rPr>
              <w:t>BOD</w:t>
            </w:r>
            <w:r>
              <w:rPr>
                <w:rFonts w:hint="eastAsia" w:cs="仿宋_GB2312" w:asciiTheme="minorEastAsia" w:hAnsiTheme="minorEastAsia" w:eastAsiaTheme="minorEastAsia"/>
                <w:vertAlign w:val="subscript"/>
              </w:rPr>
              <w:t>5</w:t>
            </w:r>
          </w:p>
        </w:tc>
        <w:tc>
          <w:tcPr>
            <w:tcW w:w="1317" w:type="dxa"/>
            <w:vAlign w:val="center"/>
          </w:tcPr>
          <w:p>
            <w:pPr>
              <w:jc w:val="center"/>
            </w:pPr>
            <w:r>
              <w:t>mg/l</w:t>
            </w:r>
          </w:p>
        </w:tc>
        <w:tc>
          <w:tcPr>
            <w:tcW w:w="2356" w:type="dxa"/>
          </w:tcPr>
          <w:p>
            <w:pPr>
              <w:jc w:val="center"/>
              <w:rPr>
                <w:rFonts w:ascii="宋体"/>
              </w:rPr>
            </w:pPr>
            <w:r>
              <w:rPr>
                <w:rFonts w:hint="eastAsia" w:ascii="宋体"/>
              </w:rPr>
              <w:t>30</w:t>
            </w:r>
          </w:p>
        </w:tc>
        <w:tc>
          <w:tcPr>
            <w:tcW w:w="2356" w:type="dxa"/>
            <w:vMerge w:val="continue"/>
            <w:vAlign w:val="center"/>
          </w:tcPr>
          <w:p>
            <w:pPr>
              <w:jc w:val="center"/>
              <w:rPr>
                <w:rFonts w:ascii="宋体"/>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206" w:type="dxa"/>
            <w:vMerge w:val="restart"/>
            <w:vAlign w:val="center"/>
          </w:tcPr>
          <w:p>
            <w:pPr>
              <w:jc w:val="center"/>
              <w:rPr>
                <w:rFonts w:hint="eastAsia" w:ascii="宋体" w:hAnsi="宋体" w:eastAsia="宋体" w:cs="宋体"/>
                <w:lang w:eastAsia="zh-CN"/>
              </w:rPr>
            </w:pPr>
            <w:r>
              <w:rPr>
                <w:rFonts w:hint="eastAsia" w:ascii="宋体" w:hAnsi="宋体" w:cs="宋体"/>
                <w:lang w:eastAsia="zh-CN"/>
              </w:rPr>
              <w:t>中水处理站</w:t>
            </w:r>
          </w:p>
        </w:tc>
        <w:tc>
          <w:tcPr>
            <w:tcW w:w="1317" w:type="dxa"/>
            <w:vAlign w:val="center"/>
          </w:tcPr>
          <w:p>
            <w:pPr>
              <w:jc w:val="center"/>
              <w:rPr>
                <w:rFonts w:hint="eastAsia" w:ascii="仿宋_GB2312" w:hAnsi="宋体" w:eastAsia="仿宋_GB2312" w:cs="宋体"/>
                <w:color w:val="000000"/>
                <w:lang w:eastAsia="zh-CN"/>
              </w:rPr>
            </w:pPr>
            <w:r>
              <w:rPr>
                <w:rFonts w:hint="eastAsia" w:cs="仿宋_GB2312" w:asciiTheme="minorEastAsia" w:hAnsiTheme="minorEastAsia" w:eastAsiaTheme="minorEastAsia"/>
                <w:lang w:val="en-US" w:eastAsia="zh-CN"/>
              </w:rPr>
              <w:t>PH</w:t>
            </w:r>
          </w:p>
        </w:tc>
        <w:tc>
          <w:tcPr>
            <w:tcW w:w="1317" w:type="dxa"/>
            <w:vAlign w:val="center"/>
          </w:tcPr>
          <w:p>
            <w:pPr>
              <w:jc w:val="center"/>
            </w:pPr>
            <w:r>
              <w:t>mg/l</w:t>
            </w:r>
          </w:p>
        </w:tc>
        <w:tc>
          <w:tcPr>
            <w:tcW w:w="2356" w:type="dxa"/>
          </w:tcPr>
          <w:p>
            <w:pPr>
              <w:jc w:val="center"/>
              <w:rPr>
                <w:rFonts w:ascii="宋体"/>
              </w:rPr>
            </w:pPr>
            <w:r>
              <w:rPr>
                <w:rFonts w:hint="eastAsia" w:ascii="宋体"/>
              </w:rPr>
              <w:t>0.5</w:t>
            </w:r>
          </w:p>
        </w:tc>
        <w:tc>
          <w:tcPr>
            <w:tcW w:w="2356" w:type="dxa"/>
            <w:vMerge w:val="restart"/>
            <w:vAlign w:val="center"/>
          </w:tcPr>
          <w:p>
            <w:pPr>
              <w:jc w:val="center"/>
              <w:rPr>
                <w:rFonts w:ascii="宋体"/>
              </w:rPr>
            </w:pPr>
            <w:r>
              <w:rPr>
                <w:rFonts w:cs="仿宋_GB2312" w:asciiTheme="minorEastAsia" w:hAnsiTheme="minorEastAsia" w:eastAsiaTheme="minorEastAsia"/>
                <w:sz w:val="21"/>
                <w:szCs w:val="21"/>
              </w:rPr>
              <w:t>《</w:t>
            </w:r>
            <w:r>
              <w:rPr>
                <w:rFonts w:hint="eastAsia" w:cs="仿宋_GB2312" w:asciiTheme="minorEastAsia" w:hAnsiTheme="minorEastAsia" w:eastAsiaTheme="minorEastAsia"/>
                <w:sz w:val="21"/>
                <w:szCs w:val="21"/>
                <w:lang w:eastAsia="zh-CN"/>
              </w:rPr>
              <w:t>城市污水再生利用</w:t>
            </w:r>
            <w:r>
              <w:rPr>
                <w:rFonts w:hint="eastAsia" w:ascii="宋体" w:hAnsi="宋体" w:eastAsia="宋体" w:cs="宋体"/>
                <w:sz w:val="21"/>
                <w:szCs w:val="21"/>
                <w:lang w:eastAsia="zh-CN"/>
              </w:rPr>
              <w:t>·</w:t>
            </w:r>
            <w:r>
              <w:rPr>
                <w:rFonts w:hint="eastAsia" w:asciiTheme="minorEastAsia" w:hAnsiTheme="minorEastAsia" w:eastAsiaTheme="minorEastAsia" w:cstheme="minorEastAsia"/>
                <w:sz w:val="21"/>
                <w:szCs w:val="21"/>
                <w:lang w:eastAsia="zh-CN"/>
              </w:rPr>
              <w:t>工业用水水质</w:t>
            </w:r>
            <w:r>
              <w:rPr>
                <w:rFonts w:cs="仿宋_GB2312" w:asciiTheme="minorEastAsia" w:hAnsiTheme="minorEastAsia" w:eastAsiaTheme="minorEastAsia"/>
                <w:sz w:val="21"/>
                <w:szCs w:val="21"/>
              </w:rPr>
              <w:t>》（GB</w:t>
            </w:r>
            <w:r>
              <w:rPr>
                <w:rFonts w:hint="eastAsia" w:cs="仿宋_GB2312" w:asciiTheme="minorEastAsia" w:hAnsiTheme="minorEastAsia" w:eastAsiaTheme="minorEastAsia"/>
                <w:sz w:val="21"/>
                <w:szCs w:val="21"/>
                <w:lang w:val="en-US" w:eastAsia="zh-CN"/>
              </w:rPr>
              <w:t>/T19923-2005</w:t>
            </w:r>
            <w:r>
              <w:rPr>
                <w:rFonts w:cs="仿宋_GB2312" w:asciiTheme="minorEastAsia" w:hAnsiTheme="minorEastAsia" w:eastAsiaTheme="minorEastAsia"/>
                <w:sz w:val="21"/>
                <w:szCs w:val="21"/>
              </w:rPr>
              <w:t>）</w:t>
            </w:r>
            <w:r>
              <w:rPr>
                <w:rFonts w:hint="eastAsia" w:cs="仿宋_GB2312" w:asciiTheme="minorEastAsia" w:hAnsiTheme="minorEastAsia" w:eastAsiaTheme="minorEastAsia"/>
                <w:sz w:val="21"/>
                <w:szCs w:val="21"/>
                <w:lang w:eastAsia="zh-CN"/>
              </w:rPr>
              <w:t>敞开式循环冷却水系统补充水水质标准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206" w:type="dxa"/>
            <w:vMerge w:val="continue"/>
            <w:vAlign w:val="center"/>
          </w:tcPr>
          <w:p>
            <w:pPr>
              <w:jc w:val="center"/>
              <w:rPr>
                <w:rFonts w:ascii="宋体" w:hAnsi="宋体" w:cs="宋体"/>
              </w:rPr>
            </w:pPr>
          </w:p>
        </w:tc>
        <w:tc>
          <w:tcPr>
            <w:tcW w:w="1317" w:type="dxa"/>
            <w:vAlign w:val="center"/>
          </w:tcPr>
          <w:p>
            <w:pPr>
              <w:jc w:val="center"/>
              <w:rPr>
                <w:rFonts w:hint="eastAsia" w:ascii="仿宋_GB2312" w:hAnsi="宋体" w:eastAsia="仿宋_GB2312" w:cs="宋体"/>
                <w:color w:val="000000"/>
                <w:lang w:eastAsia="zh-CN"/>
              </w:rPr>
            </w:pPr>
            <w:r>
              <w:rPr>
                <w:rFonts w:hint="eastAsia" w:cs="仿宋_GB2312" w:asciiTheme="minorEastAsia" w:hAnsiTheme="minorEastAsia" w:eastAsiaTheme="minorEastAsia"/>
                <w:lang w:val="en-US" w:eastAsia="zh-CN"/>
              </w:rPr>
              <w:t>SS</w:t>
            </w:r>
          </w:p>
        </w:tc>
        <w:tc>
          <w:tcPr>
            <w:tcW w:w="1317" w:type="dxa"/>
            <w:vAlign w:val="center"/>
          </w:tcPr>
          <w:p>
            <w:pPr>
              <w:jc w:val="center"/>
            </w:pPr>
            <w:r>
              <w:t>mg/l</w:t>
            </w:r>
          </w:p>
        </w:tc>
        <w:tc>
          <w:tcPr>
            <w:tcW w:w="2356" w:type="dxa"/>
          </w:tcPr>
          <w:p>
            <w:pPr>
              <w:jc w:val="center"/>
              <w:rPr>
                <w:rFonts w:ascii="宋体"/>
              </w:rPr>
            </w:pPr>
            <w:r>
              <w:rPr>
                <w:rFonts w:hint="eastAsia" w:ascii="宋体"/>
              </w:rPr>
              <w:t>5.0</w:t>
            </w:r>
          </w:p>
        </w:tc>
        <w:tc>
          <w:tcPr>
            <w:tcW w:w="2356" w:type="dxa"/>
            <w:vMerge w:val="continue"/>
            <w:vAlign w:val="center"/>
          </w:tcPr>
          <w:p>
            <w:pPr>
              <w:jc w:val="center"/>
              <w:rPr>
                <w:rFonts w:ascii="宋体"/>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206" w:type="dxa"/>
            <w:vMerge w:val="continue"/>
            <w:vAlign w:val="center"/>
          </w:tcPr>
          <w:p>
            <w:pPr>
              <w:jc w:val="center"/>
              <w:rPr>
                <w:rFonts w:ascii="宋体" w:hAnsi="宋体" w:cs="宋体"/>
              </w:rPr>
            </w:pPr>
          </w:p>
        </w:tc>
        <w:tc>
          <w:tcPr>
            <w:tcW w:w="1317" w:type="dxa"/>
            <w:vAlign w:val="center"/>
          </w:tcPr>
          <w:p>
            <w:pPr>
              <w:jc w:val="center"/>
              <w:rPr>
                <w:rFonts w:hint="eastAsia" w:ascii="仿宋_GB2312" w:hAnsi="宋体" w:eastAsia="仿宋_GB2312" w:cs="宋体"/>
                <w:color w:val="000000"/>
                <w:lang w:eastAsia="zh-CN"/>
              </w:rPr>
            </w:pPr>
            <w:r>
              <w:rPr>
                <w:rFonts w:hint="eastAsia" w:cs="仿宋_GB2312" w:asciiTheme="minorEastAsia" w:hAnsiTheme="minorEastAsia" w:eastAsiaTheme="minorEastAsia"/>
                <w:lang w:eastAsia="zh-CN"/>
              </w:rPr>
              <w:t>化学需氧量</w:t>
            </w:r>
          </w:p>
        </w:tc>
        <w:tc>
          <w:tcPr>
            <w:tcW w:w="1317" w:type="dxa"/>
            <w:vAlign w:val="center"/>
          </w:tcPr>
          <w:p>
            <w:pPr>
              <w:jc w:val="center"/>
            </w:pPr>
            <w:r>
              <w:t>mg/l</w:t>
            </w:r>
          </w:p>
        </w:tc>
        <w:tc>
          <w:tcPr>
            <w:tcW w:w="2356" w:type="dxa"/>
          </w:tcPr>
          <w:p>
            <w:pPr>
              <w:jc w:val="center"/>
              <w:rPr>
                <w:rFonts w:ascii="宋体"/>
              </w:rPr>
            </w:pPr>
            <w:r>
              <w:rPr>
                <w:rFonts w:hint="eastAsia" w:ascii="宋体"/>
              </w:rPr>
              <w:t>2.0</w:t>
            </w:r>
          </w:p>
        </w:tc>
        <w:tc>
          <w:tcPr>
            <w:tcW w:w="2356" w:type="dxa"/>
            <w:vMerge w:val="continue"/>
            <w:vAlign w:val="center"/>
          </w:tcPr>
          <w:p>
            <w:pPr>
              <w:jc w:val="center"/>
              <w:rPr>
                <w:rFonts w:ascii="宋体"/>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206" w:type="dxa"/>
            <w:vMerge w:val="continue"/>
            <w:vAlign w:val="center"/>
          </w:tcPr>
          <w:p>
            <w:pPr>
              <w:jc w:val="center"/>
              <w:rPr>
                <w:rFonts w:ascii="宋体" w:hAnsi="宋体" w:cs="宋体"/>
              </w:rPr>
            </w:pPr>
          </w:p>
        </w:tc>
        <w:tc>
          <w:tcPr>
            <w:tcW w:w="1317" w:type="dxa"/>
            <w:vAlign w:val="center"/>
          </w:tcPr>
          <w:p>
            <w:pPr>
              <w:jc w:val="center"/>
              <w:rPr>
                <w:rFonts w:hint="eastAsia" w:ascii="仿宋_GB2312" w:hAnsi="宋体" w:eastAsia="仿宋_GB2312" w:cs="宋体"/>
                <w:color w:val="000000"/>
                <w:lang w:eastAsia="zh-CN"/>
              </w:rPr>
            </w:pPr>
            <w:r>
              <w:rPr>
                <w:rFonts w:hint="eastAsia" w:cs="仿宋_GB2312" w:asciiTheme="minorEastAsia" w:hAnsiTheme="minorEastAsia" w:eastAsiaTheme="minorEastAsia"/>
                <w:lang w:eastAsia="zh-CN"/>
              </w:rPr>
              <w:t>氨氮</w:t>
            </w:r>
          </w:p>
        </w:tc>
        <w:tc>
          <w:tcPr>
            <w:tcW w:w="1317" w:type="dxa"/>
            <w:vAlign w:val="center"/>
          </w:tcPr>
          <w:p>
            <w:pPr>
              <w:jc w:val="center"/>
            </w:pPr>
            <w:r>
              <w:t>mg/l</w:t>
            </w:r>
          </w:p>
        </w:tc>
        <w:tc>
          <w:tcPr>
            <w:tcW w:w="2356" w:type="dxa"/>
          </w:tcPr>
          <w:p>
            <w:pPr>
              <w:jc w:val="center"/>
              <w:rPr>
                <w:rFonts w:cs="宋体" w:asciiTheme="minorEastAsia" w:hAnsiTheme="minorEastAsia" w:eastAsiaTheme="minorEastAsia"/>
              </w:rPr>
            </w:pPr>
            <w:r>
              <w:rPr>
                <w:rFonts w:hint="eastAsia" w:cs="宋体" w:asciiTheme="minorEastAsia" w:hAnsiTheme="minorEastAsia" w:eastAsiaTheme="minorEastAsia"/>
              </w:rPr>
              <w:t>500</w:t>
            </w:r>
          </w:p>
        </w:tc>
        <w:tc>
          <w:tcPr>
            <w:tcW w:w="2356" w:type="dxa"/>
            <w:vMerge w:val="continue"/>
            <w:vAlign w:val="center"/>
          </w:tcPr>
          <w:p>
            <w:pPr>
              <w:jc w:val="center"/>
              <w:rPr>
                <w:rFonts w:ascii="宋体"/>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206" w:type="dxa"/>
            <w:vMerge w:val="continue"/>
            <w:vAlign w:val="center"/>
          </w:tcPr>
          <w:p>
            <w:pPr>
              <w:jc w:val="center"/>
              <w:rPr>
                <w:rFonts w:ascii="宋体" w:hAnsi="宋体" w:cs="宋体"/>
              </w:rPr>
            </w:pPr>
          </w:p>
        </w:tc>
        <w:tc>
          <w:tcPr>
            <w:tcW w:w="1317" w:type="dxa"/>
            <w:vAlign w:val="center"/>
          </w:tcPr>
          <w:p>
            <w:pPr>
              <w:jc w:val="center"/>
              <w:rPr>
                <w:rFonts w:ascii="仿宋_GB2312" w:hAnsi="宋体" w:eastAsia="仿宋_GB2312" w:cs="宋体"/>
                <w:color w:val="000000"/>
              </w:rPr>
            </w:pPr>
            <w:r>
              <w:rPr>
                <w:rFonts w:hint="eastAsia" w:cs="仿宋_GB2312" w:asciiTheme="minorEastAsia" w:hAnsiTheme="minorEastAsia" w:eastAsiaTheme="minorEastAsia"/>
              </w:rPr>
              <w:t>BOD</w:t>
            </w:r>
            <w:r>
              <w:rPr>
                <w:rFonts w:hint="eastAsia" w:cs="仿宋_GB2312" w:asciiTheme="minorEastAsia" w:hAnsiTheme="minorEastAsia" w:eastAsiaTheme="minorEastAsia"/>
                <w:vertAlign w:val="subscript"/>
              </w:rPr>
              <w:t>5</w:t>
            </w:r>
          </w:p>
        </w:tc>
        <w:tc>
          <w:tcPr>
            <w:tcW w:w="1317" w:type="dxa"/>
            <w:vAlign w:val="center"/>
          </w:tcPr>
          <w:p>
            <w:pPr>
              <w:jc w:val="center"/>
            </w:pPr>
            <w:r>
              <w:t>mg/l</w:t>
            </w:r>
          </w:p>
        </w:tc>
        <w:tc>
          <w:tcPr>
            <w:tcW w:w="2356" w:type="dxa"/>
          </w:tcPr>
          <w:p>
            <w:pPr>
              <w:jc w:val="center"/>
              <w:rPr>
                <w:rFonts w:ascii="宋体"/>
              </w:rPr>
            </w:pPr>
            <w:r>
              <w:rPr>
                <w:rFonts w:hint="eastAsia" w:ascii="宋体"/>
              </w:rPr>
              <w:t>1600</w:t>
            </w:r>
          </w:p>
        </w:tc>
        <w:tc>
          <w:tcPr>
            <w:tcW w:w="2356" w:type="dxa"/>
            <w:vMerge w:val="continue"/>
            <w:vAlign w:val="center"/>
          </w:tcPr>
          <w:p>
            <w:pPr>
              <w:jc w:val="center"/>
              <w:rPr>
                <w:rFonts w:ascii="宋体"/>
              </w:rPr>
            </w:pPr>
          </w:p>
        </w:tc>
      </w:tr>
    </w:tbl>
    <w:p>
      <w:pPr>
        <w:tabs>
          <w:tab w:val="left" w:pos="860"/>
        </w:tabs>
        <w:spacing w:line="360" w:lineRule="auto"/>
        <w:rPr>
          <w:rFonts w:ascii="宋体" w:hAnsi="宋体" w:cs="宋体"/>
          <w:b/>
          <w:bCs/>
          <w:sz w:val="28"/>
          <w:szCs w:val="28"/>
        </w:rPr>
      </w:pPr>
    </w:p>
    <w:p>
      <w:pPr>
        <w:tabs>
          <w:tab w:val="left" w:pos="860"/>
        </w:tabs>
        <w:spacing w:line="360" w:lineRule="auto"/>
        <w:rPr>
          <w:rFonts w:ascii="宋体"/>
          <w:b/>
          <w:bCs/>
          <w:sz w:val="28"/>
          <w:szCs w:val="28"/>
        </w:rPr>
      </w:pPr>
      <w:r>
        <w:rPr>
          <w:rFonts w:hint="eastAsia" w:ascii="宋体" w:hAnsi="宋体" w:cs="宋体"/>
          <w:b/>
          <w:bCs/>
          <w:sz w:val="28"/>
          <w:szCs w:val="28"/>
        </w:rPr>
        <w:t>5.3厂界环境噪声排放标准</w:t>
      </w:r>
    </w:p>
    <w:p>
      <w:pPr>
        <w:tabs>
          <w:tab w:val="left" w:pos="860"/>
        </w:tabs>
        <w:spacing w:line="360" w:lineRule="auto"/>
        <w:ind w:firstLine="560" w:firstLineChars="200"/>
        <w:rPr>
          <w:rFonts w:ascii="宋体" w:cs="宋体"/>
          <w:sz w:val="28"/>
          <w:szCs w:val="28"/>
        </w:rPr>
      </w:pPr>
      <w:r>
        <w:rPr>
          <w:rFonts w:hint="eastAsia" w:ascii="宋体" w:hAnsi="宋体" w:cs="宋体"/>
          <w:sz w:val="28"/>
          <w:szCs w:val="28"/>
        </w:rPr>
        <w:t>本次监测厂界环境噪声排放执行《工业企业厂界环境噪声排放标准》（</w:t>
      </w:r>
      <w:r>
        <w:rPr>
          <w:rFonts w:ascii="宋体" w:hAnsi="宋体" w:cs="宋体"/>
          <w:sz w:val="28"/>
          <w:szCs w:val="28"/>
        </w:rPr>
        <w:t>GB12348-2008</w:t>
      </w:r>
      <w:r>
        <w:rPr>
          <w:rFonts w:hint="eastAsia" w:ascii="宋体" w:hAnsi="宋体" w:cs="宋体"/>
          <w:sz w:val="28"/>
          <w:szCs w:val="28"/>
        </w:rPr>
        <w:t>）3类标准。详见表5</w:t>
      </w:r>
      <w:r>
        <w:rPr>
          <w:rFonts w:ascii="宋体" w:hAnsi="宋体" w:cs="宋体"/>
          <w:sz w:val="28"/>
          <w:szCs w:val="28"/>
        </w:rPr>
        <w:t>-</w:t>
      </w:r>
      <w:r>
        <w:rPr>
          <w:rFonts w:hint="eastAsia" w:ascii="宋体" w:hAnsi="宋体" w:cs="宋体"/>
          <w:sz w:val="28"/>
          <w:szCs w:val="28"/>
        </w:rPr>
        <w:t>3。</w:t>
      </w:r>
    </w:p>
    <w:p>
      <w:pPr>
        <w:tabs>
          <w:tab w:val="left" w:pos="860"/>
        </w:tabs>
        <w:ind w:firstLine="482"/>
        <w:jc w:val="center"/>
        <w:rPr>
          <w:rFonts w:hint="eastAsia" w:ascii="宋体" w:hAnsi="宋体" w:cs="宋体"/>
          <w:b/>
          <w:bCs/>
        </w:rPr>
      </w:pPr>
    </w:p>
    <w:p>
      <w:pPr>
        <w:tabs>
          <w:tab w:val="left" w:pos="860"/>
        </w:tabs>
        <w:ind w:firstLine="482"/>
        <w:jc w:val="center"/>
        <w:rPr>
          <w:rFonts w:hint="eastAsia" w:ascii="宋体" w:hAnsi="宋体" w:cs="宋体"/>
          <w:b/>
          <w:bCs/>
        </w:rPr>
      </w:pPr>
    </w:p>
    <w:p>
      <w:pPr>
        <w:tabs>
          <w:tab w:val="left" w:pos="860"/>
        </w:tabs>
        <w:ind w:firstLine="482"/>
        <w:jc w:val="center"/>
        <w:rPr>
          <w:rFonts w:hint="eastAsia" w:ascii="宋体" w:hAnsi="宋体" w:cs="宋体"/>
          <w:b/>
          <w:bCs/>
        </w:rPr>
      </w:pPr>
    </w:p>
    <w:p>
      <w:pPr>
        <w:tabs>
          <w:tab w:val="left" w:pos="860"/>
        </w:tabs>
        <w:ind w:firstLine="482"/>
        <w:jc w:val="center"/>
        <w:rPr>
          <w:rFonts w:hint="eastAsia" w:ascii="宋体" w:hAnsi="宋体" w:cs="宋体"/>
          <w:b/>
          <w:bCs/>
        </w:rPr>
      </w:pPr>
    </w:p>
    <w:p>
      <w:pPr>
        <w:tabs>
          <w:tab w:val="left" w:pos="860"/>
        </w:tabs>
        <w:ind w:firstLine="482"/>
        <w:jc w:val="center"/>
        <w:rPr>
          <w:rFonts w:ascii="宋体"/>
          <w:b/>
          <w:bCs/>
        </w:rPr>
      </w:pPr>
      <w:r>
        <w:rPr>
          <w:rFonts w:hint="eastAsia" w:ascii="宋体" w:hAnsi="宋体" w:cs="宋体"/>
          <w:b/>
          <w:bCs/>
        </w:rPr>
        <w:t>表5</w:t>
      </w:r>
      <w:r>
        <w:rPr>
          <w:rFonts w:ascii="宋体" w:hAnsi="宋体" w:cs="宋体"/>
          <w:b/>
          <w:bCs/>
        </w:rPr>
        <w:t>-</w:t>
      </w:r>
      <w:r>
        <w:rPr>
          <w:rFonts w:hint="eastAsia" w:ascii="宋体" w:hAnsi="宋体" w:cs="宋体"/>
          <w:b/>
          <w:bCs/>
        </w:rPr>
        <w:t>3</w:t>
      </w:r>
      <w:r>
        <w:rPr>
          <w:rFonts w:ascii="宋体" w:hAnsi="宋体" w:cs="宋体"/>
          <w:b/>
          <w:bCs/>
        </w:rPr>
        <w:t xml:space="preserve">    </w:t>
      </w:r>
      <w:r>
        <w:rPr>
          <w:rFonts w:hint="eastAsia" w:ascii="宋体" w:hAnsi="宋体" w:cs="宋体"/>
          <w:b/>
          <w:bCs/>
        </w:rPr>
        <w:t>厂界环境噪声排放浓度限值</w:t>
      </w:r>
      <w:r>
        <w:rPr>
          <w:rFonts w:ascii="宋体" w:hAnsi="宋体" w:cs="宋体"/>
          <w:sz w:val="18"/>
          <w:szCs w:val="18"/>
        </w:rPr>
        <w:t xml:space="preserve">              </w:t>
      </w:r>
      <w:r>
        <w:rPr>
          <w:rFonts w:hint="eastAsia" w:ascii="宋体" w:hAnsi="宋体" w:cs="宋体"/>
          <w:b/>
          <w:sz w:val="18"/>
          <w:szCs w:val="18"/>
        </w:rPr>
        <w:t>单位：</w:t>
      </w:r>
      <w:r>
        <w:rPr>
          <w:rFonts w:ascii="宋体" w:hAnsi="宋体" w:cs="宋体"/>
          <w:b/>
          <w:sz w:val="18"/>
          <w:szCs w:val="18"/>
        </w:rPr>
        <w:t>dB(A)</w:t>
      </w:r>
    </w:p>
    <w:tbl>
      <w:tblPr>
        <w:tblStyle w:val="8"/>
        <w:tblW w:w="8809" w:type="dxa"/>
        <w:jc w:val="center"/>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102"/>
        <w:gridCol w:w="2408"/>
        <w:gridCol w:w="2299"/>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86" w:hRule="exact"/>
          <w:jc w:val="center"/>
        </w:trPr>
        <w:tc>
          <w:tcPr>
            <w:tcW w:w="4102" w:type="dxa"/>
            <w:vMerge w:val="restart"/>
            <w:tcBorders>
              <w:top w:val="double" w:color="auto" w:sz="4" w:space="0"/>
            </w:tcBorders>
            <w:vAlign w:val="center"/>
          </w:tcPr>
          <w:p>
            <w:pPr>
              <w:ind w:firstLine="422"/>
              <w:jc w:val="center"/>
              <w:rPr>
                <w:rFonts w:ascii="宋体"/>
                <w:b/>
                <w:bCs/>
              </w:rPr>
            </w:pPr>
            <w:r>
              <w:rPr>
                <w:rFonts w:hint="eastAsia" w:ascii="宋体" w:hAnsi="宋体" w:cs="宋体"/>
                <w:b/>
                <w:bCs/>
              </w:rPr>
              <w:t>厂界外声环境功能区类别</w:t>
            </w:r>
          </w:p>
        </w:tc>
        <w:tc>
          <w:tcPr>
            <w:tcW w:w="4707" w:type="dxa"/>
            <w:gridSpan w:val="2"/>
            <w:tcBorders>
              <w:top w:val="double" w:color="auto" w:sz="4" w:space="0"/>
              <w:bottom w:val="single" w:color="auto" w:sz="4" w:space="0"/>
            </w:tcBorders>
            <w:vAlign w:val="center"/>
          </w:tcPr>
          <w:p>
            <w:pPr>
              <w:ind w:firstLine="422"/>
              <w:jc w:val="center"/>
              <w:rPr>
                <w:rFonts w:ascii="宋体"/>
                <w:b/>
                <w:bCs/>
              </w:rPr>
            </w:pPr>
            <w:r>
              <w:rPr>
                <w:rFonts w:hint="eastAsia" w:ascii="宋体" w:hAnsi="宋体" w:cs="宋体"/>
                <w:b/>
                <w:bCs/>
              </w:rPr>
              <w:t>时段</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86" w:hRule="exact"/>
          <w:jc w:val="center"/>
        </w:trPr>
        <w:tc>
          <w:tcPr>
            <w:tcW w:w="4102" w:type="dxa"/>
            <w:vMerge w:val="continue"/>
            <w:vAlign w:val="center"/>
          </w:tcPr>
          <w:p>
            <w:pPr>
              <w:ind w:firstLine="420"/>
              <w:jc w:val="center"/>
              <w:rPr>
                <w:rFonts w:ascii="宋体"/>
              </w:rPr>
            </w:pPr>
          </w:p>
        </w:tc>
        <w:tc>
          <w:tcPr>
            <w:tcW w:w="2408" w:type="dxa"/>
            <w:vAlign w:val="center"/>
          </w:tcPr>
          <w:p>
            <w:pPr>
              <w:ind w:firstLine="420"/>
              <w:jc w:val="center"/>
              <w:rPr>
                <w:rFonts w:ascii="宋体"/>
              </w:rPr>
            </w:pPr>
            <w:r>
              <w:rPr>
                <w:rFonts w:hint="eastAsia" w:ascii="宋体" w:hAnsi="宋体" w:cs="宋体"/>
              </w:rPr>
              <w:t>昼间</w:t>
            </w:r>
          </w:p>
        </w:tc>
        <w:tc>
          <w:tcPr>
            <w:tcW w:w="2299" w:type="dxa"/>
            <w:tcBorders>
              <w:bottom w:val="single" w:color="auto" w:sz="4" w:space="0"/>
            </w:tcBorders>
            <w:vAlign w:val="center"/>
          </w:tcPr>
          <w:p>
            <w:pPr>
              <w:ind w:firstLine="420"/>
              <w:jc w:val="center"/>
              <w:rPr>
                <w:rFonts w:ascii="宋体"/>
              </w:rPr>
            </w:pPr>
            <w:r>
              <w:rPr>
                <w:rFonts w:hint="eastAsia" w:ascii="宋体" w:hAnsi="宋体" w:cs="宋体"/>
              </w:rPr>
              <w:t>夜间</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86" w:hRule="exact"/>
          <w:jc w:val="center"/>
        </w:trPr>
        <w:tc>
          <w:tcPr>
            <w:tcW w:w="4102" w:type="dxa"/>
            <w:tcBorders>
              <w:bottom w:val="double" w:color="auto" w:sz="4" w:space="0"/>
            </w:tcBorders>
            <w:vAlign w:val="center"/>
          </w:tcPr>
          <w:p>
            <w:pPr>
              <w:ind w:firstLine="420"/>
              <w:jc w:val="center"/>
              <w:rPr>
                <w:rFonts w:ascii="宋体" w:cs="宋体"/>
              </w:rPr>
            </w:pPr>
            <w:r>
              <w:rPr>
                <w:rFonts w:hint="eastAsia" w:ascii="宋体" w:hAnsi="宋体" w:cs="宋体"/>
              </w:rPr>
              <w:t>3</w:t>
            </w:r>
          </w:p>
        </w:tc>
        <w:tc>
          <w:tcPr>
            <w:tcW w:w="2408" w:type="dxa"/>
            <w:tcBorders>
              <w:bottom w:val="double" w:color="auto" w:sz="4" w:space="0"/>
            </w:tcBorders>
            <w:vAlign w:val="center"/>
          </w:tcPr>
          <w:p>
            <w:pPr>
              <w:ind w:firstLine="420"/>
              <w:jc w:val="center"/>
              <w:rPr>
                <w:rFonts w:ascii="宋体" w:cs="宋体"/>
              </w:rPr>
            </w:pPr>
            <w:r>
              <w:rPr>
                <w:rFonts w:hint="eastAsia" w:ascii="宋体" w:hAnsi="宋体" w:cs="宋体"/>
              </w:rPr>
              <w:t>65</w:t>
            </w:r>
          </w:p>
        </w:tc>
        <w:tc>
          <w:tcPr>
            <w:tcW w:w="2299" w:type="dxa"/>
            <w:tcBorders>
              <w:top w:val="single" w:color="auto" w:sz="4" w:space="0"/>
              <w:bottom w:val="double" w:color="auto" w:sz="4" w:space="0"/>
            </w:tcBorders>
            <w:vAlign w:val="center"/>
          </w:tcPr>
          <w:p>
            <w:pPr>
              <w:ind w:firstLine="420"/>
              <w:jc w:val="center"/>
              <w:rPr>
                <w:rFonts w:ascii="宋体" w:cs="宋体"/>
              </w:rPr>
            </w:pPr>
            <w:r>
              <w:rPr>
                <w:rFonts w:hint="eastAsia" w:ascii="宋体" w:hAnsi="宋体" w:cs="宋体"/>
              </w:rPr>
              <w:t>55</w:t>
            </w:r>
          </w:p>
        </w:tc>
      </w:tr>
    </w:tbl>
    <w:p>
      <w:pPr>
        <w:pStyle w:val="13"/>
        <w:wordWrap w:val="0"/>
        <w:spacing w:after="0" w:line="560" w:lineRule="exact"/>
        <w:ind w:left="0" w:right="1120"/>
        <w:rPr>
          <w:rFonts w:ascii="仿宋_GB2312" w:hAnsi="仿宋_GB2312" w:eastAsia="仿宋_GB2312" w:cs="Times New Roman"/>
          <w:sz w:val="28"/>
          <w:szCs w:val="28"/>
          <w:lang w:eastAsia="zh-CN"/>
        </w:rPr>
      </w:pPr>
    </w:p>
    <w:p>
      <w:pPr>
        <w:tabs>
          <w:tab w:val="left" w:pos="4830"/>
        </w:tabs>
        <w:spacing w:line="360" w:lineRule="auto"/>
        <w:rPr>
          <w:rFonts w:ascii="宋体" w:hAnsi="宋体" w:cs="宋体"/>
          <w:b/>
          <w:bCs/>
          <w:sz w:val="28"/>
          <w:szCs w:val="28"/>
        </w:rPr>
      </w:pPr>
      <w:r>
        <w:rPr>
          <w:rFonts w:hint="eastAsia" w:ascii="宋体"/>
          <w:b/>
          <w:bCs/>
          <w:sz w:val="28"/>
          <w:szCs w:val="28"/>
        </w:rPr>
        <w:t>6.</w:t>
      </w:r>
      <w:r>
        <w:rPr>
          <w:rFonts w:hint="eastAsia" w:ascii="宋体" w:hAnsi="宋体" w:cs="宋体"/>
          <w:b/>
          <w:bCs/>
          <w:sz w:val="28"/>
          <w:szCs w:val="28"/>
        </w:rPr>
        <w:t xml:space="preserve"> 质量保证</w:t>
      </w:r>
    </w:p>
    <w:p>
      <w:pPr>
        <w:tabs>
          <w:tab w:val="left" w:pos="4830"/>
        </w:tabs>
        <w:spacing w:line="360" w:lineRule="auto"/>
        <w:rPr>
          <w:rFonts w:ascii="宋体"/>
          <w:b/>
          <w:bCs/>
          <w:sz w:val="28"/>
          <w:szCs w:val="28"/>
        </w:rPr>
      </w:pPr>
      <w:r>
        <w:rPr>
          <w:rFonts w:hint="eastAsia" w:ascii="宋体" w:hAnsi="宋体" w:cs="宋体"/>
          <w:b/>
          <w:bCs/>
          <w:sz w:val="28"/>
          <w:szCs w:val="28"/>
        </w:rPr>
        <w:t>6.1质量控制</w:t>
      </w:r>
    </w:p>
    <w:p>
      <w:pPr>
        <w:tabs>
          <w:tab w:val="left" w:pos="0"/>
          <w:tab w:val="left" w:pos="6300"/>
        </w:tabs>
        <w:spacing w:line="360" w:lineRule="auto"/>
        <w:ind w:firstLine="700" w:firstLineChars="250"/>
        <w:rPr>
          <w:rFonts w:ascii="宋体"/>
          <w:sz w:val="28"/>
          <w:szCs w:val="28"/>
        </w:rPr>
      </w:pPr>
      <w:r>
        <w:rPr>
          <w:rFonts w:hint="eastAsia" w:ascii="宋体" w:hAnsi="宋体" w:cs="宋体"/>
          <w:sz w:val="28"/>
          <w:szCs w:val="28"/>
        </w:rPr>
        <w:t>现场监测期间确保设备正常运转，负荷满足监测要求并合理布设监测点位，保证各监测点位布设的科学性和可比性。保证监测分析结果的准确性、可靠性。</w:t>
      </w:r>
    </w:p>
    <w:p>
      <w:pPr>
        <w:pStyle w:val="3"/>
        <w:ind w:firstLine="560"/>
        <w:rPr>
          <w:rFonts w:ascii="宋体" w:hAnsi="宋体" w:eastAsia="宋体"/>
          <w:color w:val="auto"/>
          <w:sz w:val="28"/>
          <w:szCs w:val="28"/>
        </w:rPr>
      </w:pPr>
      <w:r>
        <w:rPr>
          <w:rFonts w:hint="eastAsia" w:ascii="宋体" w:hAnsi="宋体" w:eastAsia="宋体" w:cs="宋体"/>
          <w:color w:val="auto"/>
          <w:sz w:val="28"/>
          <w:szCs w:val="28"/>
        </w:rPr>
        <w:t>废气：监测仪器必须符合国家有关标准及技术规范要求，监测前要对使用的监测仪器用标准气体流量计进行校核（标定）；监测人员均持证上岗，采样和分析过程必须严格按照《固定污染源排气中颗粒物测定与气态污染物采样方法》（GB/T16157-1996）和《空气和废气监测分析方法》（第四版）进行。</w:t>
      </w:r>
    </w:p>
    <w:p>
      <w:pPr>
        <w:tabs>
          <w:tab w:val="left" w:pos="798"/>
        </w:tabs>
        <w:adjustRightInd w:val="0"/>
        <w:spacing w:line="360" w:lineRule="auto"/>
        <w:ind w:firstLine="560" w:firstLineChars="200"/>
        <w:rPr>
          <w:rFonts w:ascii="宋体"/>
          <w:sz w:val="28"/>
          <w:szCs w:val="28"/>
        </w:rPr>
      </w:pPr>
      <w:r>
        <w:rPr>
          <w:rFonts w:hint="eastAsia" w:ascii="宋体" w:hAnsi="宋体" w:cs="宋体"/>
          <w:sz w:val="28"/>
          <w:szCs w:val="28"/>
        </w:rPr>
        <w:t>废水：</w:t>
      </w:r>
    </w:p>
    <w:p>
      <w:pPr>
        <w:tabs>
          <w:tab w:val="left" w:pos="798"/>
        </w:tabs>
        <w:adjustRightInd w:val="0"/>
        <w:spacing w:line="360" w:lineRule="auto"/>
        <w:ind w:firstLine="560" w:firstLineChars="200"/>
        <w:rPr>
          <w:rFonts w:ascii="宋体"/>
          <w:sz w:val="28"/>
          <w:szCs w:val="28"/>
        </w:rPr>
      </w:pPr>
      <w:r>
        <w:rPr>
          <w:rFonts w:hint="eastAsia" w:ascii="宋体" w:cs="宋体"/>
          <w:sz w:val="28"/>
          <w:szCs w:val="28"/>
        </w:rPr>
        <w:t>⑴</w:t>
      </w:r>
      <w:r>
        <w:rPr>
          <w:rFonts w:hint="eastAsia" w:ascii="宋体" w:hAnsi="宋体" w:cs="宋体"/>
          <w:sz w:val="28"/>
          <w:szCs w:val="28"/>
        </w:rPr>
        <w:t>为保证监测数据准确、可靠，在水样的采集、保存、实验室分析和数据处理的全过程中均按照《环境水质监测质量保证手册（第二版）》的要求进行，；</w:t>
      </w:r>
    </w:p>
    <w:p>
      <w:pPr>
        <w:tabs>
          <w:tab w:val="left" w:pos="798"/>
        </w:tabs>
        <w:adjustRightInd w:val="0"/>
        <w:spacing w:line="360" w:lineRule="auto"/>
        <w:ind w:firstLine="560" w:firstLineChars="200"/>
        <w:rPr>
          <w:rFonts w:ascii="宋体"/>
          <w:sz w:val="28"/>
          <w:szCs w:val="28"/>
        </w:rPr>
      </w:pPr>
      <w:r>
        <w:rPr>
          <w:rFonts w:hint="eastAsia" w:ascii="宋体" w:cs="宋体"/>
          <w:sz w:val="28"/>
          <w:szCs w:val="28"/>
        </w:rPr>
        <w:t>⑵</w:t>
      </w:r>
      <w:r>
        <w:rPr>
          <w:rFonts w:hint="eastAsia" w:ascii="宋体" w:hAnsi="宋体" w:cs="宋体"/>
          <w:sz w:val="28"/>
          <w:szCs w:val="28"/>
        </w:rPr>
        <w:t>监测分析方法采用国家有关部门颁布的标准分析方法，监测人员均持有上岗合格证，所有监测仪器均经过相关部门检定；</w:t>
      </w:r>
    </w:p>
    <w:p>
      <w:pPr>
        <w:spacing w:line="360" w:lineRule="auto"/>
        <w:ind w:firstLine="560"/>
        <w:rPr>
          <w:rFonts w:ascii="宋体"/>
          <w:sz w:val="28"/>
          <w:szCs w:val="28"/>
        </w:rPr>
      </w:pPr>
      <w:r>
        <w:rPr>
          <w:rFonts w:hint="eastAsia" w:ascii="宋体" w:cs="宋体"/>
          <w:sz w:val="28"/>
          <w:szCs w:val="28"/>
        </w:rPr>
        <w:t>⑶</w:t>
      </w:r>
      <w:r>
        <w:rPr>
          <w:rFonts w:hint="eastAsia" w:ascii="宋体" w:hAnsi="宋体" w:cs="宋体"/>
          <w:sz w:val="28"/>
          <w:szCs w:val="28"/>
        </w:rPr>
        <w:t>现场采集平行密码样品，实验室分析中采取自控平行双样措施。自控平行双样测定率为10%，加标回收测定率为10%；他控平行密码样测定率为10%。监测分析结果的精密度和准确度均达到质量控制的要求。</w:t>
      </w:r>
    </w:p>
    <w:p>
      <w:pPr>
        <w:pStyle w:val="17"/>
        <w:spacing w:after="0" w:line="360" w:lineRule="auto"/>
        <w:ind w:left="0" w:firstLine="560" w:firstLineChars="200"/>
        <w:outlineLvl w:val="0"/>
        <w:rPr>
          <w:rFonts w:ascii="宋体" w:hAnsi="宋体" w:cs="宋体"/>
          <w:sz w:val="28"/>
          <w:szCs w:val="28"/>
          <w:lang w:eastAsia="zh-CN"/>
        </w:rPr>
      </w:pPr>
      <w:r>
        <w:rPr>
          <w:rFonts w:hint="eastAsia" w:ascii="宋体" w:hAnsi="宋体" w:cs="宋体"/>
          <w:sz w:val="28"/>
          <w:szCs w:val="28"/>
          <w:lang w:eastAsia="zh-CN"/>
        </w:rPr>
        <w:t>厂界噪声：监测仪器均符合国家有关标准和技术要求，测量前后均用AWA6221B型校准器对所使用的噪声统计分析仪进行了校准；监测人员均持证上岗，并严格按照国家《工业企业厂界环境噪声排放标准》（GB12348-2008）规定的技术要求监测。</w:t>
      </w:r>
    </w:p>
    <w:p>
      <w:pPr>
        <w:tabs>
          <w:tab w:val="left" w:pos="4830"/>
        </w:tabs>
        <w:spacing w:line="360" w:lineRule="auto"/>
        <w:rPr>
          <w:rFonts w:ascii="宋体" w:hAnsi="宋体" w:cs="宋体"/>
          <w:b/>
          <w:bCs/>
          <w:sz w:val="28"/>
          <w:szCs w:val="28"/>
        </w:rPr>
      </w:pPr>
      <w:r>
        <w:rPr>
          <w:rFonts w:hint="eastAsia" w:ascii="宋体" w:hAnsi="宋体" w:cs="宋体"/>
          <w:b/>
          <w:bCs/>
          <w:sz w:val="28"/>
          <w:szCs w:val="28"/>
        </w:rPr>
        <w:t>6.2采样和样品保存方法</w:t>
      </w:r>
    </w:p>
    <w:p>
      <w:pPr>
        <w:pStyle w:val="3"/>
        <w:ind w:firstLine="560"/>
        <w:rPr>
          <w:rFonts w:ascii="宋体" w:hAnsi="宋体" w:eastAsia="宋体" w:cs="宋体"/>
          <w:color w:val="auto"/>
          <w:sz w:val="28"/>
          <w:szCs w:val="28"/>
        </w:rPr>
      </w:pPr>
      <w:r>
        <w:rPr>
          <w:rFonts w:hint="eastAsia" w:ascii="宋体" w:hAnsi="宋体" w:eastAsia="宋体" w:cs="宋体"/>
          <w:color w:val="auto"/>
          <w:sz w:val="28"/>
          <w:szCs w:val="28"/>
        </w:rPr>
        <w:t>废气：手工采样方法的选择参照相关污染物排放标准及GB/T16157、HJ/T397等执行。废气自动监测参照HJ/T75、HJ/T76执行，根据待测物的不同，选择相应的监测规范，通过吸收液采样的样品链接采样管调节流量，确保采样期间流量恒定，采集好的样品尽快分析，通过滤膜采集的样品放在密封的玻璃干燥器中平衡，注明样品编号，平衡好后称重计算。</w:t>
      </w:r>
    </w:p>
    <w:p>
      <w:pPr>
        <w:pStyle w:val="3"/>
        <w:ind w:firstLine="560"/>
        <w:rPr>
          <w:rFonts w:ascii="宋体" w:hAnsi="宋体" w:eastAsia="宋体" w:cs="宋体"/>
          <w:color w:val="auto"/>
          <w:sz w:val="28"/>
          <w:szCs w:val="28"/>
        </w:rPr>
      </w:pPr>
      <w:r>
        <w:rPr>
          <w:rFonts w:hint="eastAsia" w:ascii="宋体" w:hAnsi="宋体" w:eastAsia="宋体" w:cs="宋体"/>
          <w:color w:val="auto"/>
          <w:sz w:val="28"/>
          <w:szCs w:val="28"/>
        </w:rPr>
        <w:t>废水：废水手工采样方法的选择参照相关污染物排放标准及HJ/T91、HJ/T92、HJ493、HJ494、HJ495等执行，根据监测的特点确定本次采样方法为混合采样法，每次采集3个混合样品。每次水样采集前用水样冲洗采样通2～3次，采样时采样通迎着水流方向，水充满后迅速提出水面；采集好的水样冷藏在4℃条件下，贮存于暗处抑制生物活动减缓物理挥发和化学反应速度，根据待测物染污的不同加入相应的化学保存剂保存样品。</w:t>
      </w:r>
    </w:p>
    <w:p>
      <w:pPr>
        <w:pStyle w:val="17"/>
        <w:spacing w:line="360" w:lineRule="auto"/>
        <w:ind w:left="0"/>
        <w:outlineLvl w:val="0"/>
        <w:rPr>
          <w:rFonts w:ascii="宋体" w:hAnsi="宋体" w:cs="宋体"/>
          <w:b/>
          <w:bCs/>
          <w:sz w:val="28"/>
          <w:szCs w:val="28"/>
          <w:lang w:eastAsia="zh-CN"/>
        </w:rPr>
      </w:pPr>
      <w:r>
        <w:rPr>
          <w:rFonts w:hint="eastAsia" w:ascii="宋体" w:cs="Times New Roman"/>
          <w:b/>
          <w:bCs/>
          <w:sz w:val="28"/>
          <w:szCs w:val="28"/>
          <w:lang w:eastAsia="zh-CN"/>
        </w:rPr>
        <w:t>7.</w:t>
      </w:r>
      <w:r>
        <w:rPr>
          <w:rFonts w:hint="eastAsia" w:ascii="宋体" w:hAnsi="宋体" w:cs="宋体"/>
          <w:b/>
          <w:bCs/>
          <w:sz w:val="28"/>
          <w:szCs w:val="28"/>
          <w:lang w:eastAsia="zh-CN"/>
        </w:rPr>
        <w:t xml:space="preserve"> 监测结果公开时限</w:t>
      </w:r>
    </w:p>
    <w:p>
      <w:pPr>
        <w:pStyle w:val="17"/>
        <w:spacing w:line="360" w:lineRule="auto"/>
        <w:ind w:left="0" w:firstLine="560" w:firstLineChars="200"/>
        <w:outlineLvl w:val="0"/>
        <w:rPr>
          <w:rFonts w:ascii="宋体" w:hAnsi="宋体" w:cs="宋体"/>
          <w:bCs/>
          <w:sz w:val="28"/>
          <w:szCs w:val="28"/>
          <w:lang w:eastAsia="zh-CN"/>
        </w:rPr>
      </w:pPr>
      <w:r>
        <w:rPr>
          <w:rFonts w:hint="eastAsia" w:ascii="宋体" w:hAnsi="宋体" w:cs="宋体"/>
          <w:bCs/>
          <w:sz w:val="28"/>
          <w:szCs w:val="28"/>
          <w:lang w:eastAsia="zh-CN"/>
        </w:rPr>
        <w:t>按照中卫市环境保护局下发的《关于对全市重点企业自行监测及信息公开工作进行检查的通知》对监测结果明确公开时限的要求，结合自行监测及信息公开办法中要求的监测频次，自行监测信息在监测完毕对数据进行处理审核后，将监测报告和原始记录的复印件在中卫市环境保护局企业自行监测信息公开网站上进行公开，企业自行监测信息公开网站出现故障时，企业应在内部信息网上或中卫日报上进行自行监测数据信息公开。</w:t>
      </w:r>
    </w:p>
    <w:p>
      <w:pPr>
        <w:pStyle w:val="17"/>
        <w:ind w:left="0"/>
        <w:outlineLvl w:val="0"/>
        <w:rPr>
          <w:rFonts w:ascii="宋体" w:hAnsi="宋体" w:cs="宋体"/>
          <w:b/>
          <w:bCs/>
          <w:sz w:val="28"/>
          <w:szCs w:val="28"/>
          <w:lang w:eastAsia="zh-CN"/>
        </w:rPr>
      </w:pPr>
      <w:r>
        <w:rPr>
          <w:rFonts w:hint="eastAsia" w:ascii="宋体" w:hAnsi="宋体" w:cs="宋体"/>
          <w:b/>
          <w:bCs/>
          <w:sz w:val="28"/>
          <w:szCs w:val="28"/>
          <w:lang w:eastAsia="zh-CN"/>
        </w:rPr>
        <w:t>8.委托监测协议见附件</w:t>
      </w:r>
    </w:p>
    <w:p>
      <w:pPr>
        <w:pStyle w:val="17"/>
        <w:spacing w:line="360" w:lineRule="auto"/>
        <w:ind w:left="0"/>
        <w:outlineLvl w:val="0"/>
        <w:rPr>
          <w:rFonts w:ascii="宋体" w:cs="Times New Roman"/>
          <w:b/>
          <w:bCs/>
          <w:sz w:val="28"/>
          <w:szCs w:val="28"/>
          <w:lang w:eastAsia="zh-CN"/>
        </w:rPr>
      </w:pPr>
    </w:p>
    <w:p>
      <w:pPr>
        <w:tabs>
          <w:tab w:val="left" w:pos="3218"/>
        </w:tabs>
        <w:spacing w:line="360" w:lineRule="auto"/>
        <w:ind w:firstLine="420" w:firstLineChars="200"/>
        <w:jc w:val="left"/>
        <w:rPr>
          <w:b/>
          <w:sz w:val="28"/>
          <w:szCs w:val="28"/>
        </w:rPr>
      </w:pPr>
      <w:r>
        <w:rPr>
          <w:rFonts w:cs="宋体" w:asciiTheme="minorEastAsia" w:hAnsiTheme="minorEastAsia" w:eastAsiaTheme="minorEastAsia"/>
        </w:rPr>
        <w:t xml:space="preserve">  </w:t>
      </w:r>
    </w:p>
    <w:p>
      <w:pPr>
        <w:tabs>
          <w:tab w:val="left" w:pos="3218"/>
        </w:tabs>
        <w:spacing w:line="360" w:lineRule="auto"/>
        <w:ind w:firstLine="540"/>
        <w:jc w:val="left"/>
        <w:rPr>
          <w:b/>
          <w:sz w:val="28"/>
          <w:szCs w:val="28"/>
        </w:rPr>
      </w:pPr>
    </w:p>
    <w:p>
      <w:pPr>
        <w:tabs>
          <w:tab w:val="left" w:pos="3218"/>
        </w:tabs>
        <w:spacing w:line="360" w:lineRule="auto"/>
        <w:ind w:firstLine="560" w:firstLineChars="200"/>
        <w:jc w:val="left"/>
        <w:rPr>
          <w:sz w:val="28"/>
          <w:szCs w:val="28"/>
        </w:rPr>
      </w:pPr>
    </w:p>
    <w:p>
      <w:pPr>
        <w:jc w:val="center"/>
        <w:rPr>
          <w:rFonts w:asciiTheme="majorEastAsia" w:hAnsiTheme="majorEastAsia" w:eastAsiaTheme="majorEastAsia"/>
          <w:b/>
          <w:kern w:val="0"/>
          <w:sz w:val="28"/>
          <w:szCs w:val="28"/>
        </w:rPr>
      </w:pPr>
      <w:r>
        <w:rPr>
          <w:rFonts w:hint="eastAsia" w:cs="方正小标宋_GBK" w:asciiTheme="majorEastAsia" w:hAnsiTheme="majorEastAsia" w:eastAsiaTheme="majorEastAsia"/>
          <w:b/>
          <w:kern w:val="0"/>
          <w:sz w:val="28"/>
          <w:szCs w:val="28"/>
        </w:rPr>
        <w:t xml:space="preserve">                         宁夏紫光天化蛋氨酸有限责任公司</w:t>
      </w:r>
      <w:r>
        <w:rPr>
          <w:rFonts w:hint="eastAsia" w:cs="仿宋_GB2312" w:asciiTheme="majorEastAsia" w:hAnsiTheme="majorEastAsia" w:eastAsiaTheme="majorEastAsia"/>
          <w:b/>
          <w:sz w:val="28"/>
          <w:szCs w:val="28"/>
        </w:rPr>
        <w:t>（公章）</w:t>
      </w:r>
    </w:p>
    <w:p>
      <w:pPr>
        <w:pStyle w:val="19"/>
        <w:spacing w:line="563" w:lineRule="atLeast"/>
        <w:ind w:right="113" w:firstLine="5762" w:firstLineChars="2050"/>
        <w:rPr>
          <w:rFonts w:hint="default" w:cs="仿宋_GB2312" w:asciiTheme="majorEastAsia" w:hAnsiTheme="majorEastAsia" w:eastAsiaTheme="majorEastAsia"/>
          <w:b/>
          <w:color w:val="auto"/>
          <w:sz w:val="28"/>
          <w:szCs w:val="28"/>
        </w:rPr>
      </w:pPr>
      <w:r>
        <w:rPr>
          <w:rFonts w:cs="仿宋_GB2312" w:asciiTheme="majorEastAsia" w:hAnsiTheme="majorEastAsia" w:eastAsiaTheme="majorEastAsia"/>
          <w:b/>
          <w:color w:val="auto"/>
          <w:sz w:val="28"/>
          <w:szCs w:val="28"/>
        </w:rPr>
        <w:t>2017年</w:t>
      </w:r>
      <w:r>
        <w:rPr>
          <w:rFonts w:hint="eastAsia" w:cs="仿宋_GB2312" w:asciiTheme="majorEastAsia" w:hAnsiTheme="majorEastAsia" w:eastAsiaTheme="majorEastAsia"/>
          <w:b/>
          <w:color w:val="auto"/>
          <w:sz w:val="28"/>
          <w:szCs w:val="28"/>
          <w:lang w:val="en-US" w:eastAsia="zh-CN"/>
        </w:rPr>
        <w:t>11</w:t>
      </w:r>
      <w:r>
        <w:rPr>
          <w:rFonts w:cs="仿宋_GB2312" w:asciiTheme="majorEastAsia" w:hAnsiTheme="majorEastAsia" w:eastAsiaTheme="majorEastAsia"/>
          <w:b/>
          <w:color w:val="auto"/>
          <w:sz w:val="28"/>
          <w:szCs w:val="28"/>
        </w:rPr>
        <w:t>月2</w:t>
      </w:r>
      <w:r>
        <w:rPr>
          <w:rFonts w:hint="eastAsia" w:cs="仿宋_GB2312" w:asciiTheme="majorEastAsia" w:hAnsiTheme="majorEastAsia" w:eastAsiaTheme="majorEastAsia"/>
          <w:b/>
          <w:color w:val="auto"/>
          <w:sz w:val="28"/>
          <w:szCs w:val="28"/>
          <w:lang w:val="en-US" w:eastAsia="zh-CN"/>
        </w:rPr>
        <w:t>8</w:t>
      </w:r>
      <w:r>
        <w:rPr>
          <w:rFonts w:cs="仿宋_GB2312" w:asciiTheme="majorEastAsia" w:hAnsiTheme="majorEastAsia" w:eastAsiaTheme="majorEastAsia"/>
          <w:b/>
          <w:color w:val="auto"/>
          <w:sz w:val="28"/>
          <w:szCs w:val="28"/>
        </w:rPr>
        <w:t>日</w:t>
      </w:r>
    </w:p>
    <w:p>
      <w:pPr>
        <w:tabs>
          <w:tab w:val="left" w:pos="3218"/>
        </w:tabs>
        <w:spacing w:line="360" w:lineRule="auto"/>
        <w:ind w:firstLine="560" w:firstLineChars="200"/>
        <w:jc w:val="left"/>
        <w:rPr>
          <w:rFonts w:asciiTheme="majorEastAsia" w:hAnsiTheme="majorEastAsia" w:eastAsiaTheme="majorEastAsia"/>
          <w:sz w:val="28"/>
          <w:szCs w:val="28"/>
        </w:rPr>
      </w:pPr>
    </w:p>
    <w:p>
      <w:pPr>
        <w:tabs>
          <w:tab w:val="left" w:pos="3218"/>
        </w:tabs>
        <w:spacing w:line="360" w:lineRule="auto"/>
        <w:ind w:firstLine="560" w:firstLineChars="200"/>
        <w:jc w:val="left"/>
        <w:rPr>
          <w:rFonts w:asciiTheme="majorEastAsia" w:hAnsiTheme="majorEastAsia" w:eastAsiaTheme="majorEastAsia"/>
          <w:sz w:val="28"/>
          <w:szCs w:val="28"/>
        </w:rPr>
      </w:pPr>
    </w:p>
    <w:p>
      <w:pPr>
        <w:tabs>
          <w:tab w:val="left" w:pos="3218"/>
        </w:tabs>
        <w:spacing w:line="360" w:lineRule="auto"/>
        <w:ind w:firstLine="560" w:firstLineChars="200"/>
        <w:jc w:val="left"/>
        <w:rPr>
          <w:rFonts w:asciiTheme="majorEastAsia" w:hAnsiTheme="majorEastAsia" w:eastAsiaTheme="majorEastAsia"/>
          <w:sz w:val="28"/>
          <w:szCs w:val="28"/>
        </w:rPr>
      </w:pPr>
    </w:p>
    <w:p>
      <w:pPr>
        <w:tabs>
          <w:tab w:val="left" w:pos="3218"/>
        </w:tabs>
        <w:spacing w:line="360" w:lineRule="auto"/>
        <w:ind w:firstLine="560" w:firstLineChars="200"/>
        <w:jc w:val="left"/>
        <w:rPr>
          <w:rFonts w:asciiTheme="majorEastAsia" w:hAnsiTheme="majorEastAsia" w:eastAsiaTheme="majorEastAsia"/>
          <w:sz w:val="28"/>
          <w:szCs w:val="28"/>
        </w:rPr>
      </w:pPr>
    </w:p>
    <w:p>
      <w:pPr>
        <w:tabs>
          <w:tab w:val="left" w:pos="3218"/>
        </w:tabs>
        <w:spacing w:line="360" w:lineRule="auto"/>
        <w:ind w:firstLine="560" w:firstLineChars="200"/>
        <w:jc w:val="left"/>
        <w:rPr>
          <w:rFonts w:asciiTheme="majorEastAsia" w:hAnsiTheme="majorEastAsia" w:eastAsiaTheme="majorEastAsia"/>
          <w:sz w:val="28"/>
          <w:szCs w:val="28"/>
        </w:rPr>
      </w:pPr>
    </w:p>
    <w:p>
      <w:pPr>
        <w:tabs>
          <w:tab w:val="left" w:pos="3218"/>
        </w:tabs>
        <w:spacing w:line="360" w:lineRule="auto"/>
        <w:ind w:firstLine="560" w:firstLineChars="200"/>
        <w:jc w:val="left"/>
        <w:rPr>
          <w:rFonts w:asciiTheme="majorEastAsia" w:hAnsiTheme="majorEastAsia" w:eastAsiaTheme="majorEastAsia"/>
          <w:sz w:val="28"/>
          <w:szCs w:val="28"/>
        </w:rPr>
      </w:pPr>
    </w:p>
    <w:p>
      <w:pPr>
        <w:tabs>
          <w:tab w:val="left" w:pos="3218"/>
        </w:tabs>
        <w:spacing w:line="360" w:lineRule="auto"/>
        <w:ind w:firstLine="560" w:firstLineChars="200"/>
        <w:jc w:val="left"/>
        <w:rPr>
          <w:rFonts w:asciiTheme="majorEastAsia" w:hAnsiTheme="majorEastAsia" w:eastAsiaTheme="majorEastAsia"/>
          <w:sz w:val="28"/>
          <w:szCs w:val="28"/>
        </w:rPr>
      </w:pPr>
    </w:p>
    <w:p>
      <w:pPr>
        <w:tabs>
          <w:tab w:val="left" w:pos="3218"/>
        </w:tabs>
        <w:spacing w:line="360" w:lineRule="auto"/>
        <w:ind w:firstLine="560" w:firstLineChars="200"/>
        <w:jc w:val="left"/>
        <w:rPr>
          <w:rFonts w:asciiTheme="majorEastAsia" w:hAnsiTheme="majorEastAsia" w:eastAsiaTheme="majorEastAsia"/>
          <w:sz w:val="28"/>
          <w:szCs w:val="28"/>
        </w:rPr>
      </w:pPr>
    </w:p>
    <w:p>
      <w:pPr>
        <w:tabs>
          <w:tab w:val="left" w:pos="3218"/>
        </w:tabs>
        <w:spacing w:line="360" w:lineRule="auto"/>
        <w:ind w:firstLine="560" w:firstLineChars="200"/>
        <w:jc w:val="left"/>
        <w:rPr>
          <w:rFonts w:asciiTheme="majorEastAsia" w:hAnsiTheme="majorEastAsia" w:eastAsiaTheme="majorEastAsia"/>
          <w:sz w:val="28"/>
          <w:szCs w:val="28"/>
        </w:rPr>
      </w:pPr>
    </w:p>
    <w:p>
      <w:pPr>
        <w:jc w:val="center"/>
        <w:rPr>
          <w:rFonts w:ascii="宋体"/>
          <w:b/>
          <w:kern w:val="0"/>
          <w:sz w:val="44"/>
          <w:szCs w:val="44"/>
        </w:rPr>
      </w:pPr>
      <w:r>
        <w:rPr>
          <w:rFonts w:hint="eastAsia"/>
          <w:b/>
          <w:bCs/>
          <w:color w:val="000000" w:themeColor="text1"/>
          <w:sz w:val="24"/>
          <w:szCs w:val="24"/>
          <w:lang w:val="en-US" w:eastAsia="zh-CN"/>
          <w14:textFill>
            <w14:solidFill>
              <w14:schemeClr w14:val="tx1"/>
            </w14:solidFill>
          </w14:textFill>
        </w:rPr>
        <w:t xml:space="preserve">  </w:t>
      </w:r>
    </w:p>
    <w:sectPr>
      <w:pgSz w:w="11906" w:h="16838"/>
      <w:pgMar w:top="1701" w:right="1474" w:bottom="1701"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Arial Black">
    <w:panose1 w:val="020B0A04020102020204"/>
    <w:charset w:val="00"/>
    <w:family w:val="swiss"/>
    <w:pitch w:val="default"/>
    <w:sig w:usb0="00000287" w:usb1="000000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方正小标宋简体">
    <w:altName w:val="黑体"/>
    <w:panose1 w:val="00000000000000000000"/>
    <w:charset w:val="86"/>
    <w:family w:val="script"/>
    <w:pitch w:val="default"/>
    <w:sig w:usb0="00000000" w:usb1="00000000" w:usb2="00000010" w:usb3="00000000" w:csb0="00040000" w:csb1="00000000"/>
  </w:font>
  <w:font w:name="方正小标宋_GBK">
    <w:altName w:val="宋体"/>
    <w:panose1 w:val="00000000000000000000"/>
    <w:charset w:val="86"/>
    <w:family w:val="script"/>
    <w:pitch w:val="default"/>
    <w:sig w:usb0="00000000" w:usb1="00000000" w:usb2="00000010" w:usb3="00000000" w:csb0="00040000" w:csb1="00000000"/>
  </w:font>
  <w:font w:name="SimSun-ExtB">
    <w:altName w:val="宋体"/>
    <w:panose1 w:val="02010609060101010101"/>
    <w:charset w:val="86"/>
    <w:family w:val="auto"/>
    <w:pitch w:val="default"/>
    <w:sig w:usb0="00000000" w:usb1="00000000" w:usb2="00000000" w:usb3="00000000" w:csb0="00040001" w:csb1="00000000"/>
  </w:font>
  <w:font w:name="仿宋">
    <w:altName w:val="宋体"/>
    <w:panose1 w:val="02010609060101010101"/>
    <w:charset w:val="86"/>
    <w:family w:val="auto"/>
    <w:pitch w:val="default"/>
    <w:sig w:usb0="00000000" w:usb1="00000000" w:usb2="00000016" w:usb3="00000000" w:csb0="00040001" w:csb1="00000000"/>
  </w:font>
  <w:font w:name="Arial">
    <w:panose1 w:val="020B0604020202020204"/>
    <w:charset w:val="00"/>
    <w:family w:val="swiss"/>
    <w:pitch w:val="default"/>
    <w:sig w:usb0="00007A87" w:usb1="80000000" w:usb2="00000008" w:usb3="00000000" w:csb0="400001FF" w:csb1="FFFF0000"/>
  </w:font>
  <w:font w:name="Tahoma">
    <w:panose1 w:val="020B0604030504040204"/>
    <w:charset w:val="00"/>
    <w:family w:val="swiss"/>
    <w:pitch w:val="default"/>
    <w:sig w:usb0="61007A87" w:usb1="80000000" w:usb2="00000008" w:usb3="00000000" w:csb0="200101FF" w:csb1="20280000"/>
  </w:font>
  <w:font w:name="汉鼎简书宋">
    <w:altName w:val="宋体"/>
    <w:panose1 w:val="02010609010101010101"/>
    <w:charset w:val="86"/>
    <w:family w:val="modern"/>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方正大标宋简体">
    <w:altName w:val="宋体"/>
    <w:panose1 w:val="02010601030101010101"/>
    <w:charset w:val="86"/>
    <w:family w:val="auto"/>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10" w:usb3="00000000" w:csb0="00040001" w:csb1="00000000"/>
  </w:font>
  <w:font w:name="TimesNewRomanPS-ItalicMT">
    <w:altName w:val="Times New Roman"/>
    <w:panose1 w:val="00000000000000000000"/>
    <w:charset w:val="00"/>
    <w:family w:val="roman"/>
    <w:pitch w:val="default"/>
    <w:sig w:usb0="00000000" w:usb1="00000000" w:usb2="00000000" w:usb3="00000000" w:csb0="00000001" w:csb1="00000000"/>
  </w:font>
  <w:font w:name="Times New Roman+FPEF">
    <w:altName w:val="MS Mincho"/>
    <w:panose1 w:val="00000000000000000000"/>
    <w:charset w:val="80"/>
    <w:family w:val="auto"/>
    <w:pitch w:val="default"/>
    <w:sig w:usb0="00000000" w:usb1="00000000" w:usb2="00000010" w:usb3="00000000" w:csb0="00020000" w:csb1="00000000"/>
  </w:font>
  <w:font w:name="华文中宋">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00000287" w:usb1="00000000" w:usb2="00000000" w:usb3="00000000" w:csb0="2000019F" w:csb1="00000000"/>
  </w:font>
  <w:font w:name="MS Mincho">
    <w:panose1 w:val="02020609040205080304"/>
    <w:charset w:val="80"/>
    <w:family w:val="auto"/>
    <w:pitch w:val="default"/>
    <w:sig w:usb0="A00002BF" w:usb1="68C7FCFB" w:usb2="00000010" w:usb3="00000000" w:csb0="4002009F" w:csb1="DFD70000"/>
  </w:font>
  <w:font w:name="长城楷体">
    <w:altName w:val="黑体"/>
    <w:panose1 w:val="0201060900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华文新魏">
    <w:altName w:val="宋体"/>
    <w:panose1 w:val="02010800040101010101"/>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Adobe 仿宋 Std R">
    <w:altName w:val="宋体"/>
    <w:panose1 w:val="00000000000000000000"/>
    <w:charset w:val="86"/>
    <w:family w:val="roman"/>
    <w:pitch w:val="default"/>
    <w:sig w:usb0="00000000" w:usb1="00000000" w:usb2="00000010" w:usb3="00000000" w:csb0="00060007" w:csb1="00000000"/>
  </w:font>
  <w:font w:name="楷体">
    <w:altName w:val="楷体_GB2312"/>
    <w:panose1 w:val="02010609060101010101"/>
    <w:charset w:val="86"/>
    <w:family w:val="auto"/>
    <w:pitch w:val="default"/>
    <w:sig w:usb0="00000000" w:usb1="00000000" w:usb2="00000016" w:usb3="00000000" w:csb0="00040001" w:csb1="00000000"/>
  </w:font>
  <w:font w:name="微软雅黑">
    <w:altName w:val="黑体"/>
    <w:panose1 w:val="020B0503020204020204"/>
    <w:charset w:val="86"/>
    <w:family w:val="auto"/>
    <w:pitch w:val="default"/>
    <w:sig w:usb0="00000000" w:usb1="00000000" w:usb2="00000016" w:usb3="00000000" w:csb0="0004001F" w:csb1="00000000"/>
  </w:font>
  <w:font w:name="新宋体">
    <w:panose1 w:val="02010609030101010101"/>
    <w:charset w:val="86"/>
    <w:family w:val="auto"/>
    <w:pitch w:val="default"/>
    <w:sig w:usb0="00000003" w:usb1="080E0000" w:usb2="00000000" w:usb3="00000000" w:csb0="00040001" w:csb1="00000000"/>
  </w:font>
  <w:font w:name="DFKai-SB">
    <w:altName w:val="MingLiU"/>
    <w:panose1 w:val="03000509000000000000"/>
    <w:charset w:val="88"/>
    <w:family w:val="auto"/>
    <w:pitch w:val="default"/>
    <w:sig w:usb0="00000000" w:usb1="00000000" w:usb2="00000016" w:usb3="00000000" w:csb0="00100001" w:csb1="00000000"/>
  </w:font>
  <w:font w:name="Dotu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Gungsuh">
    <w:altName w:val="GulimChe"/>
    <w:panose1 w:val="02030600000101010101"/>
    <w:charset w:val="81"/>
    <w:family w:val="auto"/>
    <w:pitch w:val="default"/>
    <w:sig w:usb0="00000000" w:usb1="00000000" w:usb2="00000030" w:usb3="00000000" w:csb0="4008009F" w:csb1="DFD70000"/>
  </w:font>
  <w:font w:name="Meiryo">
    <w:altName w:val="MS UI Gothic"/>
    <w:panose1 w:val="020B0604030504040204"/>
    <w:charset w:val="80"/>
    <w:family w:val="auto"/>
    <w:pitch w:val="default"/>
    <w:sig w:usb0="00000000" w:usb1="00000000" w:usb2="00010012" w:usb3="00000000" w:csb0="6002009F" w:csb1="DFD70000"/>
  </w:font>
  <w:font w:name="Meiryo UI">
    <w:altName w:val="MS UI Gothic"/>
    <w:panose1 w:val="020B0604030504040204"/>
    <w:charset w:val="80"/>
    <w:family w:val="auto"/>
    <w:pitch w:val="default"/>
    <w:sig w:usb0="00000000" w:usb1="00000000" w:usb2="00010012" w:usb3="00000000" w:csb0="6002009F" w:csb1="DFD70000"/>
  </w:font>
  <w:font w:name="Microsoft JhengHei">
    <w:altName w:val="PMingLiU"/>
    <w:panose1 w:val="020B0604030504040204"/>
    <w:charset w:val="88"/>
    <w:family w:val="auto"/>
    <w:pitch w:val="default"/>
    <w:sig w:usb0="00000000" w:usb1="00000000" w:usb2="00000016" w:usb3="00000000" w:csb0="00100009" w:csb1="00000000"/>
  </w:font>
  <w:font w:name="MingLiU">
    <w:panose1 w:val="02020309000000000000"/>
    <w:charset w:val="88"/>
    <w:family w:val="auto"/>
    <w:pitch w:val="default"/>
    <w:sig w:usb0="00000003" w:usb1="082E0000" w:usb2="00000016" w:usb3="00000000" w:csb0="00100001" w:csb1="00000000"/>
  </w:font>
  <w:font w:name="MingLiU-ExtB">
    <w:altName w:val="PMingLiU"/>
    <w:panose1 w:val="02020500000000000000"/>
    <w:charset w:val="88"/>
    <w:family w:val="auto"/>
    <w:pitch w:val="default"/>
    <w:sig w:usb0="00000000" w:usb1="00000000" w:usb2="00000000" w:usb3="00000000" w:csb0="00100001" w:csb1="00000000"/>
  </w:font>
  <w:font w:name="MingLiU_HKSCS">
    <w:altName w:val="PMingLiU"/>
    <w:panose1 w:val="02020500000000000000"/>
    <w:charset w:val="88"/>
    <w:family w:val="auto"/>
    <w:pitch w:val="default"/>
    <w:sig w:usb0="00000000" w:usb1="00000000" w:usb2="00000016" w:usb3="00000000" w:csb0="00100001" w:csb1="00000000"/>
  </w:font>
  <w:font w:name="MingLiU_HKSCS-ExtB">
    <w:altName w:val="PMingLiU"/>
    <w:panose1 w:val="02020500000000000000"/>
    <w:charset w:val="88"/>
    <w:family w:val="auto"/>
    <w:pitch w:val="default"/>
    <w:sig w:usb0="00000000" w:usb1="00000000" w:usb2="00000000" w:usb3="00000000" w:csb0="00100001" w:csb1="00000000"/>
  </w:font>
  <w:font w:name="MS PGothic">
    <w:panose1 w:val="020B0600070205080204"/>
    <w:charset w:val="80"/>
    <w:family w:val="auto"/>
    <w:pitch w:val="default"/>
    <w:sig w:usb0="A00002BF" w:usb1="68C7FCFB" w:usb2="00000010" w:usb3="00000000" w:csb0="4002009F" w:csb1="DFD70000"/>
  </w:font>
  <w:font w:name="MS PMincho">
    <w:panose1 w:val="02020600040205080304"/>
    <w:charset w:val="80"/>
    <w:family w:val="auto"/>
    <w:pitch w:val="default"/>
    <w:sig w:usb0="A00002BF" w:usb1="68C7FCFB" w:usb2="00000010" w:usb3="00000000" w:csb0="4002009F" w:csb1="DFD70000"/>
  </w:font>
  <w:font w:name="MS UI Gothic">
    <w:panose1 w:val="020B0600070205080204"/>
    <w:charset w:val="80"/>
    <w:family w:val="auto"/>
    <w:pitch w:val="default"/>
    <w:sig w:usb0="A00002BF" w:usb1="68C7FCFB" w:usb2="00000010" w:usb3="00000000" w:csb0="4002009F" w:csb1="DFD70000"/>
  </w:font>
  <w:font w:name="PMingLiU">
    <w:panose1 w:val="02020300000000000000"/>
    <w:charset w:val="88"/>
    <w:family w:val="auto"/>
    <w:pitch w:val="default"/>
    <w:sig w:usb0="00000003" w:usb1="082E0000" w:usb2="00000016" w:usb3="00000000" w:csb0="00100001" w:csb1="00000000"/>
  </w:font>
  <w:font w:name="PMingLiU-ExtB">
    <w:altName w:val="PMingLiU"/>
    <w:panose1 w:val="02020500000000000000"/>
    <w:charset w:val="88"/>
    <w:family w:val="auto"/>
    <w:pitch w:val="default"/>
    <w:sig w:usb0="00000000" w:usb1="00000000" w:usb2="00000000" w:usb3="00000000" w:csb0="00100001" w:csb1="00000000"/>
  </w:font>
  <w:font w:name="Andalus">
    <w:altName w:val="Times New Roman"/>
    <w:panose1 w:val="02020603050405020304"/>
    <w:charset w:val="00"/>
    <w:family w:val="auto"/>
    <w:pitch w:val="default"/>
    <w:sig w:usb0="00000000" w:usb1="00000000" w:usb2="00000008" w:usb3="00000000" w:csb0="00000041" w:csb1="20080000"/>
  </w:font>
  <w:font w:name="Angsana New">
    <w:altName w:val="Times New Roman"/>
    <w:panose1 w:val="02020603050405020304"/>
    <w:charset w:val="00"/>
    <w:family w:val="auto"/>
    <w:pitch w:val="default"/>
    <w:sig w:usb0="00000000" w:usb1="00000000" w:usb2="00000000" w:usb3="00000000" w:csb0="00010001" w:csb1="00000000"/>
  </w:font>
  <w:font w:name="AngsanaUPC">
    <w:altName w:val="Times New Roman"/>
    <w:panose1 w:val="02020603050405020304"/>
    <w:charset w:val="00"/>
    <w:family w:val="auto"/>
    <w:pitch w:val="default"/>
    <w:sig w:usb0="00000000" w:usb1="00000000" w:usb2="00000000" w:usb3="00000000" w:csb0="00010001" w:csb1="00000000"/>
  </w:font>
  <w:font w:name="Arabic Typesetting">
    <w:altName w:val="Comic Sans MS"/>
    <w:panose1 w:val="03020402040406030203"/>
    <w:charset w:val="00"/>
    <w:family w:val="auto"/>
    <w:pitch w:val="default"/>
    <w:sig w:usb0="00000000" w:usb1="00000000" w:usb2="00000008" w:usb3="00000000" w:csb0="200000D3" w:csb1="00000000"/>
  </w:font>
  <w:font w:name="Browallia New">
    <w:altName w:val="Microsoft Sans Serif"/>
    <w:panose1 w:val="020B0604020202020204"/>
    <w:charset w:val="00"/>
    <w:family w:val="auto"/>
    <w:pitch w:val="default"/>
    <w:sig w:usb0="00000000" w:usb1="00000000" w:usb2="00000000" w:usb3="00000000" w:csb0="00010001" w:csb1="00000000"/>
  </w:font>
  <w:font w:name="BrowalliaUPC">
    <w:altName w:val="Microsoft Sans Serif"/>
    <w:panose1 w:val="020B0604020202020204"/>
    <w:charset w:val="00"/>
    <w:family w:val="auto"/>
    <w:pitch w:val="default"/>
    <w:sig w:usb0="00000000" w:usb1="00000000" w:usb2="00000000" w:usb3="00000000" w:csb0="00010001" w:csb1="00000000"/>
  </w:font>
  <w:font w:name="Consolas">
    <w:panose1 w:val="020B0609020204030204"/>
    <w:charset w:val="00"/>
    <w:family w:val="auto"/>
    <w:pitch w:val="default"/>
    <w:sig w:usb0="A00002EF" w:usb1="4000204B" w:usb2="00000000" w:usb3="00000000" w:csb0="2000009F" w:csb1="00000000"/>
  </w:font>
  <w:font w:name="DaunPenh">
    <w:altName w:val="Sylfaen"/>
    <w:panose1 w:val="01010101010101010101"/>
    <w:charset w:val="00"/>
    <w:family w:val="auto"/>
    <w:pitch w:val="default"/>
    <w:sig w:usb0="00000000" w:usb1="00000000" w:usb2="00010000" w:usb3="00000000" w:csb0="00000001" w:csb1="00000000"/>
  </w:font>
  <w:font w:name="David">
    <w:altName w:val="Candara"/>
    <w:panose1 w:val="020E0502060401010101"/>
    <w:charset w:val="00"/>
    <w:family w:val="auto"/>
    <w:pitch w:val="default"/>
    <w:sig w:usb0="00000000" w:usb1="00000000" w:usb2="00000000" w:usb3="00000000" w:csb0="00000020" w:csb1="00200000"/>
  </w:font>
  <w:font w:name="DilleniaUPC">
    <w:altName w:val="Times New Roman"/>
    <w:panose1 w:val="02020603050405020304"/>
    <w:charset w:val="00"/>
    <w:family w:val="auto"/>
    <w:pitch w:val="default"/>
    <w:sig w:usb0="00000000" w:usb1="00000000" w:usb2="00000000" w:usb3="00000000" w:csb0="00010001" w:csb1="00000000"/>
  </w:font>
  <w:font w:name="Vani">
    <w:altName w:val="Lucida Sans Unicode"/>
    <w:panose1 w:val="020B0502040204020203"/>
    <w:charset w:val="00"/>
    <w:family w:val="auto"/>
    <w:pitch w:val="default"/>
    <w:sig w:usb0="00000000" w:usb1="00000000" w:usb2="00000000" w:usb3="00000000" w:csb0="00000001" w:csb1="00000000"/>
  </w:font>
  <w:font w:name="Utsaah">
    <w:altName w:val="Microsoft Sans Serif"/>
    <w:panose1 w:val="020B0604020202020204"/>
    <w:charset w:val="00"/>
    <w:family w:val="auto"/>
    <w:pitch w:val="default"/>
    <w:sig w:usb0="00000000" w:usb1="00000000" w:usb2="00000000" w:usb3="00000000" w:csb0="00000001" w:csb1="00000000"/>
  </w:font>
  <w:font w:name="Tunga">
    <w:altName w:val="Lucida Sans Unicode"/>
    <w:panose1 w:val="020B0502040204020203"/>
    <w:charset w:val="00"/>
    <w:family w:val="auto"/>
    <w:pitch w:val="default"/>
    <w:sig w:usb0="00000000" w:usb1="00000000" w:usb2="00000000" w:usb3="00000000" w:csb0="00000001" w:csb1="00000000"/>
  </w:font>
  <w:font w:name="Trebuchet MS">
    <w:panose1 w:val="020B0603020202020204"/>
    <w:charset w:val="00"/>
    <w:family w:val="auto"/>
    <w:pitch w:val="default"/>
    <w:sig w:usb0="00000287" w:usb1="00000000" w:usb2="00000000" w:usb3="00000000" w:csb0="2000009F" w:csb1="00000000"/>
  </w:font>
  <w:font w:name="Traditional Arabic">
    <w:altName w:val="Times New Roman"/>
    <w:panose1 w:val="02020603050405020304"/>
    <w:charset w:val="00"/>
    <w:family w:val="auto"/>
    <w:pitch w:val="default"/>
    <w:sig w:usb0="00000000" w:usb1="00000000" w:usb2="00000008" w:usb3="00000000" w:csb0="00000041" w:csb1="20080000"/>
  </w:font>
  <w:font w:name="Comic Sans MS">
    <w:panose1 w:val="030F0702030302020204"/>
    <w:charset w:val="00"/>
    <w:family w:val="auto"/>
    <w:pitch w:val="default"/>
    <w:sig w:usb0="00000287" w:usb1="00000000" w:usb2="00000000" w:usb3="00000000" w:csb0="2000009F" w:csb1="00000000"/>
  </w:font>
  <w:font w:name="Microsoft Sans Serif">
    <w:panose1 w:val="020B0604020202020204"/>
    <w:charset w:val="00"/>
    <w:family w:val="auto"/>
    <w:pitch w:val="default"/>
    <w:sig w:usb0="61007BDF" w:usb1="80000000" w:usb2="00000008" w:usb3="00000000" w:csb0="200101FF" w:csb1="20280000"/>
  </w:font>
  <w:font w:name="Sylfaen">
    <w:panose1 w:val="010A0502050306030303"/>
    <w:charset w:val="00"/>
    <w:family w:val="auto"/>
    <w:pitch w:val="default"/>
    <w:sig w:usb0="04000687" w:usb1="00000000" w:usb2="00000000" w:usb3="00000000" w:csb0="2000009F" w:csb1="00000000"/>
  </w:font>
  <w:font w:name="Candara">
    <w:panose1 w:val="020E0502030303020204"/>
    <w:charset w:val="00"/>
    <w:family w:val="auto"/>
    <w:pitch w:val="default"/>
    <w:sig w:usb0="A00002EF" w:usb1="4000204B" w:usb2="00000000" w:usb3="00000000" w:csb0="2000009F" w:csb1="00000000"/>
  </w:font>
  <w:font w:name="Lucida Sans Unicode">
    <w:panose1 w:val="020B0602030504020204"/>
    <w:charset w:val="00"/>
    <w:family w:val="auto"/>
    <w:pitch w:val="default"/>
    <w:sig w:usb0="80001AFF" w:usb1="0000396B" w:usb2="00000000" w:usb3="00000000" w:csb0="0000003F" w:csb1="D7F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A45"/>
    <w:rsid w:val="00000DE6"/>
    <w:rsid w:val="00006A8D"/>
    <w:rsid w:val="000079B1"/>
    <w:rsid w:val="00010F58"/>
    <w:rsid w:val="00025212"/>
    <w:rsid w:val="0003731C"/>
    <w:rsid w:val="0004416A"/>
    <w:rsid w:val="00094FAF"/>
    <w:rsid w:val="000A0CE1"/>
    <w:rsid w:val="000B1ED6"/>
    <w:rsid w:val="000D6D4F"/>
    <w:rsid w:val="000E0558"/>
    <w:rsid w:val="000F2F05"/>
    <w:rsid w:val="000F3397"/>
    <w:rsid w:val="000F6668"/>
    <w:rsid w:val="001032AE"/>
    <w:rsid w:val="00105B19"/>
    <w:rsid w:val="00110008"/>
    <w:rsid w:val="0011061F"/>
    <w:rsid w:val="001129A6"/>
    <w:rsid w:val="0011306F"/>
    <w:rsid w:val="00120A70"/>
    <w:rsid w:val="00135170"/>
    <w:rsid w:val="001824BF"/>
    <w:rsid w:val="00194D36"/>
    <w:rsid w:val="001B57D5"/>
    <w:rsid w:val="001E2076"/>
    <w:rsid w:val="001E6E1D"/>
    <w:rsid w:val="001F1A8F"/>
    <w:rsid w:val="001F2048"/>
    <w:rsid w:val="001F4ED8"/>
    <w:rsid w:val="0020710E"/>
    <w:rsid w:val="00207D8C"/>
    <w:rsid w:val="002275DD"/>
    <w:rsid w:val="00232C53"/>
    <w:rsid w:val="00237958"/>
    <w:rsid w:val="00244CCF"/>
    <w:rsid w:val="00246A45"/>
    <w:rsid w:val="002529AC"/>
    <w:rsid w:val="0025667C"/>
    <w:rsid w:val="002712C7"/>
    <w:rsid w:val="0027791E"/>
    <w:rsid w:val="00294F0D"/>
    <w:rsid w:val="002A1B8E"/>
    <w:rsid w:val="002A60B4"/>
    <w:rsid w:val="002C4AFB"/>
    <w:rsid w:val="002D643D"/>
    <w:rsid w:val="002E41E6"/>
    <w:rsid w:val="002F6A13"/>
    <w:rsid w:val="003027C8"/>
    <w:rsid w:val="00307370"/>
    <w:rsid w:val="00330EF5"/>
    <w:rsid w:val="00331112"/>
    <w:rsid w:val="003317AB"/>
    <w:rsid w:val="00335CB7"/>
    <w:rsid w:val="00336130"/>
    <w:rsid w:val="00340A1E"/>
    <w:rsid w:val="003453F6"/>
    <w:rsid w:val="003540D5"/>
    <w:rsid w:val="00362F94"/>
    <w:rsid w:val="00385EC2"/>
    <w:rsid w:val="003909CE"/>
    <w:rsid w:val="003A151D"/>
    <w:rsid w:val="003C72CE"/>
    <w:rsid w:val="003D5BCC"/>
    <w:rsid w:val="003E183D"/>
    <w:rsid w:val="00403784"/>
    <w:rsid w:val="00442499"/>
    <w:rsid w:val="004551DD"/>
    <w:rsid w:val="00464CC0"/>
    <w:rsid w:val="004721B3"/>
    <w:rsid w:val="004A2FA9"/>
    <w:rsid w:val="004B6E8F"/>
    <w:rsid w:val="004D1DBD"/>
    <w:rsid w:val="004D7AE3"/>
    <w:rsid w:val="004E02BB"/>
    <w:rsid w:val="00516F30"/>
    <w:rsid w:val="00524CE5"/>
    <w:rsid w:val="005352F2"/>
    <w:rsid w:val="00541364"/>
    <w:rsid w:val="00542D57"/>
    <w:rsid w:val="00557DB7"/>
    <w:rsid w:val="00564CF9"/>
    <w:rsid w:val="005966BA"/>
    <w:rsid w:val="005C4E6E"/>
    <w:rsid w:val="005D5536"/>
    <w:rsid w:val="005E0B9F"/>
    <w:rsid w:val="005F508F"/>
    <w:rsid w:val="00602B17"/>
    <w:rsid w:val="00605300"/>
    <w:rsid w:val="00605885"/>
    <w:rsid w:val="00611B34"/>
    <w:rsid w:val="006153A4"/>
    <w:rsid w:val="006215AE"/>
    <w:rsid w:val="0064163F"/>
    <w:rsid w:val="00673553"/>
    <w:rsid w:val="00681FE0"/>
    <w:rsid w:val="00684EC1"/>
    <w:rsid w:val="006873B7"/>
    <w:rsid w:val="00695E74"/>
    <w:rsid w:val="006A2BC5"/>
    <w:rsid w:val="006B72EC"/>
    <w:rsid w:val="006D0064"/>
    <w:rsid w:val="006D2EA5"/>
    <w:rsid w:val="006D78D8"/>
    <w:rsid w:val="006E2258"/>
    <w:rsid w:val="006F14FE"/>
    <w:rsid w:val="0071411F"/>
    <w:rsid w:val="0071491E"/>
    <w:rsid w:val="007308F9"/>
    <w:rsid w:val="0073330E"/>
    <w:rsid w:val="00740B46"/>
    <w:rsid w:val="00752931"/>
    <w:rsid w:val="00755ECE"/>
    <w:rsid w:val="00767587"/>
    <w:rsid w:val="00774648"/>
    <w:rsid w:val="00776F78"/>
    <w:rsid w:val="00784BA2"/>
    <w:rsid w:val="0079683C"/>
    <w:rsid w:val="007B3234"/>
    <w:rsid w:val="007E0B79"/>
    <w:rsid w:val="007E409B"/>
    <w:rsid w:val="007E63D7"/>
    <w:rsid w:val="007E7F4D"/>
    <w:rsid w:val="007F6400"/>
    <w:rsid w:val="00803017"/>
    <w:rsid w:val="00810629"/>
    <w:rsid w:val="00811CAF"/>
    <w:rsid w:val="00872E31"/>
    <w:rsid w:val="00874CF1"/>
    <w:rsid w:val="00890D11"/>
    <w:rsid w:val="008C0867"/>
    <w:rsid w:val="008C4D50"/>
    <w:rsid w:val="008F69B2"/>
    <w:rsid w:val="0090675C"/>
    <w:rsid w:val="00912C93"/>
    <w:rsid w:val="00922252"/>
    <w:rsid w:val="00934153"/>
    <w:rsid w:val="00967B2C"/>
    <w:rsid w:val="009727CC"/>
    <w:rsid w:val="00975631"/>
    <w:rsid w:val="00983C53"/>
    <w:rsid w:val="00992380"/>
    <w:rsid w:val="0099529A"/>
    <w:rsid w:val="00995E86"/>
    <w:rsid w:val="009A0C75"/>
    <w:rsid w:val="009B1E0B"/>
    <w:rsid w:val="009C07E6"/>
    <w:rsid w:val="009C6390"/>
    <w:rsid w:val="009D747E"/>
    <w:rsid w:val="009E7514"/>
    <w:rsid w:val="009F25CD"/>
    <w:rsid w:val="009F4A74"/>
    <w:rsid w:val="009F4D0C"/>
    <w:rsid w:val="00A13075"/>
    <w:rsid w:val="00A20131"/>
    <w:rsid w:val="00A2037E"/>
    <w:rsid w:val="00A204DB"/>
    <w:rsid w:val="00A53CBE"/>
    <w:rsid w:val="00A658C3"/>
    <w:rsid w:val="00A7007E"/>
    <w:rsid w:val="00A753F0"/>
    <w:rsid w:val="00A8050B"/>
    <w:rsid w:val="00A972BC"/>
    <w:rsid w:val="00AB27E0"/>
    <w:rsid w:val="00AB2AFC"/>
    <w:rsid w:val="00AD1F32"/>
    <w:rsid w:val="00AE3F21"/>
    <w:rsid w:val="00B1693F"/>
    <w:rsid w:val="00B172DD"/>
    <w:rsid w:val="00B174BD"/>
    <w:rsid w:val="00B2432C"/>
    <w:rsid w:val="00B36B42"/>
    <w:rsid w:val="00B555A7"/>
    <w:rsid w:val="00B63B97"/>
    <w:rsid w:val="00B80CDA"/>
    <w:rsid w:val="00B86BE8"/>
    <w:rsid w:val="00BA152B"/>
    <w:rsid w:val="00BA52B4"/>
    <w:rsid w:val="00BA6609"/>
    <w:rsid w:val="00BB25CB"/>
    <w:rsid w:val="00BB41CD"/>
    <w:rsid w:val="00BD2714"/>
    <w:rsid w:val="00BE3BFC"/>
    <w:rsid w:val="00BF1CCA"/>
    <w:rsid w:val="00C1101D"/>
    <w:rsid w:val="00C226E2"/>
    <w:rsid w:val="00C26FD4"/>
    <w:rsid w:val="00C277D6"/>
    <w:rsid w:val="00C408F5"/>
    <w:rsid w:val="00C52D14"/>
    <w:rsid w:val="00C56569"/>
    <w:rsid w:val="00C6157D"/>
    <w:rsid w:val="00C93548"/>
    <w:rsid w:val="00C96631"/>
    <w:rsid w:val="00CA1643"/>
    <w:rsid w:val="00CA2312"/>
    <w:rsid w:val="00CB4849"/>
    <w:rsid w:val="00CC55AE"/>
    <w:rsid w:val="00CD3FCC"/>
    <w:rsid w:val="00CE3554"/>
    <w:rsid w:val="00D10913"/>
    <w:rsid w:val="00D11844"/>
    <w:rsid w:val="00D27B3E"/>
    <w:rsid w:val="00D305FE"/>
    <w:rsid w:val="00D609C3"/>
    <w:rsid w:val="00D646A7"/>
    <w:rsid w:val="00D76098"/>
    <w:rsid w:val="00D86D5A"/>
    <w:rsid w:val="00D8716F"/>
    <w:rsid w:val="00D94D6F"/>
    <w:rsid w:val="00DA05DC"/>
    <w:rsid w:val="00DA566B"/>
    <w:rsid w:val="00DB1EAD"/>
    <w:rsid w:val="00DB409D"/>
    <w:rsid w:val="00DD0D77"/>
    <w:rsid w:val="00DD5976"/>
    <w:rsid w:val="00DF3961"/>
    <w:rsid w:val="00E021B0"/>
    <w:rsid w:val="00E05417"/>
    <w:rsid w:val="00E071DE"/>
    <w:rsid w:val="00E07CBC"/>
    <w:rsid w:val="00E3070F"/>
    <w:rsid w:val="00E340F6"/>
    <w:rsid w:val="00E6168F"/>
    <w:rsid w:val="00E631DA"/>
    <w:rsid w:val="00E6564B"/>
    <w:rsid w:val="00E71AD9"/>
    <w:rsid w:val="00E835CA"/>
    <w:rsid w:val="00E8495C"/>
    <w:rsid w:val="00E84D10"/>
    <w:rsid w:val="00EA1DC9"/>
    <w:rsid w:val="00EA6483"/>
    <w:rsid w:val="00EB24BF"/>
    <w:rsid w:val="00EB28EF"/>
    <w:rsid w:val="00EB4376"/>
    <w:rsid w:val="00EC7492"/>
    <w:rsid w:val="00EE0CCC"/>
    <w:rsid w:val="00EE6E86"/>
    <w:rsid w:val="00EF7BCB"/>
    <w:rsid w:val="00F01E07"/>
    <w:rsid w:val="00F12579"/>
    <w:rsid w:val="00F33279"/>
    <w:rsid w:val="00F62A99"/>
    <w:rsid w:val="00F65B9F"/>
    <w:rsid w:val="00F73FA3"/>
    <w:rsid w:val="00F74A04"/>
    <w:rsid w:val="00F8772A"/>
    <w:rsid w:val="00F87D8C"/>
    <w:rsid w:val="00F964A4"/>
    <w:rsid w:val="00FC451F"/>
    <w:rsid w:val="00FC4884"/>
    <w:rsid w:val="00FD43D9"/>
    <w:rsid w:val="00FF1EE8"/>
    <w:rsid w:val="016A687F"/>
    <w:rsid w:val="17557098"/>
    <w:rsid w:val="1B84623A"/>
    <w:rsid w:val="32035DDA"/>
    <w:rsid w:val="32951CC4"/>
    <w:rsid w:val="36DF02C4"/>
    <w:rsid w:val="37413565"/>
    <w:rsid w:val="39B13982"/>
    <w:rsid w:val="3B83038A"/>
    <w:rsid w:val="407A4C61"/>
    <w:rsid w:val="46D8459A"/>
    <w:rsid w:val="4EB811DD"/>
    <w:rsid w:val="54061C59"/>
    <w:rsid w:val="577F6F15"/>
    <w:rsid w:val="5BFF2C38"/>
    <w:rsid w:val="61E561B7"/>
    <w:rsid w:val="635F2CA0"/>
    <w:rsid w:val="705A2A30"/>
    <w:rsid w:val="716116DB"/>
    <w:rsid w:val="72EB778D"/>
    <w:rsid w:val="78DA30B7"/>
    <w:rsid w:val="7E3A123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7">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11"/>
    <w:semiHidden/>
    <w:qFormat/>
    <w:uiPriority w:val="99"/>
    <w:pPr>
      <w:tabs>
        <w:tab w:val="center" w:pos="4153"/>
        <w:tab w:val="right" w:pos="8306"/>
      </w:tabs>
      <w:snapToGrid w:val="0"/>
      <w:jc w:val="left"/>
    </w:pPr>
    <w:rPr>
      <w:rFonts w:ascii="Calibri" w:hAnsi="Calibri" w:cs="Calibri"/>
      <w:sz w:val="18"/>
      <w:szCs w:val="18"/>
    </w:rPr>
  </w:style>
  <w:style w:type="paragraph" w:styleId="3">
    <w:name w:val="Normal Indent"/>
    <w:basedOn w:val="1"/>
    <w:link w:val="15"/>
    <w:qFormat/>
    <w:uiPriority w:val="99"/>
    <w:pPr>
      <w:widowControl/>
      <w:spacing w:line="360" w:lineRule="auto"/>
      <w:ind w:firstLine="420" w:firstLineChars="200"/>
      <w:jc w:val="left"/>
    </w:pPr>
    <w:rPr>
      <w:rFonts w:ascii="Arial Black" w:hAnsi="Arial Black" w:eastAsia="仿宋_GB2312"/>
      <w:color w:val="000000"/>
      <w:kern w:val="0"/>
      <w:sz w:val="24"/>
      <w:szCs w:val="20"/>
    </w:rPr>
  </w:style>
  <w:style w:type="paragraph" w:styleId="4">
    <w:name w:val="Body Text"/>
    <w:basedOn w:val="1"/>
    <w:link w:val="10"/>
    <w:qFormat/>
    <w:uiPriority w:val="99"/>
    <w:pPr>
      <w:widowControl/>
      <w:spacing w:line="600" w:lineRule="exact"/>
      <w:ind w:firstLine="200" w:firstLineChars="200"/>
      <w:jc w:val="left"/>
    </w:pPr>
    <w:rPr>
      <w:rFonts w:ascii="方正小标宋简体" w:hAnsi="Calibri" w:eastAsia="方正小标宋简体" w:cs="方正小标宋简体"/>
      <w:kern w:val="0"/>
      <w:sz w:val="44"/>
      <w:szCs w:val="44"/>
    </w:rPr>
  </w:style>
  <w:style w:type="paragraph" w:styleId="5">
    <w:name w:val="Balloon Text"/>
    <w:basedOn w:val="1"/>
    <w:link w:val="18"/>
    <w:unhideWhenUsed/>
    <w:qFormat/>
    <w:uiPriority w:val="99"/>
    <w:rPr>
      <w:sz w:val="18"/>
      <w:szCs w:val="18"/>
    </w:rPr>
  </w:style>
  <w:style w:type="paragraph" w:styleId="6">
    <w:name w:val="header"/>
    <w:basedOn w:val="1"/>
    <w:link w:val="12"/>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table" w:styleId="9">
    <w:name w:val="Table Grid"/>
    <w:basedOn w:val="8"/>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正文文本 Char"/>
    <w:basedOn w:val="7"/>
    <w:link w:val="4"/>
    <w:qFormat/>
    <w:locked/>
    <w:uiPriority w:val="99"/>
    <w:rPr>
      <w:rFonts w:ascii="Times New Roman" w:hAnsi="Times New Roman" w:cs="Times New Roman"/>
      <w:sz w:val="21"/>
      <w:szCs w:val="21"/>
    </w:rPr>
  </w:style>
  <w:style w:type="character" w:customStyle="1" w:styleId="11">
    <w:name w:val="页脚 Char"/>
    <w:basedOn w:val="7"/>
    <w:link w:val="2"/>
    <w:semiHidden/>
    <w:qFormat/>
    <w:locked/>
    <w:uiPriority w:val="99"/>
    <w:rPr>
      <w:rFonts w:cs="Times New Roman"/>
      <w:sz w:val="18"/>
      <w:szCs w:val="18"/>
    </w:rPr>
  </w:style>
  <w:style w:type="character" w:customStyle="1" w:styleId="12">
    <w:name w:val="页眉 Char"/>
    <w:basedOn w:val="7"/>
    <w:link w:val="6"/>
    <w:semiHidden/>
    <w:qFormat/>
    <w:locked/>
    <w:uiPriority w:val="99"/>
    <w:rPr>
      <w:rFonts w:cs="Times New Roman"/>
      <w:sz w:val="18"/>
      <w:szCs w:val="18"/>
    </w:rPr>
  </w:style>
  <w:style w:type="paragraph" w:customStyle="1" w:styleId="13">
    <w:name w:val="列出段落1"/>
    <w:basedOn w:val="1"/>
    <w:qFormat/>
    <w:uiPriority w:val="99"/>
    <w:pPr>
      <w:widowControl/>
      <w:spacing w:after="200" w:line="252" w:lineRule="auto"/>
      <w:ind w:left="720"/>
      <w:jc w:val="left"/>
    </w:pPr>
    <w:rPr>
      <w:rFonts w:ascii="Cambria" w:hAnsi="Cambria" w:cs="Cambria"/>
      <w:kern w:val="0"/>
      <w:sz w:val="22"/>
      <w:szCs w:val="22"/>
      <w:lang w:eastAsia="en-US"/>
    </w:rPr>
  </w:style>
  <w:style w:type="character" w:customStyle="1" w:styleId="14">
    <w:name w:val="Body Text Char1"/>
    <w:qFormat/>
    <w:locked/>
    <w:uiPriority w:val="99"/>
    <w:rPr>
      <w:rFonts w:ascii="方正小标宋简体" w:eastAsia="方正小标宋简体"/>
      <w:sz w:val="44"/>
      <w:lang w:val="en-US" w:eastAsia="zh-CN"/>
    </w:rPr>
  </w:style>
  <w:style w:type="character" w:customStyle="1" w:styleId="15">
    <w:name w:val="正文缩进 Char"/>
    <w:link w:val="3"/>
    <w:qFormat/>
    <w:locked/>
    <w:uiPriority w:val="99"/>
    <w:rPr>
      <w:rFonts w:ascii="Arial Black" w:hAnsi="Arial Black" w:eastAsia="仿宋_GB2312"/>
      <w:color w:val="000000"/>
      <w:sz w:val="24"/>
      <w:lang w:val="en-US" w:eastAsia="zh-CN"/>
    </w:rPr>
  </w:style>
  <w:style w:type="character" w:customStyle="1" w:styleId="16">
    <w:name w:val="Char Char"/>
    <w:qFormat/>
    <w:uiPriority w:val="99"/>
    <w:rPr>
      <w:rFonts w:eastAsia="仿宋_GB2312"/>
      <w:sz w:val="18"/>
      <w:lang w:val="en-US" w:eastAsia="zh-CN"/>
    </w:rPr>
  </w:style>
  <w:style w:type="paragraph" w:customStyle="1" w:styleId="17">
    <w:name w:val="列出段落2"/>
    <w:basedOn w:val="1"/>
    <w:qFormat/>
    <w:uiPriority w:val="99"/>
    <w:pPr>
      <w:widowControl/>
      <w:spacing w:after="200" w:line="252" w:lineRule="auto"/>
      <w:ind w:left="720"/>
      <w:jc w:val="left"/>
    </w:pPr>
    <w:rPr>
      <w:rFonts w:ascii="Cambria" w:hAnsi="Cambria" w:cs="Cambria"/>
      <w:kern w:val="0"/>
      <w:sz w:val="22"/>
      <w:szCs w:val="22"/>
      <w:lang w:eastAsia="en-US"/>
    </w:rPr>
  </w:style>
  <w:style w:type="character" w:customStyle="1" w:styleId="18">
    <w:name w:val="批注框文本 Char"/>
    <w:basedOn w:val="7"/>
    <w:link w:val="5"/>
    <w:semiHidden/>
    <w:qFormat/>
    <w:uiPriority w:val="99"/>
    <w:rPr>
      <w:rFonts w:ascii="Times New Roman" w:hAnsi="Times New Roman"/>
      <w:kern w:val="2"/>
      <w:sz w:val="18"/>
      <w:szCs w:val="18"/>
    </w:rPr>
  </w:style>
  <w:style w:type="paragraph" w:customStyle="1" w:styleId="19">
    <w:name w:val="Default"/>
    <w:unhideWhenUsed/>
    <w:qFormat/>
    <w:uiPriority w:val="99"/>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0">
    <w:name w:val="CM8"/>
    <w:basedOn w:val="19"/>
    <w:next w:val="19"/>
    <w:qFormat/>
    <w:uiPriority w:val="99"/>
    <w:pPr>
      <w:adjustRightInd w:val="0"/>
      <w:spacing w:after="240"/>
    </w:pPr>
    <w:rPr>
      <w:rFonts w:hint="default" w:cs="宋体"/>
      <w:color w:val="auto"/>
      <w:szCs w:val="24"/>
    </w:rPr>
  </w:style>
  <w:style w:type="paragraph" w:customStyle="1" w:styleId="21">
    <w:name w:val="CM10"/>
    <w:basedOn w:val="19"/>
    <w:next w:val="19"/>
    <w:qFormat/>
    <w:uiPriority w:val="99"/>
    <w:pPr>
      <w:adjustRightInd w:val="0"/>
      <w:spacing w:after="305"/>
    </w:pPr>
    <w:rPr>
      <w:rFonts w:hint="default" w:cs="宋体"/>
      <w:color w:val="auto"/>
      <w:szCs w:val="24"/>
    </w:rPr>
  </w:style>
  <w:style w:type="paragraph" w:customStyle="1" w:styleId="22">
    <w:name w:val="表头"/>
    <w:basedOn w:val="1"/>
    <w:qFormat/>
    <w:uiPriority w:val="0"/>
    <w:pPr>
      <w:ind w:firstLine="0" w:firstLineChars="0"/>
      <w:jc w:val="center"/>
    </w:pPr>
    <w:rPr>
      <w:sz w:val="21"/>
    </w:rPr>
  </w:style>
  <w:style w:type="paragraph" w:customStyle="1" w:styleId="23">
    <w:name w:val="表格"/>
    <w:basedOn w:val="1"/>
    <w:qFormat/>
    <w:uiPriority w:val="0"/>
    <w:pPr>
      <w:spacing w:before="0" w:beforeLines="0" w:after="0" w:afterLines="0" w:line="36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5A05AA-ECC6-4D3A-A3F7-3404B25F3B7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Pages>
  <Words>1038</Words>
  <Characters>5923</Characters>
  <Lines>49</Lines>
  <Paragraphs>13</Paragraphs>
  <ScaleCrop>false</ScaleCrop>
  <LinksUpToDate>false</LinksUpToDate>
  <CharactersWithSpaces>6948</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2015-04-27T04:19:00Z</dcterms:created>
  <dc:creator>User</dc:creator>
  <cp:lastModifiedBy>Administrator</cp:lastModifiedBy>
  <dcterms:modified xsi:type="dcterms:W3CDTF">2018-01-22T00:46:27Z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