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AE33FF" w:rsidRDefault="00AE33FF" w:rsidP="00AE33FF">
      <w:pPr>
        <w:jc w:val="center"/>
        <w:rPr>
          <w:rFonts w:ascii="方正小标宋_GBK" w:eastAsia="方正小标宋_GBK" w:hint="eastAsia"/>
          <w:sz w:val="72"/>
        </w:rPr>
      </w:pPr>
      <w:r>
        <w:rPr>
          <w:rFonts w:ascii="方正小标宋_GBK" w:eastAsia="方正小标宋_GBK" w:hint="eastAsia"/>
          <w:sz w:val="72"/>
        </w:rPr>
        <w:t>唐山市曹妃甸区人民法院</w:t>
      </w:r>
    </w:p>
    <w:p w:rsidR="00AE33FF" w:rsidRPr="00D76207" w:rsidRDefault="00AE33FF" w:rsidP="00AE33FF">
      <w:pPr>
        <w:jc w:val="center"/>
        <w:rPr>
          <w:rFonts w:hAnsi="宋体" w:hint="eastAsia"/>
          <w:sz w:val="72"/>
        </w:rPr>
      </w:pPr>
      <w:r>
        <w:rPr>
          <w:rFonts w:ascii="方正小标宋_GBK" w:eastAsia="方正小标宋_GBK" w:hint="eastAsia"/>
          <w:sz w:val="72"/>
        </w:rPr>
        <w:t>南堡人民法庭</w:t>
      </w:r>
    </w:p>
    <w:p w:rsidR="00FE28BC" w:rsidRDefault="0027329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2022</w:t>
      </w:r>
      <w:r>
        <w:rPr>
          <w:rFonts w:ascii="方正小标宋_GBK" w:eastAsia="方正小标宋_GBK" w:hAnsi="方正小标宋_GBK" w:cs="方正小标宋_GBK"/>
          <w:color w:val="000000"/>
          <w:sz w:val="72"/>
        </w:rPr>
        <w:t>年部门预算绩效文本</w:t>
      </w: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FE28BC" w:rsidRDefault="00FE28BC">
      <w:pPr>
        <w:jc w:val="center"/>
      </w:pPr>
    </w:p>
    <w:p w:rsidR="00AE33FF" w:rsidRPr="006856F8" w:rsidRDefault="00AE33FF" w:rsidP="00AE33FF">
      <w:pPr>
        <w:jc w:val="center"/>
        <w:rPr>
          <w:rFonts w:hAnsi="宋体" w:hint="eastAsia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南堡人民法庭</w:t>
      </w:r>
      <w:r w:rsidRPr="006856F8">
        <w:rPr>
          <w:rFonts w:ascii="方正楷体_GBK" w:eastAsia="方正楷体_GBK" w:hint="eastAsia"/>
          <w:b/>
          <w:sz w:val="32"/>
        </w:rPr>
        <w:t>编制</w:t>
      </w:r>
    </w:p>
    <w:p w:rsidR="00AE33FF" w:rsidRPr="006856F8" w:rsidRDefault="00AE33FF" w:rsidP="00AE33FF">
      <w:pPr>
        <w:jc w:val="center"/>
        <w:rPr>
          <w:rFonts w:hAnsi="宋体" w:hint="eastAsia"/>
          <w:b/>
          <w:sz w:val="32"/>
        </w:rPr>
      </w:pPr>
      <w:r w:rsidRPr="006856F8">
        <w:rPr>
          <w:rFonts w:ascii="方正楷体_GBK" w:eastAsia="方正楷体_GBK" w:hint="eastAsia"/>
          <w:b/>
          <w:sz w:val="32"/>
        </w:rPr>
        <w:t>河北唐山南堡经济开发区财政局审核</w:t>
      </w:r>
    </w:p>
    <w:p w:rsidR="00FE28BC" w:rsidRDefault="00FE28BC">
      <w:pPr>
        <w:jc w:val="center"/>
        <w:sectPr w:rsidR="00FE28BC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FE28BC" w:rsidRDefault="00FE28BC">
      <w:pPr>
        <w:jc w:val="center"/>
      </w:pPr>
    </w:p>
    <w:p w:rsidR="00FE28BC" w:rsidRDefault="00273291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>录</w:t>
      </w:r>
    </w:p>
    <w:p w:rsidR="00FE28BC" w:rsidRDefault="00FE28BC">
      <w:pPr>
        <w:jc w:val="center"/>
      </w:pPr>
    </w:p>
    <w:p w:rsidR="00FE28BC" w:rsidRDefault="0027329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>部门整体绩效目标</w:t>
      </w:r>
    </w:p>
    <w:p w:rsidR="00FE28BC" w:rsidRDefault="00FE28BC">
      <w:pPr>
        <w:pStyle w:val="TOC1"/>
        <w:tabs>
          <w:tab w:val="right" w:leader="dot" w:pos="9282"/>
        </w:tabs>
      </w:pPr>
      <w:r w:rsidRPr="00FE28BC">
        <w:fldChar w:fldCharType="begin"/>
      </w:r>
      <w:r w:rsidR="00273291">
        <w:instrText>TOC \o "2-2" \h \z \u</w:instrText>
      </w:r>
      <w:r w:rsidRPr="00FE28BC">
        <w:fldChar w:fldCharType="separate"/>
      </w:r>
      <w:hyperlink w:anchor="_Toc_2_2_0000000001" w:history="1">
        <w:r w:rsidR="00273291">
          <w:t>一、总体绩效目标</w:t>
        </w:r>
        <w:r w:rsidR="00273291">
          <w:tab/>
        </w:r>
        <w:r>
          <w:fldChar w:fldCharType="begin"/>
        </w:r>
        <w:r w:rsidR="00273291">
          <w:instrText>PAGEREF _Toc_2_2_0000000001 \h</w:instrText>
        </w:r>
        <w:r>
          <w:fldChar w:fldCharType="separate"/>
        </w:r>
        <w:r w:rsidR="00273291">
          <w:t>1</w:t>
        </w:r>
        <w:r>
          <w:fldChar w:fldCharType="end"/>
        </w:r>
      </w:hyperlink>
    </w:p>
    <w:p w:rsidR="00FE28BC" w:rsidRDefault="00FE28BC">
      <w:pPr>
        <w:pStyle w:val="TOC1"/>
        <w:tabs>
          <w:tab w:val="right" w:leader="dot" w:pos="9282"/>
        </w:tabs>
      </w:pPr>
      <w:hyperlink w:anchor="_Toc_2_2_0000000002" w:history="1">
        <w:r w:rsidR="00273291">
          <w:t>二、分项绩效目标</w:t>
        </w:r>
        <w:r w:rsidR="00273291">
          <w:tab/>
        </w:r>
        <w:r>
          <w:fldChar w:fldCharType="begin"/>
        </w:r>
        <w:r w:rsidR="00273291">
          <w:instrText>PAGEREF _Toc_2_2_0000000002 \h</w:instrText>
        </w:r>
        <w:r>
          <w:fldChar w:fldCharType="separate"/>
        </w:r>
        <w:r w:rsidR="00273291">
          <w:t>1</w:t>
        </w:r>
        <w:r>
          <w:fldChar w:fldCharType="end"/>
        </w:r>
      </w:hyperlink>
    </w:p>
    <w:p w:rsidR="00FE28BC" w:rsidRDefault="00FE28BC">
      <w:pPr>
        <w:pStyle w:val="TOC1"/>
        <w:tabs>
          <w:tab w:val="right" w:leader="dot" w:pos="9282"/>
        </w:tabs>
      </w:pPr>
      <w:hyperlink w:anchor="_Toc_2_2_0000000003" w:history="1">
        <w:r w:rsidR="00273291">
          <w:t>三、工作保障措施</w:t>
        </w:r>
        <w:r w:rsidR="00273291">
          <w:tab/>
        </w:r>
        <w:r>
          <w:fldChar w:fldCharType="begin"/>
        </w:r>
        <w:r w:rsidR="00273291">
          <w:instrText>PAGEREF _Toc_2_2_0000000003 \h</w:instrText>
        </w:r>
        <w:r>
          <w:fldChar w:fldCharType="separate"/>
        </w:r>
        <w:r w:rsidR="00273291">
          <w:t>1</w:t>
        </w:r>
        <w:r>
          <w:fldChar w:fldCharType="end"/>
        </w:r>
      </w:hyperlink>
    </w:p>
    <w:p w:rsidR="00FE28BC" w:rsidRDefault="00FE28BC">
      <w:r>
        <w:fldChar w:fldCharType="end"/>
      </w:r>
    </w:p>
    <w:p w:rsidR="00FE28BC" w:rsidRDefault="00273291">
      <w:pPr>
        <w:sectPr w:rsidR="00FE28BC">
          <w:footerReference w:type="even" r:id="rId9"/>
          <w:footerReference w:type="default" r:id="rId10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br w:type="page"/>
      </w:r>
      <w:r>
        <w:br/>
      </w:r>
    </w:p>
    <w:p w:rsidR="00FE28BC" w:rsidRDefault="00FE28BC">
      <w:pPr>
        <w:jc w:val="center"/>
      </w:pPr>
    </w:p>
    <w:p w:rsidR="00FE28BC" w:rsidRDefault="0027329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</w:t>
      </w:r>
    </w:p>
    <w:p w:rsidR="00FE28BC" w:rsidRDefault="00273291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部门整体绩效目标</w:t>
      </w:r>
    </w:p>
    <w:p w:rsidR="00FE28BC" w:rsidRDefault="00FE28BC">
      <w:pPr>
        <w:jc w:val="center"/>
      </w:pPr>
    </w:p>
    <w:p w:rsidR="00FE28BC" w:rsidRDefault="00273291">
      <w:pPr>
        <w:spacing w:before="10" w:after="10"/>
        <w:ind w:firstLine="560"/>
        <w:outlineLvl w:val="1"/>
      </w:pPr>
      <w:bookmarkStart w:id="0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>一、总体绩效目标</w:t>
      </w:r>
      <w:bookmarkEnd w:id="0"/>
    </w:p>
    <w:p w:rsidR="004D774A" w:rsidRPr="00AC4E3C" w:rsidRDefault="004D774A" w:rsidP="004D774A">
      <w:pPr>
        <w:ind w:firstLine="560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842A90">
        <w:rPr>
          <w:rFonts w:ascii="方正仿宋_GBK" w:eastAsia="方正仿宋_GBK" w:hint="eastAsia"/>
          <w:sz w:val="28"/>
          <w:szCs w:val="28"/>
        </w:rPr>
        <w:t>全面完成202</w:t>
      </w:r>
      <w:r>
        <w:rPr>
          <w:rFonts w:ascii="方正仿宋_GBK" w:eastAsia="方正仿宋_GBK" w:hint="eastAsia"/>
          <w:sz w:val="28"/>
          <w:szCs w:val="28"/>
          <w:lang w:eastAsia="zh-CN"/>
        </w:rPr>
        <w:t>2</w:t>
      </w:r>
      <w:r w:rsidRPr="00842A90">
        <w:rPr>
          <w:rFonts w:ascii="方正仿宋_GBK" w:eastAsia="方正仿宋_GBK" w:hint="eastAsia"/>
          <w:sz w:val="28"/>
          <w:szCs w:val="28"/>
        </w:rPr>
        <w:t>年审判任务，大力提高审判管理水平，着力提高群众工作能力，全面提升司法满意度 。</w:t>
      </w:r>
    </w:p>
    <w:p w:rsidR="00FE28BC" w:rsidRDefault="00FE28BC">
      <w:pPr>
        <w:pStyle w:val="-"/>
      </w:pPr>
    </w:p>
    <w:p w:rsidR="00FE28BC" w:rsidRDefault="00273291">
      <w:pPr>
        <w:spacing w:before="10" w:after="10"/>
        <w:ind w:firstLine="560"/>
        <w:outlineLvl w:val="1"/>
      </w:pPr>
      <w:bookmarkStart w:id="1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>二、分项绩效目标</w:t>
      </w:r>
      <w:bookmarkEnd w:id="1"/>
    </w:p>
    <w:p w:rsidR="00FE28BC" w:rsidRDefault="004D774A" w:rsidP="004D774A">
      <w:pPr>
        <w:spacing w:line="700" w:lineRule="exact"/>
        <w:ind w:firstLineChars="250" w:firstLine="700"/>
        <w:rPr>
          <w:rFonts w:ascii="方正仿宋_GBK" w:eastAsia="方正仿宋_GBK" w:hAnsi="宋体" w:hint="eastAsia"/>
          <w:sz w:val="28"/>
          <w:szCs w:val="28"/>
          <w:lang w:eastAsia="zh-CN"/>
        </w:rPr>
      </w:pPr>
      <w:r w:rsidRPr="00842A90">
        <w:rPr>
          <w:rFonts w:ascii="方正仿宋_GBK" w:eastAsia="方正仿宋_GBK" w:hAnsi="宋体" w:hint="eastAsia"/>
          <w:sz w:val="28"/>
          <w:szCs w:val="28"/>
        </w:rPr>
        <w:t>202</w:t>
      </w:r>
      <w:r>
        <w:rPr>
          <w:rFonts w:ascii="方正仿宋_GBK" w:eastAsia="方正仿宋_GBK" w:hAnsi="宋体" w:hint="eastAsia"/>
          <w:sz w:val="28"/>
          <w:szCs w:val="28"/>
          <w:lang w:eastAsia="zh-CN"/>
        </w:rPr>
        <w:t>2</w:t>
      </w:r>
      <w:r w:rsidRPr="00842A90">
        <w:rPr>
          <w:rFonts w:ascii="方正仿宋_GBK" w:eastAsia="方正仿宋_GBK" w:hAnsi="宋体" w:hint="eastAsia"/>
          <w:sz w:val="28"/>
          <w:szCs w:val="28"/>
        </w:rPr>
        <w:t>年预计审理案件500件左右。年底结案率达到95%，审限内结案率100%。继续强化审判流程公开，实现每庭必录，每案必存，随卷存档。规范案件信息录入工作，案件信息录入率、电子卷宗制作率100%，当事人信息录入率100%，生效裁判文书公开率100%。</w:t>
      </w:r>
    </w:p>
    <w:p w:rsidR="004D774A" w:rsidRPr="004D774A" w:rsidRDefault="004D774A" w:rsidP="004D774A">
      <w:pPr>
        <w:spacing w:line="700" w:lineRule="exact"/>
        <w:ind w:firstLineChars="250" w:firstLine="700"/>
        <w:rPr>
          <w:rFonts w:ascii="方正仿宋_GBK" w:eastAsia="方正仿宋_GBK" w:hAnsi="宋体" w:hint="eastAsia"/>
          <w:sz w:val="28"/>
          <w:szCs w:val="28"/>
          <w:lang w:eastAsia="zh-CN"/>
        </w:rPr>
      </w:pPr>
    </w:p>
    <w:p w:rsidR="00FE28BC" w:rsidRDefault="00273291">
      <w:pPr>
        <w:spacing w:before="10" w:after="10"/>
        <w:ind w:firstLine="560"/>
        <w:outlineLvl w:val="1"/>
      </w:pPr>
      <w:bookmarkStart w:id="2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t>三、工作保障措施</w:t>
      </w:r>
      <w:bookmarkEnd w:id="2"/>
    </w:p>
    <w:p w:rsidR="004D774A" w:rsidRPr="00842A90" w:rsidRDefault="004D774A" w:rsidP="004D774A">
      <w:pPr>
        <w:spacing w:line="700" w:lineRule="exact"/>
        <w:ind w:firstLine="561"/>
        <w:rPr>
          <w:rFonts w:ascii="方正仿宋_GBK" w:eastAsia="方正仿宋_GBK" w:hAnsiTheme="minorEastAsia"/>
          <w:sz w:val="28"/>
          <w:szCs w:val="28"/>
        </w:rPr>
      </w:pPr>
      <w:r w:rsidRPr="00842A90">
        <w:rPr>
          <w:rFonts w:ascii="方正仿宋_GBK" w:eastAsia="方正仿宋_GBK" w:hAnsiTheme="minorEastAsia" w:hint="eastAsia"/>
          <w:sz w:val="28"/>
          <w:szCs w:val="28"/>
        </w:rPr>
        <w:t>加强民事案件审判工作，依法审理各类民事案件。</w:t>
      </w:r>
    </w:p>
    <w:p w:rsidR="004D774A" w:rsidRPr="00842A90" w:rsidRDefault="004D774A" w:rsidP="004D774A">
      <w:pPr>
        <w:spacing w:line="700" w:lineRule="exact"/>
        <w:ind w:firstLine="561"/>
        <w:rPr>
          <w:rFonts w:ascii="方正仿宋_GBK" w:eastAsia="方正仿宋_GBK" w:hAnsiTheme="minorEastAsia"/>
          <w:sz w:val="28"/>
          <w:szCs w:val="28"/>
        </w:rPr>
      </w:pPr>
      <w:r w:rsidRPr="00842A90">
        <w:rPr>
          <w:rFonts w:ascii="方正仿宋_GBK" w:eastAsia="方正仿宋_GBK" w:hAnsiTheme="minorEastAsia" w:hint="eastAsia"/>
          <w:sz w:val="28"/>
          <w:szCs w:val="28"/>
        </w:rPr>
        <w:t>加强审判监督工作，促进司法公正。</w:t>
      </w:r>
    </w:p>
    <w:p w:rsidR="004D774A" w:rsidRPr="00842A90" w:rsidRDefault="004D774A" w:rsidP="004D774A">
      <w:pPr>
        <w:spacing w:line="700" w:lineRule="exact"/>
        <w:ind w:firstLine="561"/>
        <w:rPr>
          <w:rFonts w:ascii="方正仿宋_GBK" w:eastAsia="方正仿宋_GBK" w:hAnsiTheme="minorEastAsia"/>
          <w:sz w:val="28"/>
          <w:szCs w:val="28"/>
        </w:rPr>
      </w:pPr>
      <w:r w:rsidRPr="00842A90">
        <w:rPr>
          <w:rFonts w:ascii="方正仿宋_GBK" w:eastAsia="方正仿宋_GBK" w:hAnsiTheme="minorEastAsia" w:hint="eastAsia"/>
          <w:sz w:val="28"/>
          <w:szCs w:val="28"/>
        </w:rPr>
        <w:t>以提高司法能力为重心，确保案子不出问题。</w:t>
      </w:r>
    </w:p>
    <w:p w:rsidR="004D774A" w:rsidRPr="00842A90" w:rsidRDefault="004D774A" w:rsidP="004D774A">
      <w:pPr>
        <w:spacing w:line="700" w:lineRule="exact"/>
        <w:ind w:firstLine="561"/>
        <w:rPr>
          <w:rFonts w:ascii="方正仿宋_GBK" w:eastAsia="方正仿宋_GBK" w:hAnsiTheme="minorEastAsia"/>
          <w:sz w:val="28"/>
          <w:szCs w:val="28"/>
        </w:rPr>
      </w:pPr>
      <w:r w:rsidRPr="00842A90">
        <w:rPr>
          <w:rFonts w:ascii="方正仿宋_GBK" w:eastAsia="方正仿宋_GBK" w:hAnsiTheme="minorEastAsia" w:hint="eastAsia"/>
          <w:sz w:val="28"/>
          <w:szCs w:val="28"/>
        </w:rPr>
        <w:t>强化教育学习，提高法官素质。</w:t>
      </w:r>
    </w:p>
    <w:p w:rsidR="004D774A" w:rsidRPr="00AC4E3C" w:rsidRDefault="004D774A" w:rsidP="004D774A">
      <w:pPr>
        <w:spacing w:line="700" w:lineRule="exact"/>
        <w:ind w:firstLine="561"/>
        <w:rPr>
          <w:rFonts w:ascii="方正仿宋_GBK" w:eastAsia="方正仿宋_GBK" w:hAnsiTheme="minorEastAsia"/>
          <w:sz w:val="28"/>
          <w:szCs w:val="28"/>
          <w:lang w:eastAsia="zh-CN"/>
        </w:rPr>
      </w:pPr>
      <w:r w:rsidRPr="00842A90">
        <w:rPr>
          <w:rFonts w:ascii="方正仿宋_GBK" w:eastAsia="方正仿宋_GBK" w:hAnsiTheme="minorEastAsia" w:hint="eastAsia"/>
          <w:sz w:val="28"/>
          <w:szCs w:val="28"/>
        </w:rPr>
        <w:t>强化案件调解，加大案件调解力度。</w:t>
      </w:r>
    </w:p>
    <w:p w:rsidR="00FE28BC" w:rsidRDefault="00FE28BC">
      <w:pPr>
        <w:pStyle w:val="-1"/>
      </w:pPr>
    </w:p>
    <w:p w:rsidR="00FE28BC" w:rsidRDefault="00FE28BC">
      <w:pPr>
        <w:jc w:val="center"/>
      </w:pPr>
    </w:p>
    <w:sectPr w:rsidR="00FE28BC" w:rsidSect="00FE28BC">
      <w:pgSz w:w="11900" w:h="16840"/>
      <w:pgMar w:top="1984" w:right="1304" w:bottom="1134" w:left="130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91" w:rsidRDefault="00273291" w:rsidP="00FE28BC">
      <w:r>
        <w:separator/>
      </w:r>
    </w:p>
  </w:endnote>
  <w:endnote w:type="continuationSeparator" w:id="1">
    <w:p w:rsidR="00273291" w:rsidRDefault="00273291" w:rsidP="00FE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C" w:rsidRDefault="00FE28BC">
    <w:r>
      <w:fldChar w:fldCharType="begin"/>
    </w:r>
    <w:r w:rsidR="00273291">
      <w:instrText>PAGE "page number"</w:instrText>
    </w:r>
    <w:r>
      <w:fldChar w:fldCharType="separate"/>
    </w:r>
    <w:r w:rsidR="00AE33F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C" w:rsidRDefault="00FE28BC">
    <w:pPr>
      <w:jc w:val="right"/>
    </w:pPr>
    <w:r>
      <w:fldChar w:fldCharType="begin"/>
    </w:r>
    <w:r w:rsidR="00273291">
      <w:instrText>PAGE "page number"</w:instrText>
    </w:r>
    <w:r>
      <w:fldChar w:fldCharType="separate"/>
    </w:r>
    <w:r w:rsidR="00AE33F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91" w:rsidRDefault="00273291" w:rsidP="00FE28BC">
      <w:r>
        <w:separator/>
      </w:r>
    </w:p>
  </w:footnote>
  <w:footnote w:type="continuationSeparator" w:id="1">
    <w:p w:rsidR="00273291" w:rsidRDefault="00273291" w:rsidP="00FE2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E31"/>
    <w:multiLevelType w:val="multilevel"/>
    <w:tmpl w:val="DEA2937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6FC0382"/>
    <w:multiLevelType w:val="multilevel"/>
    <w:tmpl w:val="95DEFC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404A0F02"/>
    <w:multiLevelType w:val="multilevel"/>
    <w:tmpl w:val="E6980B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56CB795D"/>
    <w:multiLevelType w:val="multilevel"/>
    <w:tmpl w:val="A6A213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FE28BC"/>
    <w:rsid w:val="00273291"/>
    <w:rsid w:val="004D774A"/>
    <w:rsid w:val="00AE33FF"/>
    <w:rsid w:val="00E341B9"/>
    <w:rsid w:val="00F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BC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FE28BC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FE28BC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FE28BC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FE28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">
    <w:name w:val="TOC 2"/>
    <w:basedOn w:val="a"/>
    <w:qFormat/>
    <w:rsid w:val="00FE28BC"/>
    <w:pPr>
      <w:ind w:left="240"/>
    </w:pPr>
  </w:style>
  <w:style w:type="paragraph" w:customStyle="1" w:styleId="TOC1">
    <w:name w:val="TOC 1"/>
    <w:basedOn w:val="a"/>
    <w:qFormat/>
    <w:rsid w:val="00FE28BC"/>
    <w:pPr>
      <w:spacing w:before="120"/>
    </w:pPr>
    <w:rPr>
      <w:rFonts w:eastAsia="方正仿宋_GBK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2022-06-16T10:55:13Z</dcterms:created>
  <dcterms:modified xsi:type="dcterms:W3CDTF">2022-06-16T02:55:13Z</dcterms:modified>
</cp:coreProperties>
</file>

<file path=customXml/itemProps1.xml><?xml version="1.0" encoding="utf-8"?>
<ds:datastoreItem xmlns:ds="http://schemas.openxmlformats.org/officeDocument/2006/customXml" ds:itemID="{5B75C064-F5E7-44FD-9731-4322558D7D4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6871A9FF-01A5-4C57-851E-A01CC5646A2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2022-06-17T00:33:00Z</dcterms:created>
  <dcterms:modified xsi:type="dcterms:W3CDTF">2022-06-17T00:36:00Z</dcterms:modified>
</cp:coreProperties>
</file>