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</w:rPr>
        <w:t>唐山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南堡经济开发区人民武装部</w:t>
      </w:r>
      <w:r>
        <w:rPr>
          <w:rFonts w:ascii="Times New Roman" w:hAnsi="Times New Roman" w:eastAsia="方正小标宋_GBK" w:cs="Times New Roman"/>
          <w:sz w:val="44"/>
          <w:szCs w:val="44"/>
        </w:rPr>
        <w:t>2017年部门预算信息公开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按照《预算法》、《河北省预决算公开操作规程实施细则》规定，现将2017年部门预算公开如下：</w:t>
      </w:r>
    </w:p>
    <w:p>
      <w:pPr>
        <w:numPr>
          <w:ilvl w:val="0"/>
          <w:numId w:val="1"/>
        </w:num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部门职责及机构设置情况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部门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职责：</w:t>
      </w:r>
      <w:r>
        <w:rPr>
          <w:rFonts w:hint="eastAsia" w:ascii="仿宋" w:hAnsi="仿宋" w:eastAsia="仿宋"/>
          <w:sz w:val="32"/>
          <w:szCs w:val="32"/>
        </w:rPr>
        <w:t>（1）贯彻落实党和国家的军事路线、法律、法规，执行党委的决议和上级军事机关的指示、命令。（2）负责征兵工作。（3）负责当地的国防教育和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"https://www.baidu.com/s?wd=%E5%86%9B%E4%BA%8B%E8%AE%AD%E7%BB%83&amp;tn=44039180_cpr&amp;fenlei=mv6quAkxTZn0IZRqIHckPjm4nH00T1Y4nAmLuWPhmWu9nyc4n1Dd0ZwV5Hcvrjm3rH6sPfKWUMw85HfYnjn4nH6sgvPsT6KdThsqpZwYTjCEQLGCpyw9Uz4Bmy-bIi4WUvYETgN-TLwGUv3En10vPWR3nHn4" \t "_blank"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军事训练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工作，在有关部门协同下具体组织实施。（4）牵头做好拥军爱民，拥军优属工作，负责复员、退伍、转业军人和军烈属的优抚工作。（5）负责民兵组织建设，做好民兵、地方与军事专业技术对口人员预备役的登记统计上报工作。（6）负责武器装备、弹药和训练器材的管理工作。（7）平时组织民兵完成战备执勤任务，战时征集兵员，组建部队，率领民兵参战和支援前线。（8）完成党委和上级军事部门交办的其他工作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机构设置：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人民武装部</w:t>
      </w:r>
      <w:r>
        <w:rPr>
          <w:rFonts w:hint="eastAsia" w:ascii="仿宋_GB2312" w:hAnsi="仿宋_GB2312" w:eastAsia="仿宋_GB2312" w:cs="仿宋_GB2312"/>
          <w:sz w:val="32"/>
          <w:szCs w:val="32"/>
        </w:rPr>
        <w:t>为正科级事业单位，下设综合办公室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个内设机构。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二、部门预算安排的总体情况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1、</w:t>
      </w:r>
      <w:r>
        <w:rPr>
          <w:rFonts w:ascii="Times New Roman" w:hAnsi="Times New Roman" w:eastAsia="方正仿宋_GBK" w:cs="Times New Roman"/>
          <w:sz w:val="32"/>
          <w:szCs w:val="32"/>
        </w:rPr>
        <w:t>收入说明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本部门当年全部收入，2017年预算收入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numPr>
          <w:ilvl w:val="0"/>
          <w:numId w:val="2"/>
        </w:numPr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支出说明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收支预算总表支出栏、基本支出表、项目支出表按经济分类和支出功能分类科目编制，反映唐山市政协年度部门预算中支出预算的总体情况。2017年部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门支出预算为42.42万元，其中基本支出31.42万元，包括人员经费28.82万元和公用经费2.6万元；项目支出11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万元，全部为本级支出。</w:t>
      </w:r>
    </w:p>
    <w:p>
      <w:pPr>
        <w:numPr>
          <w:ilvl w:val="0"/>
          <w:numId w:val="3"/>
        </w:numPr>
        <w:autoSpaceDE w:val="0"/>
        <w:autoSpaceDN w:val="0"/>
        <w:adjustRightInd w:val="0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机关运行经费安排情况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机关运行经费共计安排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万元，主要用于保证机关正常运转的办公支出。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0" w:leftChars="0" w:firstLine="640" w:firstLineChars="20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财政拨款</w:t>
      </w:r>
      <w:r>
        <w:rPr>
          <w:rFonts w:ascii="黑体" w:hAnsi="黑体" w:eastAsia="黑体" w:cs="Times New Roman"/>
          <w:sz w:val="32"/>
          <w:szCs w:val="32"/>
        </w:rPr>
        <w:t>“</w:t>
      </w:r>
      <w:r>
        <w:rPr>
          <w:rFonts w:hint="eastAsia" w:ascii="黑体" w:hAnsi="黑体" w:eastAsia="黑体" w:cs="Times New Roman"/>
          <w:sz w:val="32"/>
          <w:szCs w:val="32"/>
        </w:rPr>
        <w:t>三公</w:t>
      </w:r>
      <w:r>
        <w:rPr>
          <w:rFonts w:ascii="黑体" w:hAnsi="黑体" w:eastAsia="黑体" w:cs="Times New Roman"/>
          <w:sz w:val="32"/>
          <w:szCs w:val="32"/>
        </w:rPr>
        <w:t>”</w:t>
      </w:r>
      <w:r>
        <w:rPr>
          <w:rFonts w:hint="eastAsia" w:ascii="黑体" w:hAnsi="黑体" w:eastAsia="黑体" w:cs="Times New Roman"/>
          <w:sz w:val="32"/>
          <w:szCs w:val="32"/>
        </w:rPr>
        <w:t>经费预算情况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2017年，财政拨款“三公”经费预算安排0.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万元，全部用于公务接待。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五、绩效预算信息</w:t>
      </w:r>
    </w:p>
    <w:p>
      <w:pPr>
        <w:ind w:firstLine="643" w:firstLineChars="200"/>
        <w:jc w:val="left"/>
        <w:rPr>
          <w:rFonts w:hint="eastAsia"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总体绩效目标：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保证年内完成</w:t>
      </w:r>
      <w:r>
        <w:rPr>
          <w:rFonts w:hint="eastAsia" w:ascii="仿宋" w:hAnsi="仿宋" w:eastAsia="仿宋"/>
          <w:sz w:val="32"/>
          <w:szCs w:val="32"/>
        </w:rPr>
        <w:t>民兵整组工作，认真组织开展兵役登记工作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圆满地完成了夏季征兵任务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560"/>
        <w:rPr>
          <w:rFonts w:hint="eastAsia" w:ascii="方正仿宋_GBK" w:eastAsia="方正仿宋_GBK"/>
          <w:sz w:val="28"/>
        </w:rPr>
      </w:pPr>
    </w:p>
    <w:p>
      <w:pPr>
        <w:ind w:firstLine="560"/>
        <w:rPr>
          <w:rFonts w:hint="eastAsia" w:ascii="方正仿宋_GBK" w:eastAsia="方正仿宋_GBK"/>
          <w:sz w:val="28"/>
        </w:rPr>
      </w:pPr>
    </w:p>
    <w:tbl>
      <w:tblPr>
        <w:tblStyle w:val="9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ind w:firstLine="562"/>
              <w:jc w:val="left"/>
              <w:rPr>
                <w:rFonts w:ascii="方正楷体_GBK" w:eastAsia="方正楷体_GBK"/>
                <w:b/>
                <w:color w:val="000000"/>
                <w:sz w:val="28"/>
              </w:rPr>
            </w:pPr>
            <w:r>
              <w:rPr>
                <w:rFonts w:hint="eastAsia" w:ascii="方正楷体_GBK" w:eastAsia="方正楷体_GBK"/>
                <w:b/>
                <w:color w:val="000000"/>
                <w:sz w:val="28"/>
              </w:rPr>
              <w:t>职责分类绩效目标：</w:t>
            </w:r>
          </w:p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区机关人民武装工作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11.00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指导区机关动员组织党外人士、群众团体积极开展活动，做好全民国防教育和人民武装工作，发挥各自职能作用，服务中心工作。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武装工作落实完整，作用发挥明显，受到公众好评；组织健全，工作落实，县直干部职工国防观念和县直民兵战斗力进一步增强。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综合事务保障完成率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完成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完成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完成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完成</w:t>
            </w:r>
            <w:r>
              <w:rPr>
                <w:rFonts w:ascii="方正书宋_GBK" w:eastAsia="方正书宋_GBK"/>
              </w:rPr>
              <w:t>70%</w:t>
            </w:r>
            <w:r>
              <w:rPr>
                <w:rFonts w:hint="eastAsia" w:ascii="方正书宋_GBK" w:eastAsia="方正书宋_GBK"/>
              </w:rPr>
              <w:t>以下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六、政府采购预算情况</w:t>
      </w:r>
    </w:p>
    <w:p>
      <w:pPr>
        <w:ind w:firstLine="640" w:firstLineChars="200"/>
        <w:jc w:val="left"/>
        <w:outlineLvl w:val="0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无政府采购预算</w:t>
      </w:r>
      <w:r>
        <w:rPr>
          <w:rFonts w:hint="eastAsia" w:ascii="仿宋" w:hAnsi="仿宋" w:eastAsia="仿宋" w:cs="仿宋"/>
          <w:sz w:val="32"/>
          <w:szCs w:val="24"/>
        </w:rPr>
        <w:t xml:space="preserve">  </w:t>
      </w:r>
    </w:p>
    <w:p>
      <w:pPr>
        <w:ind w:firstLine="562"/>
        <w:jc w:val="left"/>
      </w:pPr>
    </w:p>
    <w:p>
      <w:pPr>
        <w:autoSpaceDE w:val="0"/>
        <w:autoSpaceDN w:val="0"/>
        <w:adjustRightInd w:val="0"/>
        <w:jc w:val="left"/>
        <w:rPr>
          <w:rFonts w:ascii="仿宋_GB2312" w:hAnsi="黑体" w:eastAsia="仿宋_GB2312" w:cs="Times New Roman"/>
          <w:color w:val="FF000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七、国有资产信息</w:t>
      </w:r>
    </w:p>
    <w:p>
      <w:pPr>
        <w:ind w:firstLine="640"/>
        <w:rPr>
          <w:rFonts w:hint="eastAsia" w:ascii="仿宋_GB2312" w:hAnsi="黑体" w:eastAsia="仿宋_GB2312" w:cs="Times New Roman"/>
          <w:color w:val="FF0000"/>
          <w:sz w:val="32"/>
          <w:szCs w:val="32"/>
        </w:rPr>
      </w:pPr>
    </w:p>
    <w:p>
      <w:pPr>
        <w:ind w:firstLine="640"/>
        <w:rPr>
          <w:rFonts w:hint="eastAsia" w:ascii="仿宋_GB2312" w:hAnsi="黑体" w:eastAsia="仿宋_GB2312" w:cs="Times New Roman"/>
          <w:color w:val="FF0000"/>
          <w:sz w:val="32"/>
          <w:szCs w:val="32"/>
        </w:rPr>
      </w:pPr>
    </w:p>
    <w:p>
      <w:pPr>
        <w:ind w:firstLine="640"/>
        <w:rPr>
          <w:rFonts w:hint="eastAsia" w:ascii="仿宋_GB2312" w:hAnsi="黑体" w:eastAsia="仿宋_GB2312" w:cs="Times New Roman"/>
          <w:color w:val="FF0000"/>
          <w:sz w:val="32"/>
          <w:szCs w:val="32"/>
        </w:rPr>
      </w:pPr>
    </w:p>
    <w:p>
      <w:pPr>
        <w:ind w:firstLine="640"/>
        <w:rPr>
          <w:rFonts w:ascii="仿宋_GB2312" w:hAnsi="黑体" w:eastAsia="仿宋_GB2312" w:cs="Times New Roman"/>
          <w:color w:val="FF0000"/>
          <w:sz w:val="32"/>
          <w:szCs w:val="32"/>
        </w:rPr>
      </w:pPr>
    </w:p>
    <w:tbl>
      <w:tblPr>
        <w:tblStyle w:val="9"/>
        <w:tblW w:w="134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4"/>
        <w:gridCol w:w="3155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唐山市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南堡开发区武装部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编制部门：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截止时间：2016年12月31日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项   目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3、单价在20万元以上设备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54940</w:t>
            </w:r>
          </w:p>
        </w:tc>
      </w:tr>
    </w:tbl>
    <w:p>
      <w:pPr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名词解释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1、一般预算收入：省级财政当年拨付的资金。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2、基本支出：为保障机构正常运转，完成日常工作任务，而发生的人员支出和公用支出。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3、项目支出：是指在基本支出之外，为完成特定行政任务和事业发展目标，而发生的支出。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物业服务费、公务车运行维护费等。</w:t>
      </w:r>
    </w:p>
    <w:p>
      <w:pPr>
        <w:autoSpaceDE w:val="0"/>
        <w:autoSpaceDN w:val="0"/>
        <w:adjustRightInd w:val="0"/>
        <w:ind w:left="420" w:leftChars="200" w:firstLine="643" w:firstLineChars="200"/>
        <w:jc w:val="left"/>
        <w:rPr>
          <w:rFonts w:ascii="宋体-方正超大字符集" w:hAnsi="宋体-方正超大字符集" w:eastAsia="宋体-方正超大字符集" w:cs="宋体-方正超大字符集"/>
          <w:b/>
          <w:bCs/>
          <w:sz w:val="32"/>
          <w:szCs w:val="32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2"/>
          <w:szCs w:val="32"/>
        </w:rPr>
        <w:t>九、其他需要说明的事项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jc w:val="both"/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 xml:space="preserve">第 </w:t>
    </w:r>
    <w:r>
      <w:fldChar w:fldCharType="begin"/>
    </w:r>
    <w:r>
      <w:rPr>
        <w:rFonts w:hint="eastAsia"/>
      </w:rPr>
      <w:instrText xml:space="preserve">Page \* MERGEFORMAT</w:instrText>
    </w:r>
    <w:r>
      <w:fldChar w:fldCharType="separate"/>
    </w:r>
    <w:r>
      <w:t>5</w:t>
    </w:r>
    <w:r>
      <w:fldChar w:fldCharType="end"/>
    </w:r>
    <w:r>
      <w:rPr>
        <w:rFonts w:hint="eastAsia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8"/>
      <w:numFmt w:val="chineseCounting"/>
      <w:suff w:val="nothing"/>
      <w:lvlText w:val="%1、"/>
      <w:lvlJc w:val="left"/>
    </w:lvl>
  </w:abstractNum>
  <w:abstractNum w:abstractNumId="2">
    <w:nsid w:val="5909A0EE"/>
    <w:multiLevelType w:val="singleLevel"/>
    <w:tmpl w:val="5909A0EE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909A57E"/>
    <w:multiLevelType w:val="singleLevel"/>
    <w:tmpl w:val="5909A57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FA7"/>
    <w:rsid w:val="00032F2F"/>
    <w:rsid w:val="00033C0F"/>
    <w:rsid w:val="000622BA"/>
    <w:rsid w:val="00067F60"/>
    <w:rsid w:val="000A1DC0"/>
    <w:rsid w:val="000D047D"/>
    <w:rsid w:val="00140A4A"/>
    <w:rsid w:val="00172A27"/>
    <w:rsid w:val="001D2AF7"/>
    <w:rsid w:val="001D2B0D"/>
    <w:rsid w:val="001F640A"/>
    <w:rsid w:val="00256B31"/>
    <w:rsid w:val="00294704"/>
    <w:rsid w:val="0029584F"/>
    <w:rsid w:val="00303CBA"/>
    <w:rsid w:val="00351B1C"/>
    <w:rsid w:val="00375965"/>
    <w:rsid w:val="00467CE5"/>
    <w:rsid w:val="00552578"/>
    <w:rsid w:val="0067553A"/>
    <w:rsid w:val="008126D4"/>
    <w:rsid w:val="00833679"/>
    <w:rsid w:val="00844F2D"/>
    <w:rsid w:val="0088024F"/>
    <w:rsid w:val="00894B82"/>
    <w:rsid w:val="008F7322"/>
    <w:rsid w:val="009E4FD0"/>
    <w:rsid w:val="00A06AB7"/>
    <w:rsid w:val="00B16209"/>
    <w:rsid w:val="00BB30E8"/>
    <w:rsid w:val="00BE671B"/>
    <w:rsid w:val="00BF386C"/>
    <w:rsid w:val="00C92028"/>
    <w:rsid w:val="00D55475"/>
    <w:rsid w:val="00DC4E54"/>
    <w:rsid w:val="00E13B18"/>
    <w:rsid w:val="00E64E2E"/>
    <w:rsid w:val="00E71047"/>
    <w:rsid w:val="00E928BE"/>
    <w:rsid w:val="00EE1B50"/>
    <w:rsid w:val="00F20836"/>
    <w:rsid w:val="00F5277D"/>
    <w:rsid w:val="02335EF2"/>
    <w:rsid w:val="081465EC"/>
    <w:rsid w:val="08B872E5"/>
    <w:rsid w:val="0D3D7863"/>
    <w:rsid w:val="11B14DCE"/>
    <w:rsid w:val="11BD51BB"/>
    <w:rsid w:val="13FE75A2"/>
    <w:rsid w:val="173E1959"/>
    <w:rsid w:val="17B27C12"/>
    <w:rsid w:val="182B5206"/>
    <w:rsid w:val="18E406CF"/>
    <w:rsid w:val="1A6C0E84"/>
    <w:rsid w:val="1A7C3068"/>
    <w:rsid w:val="1B6C046B"/>
    <w:rsid w:val="1C6D28A3"/>
    <w:rsid w:val="1CC5044C"/>
    <w:rsid w:val="1DC43078"/>
    <w:rsid w:val="1F436A91"/>
    <w:rsid w:val="20490F69"/>
    <w:rsid w:val="20880B42"/>
    <w:rsid w:val="20D06600"/>
    <w:rsid w:val="253476E6"/>
    <w:rsid w:val="2573511A"/>
    <w:rsid w:val="26A175C9"/>
    <w:rsid w:val="26B55F79"/>
    <w:rsid w:val="2B2D036C"/>
    <w:rsid w:val="2C343CEB"/>
    <w:rsid w:val="2C973BA3"/>
    <w:rsid w:val="2CD91EE1"/>
    <w:rsid w:val="2D3D47D0"/>
    <w:rsid w:val="2D9F209F"/>
    <w:rsid w:val="2DFA07EA"/>
    <w:rsid w:val="2FAF2DC0"/>
    <w:rsid w:val="37346343"/>
    <w:rsid w:val="376059F1"/>
    <w:rsid w:val="39B624A1"/>
    <w:rsid w:val="3B9D05E2"/>
    <w:rsid w:val="3B9D3F7B"/>
    <w:rsid w:val="3BC06A63"/>
    <w:rsid w:val="3D800EC1"/>
    <w:rsid w:val="3F675A63"/>
    <w:rsid w:val="3FF53D6D"/>
    <w:rsid w:val="417B1318"/>
    <w:rsid w:val="42646472"/>
    <w:rsid w:val="460974D0"/>
    <w:rsid w:val="477E5776"/>
    <w:rsid w:val="47E52DBD"/>
    <w:rsid w:val="4D667939"/>
    <w:rsid w:val="4F762266"/>
    <w:rsid w:val="507B57E7"/>
    <w:rsid w:val="516D3442"/>
    <w:rsid w:val="525A132C"/>
    <w:rsid w:val="52F74406"/>
    <w:rsid w:val="53934B54"/>
    <w:rsid w:val="56412769"/>
    <w:rsid w:val="56A439CF"/>
    <w:rsid w:val="588958A6"/>
    <w:rsid w:val="59D77156"/>
    <w:rsid w:val="5C5C3E00"/>
    <w:rsid w:val="5CF32068"/>
    <w:rsid w:val="67C9021A"/>
    <w:rsid w:val="6BDC690F"/>
    <w:rsid w:val="6BF81301"/>
    <w:rsid w:val="6F123BFA"/>
    <w:rsid w:val="712552E9"/>
    <w:rsid w:val="779F354D"/>
    <w:rsid w:val="7944331F"/>
    <w:rsid w:val="7AEC23D6"/>
    <w:rsid w:val="7BBC722B"/>
    <w:rsid w:val="7C9A7756"/>
    <w:rsid w:val="7F752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cs="Times New Roman"/>
      <w:szCs w:val="24"/>
    </w:rPr>
  </w:style>
  <w:style w:type="paragraph" w:styleId="6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cs="Times New Roman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10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10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码1"/>
    <w:basedOn w:val="10"/>
    <w:qFormat/>
    <w:uiPriority w:val="0"/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591EC-FC55-4BBC-A8CD-A81F4CF3B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523</Words>
  <Characters>2986</Characters>
  <Lines>24</Lines>
  <Paragraphs>7</Paragraphs>
  <TotalTime>10</TotalTime>
  <ScaleCrop>false</ScaleCrop>
  <LinksUpToDate>false</LinksUpToDate>
  <CharactersWithSpaces>3502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2017-06-06T08:14:00Z</dcterms:created>
  <dc:creator>guest</dc:creator>
  <cp:lastModifiedBy>Lenovo</cp:lastModifiedBy>
  <cp:lastPrinted>2017-05-03T09:08:00Z</cp:lastPrinted>
  <dcterms:modified xsi:type="dcterms:W3CDTF">2021-06-25T00:58:25Z</dcterms:modified>
  <dc:title>Administrator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EB6DCD9C4E6A41338D9AFF92D8C990EF</vt:lpwstr>
  </property>
</Properties>
</file>