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唐山南堡经济开发区商务局</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lang w:val="en-US" w:eastAsia="zh-CN"/>
        </w:rPr>
        <w:t>21</w:t>
      </w:r>
      <w:r>
        <w:rPr>
          <w:rFonts w:ascii="Times New Roman" w:hAnsi="Times New Roman" w:eastAsia="方正小标宋_GBK" w:cs="Times New Roman"/>
          <w:sz w:val="44"/>
          <w:szCs w:val="44"/>
        </w:rPr>
        <w:t>年部门预算信息公开</w:t>
      </w:r>
    </w:p>
    <w:p>
      <w:pPr>
        <w:ind w:firstLine="640" w:firstLineChars="200"/>
        <w:rPr>
          <w:rFonts w:ascii="仿宋" w:hAnsi="仿宋" w:eastAsia="仿宋" w:cs="仿宋"/>
          <w:sz w:val="32"/>
          <w:szCs w:val="32"/>
        </w:rPr>
      </w:pPr>
      <w:r>
        <w:rPr>
          <w:rFonts w:hint="eastAsia" w:ascii="仿宋" w:hAnsi="仿宋" w:eastAsia="仿宋" w:cs="仿宋"/>
          <w:sz w:val="32"/>
          <w:szCs w:val="32"/>
        </w:rPr>
        <w:t>按照《预算法》、《河北省预决算公开操作规程实施细则》规定，现将20</w:t>
      </w:r>
      <w:r>
        <w:rPr>
          <w:rFonts w:hint="eastAsia" w:ascii="仿宋" w:hAnsi="仿宋" w:eastAsia="仿宋" w:cs="仿宋"/>
          <w:sz w:val="32"/>
          <w:szCs w:val="32"/>
          <w:lang w:val="en-US" w:eastAsia="zh-CN"/>
        </w:rPr>
        <w:t>21</w:t>
      </w:r>
      <w:r>
        <w:rPr>
          <w:rFonts w:hint="eastAsia" w:ascii="仿宋" w:hAnsi="仿宋" w:eastAsia="仿宋" w:cs="仿宋"/>
          <w:sz w:val="32"/>
          <w:szCs w:val="32"/>
        </w:rPr>
        <w:t>年部门预算公开如下：</w:t>
      </w:r>
    </w:p>
    <w:p>
      <w:pPr>
        <w:numPr>
          <w:ilvl w:val="0"/>
          <w:numId w:val="1"/>
        </w:numPr>
        <w:ind w:firstLine="640"/>
        <w:rPr>
          <w:rFonts w:ascii="黑体" w:hAnsi="黑体" w:eastAsia="黑体" w:cs="Times New Roman"/>
          <w:sz w:val="32"/>
          <w:szCs w:val="32"/>
        </w:rPr>
      </w:pPr>
      <w:r>
        <w:rPr>
          <w:rFonts w:hint="eastAsia" w:ascii="黑体" w:hAnsi="黑体" w:eastAsia="黑体" w:cs="Times New Roman"/>
          <w:sz w:val="32"/>
          <w:szCs w:val="32"/>
        </w:rPr>
        <w:t>部门职责及机构设置情况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1. 负责管委会下达的招商引资工作落实和宏观指导全区招商引资工作。</w:t>
      </w:r>
      <w:r>
        <w:rPr>
          <w:rFonts w:hint="eastAsia" w:ascii="仿宋" w:hAnsi="仿宋" w:eastAsia="仿宋" w:cs="仿宋"/>
          <w:bCs/>
          <w:sz w:val="32"/>
          <w:szCs w:val="32"/>
          <w:lang w:val="en-US" w:eastAsia="zh-CN"/>
        </w:rPr>
        <w:t>2.</w:t>
      </w:r>
      <w:r>
        <w:rPr>
          <w:rFonts w:hint="eastAsia" w:ascii="仿宋" w:hAnsi="仿宋" w:eastAsia="仿宋" w:cs="仿宋"/>
          <w:bCs/>
          <w:sz w:val="32"/>
          <w:szCs w:val="32"/>
        </w:rPr>
        <w:t>指导和管理全区境外招商引资、投资促进及外商投资企业的备案和进出口工作。3.负责全区成品油市场管理。4.</w:t>
      </w:r>
      <w:r>
        <w:rPr>
          <w:rFonts w:hint="eastAsia" w:ascii="仿宋" w:hAnsi="仿宋" w:eastAsia="仿宋" w:cs="仿宋"/>
          <w:bCs/>
          <w:sz w:val="32"/>
          <w:szCs w:val="32"/>
          <w:lang w:val="en-US" w:eastAsia="zh-CN"/>
        </w:rPr>
        <w:t>负责招引港口物流贸易企业</w:t>
      </w:r>
      <w:r>
        <w:rPr>
          <w:rFonts w:hint="eastAsia" w:ascii="仿宋" w:hAnsi="仿宋" w:eastAsia="仿宋" w:cs="仿宋"/>
          <w:bCs/>
          <w:sz w:val="32"/>
          <w:szCs w:val="32"/>
        </w:rPr>
        <w:t>。5.分析国际经贸形势和我区进出口状况，提出总量平衡、结构调整的宏观调控建议。6.归口管理全区经贸外事活动；联系我国驻外经济商务机构和国际经济组织及外国驻华商务机构。</w:t>
      </w:r>
    </w:p>
    <w:p>
      <w:pPr>
        <w:spacing w:before="159" w:beforeLines="50" w:line="600" w:lineRule="exact"/>
        <w:ind w:firstLine="640" w:firstLineChars="200"/>
        <w:rPr>
          <w:rFonts w:ascii="仿宋" w:hAnsi="仿宋" w:eastAsia="仿宋"/>
          <w:sz w:val="32"/>
          <w:szCs w:val="32"/>
        </w:rPr>
      </w:pPr>
    </w:p>
    <w:p>
      <w:pPr>
        <w:autoSpaceDE w:val="0"/>
        <w:autoSpaceDN w:val="0"/>
        <w:adjustRightInd w:val="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tbl>
      <w:tblPr>
        <w:tblStyle w:val="11"/>
        <w:tblpPr w:leftFromText="180" w:rightFromText="180" w:vertAnchor="text" w:horzAnchor="page" w:tblpX="1446" w:tblpY="323"/>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3543" w:type="dxa"/>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单位性质</w:t>
            </w:r>
          </w:p>
        </w:tc>
        <w:tc>
          <w:tcPr>
            <w:tcW w:w="3544" w:type="dxa"/>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单位规格</w:t>
            </w:r>
          </w:p>
        </w:tc>
        <w:tc>
          <w:tcPr>
            <w:tcW w:w="3544" w:type="dxa"/>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3543" w:type="dxa"/>
            <w:vAlign w:val="center"/>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唐山南堡经济开发区商务局</w:t>
            </w:r>
          </w:p>
        </w:tc>
        <w:tc>
          <w:tcPr>
            <w:tcW w:w="3543" w:type="dxa"/>
            <w:vAlign w:val="center"/>
          </w:tcPr>
          <w:p>
            <w:pPr>
              <w:spacing w:line="3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行政</w:t>
            </w:r>
          </w:p>
        </w:tc>
        <w:tc>
          <w:tcPr>
            <w:tcW w:w="3544" w:type="dxa"/>
            <w:vAlign w:val="center"/>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正科级</w:t>
            </w:r>
          </w:p>
        </w:tc>
        <w:tc>
          <w:tcPr>
            <w:tcW w:w="3544" w:type="dxa"/>
            <w:vAlign w:val="center"/>
          </w:tcPr>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w:t>
            </w:r>
          </w:p>
        </w:tc>
      </w:tr>
    </w:tbl>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cs="仿宋"/>
          <w:b/>
          <w:sz w:val="32"/>
          <w:szCs w:val="32"/>
        </w:rPr>
      </w:pPr>
      <w:r>
        <w:rPr>
          <w:rFonts w:hint="eastAsia" w:ascii="仿宋" w:hAnsi="仿宋" w:eastAsia="仿宋" w:cs="仿宋"/>
          <w:b/>
          <w:sz w:val="32"/>
          <w:szCs w:val="32"/>
        </w:rPr>
        <w:t>1</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综合</w:t>
      </w:r>
      <w:r>
        <w:rPr>
          <w:rFonts w:hint="eastAsia" w:ascii="仿宋" w:hAnsi="仿宋" w:eastAsia="仿宋" w:cs="仿宋"/>
          <w:b/>
          <w:sz w:val="32"/>
          <w:szCs w:val="32"/>
        </w:rPr>
        <w:t>办公室</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cs="仿宋"/>
          <w:b/>
          <w:sz w:val="32"/>
          <w:szCs w:val="32"/>
          <w:lang w:val="en-US" w:eastAsia="zh-CN"/>
        </w:rPr>
      </w:pPr>
      <w:r>
        <w:rPr>
          <w:rFonts w:hint="eastAsia" w:ascii="仿宋" w:hAnsi="仿宋" w:eastAsia="仿宋" w:cs="仿宋"/>
          <w:sz w:val="32"/>
          <w:szCs w:val="32"/>
        </w:rPr>
        <w:t>负责综合协调机关日常工作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负责全局日常文件的起草,全局日常工作的开展和组织，上级文件的上传下达，做好机关党建工作，按照有关要求组织党员按照要求开展</w:t>
      </w:r>
      <w:r>
        <w:rPr>
          <w:rFonts w:hint="eastAsia" w:ascii="仿宋" w:hAnsi="仿宋" w:eastAsia="仿宋" w:cs="仿宋"/>
          <w:sz w:val="32"/>
          <w:szCs w:val="32"/>
        </w:rPr>
        <w:t>党务</w:t>
      </w:r>
      <w:r>
        <w:rPr>
          <w:rFonts w:hint="eastAsia" w:ascii="仿宋" w:hAnsi="仿宋" w:eastAsia="仿宋" w:cs="仿宋"/>
          <w:sz w:val="32"/>
          <w:szCs w:val="32"/>
          <w:lang w:val="en-US" w:eastAsia="zh-CN"/>
        </w:rPr>
        <w:t>学习，相关档案的整理</w:t>
      </w:r>
      <w:r>
        <w:rPr>
          <w:rFonts w:hint="eastAsia" w:ascii="仿宋" w:hAnsi="仿宋" w:eastAsia="仿宋" w:cs="仿宋"/>
          <w:sz w:val="32"/>
          <w:szCs w:val="32"/>
        </w:rPr>
        <w:t>。</w:t>
      </w:r>
      <w:r>
        <w:rPr>
          <w:rFonts w:hint="eastAsia" w:ascii="仿宋" w:hAnsi="仿宋" w:eastAsia="仿宋" w:cs="仿宋"/>
          <w:sz w:val="32"/>
          <w:szCs w:val="32"/>
          <w:lang w:val="en-US" w:eastAsia="zh-CN"/>
        </w:rPr>
        <w:t>同时负责局内财务管理、固定资产管理、协议档案的管理；全局人员工资、个税、保险缴纳、客商食宿安排、车辆使用安排、后勤管理服务等工作。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96" w:firstLine="321" w:firstLineChars="1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2、招商一科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主要负责东区产业谋划、招商项目的搜集、分析、重点研究符合开发区东区发展的战新产业项目和现代物流业两大类项目信息，重点联系相关行业协会，跟踪项目动态等招商引资工作。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同时负责所有招商科室招商项目信息管理和统计上报工作；跟踪项目动态等招商引资工作；重点联系市开发区管理处，对接相关数据的统计和上报工作。负责全区的港口物流贸易企业招引工作，统筹协调物流贸易企业数据的统计上报工作，协助企业解决相关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96" w:firstLine="321" w:firstLineChars="10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招商二科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点负责西区招商引资工作，围绕海洋化工循环产业、硅产业新材料、橡塑添加剂以及专用化学品等产业方向开展招商引资工作。配合开发区相关单位完成开发区硅产业发展规划的编制，重点联系相关行业协会，跟踪项目动态等招商引资工作。</w:t>
      </w:r>
    </w:p>
    <w:p>
      <w:pPr>
        <w:keepNext w:val="0"/>
        <w:keepLines w:val="0"/>
        <w:pageBreakBefore w:val="0"/>
        <w:widowControl w:val="0"/>
        <w:numPr>
          <w:ilvl w:val="0"/>
          <w:numId w:val="0"/>
        </w:numPr>
        <w:tabs>
          <w:tab w:val="left" w:pos="737"/>
        </w:tabs>
        <w:kinsoku/>
        <w:wordWrap/>
        <w:overflowPunct/>
        <w:topLinePunct w:val="0"/>
        <w:autoSpaceDE/>
        <w:autoSpaceDN/>
        <w:bidi w:val="0"/>
        <w:adjustRightInd/>
        <w:snapToGrid/>
        <w:spacing w:line="600" w:lineRule="exact"/>
        <w:ind w:leftChars="196" w:firstLine="321" w:firstLineChars="1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4、外资外贸科</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统筹协调全区外资、外贸进出口工作，负责进出口业务统计、分析；负责自贸企业招商的具体工作；重点联系全区外资、外贸企业，负责外商投资企业的招商引资工作，主要开展针对东北亚的招引工作。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96" w:firstLine="321" w:firstLineChars="10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5、市场管理科</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负责全区成品油市场管理</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积极配合有关单位完成加油站安全生产管理工作；同时负责开发区社消零工作的统计与推进</w:t>
      </w:r>
      <w:r>
        <w:rPr>
          <w:rFonts w:hint="eastAsia" w:ascii="仿宋" w:hAnsi="仿宋" w:eastAsia="仿宋" w:cs="仿宋"/>
          <w:bCs/>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收入说明</w:t>
      </w:r>
    </w:p>
    <w:p>
      <w:pPr>
        <w:ind w:firstLine="640" w:firstLineChars="200"/>
        <w:rPr>
          <w:rFonts w:ascii="Times New Roman" w:hAnsi="Times New Roman" w:eastAsia="方正仿宋_GBK" w:cs="Times New Roman"/>
          <w:sz w:val="32"/>
          <w:szCs w:val="32"/>
        </w:rPr>
      </w:pPr>
      <w:r>
        <w:rPr>
          <w:rFonts w:hint="eastAsia" w:ascii="仿宋_GB2312" w:hAnsi="仿宋_GB2312" w:eastAsia="仿宋_GB2312" w:cs="仿宋_GB2312"/>
          <w:sz w:val="32"/>
          <w:szCs w:val="32"/>
        </w:rPr>
        <w:t>本部门当年全部收入，20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928.24</w:t>
      </w:r>
      <w:r>
        <w:rPr>
          <w:rFonts w:hint="eastAsia" w:ascii="仿宋_GB2312" w:hAnsi="仿宋_GB2312" w:eastAsia="仿宋_GB2312" w:cs="仿宋_GB2312"/>
          <w:sz w:val="32"/>
          <w:szCs w:val="32"/>
        </w:rPr>
        <w:t>万元。</w:t>
      </w:r>
    </w:p>
    <w:p>
      <w:pPr>
        <w:numPr>
          <w:ilvl w:val="0"/>
          <w:numId w:val="2"/>
        </w:num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支出说明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收支预算总表支出栏、基本支出表、项目支出表按经济分类和支出功能分类科目编制，反映唐山南堡经济开发区商务局年度部门预算中支出预算的总体情况。20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年部门支出预算为</w:t>
      </w:r>
      <w:r>
        <w:rPr>
          <w:rFonts w:hint="eastAsia" w:ascii="仿宋_GB2312" w:hAnsi="仿宋_GB2312" w:eastAsia="仿宋_GB2312" w:cs="仿宋_GB2312"/>
          <w:sz w:val="32"/>
          <w:szCs w:val="32"/>
          <w:lang w:val="en-US" w:eastAsia="zh-CN"/>
        </w:rPr>
        <w:t>928.24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297.62</w:t>
      </w:r>
      <w:r>
        <w:rPr>
          <w:rFonts w:hint="eastAsia" w:ascii="仿宋_GB2312" w:hAnsi="仿宋_GB2312" w:eastAsia="仿宋_GB2312" w:cs="仿宋_GB2312"/>
          <w:sz w:val="32"/>
          <w:szCs w:val="32"/>
        </w:rPr>
        <w:t>万元，包括人员经费</w:t>
      </w:r>
      <w:r>
        <w:rPr>
          <w:rFonts w:hint="eastAsia" w:ascii="仿宋_GB2312" w:hAnsi="仿宋_GB2312" w:eastAsia="仿宋_GB2312" w:cs="仿宋_GB2312"/>
          <w:sz w:val="32"/>
          <w:szCs w:val="32"/>
          <w:lang w:val="en-US" w:eastAsia="zh-CN"/>
        </w:rPr>
        <w:t>283.40</w:t>
      </w:r>
      <w:r>
        <w:rPr>
          <w:rFonts w:hint="eastAsia" w:ascii="仿宋_GB2312" w:hAnsi="仿宋_GB2312" w:eastAsia="仿宋_GB2312" w:cs="仿宋_GB2312"/>
          <w:sz w:val="32"/>
          <w:szCs w:val="32"/>
        </w:rPr>
        <w:t>万元和公用经费</w:t>
      </w:r>
      <w:r>
        <w:rPr>
          <w:rFonts w:hint="eastAsia" w:ascii="仿宋_GB2312" w:hAnsi="仿宋_GB2312" w:eastAsia="仿宋_GB2312" w:cs="仿宋_GB2312"/>
          <w:sz w:val="32"/>
          <w:szCs w:val="32"/>
          <w:lang w:val="en-US" w:eastAsia="zh-CN"/>
        </w:rPr>
        <w:t>14.22</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630.62</w:t>
      </w:r>
      <w:r>
        <w:rPr>
          <w:rFonts w:hint="eastAsia" w:ascii="仿宋_GB2312" w:hAnsi="仿宋_GB2312" w:eastAsia="仿宋_GB2312" w:cs="仿宋_GB2312"/>
          <w:sz w:val="32"/>
          <w:szCs w:val="32"/>
        </w:rPr>
        <w:t>万元，全部为本级支出。</w:t>
      </w:r>
    </w:p>
    <w:p>
      <w:pPr>
        <w:numPr>
          <w:ilvl w:val="0"/>
          <w:numId w:val="2"/>
        </w:num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比上年增减情况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年部门预算较20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276.44</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96.45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压缩减少</w:t>
      </w: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日常公用经费；项目支出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372.89</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增加贸易企业扶持资金及支持中小企业发展奖励金</w:t>
      </w:r>
      <w:r>
        <w:rPr>
          <w:rFonts w:hint="eastAsia" w:ascii="仿宋_GB2312" w:hAnsi="仿宋_GB2312" w:eastAsia="仿宋_GB2312" w:cs="仿宋_GB2312"/>
          <w:sz w:val="32"/>
          <w:szCs w:val="32"/>
        </w:rPr>
        <w:t>。</w:t>
      </w:r>
    </w:p>
    <w:p>
      <w:pPr>
        <w:numPr>
          <w:ilvl w:val="0"/>
          <w:numId w:val="3"/>
        </w:num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机关运行经费安排情况</w:t>
      </w:r>
    </w:p>
    <w:p>
      <w:pPr>
        <w:autoSpaceDE w:val="0"/>
        <w:autoSpaceDN w:val="0"/>
        <w:adjustRightInd w:val="0"/>
        <w:ind w:left="198"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机关运行</w:t>
      </w:r>
      <w:r>
        <w:rPr>
          <w:rFonts w:hint="eastAsia" w:ascii="仿宋_GB2312" w:hAnsi="仿宋_GB2312" w:eastAsia="仿宋_GB2312" w:cs="仿宋_GB2312"/>
          <w:sz w:val="32"/>
          <w:szCs w:val="32"/>
          <w:lang w:eastAsia="zh-CN"/>
        </w:rPr>
        <w:t>日常</w:t>
      </w:r>
      <w:r>
        <w:rPr>
          <w:rFonts w:hint="eastAsia" w:ascii="仿宋_GB2312" w:hAnsi="仿宋_GB2312" w:eastAsia="仿宋_GB2312" w:cs="仿宋_GB2312"/>
          <w:sz w:val="32"/>
          <w:szCs w:val="32"/>
        </w:rPr>
        <w:t>经费共计安排</w:t>
      </w:r>
      <w:r>
        <w:rPr>
          <w:rFonts w:hint="eastAsia" w:ascii="仿宋_GB2312" w:hAnsi="仿宋_GB2312" w:eastAsia="仿宋_GB2312" w:cs="仿宋_GB2312"/>
          <w:sz w:val="32"/>
          <w:szCs w:val="32"/>
          <w:lang w:val="en-US" w:eastAsia="zh-CN"/>
        </w:rPr>
        <w:t>14.22</w:t>
      </w:r>
      <w:r>
        <w:rPr>
          <w:rFonts w:hint="eastAsia" w:ascii="仿宋_GB2312" w:hAnsi="仿宋_GB2312" w:eastAsia="仿宋_GB2312" w:cs="仿宋_GB2312"/>
          <w:sz w:val="32"/>
          <w:szCs w:val="32"/>
        </w:rPr>
        <w:t>万元，主要用于保证机关正常运转的办公及印刷费、邮电费、差旅费、培训费、会议费、一般设备购置费、日常维修费、公务交通补贴费等支出。</w:t>
      </w:r>
      <w:r>
        <w:rPr>
          <w:rFonts w:hint="eastAsia" w:ascii="仿宋_GB2312" w:hAnsi="仿宋_GB2312" w:eastAsia="仿宋_GB2312" w:cs="仿宋_GB2312"/>
          <w:sz w:val="32"/>
          <w:szCs w:val="32"/>
          <w:lang w:eastAsia="zh-CN"/>
        </w:rPr>
        <w:t>比上年减少</w:t>
      </w:r>
      <w:r>
        <w:rPr>
          <w:rFonts w:hint="eastAsia" w:ascii="仿宋_GB2312" w:hAnsi="仿宋_GB2312" w:eastAsia="仿宋_GB2312" w:cs="仿宋_GB2312"/>
          <w:sz w:val="32"/>
          <w:szCs w:val="32"/>
          <w:lang w:val="en-US" w:eastAsia="zh-CN"/>
        </w:rPr>
        <w:t>6.46万元，主要是压缩开支。</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年，财政拨款“三公”经费预算合计安排</w:t>
      </w:r>
      <w:r>
        <w:rPr>
          <w:rFonts w:hint="eastAsia" w:ascii="仿宋_GB2312" w:hAnsi="仿宋_GB2312" w:eastAsia="仿宋_GB2312" w:cs="仿宋_GB2312"/>
          <w:sz w:val="32"/>
          <w:szCs w:val="32"/>
          <w:lang w:val="en-US" w:eastAsia="zh-CN"/>
        </w:rPr>
        <w:t>3.03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2020年部门“三公”经费预算5.3万元，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预算压缩减少</w:t>
      </w:r>
      <w:r>
        <w:rPr>
          <w:rFonts w:hint="eastAsia" w:ascii="仿宋_GB2312" w:hAnsi="仿宋_GB2312" w:eastAsia="仿宋_GB2312" w:cs="仿宋_GB2312"/>
          <w:sz w:val="32"/>
          <w:szCs w:val="32"/>
          <w:lang w:val="en-US" w:eastAsia="zh-CN"/>
        </w:rPr>
        <w:t>2.27万元</w:t>
      </w:r>
      <w:r>
        <w:rPr>
          <w:rFonts w:hint="eastAsia" w:ascii="仿宋_GB2312" w:hAnsi="仿宋_GB2312" w:eastAsia="仿宋_GB2312" w:cs="仿宋_GB2312"/>
          <w:sz w:val="32"/>
          <w:szCs w:val="32"/>
        </w:rPr>
        <w:t>。其中因公出国（境）费用0万元，与去年持平；公务接待费安排</w:t>
      </w:r>
      <w:r>
        <w:rPr>
          <w:rFonts w:hint="eastAsia" w:ascii="仿宋_GB2312" w:hAnsi="仿宋_GB2312" w:eastAsia="仿宋_GB2312" w:cs="仿宋_GB2312"/>
          <w:sz w:val="32"/>
          <w:szCs w:val="32"/>
          <w:lang w:val="en-US" w:eastAsia="zh-CN"/>
        </w:rPr>
        <w:t>0.48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压缩减少了</w:t>
      </w:r>
      <w:r>
        <w:rPr>
          <w:rFonts w:hint="eastAsia" w:ascii="仿宋_GB2312" w:hAnsi="仿宋_GB2312" w:eastAsia="仿宋_GB2312" w:cs="仿宋_GB2312"/>
          <w:sz w:val="32"/>
          <w:szCs w:val="32"/>
          <w:lang w:val="en-US" w:eastAsia="zh-CN"/>
        </w:rPr>
        <w:t>0.32万元</w:t>
      </w:r>
      <w:r>
        <w:rPr>
          <w:rFonts w:hint="eastAsia" w:ascii="仿宋_GB2312" w:hAnsi="仿宋_GB2312" w:eastAsia="仿宋_GB2312" w:cs="仿宋_GB2312"/>
          <w:sz w:val="32"/>
          <w:szCs w:val="32"/>
        </w:rPr>
        <w:t>；公务用车费用安排0万元，与去年持平；会议费</w:t>
      </w:r>
      <w:r>
        <w:rPr>
          <w:rFonts w:hint="eastAsia" w:ascii="仿宋_GB2312" w:hAnsi="仿宋_GB2312" w:eastAsia="仿宋_GB2312" w:cs="仿宋_GB2312"/>
          <w:sz w:val="32"/>
          <w:szCs w:val="32"/>
          <w:lang w:val="en-US" w:eastAsia="zh-CN"/>
        </w:rPr>
        <w:t>2.17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压缩减少了</w:t>
      </w:r>
      <w:r>
        <w:rPr>
          <w:rFonts w:hint="eastAsia" w:ascii="仿宋_GB2312" w:hAnsi="仿宋_GB2312" w:eastAsia="仿宋_GB2312" w:cs="仿宋_GB2312"/>
          <w:sz w:val="32"/>
          <w:szCs w:val="32"/>
          <w:lang w:val="en-US" w:eastAsia="zh-CN"/>
        </w:rPr>
        <w:t>1.33万元；</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val="en-US" w:eastAsia="zh-CN"/>
        </w:rPr>
        <w:t>0.38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，压缩减少了</w:t>
      </w:r>
      <w:r>
        <w:rPr>
          <w:rFonts w:hint="eastAsia" w:ascii="仿宋_GB2312" w:hAnsi="仿宋_GB2312" w:eastAsia="仿宋_GB2312" w:cs="仿宋_GB2312"/>
          <w:sz w:val="32"/>
          <w:szCs w:val="32"/>
          <w:lang w:val="en-US" w:eastAsia="zh-CN"/>
        </w:rPr>
        <w:t>0.62万元</w:t>
      </w:r>
      <w:r>
        <w:rPr>
          <w:rFonts w:hint="eastAsia" w:ascii="仿宋_GB2312" w:hAnsi="仿宋_GB2312" w:eastAsia="仿宋_GB2312" w:cs="仿宋_GB2312"/>
          <w:sz w:val="32"/>
          <w:szCs w:val="32"/>
        </w:rPr>
        <w:t>。</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firstLineChars="200"/>
        <w:jc w:val="left"/>
        <w:rPr>
          <w:rFonts w:ascii="Times New Roman" w:hAnsi="Times New Roman" w:eastAsia="方正仿宋_GBK" w:cs="Times New Roman"/>
          <w:b/>
          <w:sz w:val="32"/>
          <w:szCs w:val="32"/>
        </w:rPr>
      </w:pPr>
      <w:r>
        <w:rPr>
          <w:rFonts w:ascii="Times New Roman" w:hAnsi="Times New Roman" w:eastAsia="方正仿宋_GBK" w:cs="Times New Roman"/>
          <w:b/>
          <w:sz w:val="32"/>
          <w:szCs w:val="32"/>
        </w:rPr>
        <w:t>总体绩效目标：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sz w:val="32"/>
          <w:szCs w:val="32"/>
        </w:rPr>
      </w:pPr>
      <w:r>
        <w:rPr>
          <w:rFonts w:hint="eastAsia" w:ascii="仿宋" w:hAnsi="仿宋" w:eastAsia="仿宋" w:cs="仿宋"/>
          <w:bCs/>
          <w:sz w:val="32"/>
          <w:szCs w:val="32"/>
        </w:rPr>
        <w:t>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年，我局将按照曹妃甸区和管委会招商攻坚新要求，</w:t>
      </w:r>
      <w:r>
        <w:rPr>
          <w:rFonts w:hint="eastAsia" w:ascii="仿宋" w:hAnsi="仿宋" w:eastAsia="仿宋" w:cs="仿宋"/>
          <w:bCs/>
          <w:sz w:val="32"/>
          <w:szCs w:val="32"/>
          <w:lang w:val="en-US" w:eastAsia="zh-CN"/>
        </w:rPr>
        <w:t>继续坚持以南堡化工新材料片区招商为龙头，围绕海洋化工、硅材料下游产业、助剂类精细化工三大产业，以主导产业延链补链强链为抓手，以打造“高新产业片区、创新创业基地、千亿产值园区”为目标，以产业链招商、以商招商、专题招商活动为主要招商方式，不断扩大招商范围、加大招商力度，促进产业集聚、项目提质，不断招引大项目、好项目，立区兴区产业项目落地，实现招商引资有更新、更大突破。</w:t>
      </w:r>
      <w:r>
        <w:rPr>
          <w:rFonts w:hint="eastAsia" w:ascii="仿宋" w:hAnsi="仿宋" w:eastAsia="仿宋" w:cs="仿宋"/>
          <w:bCs/>
          <w:sz w:val="32"/>
          <w:szCs w:val="32"/>
        </w:rPr>
        <w:t>力</w:t>
      </w:r>
      <w:r>
        <w:rPr>
          <w:rFonts w:ascii="仿宋" w:hAnsi="仿宋" w:eastAsia="仿宋"/>
          <w:sz w:val="32"/>
          <w:szCs w:val="32"/>
        </w:rPr>
        <w:t>争20</w:t>
      </w:r>
      <w:r>
        <w:rPr>
          <w:rFonts w:hint="eastAsia" w:ascii="仿宋" w:hAnsi="仿宋" w:eastAsia="仿宋"/>
          <w:sz w:val="32"/>
          <w:szCs w:val="32"/>
          <w:lang w:val="en-US" w:eastAsia="zh-CN"/>
        </w:rPr>
        <w:t>21</w:t>
      </w:r>
      <w:r>
        <w:rPr>
          <w:rFonts w:ascii="仿宋" w:hAnsi="仿宋" w:eastAsia="仿宋"/>
          <w:sz w:val="32"/>
          <w:szCs w:val="32"/>
        </w:rPr>
        <w:t>年</w:t>
      </w:r>
      <w:r>
        <w:rPr>
          <w:rFonts w:hint="eastAsia" w:ascii="仿宋" w:hAnsi="仿宋" w:eastAsia="仿宋"/>
          <w:sz w:val="32"/>
          <w:szCs w:val="32"/>
        </w:rPr>
        <w:t>完成各项指标任务：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1.限额以上贸易企业营业额增速20%，新增限额以上贸易企业4家（其中月度新增2家），港口物流贸易额82亿元；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2.新签约投资50亿元以上项目1个；</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3.签约落地千万美元以上外资项目2个；</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4.新签约并落地开工投资5亿元以上现代化工项目3个，其中投资10亿元以上1个；</w:t>
      </w:r>
      <w:r>
        <w:rPr>
          <w:rFonts w:hint="default" w:ascii="仿宋" w:hAnsi="仿宋" w:eastAsia="仿宋" w:cs="仿宋"/>
          <w:bCs/>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5.新签约并落地开工投资亿元以上硅材料项目5个；</w:t>
      </w:r>
      <w:r>
        <w:rPr>
          <w:rFonts w:hint="default" w:ascii="仿宋" w:hAnsi="仿宋" w:eastAsia="仿宋" w:cs="仿宋"/>
          <w:bCs/>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6.实际利用外资0.3亿美元；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7.进口总额3亿美元，出口总额3亿美元；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 w:hAnsi="仿宋" w:eastAsia="仿宋" w:cs="仿宋"/>
          <w:bCs/>
          <w:sz w:val="32"/>
          <w:szCs w:val="32"/>
          <w:lang w:val="en-US" w:eastAsia="zh-CN"/>
        </w:rPr>
      </w:pPr>
      <w:r>
        <w:rPr>
          <w:rFonts w:hint="default" w:ascii="仿宋" w:hAnsi="仿宋" w:eastAsia="仿宋" w:cs="仿宋"/>
          <w:bCs/>
          <w:sz w:val="32"/>
          <w:szCs w:val="32"/>
          <w:lang w:val="en-US" w:eastAsia="zh-CN"/>
        </w:rPr>
        <w:t>8.限额以上批零住餐企业社会消费品零售总额增速10%，新增限额以上含零售额的零售、餐饮企业2家。</w:t>
      </w:r>
    </w:p>
    <w:p>
      <w:pPr>
        <w:ind w:firstLine="562"/>
        <w:jc w:val="left"/>
        <w:rPr>
          <w:rFonts w:hint="eastAsia" w:ascii="方正楷体_GBK" w:eastAsia="方正楷体_GBK"/>
          <w:b/>
          <w:color w:val="000000"/>
          <w:sz w:val="28"/>
        </w:rPr>
      </w:pPr>
    </w:p>
    <w:p>
      <w:pPr>
        <w:ind w:firstLine="562"/>
        <w:jc w:val="left"/>
        <w:rPr>
          <w:sz w:val="28"/>
        </w:rPr>
      </w:pPr>
      <w:r>
        <w:rPr>
          <w:rFonts w:hint="eastAsia" w:ascii="方正楷体_GBK" w:eastAsia="方正楷体_GBK"/>
          <w:b/>
          <w:color w:val="000000"/>
          <w:sz w:val="28"/>
        </w:rPr>
        <w:t>职责分类绩效目标：</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322</w:t>
            </w:r>
            <w:r>
              <w:rPr>
                <w:rFonts w:hint="eastAsia" w:ascii="方正小标宋_GBK" w:eastAsia="方正小标宋_GBK"/>
                <w:sz w:val="24"/>
              </w:rPr>
              <w:t>南堡经济开发区商务局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lang w:val="en-US" w:eastAsia="zh-CN"/>
              </w:rPr>
            </w:pPr>
            <w:r>
              <w:rPr>
                <w:rFonts w:hint="eastAsia" w:ascii="方正书宋_GBK" w:eastAsia="方正书宋_GBK"/>
                <w:b/>
              </w:rPr>
              <w:t>　　促进商贸流通</w:t>
            </w:r>
            <w:r>
              <w:rPr>
                <w:rFonts w:hint="eastAsia" w:ascii="方正书宋_GBK" w:eastAsia="方正书宋_GBK"/>
                <w:b/>
                <w:lang w:eastAsia="zh-CN"/>
              </w:rPr>
              <w:t>管理</w:t>
            </w:r>
          </w:p>
        </w:tc>
        <w:tc>
          <w:tcPr>
            <w:tcW w:w="1276" w:type="dxa"/>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464.2</w:t>
            </w:r>
          </w:p>
        </w:tc>
        <w:tc>
          <w:tcPr>
            <w:tcW w:w="2976"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rPr>
              <w:t>扶持商贸流通领域中小企业发展，支持大型商贸企业、商贸连锁经营企业</w:t>
            </w:r>
            <w:r>
              <w:rPr>
                <w:rFonts w:hint="eastAsia" w:ascii="方正书宋_GBK" w:eastAsia="方正书宋_GBK"/>
                <w:lang w:eastAsia="zh-CN"/>
              </w:rPr>
              <w:t>建设</w:t>
            </w:r>
            <w:r>
              <w:rPr>
                <w:rFonts w:hint="eastAsia" w:ascii="方正书宋_GBK" w:eastAsia="方正书宋_GBK"/>
              </w:rPr>
              <w:t>。推进流通产业结构调整，推动流通标准化和现代流通方式的发展</w:t>
            </w:r>
            <w:r>
              <w:rPr>
                <w:rFonts w:hint="eastAsia" w:ascii="方正书宋_GBK" w:eastAsia="方正书宋_GBK"/>
                <w:lang w:eastAsia="zh-CN"/>
              </w:rPr>
              <w:t>。</w:t>
            </w:r>
          </w:p>
        </w:tc>
        <w:tc>
          <w:tcPr>
            <w:tcW w:w="2976"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按照关于搞活商贸流通的相关要求，完成任务分解、资金安排等相关工作</w:t>
            </w:r>
            <w:r>
              <w:rPr>
                <w:rFonts w:hint="eastAsia" w:ascii="方正书宋_GBK" w:eastAsia="方正书宋_GBK"/>
                <w:lang w:eastAsia="zh-CN"/>
              </w:rPr>
              <w:t>。招引商贸企业入驻南堡发展，完成下达的指标任务。</w:t>
            </w:r>
          </w:p>
        </w:tc>
        <w:tc>
          <w:tcPr>
            <w:tcW w:w="1417"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rPr>
              <w:t>商贸物流</w:t>
            </w:r>
            <w:r>
              <w:rPr>
                <w:rFonts w:hint="eastAsia" w:ascii="方正书宋_GBK" w:eastAsia="方正书宋_GBK"/>
                <w:lang w:eastAsia="zh-CN"/>
              </w:rPr>
              <w:t>企业注册</w:t>
            </w:r>
            <w:r>
              <w:rPr>
                <w:rFonts w:hint="eastAsia" w:ascii="方正书宋_GBK" w:eastAsia="方正书宋_GBK"/>
              </w:rPr>
              <w:t>数量</w:t>
            </w:r>
            <w:r>
              <w:rPr>
                <w:rFonts w:hint="eastAsia" w:ascii="方正书宋_GBK" w:eastAsia="方正书宋_GBK"/>
                <w:lang w:eastAsia="zh-CN"/>
              </w:rPr>
              <w:t>及贸易金额。</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2341" w:type="dxa"/>
            <w:vMerge w:val="restart"/>
            <w:noWrap w:val="0"/>
            <w:vAlign w:val="center"/>
          </w:tcPr>
          <w:p>
            <w:pPr>
              <w:spacing w:line="300" w:lineRule="exact"/>
              <w:jc w:val="left"/>
              <w:rPr>
                <w:rFonts w:ascii="方正书宋_GBK" w:eastAsia="方正书宋_GBK"/>
                <w:b/>
              </w:rPr>
            </w:pPr>
            <w:r>
              <w:rPr>
                <w:rFonts w:hint="eastAsia" w:ascii="方正书宋_GBK" w:eastAsia="方正书宋_GBK"/>
                <w:b/>
              </w:rPr>
              <w:t>　　招商引资</w:t>
            </w:r>
          </w:p>
        </w:tc>
        <w:tc>
          <w:tcPr>
            <w:tcW w:w="1276" w:type="dxa"/>
            <w:vMerge w:val="restart"/>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57.73</w:t>
            </w: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规范对外招商引资活动，组织实施投资贸易洽谈会等活动。借助我国对外多边贸易政策以及自贸区平台，组织企业走出去，开展贸易洽谈、招商合作等活动，促进贸易往来。</w:t>
            </w: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通过开展</w:t>
            </w:r>
            <w:r>
              <w:rPr>
                <w:rFonts w:hint="cs" w:ascii="方正书宋_GBK" w:eastAsia="方正书宋_GBK"/>
                <w:cs/>
              </w:rPr>
              <w:t>“</w:t>
            </w:r>
            <w:r>
              <w:rPr>
                <w:rFonts w:hint="eastAsia" w:ascii="方正书宋_GBK" w:eastAsia="方正书宋_GBK"/>
              </w:rPr>
              <w:t>主体招商活动</w:t>
            </w:r>
            <w:r>
              <w:rPr>
                <w:rFonts w:hint="cs" w:ascii="方正书宋_GBK" w:eastAsia="方正书宋_GBK"/>
                <w:cs/>
              </w:rPr>
              <w:t>”</w:t>
            </w:r>
            <w:r>
              <w:rPr>
                <w:rFonts w:hint="eastAsia" w:ascii="方正书宋_GBK" w:eastAsia="方正书宋_GBK"/>
              </w:rPr>
              <w:t>，瞄准重点区域、重点客商和商务机构，推动和引领全区做好招商工作。突出引进战略投资者，力争在重点产业引进一批战略支撑项目、龙头企业和协力配套企业</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赴区域招商次数</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10</w:t>
            </w:r>
            <w:r>
              <w:rPr>
                <w:rFonts w:hint="eastAsia" w:ascii="方正书宋_GBK" w:eastAsia="方正书宋_GBK"/>
              </w:rPr>
              <w:t>次以上</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次以上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3</w:t>
            </w:r>
            <w:r>
              <w:rPr>
                <w:rFonts w:hint="eastAsia" w:ascii="方正书宋_GBK" w:eastAsia="方正书宋_GBK"/>
              </w:rPr>
              <w:t>次以上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2</w:t>
            </w:r>
            <w:r>
              <w:rPr>
                <w:rFonts w:hint="eastAsia" w:ascii="方正书宋_GBK" w:eastAsia="方正书宋_GBK"/>
              </w:rPr>
              <w:t>次以下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举办活动数量</w:t>
            </w:r>
          </w:p>
        </w:tc>
        <w:tc>
          <w:tcPr>
            <w:tcW w:w="737" w:type="dxa"/>
            <w:noWrap w:val="0"/>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1</w:t>
            </w:r>
            <w:r>
              <w:rPr>
                <w:rFonts w:hint="eastAsia" w:ascii="方正书宋_GBK" w:eastAsia="方正书宋_GBK"/>
              </w:rPr>
              <w:t>次以上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1</w:t>
            </w:r>
            <w:r>
              <w:rPr>
                <w:rFonts w:hint="eastAsia" w:ascii="方正书宋_GBK" w:eastAsia="方正书宋_GBK"/>
              </w:rPr>
              <w:t>次</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1</w:t>
            </w:r>
            <w:r>
              <w:rPr>
                <w:rFonts w:hint="eastAsia" w:ascii="方正书宋_GBK" w:eastAsia="方正书宋_GBK"/>
              </w:rPr>
              <w:t>次</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0</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到会客商人数</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15</w:t>
            </w:r>
            <w:r>
              <w:rPr>
                <w:rFonts w:hint="eastAsia" w:ascii="方正书宋_GBK" w:eastAsia="方正书宋_GBK"/>
              </w:rPr>
              <w:t>人以上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1</w:t>
            </w:r>
            <w:r>
              <w:rPr>
                <w:rFonts w:ascii="方正书宋_GBK" w:eastAsia="方正书宋_GBK"/>
              </w:rPr>
              <w:t>0</w:t>
            </w:r>
            <w:r>
              <w:rPr>
                <w:rFonts w:hint="eastAsia" w:ascii="方正书宋_GBK" w:eastAsia="方正书宋_GBK"/>
              </w:rPr>
              <w:t>人以上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5</w:t>
            </w:r>
            <w:r>
              <w:rPr>
                <w:rFonts w:hint="eastAsia" w:ascii="方正书宋_GBK" w:eastAsia="方正书宋_GBK"/>
              </w:rPr>
              <w:t>人以上</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lang w:val="en-US" w:eastAsia="zh-CN"/>
              </w:rPr>
              <w:t>5</w:t>
            </w:r>
            <w:r>
              <w:rPr>
                <w:rFonts w:hint="eastAsia" w:ascii="方正书宋_GBK" w:eastAsia="方正书宋_GBK"/>
              </w:rPr>
              <w:t>人以下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lang w:eastAsia="zh-CN"/>
              </w:rPr>
            </w:pPr>
            <w:r>
              <w:rPr>
                <w:rFonts w:hint="eastAsia" w:ascii="方正书宋_GBK" w:eastAsia="方正书宋_GBK"/>
                <w:b/>
                <w:lang w:eastAsia="zh-CN"/>
              </w:rPr>
              <w:t>扶持中小企业发展</w:t>
            </w:r>
          </w:p>
        </w:tc>
        <w:tc>
          <w:tcPr>
            <w:tcW w:w="1276" w:type="dxa"/>
            <w:noWrap w:val="0"/>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112.46</w:t>
            </w:r>
          </w:p>
        </w:tc>
        <w:tc>
          <w:tcPr>
            <w:tcW w:w="2976"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对区内招商引资入区企业扶持，给予企业每年产生的土地使用税、房产税额度内的补助支持。</w:t>
            </w:r>
          </w:p>
        </w:tc>
        <w:tc>
          <w:tcPr>
            <w:tcW w:w="2976"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根据企业提供的完税证明等材料，给予企业补助支持。</w:t>
            </w:r>
          </w:p>
        </w:tc>
        <w:tc>
          <w:tcPr>
            <w:tcW w:w="1417"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完税情况</w:t>
            </w:r>
          </w:p>
        </w:tc>
        <w:tc>
          <w:tcPr>
            <w:tcW w:w="737" w:type="dxa"/>
            <w:noWrap w:val="0"/>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方正书宋_GBK" w:eastAsia="方正书宋_GBK"/>
              </w:rPr>
              <w:t>未定</w:t>
            </w:r>
          </w:p>
        </w:tc>
        <w:tc>
          <w:tcPr>
            <w:tcW w:w="737" w:type="dxa"/>
            <w:noWrap w:val="0"/>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方正书宋_GBK" w:eastAsia="方正书宋_GBK"/>
              </w:rPr>
              <w:t>未定</w:t>
            </w:r>
          </w:p>
        </w:tc>
        <w:tc>
          <w:tcPr>
            <w:tcW w:w="737" w:type="dxa"/>
            <w:noWrap w:val="0"/>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方正书宋_GBK" w:eastAsia="方正书宋_GBK"/>
              </w:rPr>
              <w:t>未定</w:t>
            </w:r>
          </w:p>
        </w:tc>
        <w:tc>
          <w:tcPr>
            <w:tcW w:w="737" w:type="dxa"/>
            <w:noWrap w:val="0"/>
            <w:vAlign w:val="center"/>
          </w:tcPr>
          <w:p>
            <w:pPr>
              <w:spacing w:line="300" w:lineRule="exact"/>
              <w:jc w:val="center"/>
              <w:rPr>
                <w:rFonts w:hint="eastAsia" w:ascii="方正书宋_GBK" w:hAnsi="Calibri" w:eastAsia="方正书宋_GBK" w:cs="黑体"/>
                <w:kern w:val="2"/>
                <w:sz w:val="21"/>
                <w:szCs w:val="22"/>
                <w:lang w:val="en-US" w:eastAsia="zh-CN" w:bidi="ar-SA"/>
              </w:rPr>
            </w:pPr>
            <w:r>
              <w:rPr>
                <w:rFonts w:hint="eastAsia" w:ascii="方正书宋_GBK" w:eastAsia="方正书宋_GBK"/>
              </w:rPr>
              <w:t>未定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促进对外经贸服务</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做好进出口数据采集、贸易救济措施调查、产业损害预警、出口信用保险、开发区利用外资管理等工作。完善开发区建设发展管理体系，开展</w:t>
            </w:r>
            <w:r>
              <w:rPr>
                <w:rFonts w:hint="eastAsia" w:ascii="方正书宋_GBK" w:eastAsia="方正书宋_GBK"/>
                <w:lang w:eastAsia="zh-CN"/>
              </w:rPr>
              <w:t>外商</w:t>
            </w:r>
            <w:r>
              <w:rPr>
                <w:rFonts w:hint="eastAsia" w:ascii="方正书宋_GBK" w:eastAsia="方正书宋_GBK"/>
              </w:rPr>
              <w:t>招商引资、培训。</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完成区政府下达目标，确保对外投资和经济合作业务稳定增长</w:t>
            </w:r>
          </w:p>
        </w:tc>
        <w:tc>
          <w:tcPr>
            <w:tcW w:w="1417"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进出口完成情况</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未定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市场监督管理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组织实施国家和省市有关成品油监督管理的法规、规章和政策</w:t>
            </w:r>
            <w:r>
              <w:rPr>
                <w:rFonts w:hint="eastAsia" w:ascii="方正书宋_GBK" w:eastAsia="方正书宋_GBK"/>
                <w:lang w:eastAsia="zh-CN"/>
              </w:rPr>
              <w:t>。</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有效的维护了市场经营制序，保护了消费者的合法权益。加大成品油管理工作力度。进一步调查、理顺、摸清成品油经营市场，规范市场经营行为。</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维护了市场经营制序，保护了消费者的合法权益。规范成品油市场。</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70%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做好会议培训组织，内部信息化建设与维护，财务和资产管理，标准化建设，基础设施维修，大型设备购置，人事、党务管理等工作。</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保障机关正常工作高效运转</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60%</w:t>
            </w:r>
          </w:p>
        </w:tc>
      </w:tr>
    </w:tbl>
    <w:p>
      <w:pPr>
        <w:ind w:firstLine="560"/>
        <w:rPr>
          <w:rFonts w:ascii="仿宋" w:hAnsi="仿宋" w:eastAsia="仿宋"/>
          <w:sz w:val="32"/>
          <w:szCs w:val="32"/>
        </w:rPr>
      </w:pP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方正小标宋_GBK" w:hAnsi="Times New Roman" w:eastAsia="方正小标宋_GBK" w:cs="Times New Roman"/>
          <w:sz w:val="32"/>
          <w:szCs w:val="24"/>
        </w:rPr>
      </w:pPr>
      <w:r>
        <w:rPr>
          <w:rFonts w:ascii="Times New Roman" w:hAnsi="Times New Roman" w:eastAsia="方正仿宋_GBK" w:cs="Times New Roman"/>
          <w:sz w:val="32"/>
          <w:szCs w:val="24"/>
        </w:rPr>
        <w:t xml:space="preserve">   20</w:t>
      </w:r>
      <w:r>
        <w:rPr>
          <w:rFonts w:hint="eastAsia" w:ascii="Times New Roman" w:hAnsi="Times New Roman" w:eastAsia="方正仿宋_GBK" w:cs="Times New Roman"/>
          <w:sz w:val="32"/>
          <w:szCs w:val="24"/>
          <w:lang w:val="en-US" w:eastAsia="zh-CN"/>
        </w:rPr>
        <w:t>21</w:t>
      </w:r>
      <w:r>
        <w:rPr>
          <w:rFonts w:ascii="Times New Roman" w:hAnsi="Times New Roman" w:eastAsia="方正仿宋_GBK" w:cs="Times New Roman"/>
          <w:sz w:val="32"/>
          <w:szCs w:val="24"/>
        </w:rPr>
        <w:t>年，安排政府采购预算</w:t>
      </w:r>
      <w:r>
        <w:rPr>
          <w:rFonts w:hint="eastAsia" w:ascii="Times New Roman" w:hAnsi="Times New Roman" w:eastAsia="方正仿宋_GBK" w:cs="Times New Roman"/>
          <w:sz w:val="32"/>
          <w:szCs w:val="24"/>
        </w:rPr>
        <w:t>0</w:t>
      </w:r>
      <w:r>
        <w:rPr>
          <w:rFonts w:ascii="Times New Roman" w:hAnsi="Times New Roman" w:eastAsia="方正仿宋_GBK" w:cs="Times New Roman"/>
          <w:sz w:val="32"/>
          <w:szCs w:val="24"/>
        </w:rPr>
        <w:t>万元。</w:t>
      </w: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34.03939</w:t>
      </w:r>
      <w:r>
        <w:rPr>
          <w:rFonts w:hint="eastAsia" w:ascii="仿宋_GB2312" w:hAnsi="黑体" w:eastAsia="仿宋_GB2312" w:cs="Times New Roman"/>
          <w:sz w:val="32"/>
          <w:szCs w:val="32"/>
        </w:rPr>
        <w:t>万元（详见下表），本年度拟购置固定资产主要为</w:t>
      </w:r>
      <w:r>
        <w:rPr>
          <w:rFonts w:hint="eastAsia" w:ascii="仿宋_GB2312" w:hAnsi="黑体" w:eastAsia="仿宋_GB2312" w:cs="Times New Roman"/>
          <w:sz w:val="32"/>
          <w:szCs w:val="32"/>
          <w:lang w:eastAsia="zh-CN"/>
        </w:rPr>
        <w:t>办公电脑</w:t>
      </w:r>
      <w:r>
        <w:rPr>
          <w:rFonts w:hint="eastAsia" w:ascii="仿宋_GB2312" w:hAnsi="黑体" w:eastAsia="仿宋_GB2312" w:cs="Times New Roman"/>
          <w:sz w:val="32"/>
          <w:szCs w:val="32"/>
        </w:rPr>
        <w:t>、</w:t>
      </w:r>
      <w:r>
        <w:rPr>
          <w:rFonts w:hint="eastAsia" w:ascii="仿宋_GB2312" w:hAnsi="黑体" w:eastAsia="仿宋_GB2312" w:cs="Times New Roman"/>
          <w:sz w:val="32"/>
          <w:szCs w:val="32"/>
          <w:lang w:eastAsia="zh-CN"/>
        </w:rPr>
        <w:t>打印机</w:t>
      </w:r>
      <w:r>
        <w:rPr>
          <w:rFonts w:hint="eastAsia" w:ascii="仿宋_GB2312" w:hAnsi="黑体" w:eastAsia="仿宋_GB2312" w:cs="Times New Roman"/>
          <w:sz w:val="32"/>
          <w:szCs w:val="32"/>
        </w:rPr>
        <w:t>等，共计</w:t>
      </w:r>
      <w:r>
        <w:rPr>
          <w:rFonts w:hint="eastAsia" w:ascii="仿宋_GB2312" w:hAnsi="黑体" w:eastAsia="仿宋_GB2312" w:cs="Times New Roman"/>
          <w:color w:val="000000"/>
          <w:sz w:val="32"/>
          <w:szCs w:val="32"/>
        </w:rPr>
        <w:t xml:space="preserve"> </w:t>
      </w:r>
      <w:r>
        <w:rPr>
          <w:rFonts w:hint="eastAsia" w:ascii="仿宋_GB2312" w:hAnsi="黑体" w:eastAsia="仿宋_GB2312" w:cs="Times New Roman"/>
          <w:color w:val="000000"/>
          <w:sz w:val="32"/>
          <w:szCs w:val="32"/>
          <w:lang w:val="en-US" w:eastAsia="zh-CN"/>
        </w:rPr>
        <w:t>1.8</w:t>
      </w:r>
      <w:r>
        <w:rPr>
          <w:rFonts w:hint="eastAsia" w:ascii="仿宋_GB2312" w:hAnsi="黑体" w:eastAsia="仿宋_GB2312" w:cs="Times New Roman"/>
          <w:sz w:val="32"/>
          <w:szCs w:val="32"/>
        </w:rPr>
        <w:t>万元，均是20万元以下的设备。</w:t>
      </w:r>
    </w:p>
    <w:tbl>
      <w:tblPr>
        <w:tblStyle w:val="11"/>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唐山南堡经济开发区商务局固定资产占用情况表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w:t>
            </w:r>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截止时间：20</w:t>
            </w:r>
            <w:r>
              <w:rPr>
                <w:rFonts w:hint="eastAsia" w:ascii="宋体" w:hAnsi="宋体" w:cs="宋体"/>
                <w:kern w:val="0"/>
                <w:sz w:val="22"/>
                <w:lang w:val="en-US" w:eastAsia="zh-CN"/>
              </w:rPr>
              <w:t>20</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34.03939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5.7515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3、单价在20万元以上设备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28.28789</w:t>
            </w:r>
          </w:p>
        </w:tc>
      </w:tr>
    </w:tbl>
    <w:p>
      <w:pPr>
        <w:rPr>
          <w:rFonts w:ascii="仿宋_GB2312" w:hAnsi="黑体" w:eastAsia="仿宋_GB2312" w:cs="Times New Roman"/>
          <w:sz w:val="32"/>
          <w:szCs w:val="32"/>
        </w:rPr>
      </w:pPr>
    </w:p>
    <w:p>
      <w:pPr>
        <w:numPr>
          <w:ilvl w:val="0"/>
          <w:numId w:val="4"/>
        </w:num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名词解释</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1、一般预算收入：省级财政当年拨付的资金。</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2、基本支出：为保障机构正常运转，完成日常工作任务，而发生的人员支出和公用支出。</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3、项目支出：是指在基本支出之外，为完成特定行政任务和事业发展目标，而发生的支出。</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机关运行费：是指为保证行政单位（包括参照公务员管理的事业单位）运行，用于购买货物和服务的各项资金。主要包括：办公费、印刷费，水费、电费、邮电费、福利费、日常维修费、办公物业服务费、公务车运行维护费等。</w:t>
      </w:r>
    </w:p>
    <w:p>
      <w:pPr>
        <w:autoSpaceDE w:val="0"/>
        <w:autoSpaceDN w:val="0"/>
        <w:adjustRightInd w:val="0"/>
        <w:ind w:left="420" w:leftChars="200" w:firstLine="643" w:firstLineChars="200"/>
        <w:jc w:val="left"/>
        <w:rPr>
          <w:rFonts w:ascii="宋体-方正超大字符集" w:hAnsi="宋体-方正超大字符集" w:eastAsia="宋体-方正超大字符集" w:cs="宋体-方正超大字符集"/>
          <w:b/>
          <w:bCs/>
          <w:sz w:val="32"/>
          <w:szCs w:val="32"/>
        </w:rPr>
      </w:pPr>
      <w:r>
        <w:rPr>
          <w:rFonts w:hint="eastAsia" w:ascii="宋体-方正超大字符集" w:hAnsi="宋体-方正超大字符集" w:eastAsia="宋体-方正超大字符集" w:cs="宋体-方正超大字符集"/>
          <w:b/>
          <w:bCs/>
          <w:sz w:val="32"/>
          <w:szCs w:val="32"/>
        </w:rPr>
        <w:t>九、其他需要说明的事项</w:t>
      </w:r>
    </w:p>
    <w:p>
      <w:pPr>
        <w:autoSpaceDE w:val="0"/>
        <w:autoSpaceDN w:val="0"/>
        <w:adjustRightInd w:val="0"/>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rPr>
          <w:rFonts w:ascii="仿宋_GB2312" w:hAnsi="仿宋_GB2312" w:eastAsia="仿宋_GB2312" w:cs="仿宋_GB2312"/>
          <w:sz w:val="32"/>
          <w:szCs w:val="32"/>
        </w:rPr>
      </w:pPr>
    </w:p>
    <w:sectPr>
      <w:headerReference r:id="rId3" w:type="default"/>
      <w:footerReference r:id="rId4"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10" w:usb3="00000000" w:csb0="00040000" w:csb1="00000000"/>
  </w:font>
  <w:font w:name="方正书宋_GBK">
    <w:altName w:val="宋体"/>
    <w:panose1 w:val="02010609000101010101"/>
    <w:charset w:val="86"/>
    <w:family w:val="roman"/>
    <w:pitch w:val="default"/>
    <w:sig w:usb0="00000000" w:usb1="00000000" w:usb2="00000010" w:usb3="00000000" w:csb0="00040000" w:csb1="00000000"/>
  </w:font>
  <w:font w:name="宋体-方正超大字符集">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 xml:space="preserve">第 </w:t>
    </w:r>
    <w:r>
      <w:fldChar w:fldCharType="begin"/>
    </w:r>
    <w:r>
      <w:rPr>
        <w:rFonts w:hint="eastAsia"/>
      </w:rPr>
      <w:instrText xml:space="preserve">Page \* MERGEFORMAT</w:instrText>
    </w:r>
    <w:r>
      <w:fldChar w:fldCharType="separate"/>
    </w:r>
    <w:r>
      <w:t>1</w:t>
    </w:r>
    <w:r>
      <w:fldChar w:fldCharType="end"/>
    </w:r>
    <w:r>
      <w:rPr>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lvl>
  </w:abstractNum>
  <w:abstractNum w:abstractNumId="1">
    <w:nsid w:val="0000000B"/>
    <w:multiLevelType w:val="singleLevel"/>
    <w:tmpl w:val="0000000B"/>
    <w:lvl w:ilvl="0" w:tentative="0">
      <w:start w:val="8"/>
      <w:numFmt w:val="chineseCounting"/>
      <w:suff w:val="nothing"/>
      <w:lvlText w:val="%1、"/>
      <w:lvlJc w:val="left"/>
    </w:lvl>
  </w:abstractNum>
  <w:abstractNum w:abstractNumId="2">
    <w:nsid w:val="5909A0EE"/>
    <w:multiLevelType w:val="singleLevel"/>
    <w:tmpl w:val="5909A0EE"/>
    <w:lvl w:ilvl="0" w:tentative="0">
      <w:start w:val="1"/>
      <w:numFmt w:val="chineseCounting"/>
      <w:suff w:val="nothing"/>
      <w:lvlText w:val="%1、"/>
      <w:lvlJc w:val="left"/>
    </w:lvl>
  </w:abstractNum>
  <w:abstractNum w:abstractNumId="3">
    <w:nsid w:val="5909A57E"/>
    <w:multiLevelType w:val="singleLevel"/>
    <w:tmpl w:val="5909A57E"/>
    <w:lvl w:ilvl="0" w:tentative="0">
      <w:start w:val="3"/>
      <w:numFmt w:val="chineseCounting"/>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7E"/>
    <w:rsid w:val="00027073"/>
    <w:rsid w:val="00032D4B"/>
    <w:rsid w:val="000B7FCB"/>
    <w:rsid w:val="0014449D"/>
    <w:rsid w:val="00172A27"/>
    <w:rsid w:val="001A3523"/>
    <w:rsid w:val="002608BE"/>
    <w:rsid w:val="002A617C"/>
    <w:rsid w:val="003D0907"/>
    <w:rsid w:val="00482C74"/>
    <w:rsid w:val="004A4050"/>
    <w:rsid w:val="005B1C37"/>
    <w:rsid w:val="0061137A"/>
    <w:rsid w:val="00613D3E"/>
    <w:rsid w:val="00785728"/>
    <w:rsid w:val="007872C5"/>
    <w:rsid w:val="00846F9F"/>
    <w:rsid w:val="008725B9"/>
    <w:rsid w:val="00A15941"/>
    <w:rsid w:val="00A23A29"/>
    <w:rsid w:val="00B238AC"/>
    <w:rsid w:val="00B43B83"/>
    <w:rsid w:val="00D72937"/>
    <w:rsid w:val="00DB6C61"/>
    <w:rsid w:val="00E41217"/>
    <w:rsid w:val="00EB3D7E"/>
    <w:rsid w:val="00EE255D"/>
    <w:rsid w:val="00EF1F51"/>
    <w:rsid w:val="00F914B0"/>
    <w:rsid w:val="00F92875"/>
    <w:rsid w:val="00FC1518"/>
    <w:rsid w:val="00FE66A8"/>
    <w:rsid w:val="02335EF2"/>
    <w:rsid w:val="081465EC"/>
    <w:rsid w:val="08B872E5"/>
    <w:rsid w:val="0D3D7863"/>
    <w:rsid w:val="11B14DCE"/>
    <w:rsid w:val="11BD51BB"/>
    <w:rsid w:val="12C4742F"/>
    <w:rsid w:val="13FE75A2"/>
    <w:rsid w:val="173E1959"/>
    <w:rsid w:val="17B27C12"/>
    <w:rsid w:val="182B5206"/>
    <w:rsid w:val="18E406CF"/>
    <w:rsid w:val="19A50693"/>
    <w:rsid w:val="1A6C0E84"/>
    <w:rsid w:val="1A7C3068"/>
    <w:rsid w:val="1B6C046B"/>
    <w:rsid w:val="1C6D28A3"/>
    <w:rsid w:val="1CC5044C"/>
    <w:rsid w:val="1DC43078"/>
    <w:rsid w:val="1F436A91"/>
    <w:rsid w:val="20490F69"/>
    <w:rsid w:val="20880B42"/>
    <w:rsid w:val="20D06600"/>
    <w:rsid w:val="253476E6"/>
    <w:rsid w:val="2573511A"/>
    <w:rsid w:val="26A175C9"/>
    <w:rsid w:val="26B55F79"/>
    <w:rsid w:val="2B2D036C"/>
    <w:rsid w:val="2C343CEB"/>
    <w:rsid w:val="2C973BA3"/>
    <w:rsid w:val="2CD91EE1"/>
    <w:rsid w:val="2D3D47D0"/>
    <w:rsid w:val="2D9F209F"/>
    <w:rsid w:val="2DFA07EA"/>
    <w:rsid w:val="2FAF2DC0"/>
    <w:rsid w:val="37346343"/>
    <w:rsid w:val="376059F1"/>
    <w:rsid w:val="398B2127"/>
    <w:rsid w:val="39B624A1"/>
    <w:rsid w:val="3B9D05E2"/>
    <w:rsid w:val="3B9D3F7B"/>
    <w:rsid w:val="3BC06A63"/>
    <w:rsid w:val="3F675A63"/>
    <w:rsid w:val="417B1318"/>
    <w:rsid w:val="42646472"/>
    <w:rsid w:val="460974D0"/>
    <w:rsid w:val="477E5776"/>
    <w:rsid w:val="47E52DBD"/>
    <w:rsid w:val="4D667939"/>
    <w:rsid w:val="4F762266"/>
    <w:rsid w:val="507B57E7"/>
    <w:rsid w:val="516D3442"/>
    <w:rsid w:val="525A132C"/>
    <w:rsid w:val="52F74406"/>
    <w:rsid w:val="53934B54"/>
    <w:rsid w:val="56412769"/>
    <w:rsid w:val="56A439CF"/>
    <w:rsid w:val="588958A6"/>
    <w:rsid w:val="5C5C3E00"/>
    <w:rsid w:val="5CF32068"/>
    <w:rsid w:val="67C9021A"/>
    <w:rsid w:val="6937185C"/>
    <w:rsid w:val="6BDC690F"/>
    <w:rsid w:val="6BF81301"/>
    <w:rsid w:val="6C651AC4"/>
    <w:rsid w:val="6F123BFA"/>
    <w:rsid w:val="712552E9"/>
    <w:rsid w:val="779F354D"/>
    <w:rsid w:val="78E314E6"/>
    <w:rsid w:val="7944331F"/>
    <w:rsid w:val="7AEC23D6"/>
    <w:rsid w:val="7BBC722B"/>
    <w:rsid w:val="7C9A7756"/>
    <w:rsid w:val="7F752A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spacing w:after="0" w:line="480" w:lineRule="auto"/>
      <w:ind w:left="0" w:leftChars="0" w:firstLine="420" w:firstLineChars="200"/>
    </w:pPr>
    <w:rPr>
      <w:rFonts w:ascii="宋体" w:hAnsi="宋体" w:cs="宋体"/>
      <w:b/>
      <w:bCs/>
      <w:sz w:val="24"/>
    </w:rPr>
  </w:style>
  <w:style w:type="paragraph" w:styleId="3">
    <w:name w:val="Body Text Indent"/>
    <w:basedOn w:val="1"/>
    <w:uiPriority w:val="0"/>
    <w:pPr>
      <w:spacing w:after="120"/>
      <w:ind w:left="420" w:leftChars="200"/>
    </w:pPr>
  </w:style>
  <w:style w:type="paragraph" w:styleId="5">
    <w:name w:val="footer"/>
    <w:basedOn w:val="1"/>
    <w:link w:val="14"/>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qFormat/>
    <w:uiPriority w:val="0"/>
    <w:rPr>
      <w:rFonts w:ascii="Times New Roman" w:hAnsi="Times New Roman" w:cs="Times New Roman"/>
      <w:szCs w:val="24"/>
    </w:rPr>
  </w:style>
  <w:style w:type="paragraph" w:styleId="8">
    <w:name w:val="toc 2"/>
    <w:basedOn w:val="1"/>
    <w:next w:val="1"/>
    <w:qFormat/>
    <w:uiPriority w:val="0"/>
    <w:pPr>
      <w:ind w:left="420" w:leftChars="200"/>
    </w:pPr>
    <w:rPr>
      <w:rFonts w:ascii="Times New Roman" w:hAnsi="Times New Roman" w:cs="Times New Roman"/>
      <w:szCs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qFormat/>
    <w:uiPriority w:val="0"/>
    <w:pPr>
      <w:spacing w:before="240" w:after="60"/>
      <w:jc w:val="center"/>
      <w:outlineLvl w:val="0"/>
    </w:pPr>
    <w:rPr>
      <w:rFonts w:ascii="Cambria" w:hAnsi="Cambria" w:cs="Times New Roman"/>
      <w:b/>
      <w:bCs/>
      <w:sz w:val="32"/>
      <w:szCs w:val="32"/>
    </w:rPr>
  </w:style>
  <w:style w:type="character" w:styleId="13">
    <w:name w:val="Hyperlink"/>
    <w:qFormat/>
    <w:uiPriority w:val="0"/>
    <w:rPr>
      <w:color w:val="0000FF"/>
      <w:u w:val="single"/>
    </w:rPr>
  </w:style>
  <w:style w:type="character" w:customStyle="1" w:styleId="14">
    <w:name w:val="页脚 Char"/>
    <w:link w:val="5"/>
    <w:semiHidden/>
    <w:qFormat/>
    <w:uiPriority w:val="0"/>
    <w:rPr>
      <w:rFonts w:ascii="Times New Roman" w:hAnsi="Times New Roman" w:eastAsia="宋体" w:cs="Times New Roman"/>
      <w:sz w:val="18"/>
      <w:szCs w:val="18"/>
    </w:rPr>
  </w:style>
  <w:style w:type="character" w:customStyle="1" w:styleId="15">
    <w:name w:val="页眉 Char"/>
    <w:link w:val="6"/>
    <w:semiHidden/>
    <w:qFormat/>
    <w:uiPriority w:val="0"/>
    <w:rPr>
      <w:rFonts w:ascii="Times New Roman" w:hAnsi="Times New Roman" w:eastAsia="宋体" w:cs="Times New Roman"/>
      <w:sz w:val="18"/>
      <w:szCs w:val="18"/>
    </w:rPr>
  </w:style>
  <w:style w:type="character" w:customStyle="1" w:styleId="16">
    <w:name w:val="页码1"/>
    <w:basedOn w:val="12"/>
    <w:qFormat/>
    <w:uiPriority w:val="0"/>
  </w:style>
  <w:style w:type="character" w:customStyle="1" w:styleId="17">
    <w:name w:val="font11"/>
    <w:qFormat/>
    <w:uiPriority w:val="0"/>
    <w:rPr>
      <w:rFonts w:hint="eastAsia" w:ascii="宋体" w:hAnsi="宋体" w:eastAsia="宋体" w:cs="宋体"/>
      <w:color w:val="000000"/>
      <w:sz w:val="18"/>
      <w:szCs w:val="18"/>
      <w:u w:val="none"/>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6130;&#21153;\&#39044;&#31639;\19&#24180;&#39044;&#31639;\&#27827;&#21271;&#21776;&#23665;&#21335;&#22561;&#32463;&#27982;&#24320;&#21457;&#21306;&#21830;&#21153;&#23616;2019&#24180;&#24230;&#39044;&#31639;&#20844;&#24320;\&#21776;&#23665;&#21335;&#22561;&#32463;&#27982;&#24320;&#21457;&#21306;&#21830;&#21153;&#23616;2018&#24180;&#39044;&#31639;&#20844;&#24320;&#20449;&#24687;&#35828;&#2612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唐山南堡经济开发区商务局2018年预算公开信息说明</Template>
  <Company>Sky123.Org</Company>
  <Pages>10</Pages>
  <Words>612</Words>
  <Characters>3494</Characters>
  <Lines>29</Lines>
  <Paragraphs>8</Paragraphs>
  <TotalTime>2</TotalTime>
  <ScaleCrop>false</ScaleCrop>
  <LinksUpToDate>false</LinksUpToDate>
  <CharactersWithSpaces>4098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2019-04-10T07:15:00Z</dcterms:created>
  <dc:creator>wyf12</dc:creator>
  <cp:lastModifiedBy>雪</cp:lastModifiedBy>
  <cp:lastPrinted>2017-05-03T09:08:00Z</cp:lastPrinted>
  <dcterms:modified xsi:type="dcterms:W3CDTF">2021-04-28T09:19:50Z</dcterms:modified>
  <dc:title>Administrator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2387076CBD4E4E4D98C83FEBEFE76395</vt:lpwstr>
  </property>
</Properties>
</file>