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widowControl w:val="0"/>
        <w:jc w:val="center"/>
        <w:rPr>
          <w:rFonts w:hint="eastAsia" w:ascii="方正小标宋简体" w:hAnsi="方正小标宋简体" w:eastAsia="方正小标宋简体" w:cs="方正小标宋简体"/>
          <w:b w:val="0"/>
          <w:bCs w:val="0"/>
          <w:sz w:val="72"/>
          <w:szCs w:val="72"/>
        </w:rPr>
      </w:pPr>
      <w:r>
        <w:rPr>
          <w:rFonts w:hint="eastAsia" w:ascii="方正小标宋简体" w:hAnsi="方正小标宋简体" w:eastAsia="方正小标宋简体" w:cs="方正小标宋简体"/>
          <w:b w:val="0"/>
          <w:bCs w:val="0"/>
          <w:color w:val="000000"/>
          <w:sz w:val="72"/>
          <w:szCs w:val="72"/>
        </w:rPr>
        <w:t>区委办</w:t>
      </w:r>
    </w:p>
    <w:p>
      <w:pPr>
        <w:spacing w:before="0" w:after="0" w:line="240" w:lineRule="auto"/>
        <w:ind w:firstLine="0"/>
        <w:jc w:val="center"/>
        <w:rPr>
          <w:rFonts w:hint="eastAsia" w:ascii="方正小标宋简体" w:hAnsi="方正小标宋简体" w:eastAsia="方正小标宋简体" w:cs="方正小标宋简体"/>
          <w:b w:val="0"/>
          <w:bCs w:val="0"/>
          <w:sz w:val="72"/>
          <w:szCs w:val="72"/>
        </w:rPr>
      </w:pPr>
      <w:r>
        <w:rPr>
          <w:rFonts w:hint="eastAsia" w:ascii="方正小标宋简体" w:hAnsi="方正小标宋简体" w:eastAsia="方正小标宋简体" w:cs="方正小标宋简体"/>
          <w:b w:val="0"/>
          <w:bCs w:val="0"/>
          <w:color w:val="000000"/>
          <w:sz w:val="72"/>
          <w:szCs w:val="72"/>
        </w:rPr>
        <w:t>2022年部门预算</w:t>
      </w:r>
    </w:p>
    <w:p>
      <w:pPr>
        <w:spacing w:before="0" w:after="0" w:line="240" w:lineRule="auto"/>
        <w:ind w:firstLine="0"/>
        <w:jc w:val="center"/>
        <w:rPr>
          <w:rFonts w:hint="eastAsia" w:ascii="方正小标宋简体" w:hAnsi="方正小标宋简体" w:eastAsia="方正小标宋简体" w:cs="方正小标宋简体"/>
          <w:b w:val="0"/>
          <w:bCs w:val="0"/>
          <w:sz w:val="72"/>
          <w:szCs w:val="72"/>
        </w:rPr>
      </w:pPr>
      <w:r>
        <w:rPr>
          <w:rFonts w:hint="eastAsia" w:ascii="方正小标宋简体" w:hAnsi="方正小标宋简体" w:eastAsia="方正小标宋简体" w:cs="方正小标宋简体"/>
          <w:b w:val="0"/>
          <w:bCs w:val="0"/>
          <w:color w:val="000000"/>
          <w:sz w:val="72"/>
          <w:szCs w:val="72"/>
        </w:rPr>
        <w:t>（草案）</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jc w:val="center"/>
        <w:rPr>
          <w:rFonts w:hint="eastAsia" w:ascii="Times New Roman" w:hAnsi="宋体"/>
          <w:b/>
          <w:sz w:val="32"/>
        </w:rPr>
      </w:pPr>
      <w:r>
        <w:rPr>
          <w:rFonts w:hint="eastAsia" w:ascii="方正楷体_GBK" w:eastAsia="方正楷体_GBK"/>
          <w:b/>
          <w:sz w:val="32"/>
        </w:rPr>
        <w:t>区委办编制</w:t>
      </w:r>
    </w:p>
    <w:p>
      <w:pPr>
        <w:jc w:val="center"/>
        <w:rPr>
          <w:rFonts w:hint="eastAsia" w:ascii="Times New Roman" w:hAnsi="宋体"/>
          <w:b/>
          <w:sz w:val="32"/>
        </w:rPr>
      </w:pPr>
      <w:r>
        <w:rPr>
          <w:rFonts w:hint="eastAsia" w:ascii="方正楷体_GBK" w:eastAsia="方正楷体_GBK"/>
          <w:b/>
          <w:sz w:val="32"/>
        </w:rPr>
        <w:t>河北唐山南堡经济开发区财政局审核</w:t>
      </w:r>
    </w:p>
    <w:p>
      <w:pPr>
        <w:spacing w:before="0" w:after="0"/>
        <w:ind w:firstLine="0"/>
        <w:jc w:val="center"/>
        <w:sectPr>
          <w:pgSz w:w="11900" w:h="16840"/>
          <w:pgMar w:top="1531" w:right="1134" w:bottom="1474" w:left="1134" w:header="720" w:footer="720" w:gutter="0"/>
          <w:cols w:space="720" w:num="1"/>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360" w:lineRule="auto"/>
        <w:ind w:firstLine="0"/>
        <w:jc w:val="center"/>
        <w:outlineLvl w:val="9"/>
      </w:pPr>
      <w:r>
        <w:rPr>
          <w:rFonts w:ascii="方正小标宋_GBK" w:hAnsi="方正小标宋_GBK" w:eastAsia="方正小标宋_GBK" w:cs="方正小标宋_GBK"/>
          <w:color w:val="000000"/>
          <w:sz w:val="30"/>
        </w:rPr>
        <w:t>第一部分 部门预算情况</w:t>
      </w:r>
    </w:p>
    <w:p>
      <w:pPr>
        <w:pStyle w:val="3"/>
        <w:tabs>
          <w:tab w:val="right" w:leader="dot" w:pos="962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 门 职 责</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9622"/>
        </w:tabs>
      </w:pPr>
      <w:r>
        <w:fldChar w:fldCharType="begin"/>
      </w:r>
      <w:r>
        <w:instrText xml:space="preserve"> HYPERLINK \l "_Toc_2_2_0000000002" </w:instrText>
      </w:r>
      <w:r>
        <w:fldChar w:fldCharType="separate"/>
      </w:r>
      <w:r>
        <w:t>部门收支预算总表</w:t>
      </w:r>
      <w:r>
        <w:tab/>
      </w:r>
      <w:r>
        <w:fldChar w:fldCharType="begin"/>
      </w:r>
      <w:r>
        <w:instrText xml:space="preserve">PAGEREF _Toc_2_2_0000000002 \h</w:instrText>
      </w:r>
      <w:r>
        <w:fldChar w:fldCharType="separate"/>
      </w:r>
      <w:r>
        <w:t>2</w:t>
      </w:r>
      <w:r>
        <w:fldChar w:fldCharType="end"/>
      </w:r>
      <w:r>
        <w:fldChar w:fldCharType="end"/>
      </w:r>
    </w:p>
    <w:p>
      <w:pPr>
        <w:pStyle w:val="3"/>
        <w:tabs>
          <w:tab w:val="right" w:leader="dot" w:pos="9622"/>
        </w:tabs>
      </w:pPr>
      <w:r>
        <w:fldChar w:fldCharType="begin"/>
      </w:r>
      <w:r>
        <w:instrText xml:space="preserve"> HYPERLINK \l "_Toc_2_2_0000000003" </w:instrText>
      </w:r>
      <w:r>
        <w:fldChar w:fldCharType="separate"/>
      </w:r>
      <w:r>
        <w:t>部门基本支出预算</w:t>
      </w:r>
      <w:r>
        <w:tab/>
      </w:r>
      <w:r>
        <w:fldChar w:fldCharType="begin"/>
      </w:r>
      <w:r>
        <w:instrText xml:space="preserve">PAGEREF _Toc_2_2_0000000003 \h</w:instrText>
      </w:r>
      <w:r>
        <w:fldChar w:fldCharType="separate"/>
      </w:r>
      <w:r>
        <w:t>4</w:t>
      </w:r>
      <w:r>
        <w:fldChar w:fldCharType="end"/>
      </w:r>
      <w:r>
        <w:fldChar w:fldCharType="end"/>
      </w:r>
    </w:p>
    <w:p>
      <w:pPr>
        <w:pStyle w:val="3"/>
        <w:tabs>
          <w:tab w:val="right" w:leader="dot" w:pos="9622"/>
        </w:tabs>
      </w:pPr>
      <w:r>
        <w:fldChar w:fldCharType="begin"/>
      </w:r>
      <w:r>
        <w:instrText xml:space="preserve"> HYPERLINK \l "_Toc_2_2_0000000004" </w:instrText>
      </w:r>
      <w:r>
        <w:fldChar w:fldCharType="separate"/>
      </w:r>
      <w:r>
        <w:t>部门项目支出预算</w:t>
      </w:r>
      <w:r>
        <w:tab/>
      </w:r>
      <w:r>
        <w:fldChar w:fldCharType="begin"/>
      </w:r>
      <w:r>
        <w:instrText xml:space="preserve">PAGEREF _Toc_2_2_0000000004 \h</w:instrText>
      </w:r>
      <w:r>
        <w:fldChar w:fldCharType="separate"/>
      </w:r>
      <w:r>
        <w:t>5</w:t>
      </w:r>
      <w:r>
        <w:fldChar w:fldCharType="end"/>
      </w:r>
      <w:r>
        <w:fldChar w:fldCharType="end"/>
      </w:r>
    </w:p>
    <w:p>
      <w:pPr>
        <w:pStyle w:val="3"/>
        <w:tabs>
          <w:tab w:val="right" w:leader="dot" w:pos="9622"/>
        </w:tabs>
      </w:pPr>
      <w:r>
        <w:fldChar w:fldCharType="begin"/>
      </w:r>
      <w:r>
        <w:instrText xml:space="preserve"> HYPERLINK \l "_Toc_2_2_0000000005" </w:instrText>
      </w:r>
      <w:r>
        <w:fldChar w:fldCharType="separate"/>
      </w:r>
      <w:r>
        <w:t>部门预算政府经济分类表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9622"/>
        </w:tabs>
      </w:pPr>
      <w:r>
        <w:fldChar w:fldCharType="begin"/>
      </w:r>
      <w:r>
        <w:instrText xml:space="preserve"> HYPERLINK \l "_Toc_2_2_0000000006" </w:instrText>
      </w:r>
      <w:r>
        <w:fldChar w:fldCharType="separate"/>
      </w:r>
      <w:r>
        <w:t>部门“三公”及会议培训经费预算</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9622"/>
        </w:tabs>
      </w:pPr>
      <w:r>
        <w:fldChar w:fldCharType="begin"/>
      </w:r>
      <w:r>
        <w:instrText xml:space="preserve"> HYPERLINK \l "_Toc_2_2_0000000007" </w:instrText>
      </w:r>
      <w:r>
        <w:fldChar w:fldCharType="separate"/>
      </w:r>
      <w:r>
        <w:t>部门基本情况表</w:t>
      </w:r>
      <w:r>
        <w:tab/>
      </w:r>
      <w:r>
        <w:fldChar w:fldCharType="begin"/>
      </w:r>
      <w:r>
        <w:instrText xml:space="preserve">PAGEREF _Toc_2_2_0000000007 \h</w:instrText>
      </w:r>
      <w:r>
        <w:fldChar w:fldCharType="separate"/>
      </w:r>
      <w:r>
        <w:t>10</w:t>
      </w:r>
      <w:r>
        <w:fldChar w:fldCharType="end"/>
      </w:r>
      <w:r>
        <w:fldChar w:fldCharType="end"/>
      </w:r>
    </w:p>
    <w:p>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360" w:lineRule="auto"/>
        <w:ind w:firstLine="0"/>
        <w:jc w:val="center"/>
        <w:outlineLvl w:val="9"/>
      </w:pPr>
      <w:r>
        <w:rPr>
          <w:rFonts w:ascii="方正小标宋_GBK" w:hAnsi="方正小标宋_GBK" w:eastAsia="方正小标宋_GBK" w:cs="方正小标宋_GBK"/>
          <w:color w:val="000000"/>
          <w:sz w:val="30"/>
        </w:rPr>
        <w:t>第二部分 预算单位收支预算情况</w:t>
      </w:r>
    </w:p>
    <w:p>
      <w:pPr>
        <w:pStyle w:val="3"/>
        <w:tabs>
          <w:tab w:val="right" w:leader="dot" w:pos="9622"/>
        </w:tabs>
      </w:pPr>
      <w:r>
        <w:fldChar w:fldCharType="begin"/>
      </w:r>
      <w:r>
        <w:instrText xml:space="preserve">TOC \o "4-4" \h \z \u</w:instrText>
      </w:r>
      <w:r>
        <w:fldChar w:fldCharType="separate"/>
      </w:r>
      <w:r>
        <w:fldChar w:fldCharType="begin"/>
      </w:r>
      <w:r>
        <w:instrText xml:space="preserve"> HYPERLINK \l "_Toc_4_4_0000000008" </w:instrText>
      </w:r>
      <w:r>
        <w:fldChar w:fldCharType="separate"/>
      </w:r>
      <w:r>
        <w:t>一、</w:t>
      </w:r>
      <w:r>
        <w:fldChar w:fldCharType="end"/>
      </w:r>
      <w:r>
        <w:fldChar w:fldCharType="begin"/>
      </w:r>
      <w:r>
        <w:instrText xml:space="preserve"> HYPERLINK \l "_Toc_4_4_0000000009" </w:instrText>
      </w:r>
      <w:r>
        <w:fldChar w:fldCharType="separate"/>
      </w:r>
      <w:r>
        <w:t>南堡开发区纪工委收支预算</w:t>
      </w:r>
      <w:r>
        <w:tab/>
      </w:r>
      <w:r>
        <w:fldChar w:fldCharType="begin"/>
      </w:r>
      <w:r>
        <w:instrText xml:space="preserve">PAGEREF _Toc_4_4_0000000009 \h</w:instrText>
      </w:r>
      <w:r>
        <w:fldChar w:fldCharType="separate"/>
      </w:r>
      <w:r>
        <w:t>17</w:t>
      </w:r>
      <w:r>
        <w:fldChar w:fldCharType="end"/>
      </w:r>
      <w:r>
        <w:fldChar w:fldCharType="end"/>
      </w:r>
    </w:p>
    <w:p>
      <w:pPr>
        <w:pStyle w:val="3"/>
        <w:tabs>
          <w:tab w:val="right" w:leader="dot" w:pos="9622"/>
        </w:tabs>
      </w:pPr>
    </w:p>
    <w:p>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ectPr>
          <w:footerReference r:id="rId3" w:type="default"/>
          <w:footerReference r:id="rId4" w:type="even"/>
          <w:pgSz w:w="11900" w:h="16840"/>
          <w:pgMar w:top="1531" w:right="1134" w:bottom="1474" w:left="1134" w:header="720" w:footer="720" w:gutter="0"/>
          <w:pgNumType w:start="1"/>
          <w:cols w:space="720" w:num="1"/>
        </w:sectPr>
      </w:pPr>
      <w:r>
        <w:br w:type="page"/>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第一部分 部门预算情况</w:t>
      </w:r>
    </w:p>
    <w:p>
      <w:pPr>
        <w:spacing w:before="0" w:after="0"/>
        <w:ind w:firstLine="0"/>
        <w:jc w:val="center"/>
      </w:pPr>
      <w:r>
        <w:rPr>
          <w:rFonts w:ascii="宋体" w:hAnsi="宋体" w:eastAsia="宋体" w:cs="宋体"/>
          <w:color w:val="000000"/>
          <w:sz w:val="21"/>
        </w:rPr>
        <w:t xml:space="preserve"> </w:t>
      </w:r>
    </w:p>
    <w:p>
      <w:pPr>
        <w:spacing w:before="0" w:after="0"/>
        <w:ind w:firstLine="0"/>
        <w:jc w:val="center"/>
        <w:outlineLvl w:val="1"/>
      </w:pPr>
      <w:bookmarkStart w:id="0" w:name="_Toc_2_2_0000000001"/>
      <w:r>
        <w:rPr>
          <w:rFonts w:ascii="方正小标宋_GBK" w:hAnsi="方正小标宋_GBK" w:eastAsia="方正小标宋_GBK" w:cs="方正小标宋_GBK"/>
          <w:color w:val="000000"/>
          <w:sz w:val="36"/>
        </w:rPr>
        <w:t>部 门 职 责</w:t>
      </w:r>
      <w:bookmarkEnd w:id="0"/>
    </w:p>
    <w:p>
      <w:pPr>
        <w:spacing w:before="0" w:after="0"/>
        <w:ind w:firstLine="0"/>
        <w:outlineLvl w:val="9"/>
      </w:pPr>
      <w:r>
        <w:rPr>
          <w:rFonts w:ascii="宋体" w:hAnsi="宋体" w:eastAsia="宋体" w:cs="宋体"/>
          <w:color w:val="000000"/>
          <w:sz w:val="21"/>
        </w:rPr>
        <w:t xml:space="preserve"> </w:t>
      </w:r>
    </w:p>
    <w:p>
      <w:pPr>
        <w:jc w:val="center"/>
        <w:outlineLvl w:val="0"/>
        <w:rPr>
          <w:rFonts w:ascii="宋体" w:hAnsi="宋体"/>
        </w:rPr>
      </w:pPr>
      <w:bookmarkStart w:id="1" w:name="_Toc5186525"/>
      <w:r>
        <w:rPr>
          <w:rFonts w:hint="eastAsia" w:ascii="方正小标宋_GBK" w:eastAsia="方正小标宋_GBK"/>
          <w:sz w:val="36"/>
        </w:rPr>
        <w:t>年度目标及保障措施</w:t>
      </w:r>
      <w:bookmarkEnd w:id="1"/>
      <w:r>
        <w:rPr>
          <w:rFonts w:ascii="宋体" w:hAnsi="宋体"/>
        </w:rPr>
        <w:t xml:space="preserve"> </w:t>
      </w:r>
    </w:p>
    <w:p>
      <w:pPr>
        <w:keepNext w:val="0"/>
        <w:keepLines w:val="0"/>
        <w:pageBreakBefore w:val="0"/>
        <w:kinsoku/>
        <w:wordWrap/>
        <w:overflowPunct/>
        <w:topLinePunct w:val="0"/>
        <w:autoSpaceDE/>
        <w:autoSpaceDN/>
        <w:bidi w:val="0"/>
        <w:spacing w:line="570" w:lineRule="exact"/>
        <w:ind w:firstLine="640" w:firstLineChars="200"/>
        <w:jc w:val="left"/>
        <w:textAlignment w:val="auto"/>
        <w:rPr>
          <w:rFonts w:hint="eastAsia" w:ascii="方正黑体_GBK" w:eastAsia="方正黑体_GBK"/>
          <w:sz w:val="28"/>
        </w:rPr>
      </w:pPr>
      <w:r>
        <w:rPr>
          <w:rFonts w:hint="eastAsia" w:ascii="方正黑体简体" w:hAnsi="方正黑体简体" w:eastAsia="方正黑体简体" w:cs="方正黑体简体"/>
          <w:sz w:val="32"/>
          <w:szCs w:val="32"/>
        </w:rPr>
        <w:t>一、年度发展规划目标</w:t>
      </w:r>
    </w:p>
    <w:p>
      <w:pPr>
        <w:keepNext w:val="0"/>
        <w:keepLines w:val="0"/>
        <w:pageBreakBefore w:val="0"/>
        <w:kinsoku/>
        <w:wordWrap/>
        <w:overflowPunct/>
        <w:topLinePunct w:val="0"/>
        <w:autoSpaceDE/>
        <w:autoSpaceDN/>
        <w:bidi w:val="0"/>
        <w:spacing w:line="570" w:lineRule="exact"/>
        <w:ind w:firstLine="643" w:firstLineChars="200"/>
        <w:textAlignment w:val="auto"/>
        <w:rPr>
          <w:rFonts w:hint="eastAsia"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总体目标：</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2022年，我委将深入学习习近平总书记系列重要讲话精神，认真贯彻党工委和区纪委决策部署，依法依规执纪，忠诚履行职责，聚焦监督执纪问责，坚持把纪律挺在前面，持之以恒落实中央八项规定精神，着力解决群众身边的不正之风和腐败问题，建设忠诚干净担当的干部队伍，不断推进党风廉政建设向纵深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asciiTheme="majorEastAsia" w:hAnsiTheme="majorEastAsia" w:eastAsiaTheme="majorEastAsia" w:cstheme="majorEastAsia"/>
          <w:sz w:val="32"/>
          <w:szCs w:val="32"/>
          <w:lang w:val="en-US" w:eastAsia="zh-CN"/>
        </w:rPr>
      </w:pPr>
      <w:r>
        <w:rPr>
          <w:rFonts w:hint="eastAsia" w:ascii="方正仿宋简体" w:hAnsi="方正仿宋简体" w:eastAsia="方正仿宋简体" w:cs="方正仿宋简体"/>
          <w:b/>
          <w:bCs/>
          <w:sz w:val="32"/>
          <w:szCs w:val="32"/>
          <w:lang w:val="en-US" w:eastAsia="zh-CN"/>
        </w:rPr>
        <w:t>（一）旗帜鲜明讲政治，不断强化政治监督。</w:t>
      </w:r>
      <w:r>
        <w:rPr>
          <w:rFonts w:hint="eastAsia" w:ascii="方正仿宋简体" w:hAnsi="方正仿宋简体" w:eastAsia="方正仿宋简体" w:cs="方正仿宋简体"/>
          <w:sz w:val="32"/>
          <w:szCs w:val="32"/>
          <w:lang w:val="en-US" w:eastAsia="zh-CN"/>
        </w:rPr>
        <w:t>严明政治纪律，保证党工委、区纪委政令畅通。加强对维护党章，执行党的路线方针政策和决议情况的监督检查，重点监督检查党工委重大决策部署贯彻落实情况。创新监督执纪方式，深入开展廉洁自律准则和党纪处分条例学习，转变理念思路方法，坚持纪严于法、纪在法前，把“四种形态”运用情况作为检验评价工作的标准，做深做细做实监督执纪各项工作。结合党政办督查情况，对存在的懒政怠政、推诿扯皮、落实不力等问题加强跟踪问效，确保开发区全年各项任务圆满完成。</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（二）夯实全面从严治党“两个责任”。</w:t>
      </w:r>
      <w:r>
        <w:rPr>
          <w:rFonts w:hint="eastAsia" w:ascii="方正仿宋简体" w:hAnsi="方正仿宋简体" w:eastAsia="方正仿宋简体" w:cs="方正仿宋简体"/>
          <w:sz w:val="32"/>
          <w:szCs w:val="32"/>
          <w:lang w:val="en-US" w:eastAsia="zh-CN"/>
        </w:rPr>
        <w:t>认真贯彻党工委、区纪委全面推进从严治党若干意见，落实好党风廉政建设责任制，把责任压力向基层党组织传导，监督检查党组织和党员领导干部是否贯彻党的路线方针政策，是否推进落实全面从严治党主体责任，是否发挥战斗堡垒和先锋模范作用，定期报告追责情况，公开曝光典型问题，使问责形成制度、成为常态。</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（三）落实中央八项规定精神。</w:t>
      </w:r>
      <w:r>
        <w:rPr>
          <w:rFonts w:hint="eastAsia" w:ascii="方正仿宋简体" w:hAnsi="方正仿宋简体" w:eastAsia="方正仿宋简体" w:cs="方正仿宋简体"/>
          <w:b w:val="0"/>
          <w:bCs w:val="0"/>
          <w:sz w:val="32"/>
          <w:szCs w:val="32"/>
          <w:lang w:val="en-US" w:eastAsia="zh-CN"/>
        </w:rPr>
        <w:t>严</w:t>
      </w:r>
      <w:r>
        <w:rPr>
          <w:rFonts w:hint="eastAsia" w:ascii="方正仿宋简体" w:hAnsi="方正仿宋简体" w:eastAsia="方正仿宋简体" w:cs="方正仿宋简体"/>
          <w:sz w:val="32"/>
          <w:szCs w:val="32"/>
          <w:lang w:val="en-US" w:eastAsia="zh-CN"/>
        </w:rPr>
        <w:t>防“四风”问题反弹，重点对机关食堂、餐饮浪费、公务接待以及公车使用、办公用房等开展监督检查，对有令不行、有禁不止等违反中央八项规定精神方面的问题加大问责处置力度。密切注意不正之风的新动向、新表现，查找隐形变异的“四风”把党风廉政建设宣传教育摆在党的宣传教育格局中部署和推进，突出形势政策教育，突出纠风惩腐宣传，突出典型案例剖析，强化正面教育和警示震慑。对群众反映强烈的突出问题，重点督办、跟踪问效。加强群众监督和舆论监督，定期通报违纪问题，坚决遏制基层不正之风和腐败现象。</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rPr>
          <w:rFonts w:hint="eastAsia" w:asciiTheme="majorEastAsia" w:hAnsiTheme="majorEastAsia" w:eastAsiaTheme="majorEastAsia" w:cstheme="majorEastAsia"/>
          <w:sz w:val="32"/>
          <w:szCs w:val="32"/>
          <w:lang w:val="en-US" w:eastAsia="zh-CN"/>
        </w:rPr>
      </w:pPr>
      <w:r>
        <w:rPr>
          <w:rFonts w:hint="eastAsia" w:ascii="方正仿宋简体" w:hAnsi="方正仿宋简体" w:eastAsia="方正仿宋简体" w:cs="方正仿宋简体"/>
          <w:b/>
          <w:bCs/>
          <w:sz w:val="32"/>
          <w:szCs w:val="32"/>
          <w:lang w:val="en-US" w:eastAsia="zh-CN"/>
        </w:rPr>
        <w:t>（四）持续开展作风监督、纪律审查。</w:t>
      </w:r>
      <w:r>
        <w:rPr>
          <w:rFonts w:hint="eastAsia" w:ascii="方正仿宋简体" w:hAnsi="方正仿宋简体" w:eastAsia="方正仿宋简体" w:cs="方正仿宋简体"/>
          <w:sz w:val="32"/>
          <w:szCs w:val="32"/>
          <w:lang w:val="en-US" w:eastAsia="zh-CN"/>
        </w:rPr>
        <w:t>针对各机关作风建设的实际情况，通过明察暗访的形式开展至少一个轮次监督检查。同时围绕营商环境建设工作，加强对机关存在的“吃拿卡要”、“慵懒散拖”等不作为、慢作为行为的监督检查。认真抓好信访案件的核查和问题线索的纪律审查，按照有案必查的原则，认真核查每一件信访举报线索，特别是对发现的贪腐案件及时向党工委和上级纪委汇报并从严从重查处，真正起到党员干部不敢腐的震慑作用。</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w:t>
      </w:r>
      <w:r>
        <w:rPr>
          <w:rFonts w:hint="eastAsia" w:ascii="方正仿宋简体" w:hAnsi="方正仿宋简体" w:eastAsia="方正仿宋简体" w:cs="方正仿宋简体"/>
          <w:b/>
          <w:bCs/>
          <w:sz w:val="32"/>
          <w:szCs w:val="32"/>
          <w:lang w:val="en-US" w:eastAsia="zh-CN"/>
        </w:rPr>
        <w:t>五）建设忠诚干净担当的纪检监察干部队伍。</w:t>
      </w:r>
      <w:r>
        <w:rPr>
          <w:rFonts w:hint="eastAsia" w:ascii="方正仿宋简体" w:hAnsi="方正仿宋简体" w:eastAsia="方正仿宋简体" w:cs="方正仿宋简体"/>
          <w:sz w:val="32"/>
          <w:szCs w:val="32"/>
          <w:lang w:val="en-US" w:eastAsia="zh-CN"/>
        </w:rPr>
        <w:t>继续抓好干部队伍理论学习和业务练兵，着力提升干部队伍的综合能力素质和业务水平，加大对全面从严治党监督责任领导小组成员及相关人员的培训，时刻保持政治敏锐性。进一步加强纪工委思想建设、组织建设、作风建设和能力建设，以党的建设带动各项工作。积极开展多层次、多形式的干部培训，严格执行重大事项报告和回避、保密等制度。进一步加强对重要岗位和关键环节的监督，努力建设一支忠诚、干净、担当的纪检监察队伍。</w:t>
      </w:r>
    </w:p>
    <w:p>
      <w:pPr>
        <w:keepNext w:val="0"/>
        <w:keepLines w:val="0"/>
        <w:pageBreakBefore w:val="0"/>
        <w:kinsoku/>
        <w:wordWrap/>
        <w:overflowPunct/>
        <w:topLinePunct w:val="0"/>
        <w:autoSpaceDE/>
        <w:autoSpaceDN/>
        <w:bidi w:val="0"/>
        <w:spacing w:line="570" w:lineRule="exact"/>
        <w:ind w:firstLine="562" w:firstLineChars="200"/>
        <w:jc w:val="left"/>
        <w:textAlignment w:val="auto"/>
        <w:rPr>
          <w:rFonts w:hint="eastAsia" w:ascii="方正楷体简体" w:hAnsi="方正楷体简体" w:eastAsia="方正楷体简体" w:cs="方正楷体简体"/>
          <w:b/>
          <w:sz w:val="32"/>
          <w:szCs w:val="32"/>
        </w:rPr>
      </w:pPr>
      <w:r>
        <w:rPr>
          <w:rFonts w:hint="eastAsia" w:ascii="方正楷体_GBK" w:eastAsia="方正楷体_GBK"/>
          <w:b/>
          <w:sz w:val="28"/>
        </w:rPr>
        <w:t xml:space="preserve"> </w:t>
      </w:r>
      <w:r>
        <w:rPr>
          <w:rFonts w:hint="eastAsia" w:ascii="方正楷体简体" w:hAnsi="方正楷体简体" w:eastAsia="方正楷体简体" w:cs="方正楷体简体"/>
          <w:b/>
          <w:sz w:val="32"/>
          <w:szCs w:val="32"/>
        </w:rPr>
        <w:t>职责分类绩效目标：</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1、通过开展教育活动的覆盖范围，来反映完成程度。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2、通过资金使用率和规范程度，来反映完成程度。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3、通过纪检监察机构改革的完成程度，来反映部门职责的完成度。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4、通过教育、培训等组织落实情况，来反映完成程度。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二、实现年度发展规划目标的保障措施</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紧紧围绕纪工委监察局工作职能，扎实推进纪检监察机构改革，实现科室职责、办公用房、办公设备和人员到位。监督执纪力量的优化增强，更加适应纪检监察工作“三转”要求，有力强化监督执纪问责职能，为深入推进党风廉政建设和反腐败工作奠定坚实基础。</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创新建立主动化和专业化的监督模式，以问题为导向，根据不同的监督对象和监督内容，采取专项监督、办案式监督和巡查监督等方式。同时，针对群众关注的婚丧喜庆大操大办问题，采取事前事后双报告等方式强化监督。</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三）坚持“把纪律和规矩挺在前面”，深入开展教育宣传引导工作。加强党纪条规教育，编印党的纪律和规矩专题教育读本，组织全区各级党员干部学习新版《条例》和《准则》以及党纪条规应知应会考试，督促广大党员学习掌握党纪条规。协助党工委组织开展全区警示教育大会、廉政教育培训等系列活动，进一步增强全区广大党员守纪律讲规矩意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（四）加强纪检监察干部日常监督管理，防止“灯下黑”。积极组织基层纪检监察干部集中培训，努力提高纪检监察干部业务水平和综合素质。</w:t>
      </w:r>
    </w:p>
    <w:p>
      <w:pPr>
        <w:jc w:val="left"/>
        <w:sectPr>
          <w:footerReference r:id="rId5" w:type="default"/>
          <w:pgSz w:w="11907" w:h="16839"/>
          <w:pgMar w:top="1531" w:right="1134" w:bottom="1474" w:left="1134" w:header="851" w:footer="992" w:gutter="0"/>
          <w:pgNumType w:start="1"/>
          <w:cols w:space="720" w:num="1"/>
          <w:docGrid w:type="lines" w:linePitch="312" w:charSpace="0"/>
        </w:sectPr>
      </w:pPr>
    </w:p>
    <w:p/>
    <w:p>
      <w:pPr>
        <w:bidi w:val="0"/>
        <w:rPr>
          <w:rFonts w:ascii="Times New Roman" w:hAnsi="Times New Roman" w:eastAsia="Times New Roman"/>
          <w:sz w:val="24"/>
          <w:szCs w:val="24"/>
          <w:lang w:val="en-US" w:eastAsia="uk-UA" w:bidi="ar-S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jc w:val="center"/>
        <w:rPr>
          <w:rFonts w:hint="eastAsia" w:ascii="Times New Roman" w:hAnsi="宋体"/>
          <w:sz w:val="44"/>
        </w:rPr>
      </w:pPr>
      <w:r>
        <w:rPr>
          <w:rFonts w:hint="eastAsia" w:ascii="方正小标宋_GBK" w:eastAsia="方正小标宋_GBK"/>
          <w:sz w:val="44"/>
        </w:rPr>
        <w:t>第二部分</w:t>
      </w:r>
    </w:p>
    <w:p>
      <w:pPr>
        <w:jc w:val="center"/>
        <w:rPr>
          <w:rFonts w:ascii="Times New Roman" w:hAnsi="宋体"/>
          <w:sz w:val="44"/>
        </w:rPr>
      </w:pPr>
      <w:r>
        <w:rPr>
          <w:rFonts w:ascii="方正小标宋_GBK" w:eastAsia="方正小标宋_GBK"/>
          <w:sz w:val="44"/>
        </w:rPr>
        <w:t xml:space="preserve"> </w:t>
      </w:r>
    </w:p>
    <w:p>
      <w:pPr>
        <w:jc w:val="center"/>
        <w:rPr>
          <w:rFonts w:hint="eastAsia" w:ascii="Times New Roman" w:hAnsi="宋体"/>
          <w:sz w:val="44"/>
        </w:rPr>
      </w:pPr>
      <w:r>
        <w:rPr>
          <w:rFonts w:hint="eastAsia" w:ascii="方正小标宋_GBK" w:eastAsia="方正小标宋_GBK"/>
          <w:sz w:val="44"/>
        </w:rPr>
        <w:t>预算单位收支预算情况</w:t>
      </w:r>
    </w:p>
    <w:p>
      <w:pPr>
        <w:tabs>
          <w:tab w:val="center" w:pos="7400"/>
        </w:tabs>
        <w:bidi w:val="0"/>
        <w:jc w:val="left"/>
        <w:rPr>
          <w:rFonts w:hint="eastAsia" w:eastAsia="宋体"/>
          <w:lang w:val="en-US" w:eastAsia="zh-CN"/>
        </w:rPr>
        <w:sectPr>
          <w:pgSz w:w="16840" w:h="11900" w:orient="landscape"/>
          <w:pgMar w:top="1361" w:right="1020" w:bottom="1361" w:left="1020" w:header="720" w:footer="720" w:gutter="0"/>
          <w:cols w:space="720" w:num="1"/>
        </w:sectPr>
      </w:pPr>
    </w:p>
    <w:p>
      <w:pPr>
        <w:spacing w:before="0" w:after="0"/>
        <w:ind w:firstLine="0"/>
        <w:jc w:val="center"/>
        <w:outlineLvl w:val="3"/>
      </w:pPr>
      <w:bookmarkStart w:id="2" w:name="_Toc_4_4_0000000009"/>
      <w:r>
        <w:rPr>
          <w:rFonts w:ascii="方正小标宋_GBK" w:hAnsi="方正小标宋_GBK" w:eastAsia="方正小标宋_GBK" w:cs="方正小标宋_GBK"/>
          <w:color w:val="000000"/>
          <w:sz w:val="44"/>
        </w:rPr>
        <w:t>二、南堡开发区纪工委收支预算</w:t>
      </w:r>
      <w:bookmarkEnd w:id="2"/>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01"/>
        <w:gridCol w:w="5114"/>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6015" w:type="dxa"/>
            <w:gridSpan w:val="2"/>
            <w:tcBorders>
              <w:top w:val="single" w:color="FFFFFF" w:sz="6" w:space="0"/>
              <w:left w:val="single" w:color="FFFFFF" w:sz="6" w:space="0"/>
              <w:right w:val="single" w:color="FFFFFF" w:sz="6" w:space="0"/>
            </w:tcBorders>
            <w:vAlign w:val="center"/>
          </w:tcPr>
          <w:p>
            <w:pPr>
              <w:pStyle w:val="12"/>
            </w:pPr>
            <w:r>
              <w:t>201003南堡开发区纪工委</w:t>
            </w:r>
          </w:p>
        </w:tc>
        <w:tc>
          <w:tcPr>
            <w:tcW w:w="2874"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01" w:type="dxa"/>
            <w:vAlign w:val="center"/>
          </w:tcPr>
          <w:p>
            <w:pPr>
              <w:pStyle w:val="13"/>
            </w:pPr>
            <w:r>
              <w:t>项  目代  码</w:t>
            </w:r>
          </w:p>
        </w:tc>
        <w:tc>
          <w:tcPr>
            <w:tcW w:w="5114" w:type="dxa"/>
            <w:vAlign w:val="center"/>
          </w:tcPr>
          <w:p>
            <w:pPr>
              <w:pStyle w:val="13"/>
            </w:pPr>
            <w:r>
              <w:t>预算收支项目</w:t>
            </w:r>
          </w:p>
        </w:tc>
        <w:tc>
          <w:tcPr>
            <w:tcW w:w="2874" w:type="dxa"/>
            <w:vAlign w:val="center"/>
          </w:tcPr>
          <w:p>
            <w:pPr>
              <w:pStyle w:val="13"/>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7"/>
            </w:pPr>
          </w:p>
        </w:tc>
        <w:tc>
          <w:tcPr>
            <w:tcW w:w="5114" w:type="dxa"/>
            <w:vAlign w:val="center"/>
          </w:tcPr>
          <w:p>
            <w:pPr>
              <w:pStyle w:val="17"/>
            </w:pPr>
            <w:r>
              <w:t>预算收入</w:t>
            </w:r>
          </w:p>
        </w:tc>
        <w:tc>
          <w:tcPr>
            <w:tcW w:w="2874" w:type="dxa"/>
            <w:vAlign w:val="center"/>
          </w:tcPr>
          <w:p>
            <w:pPr>
              <w:pStyle w:val="18"/>
            </w:pPr>
            <w:r>
              <w:t>151.34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7"/>
            </w:pPr>
          </w:p>
        </w:tc>
        <w:tc>
          <w:tcPr>
            <w:tcW w:w="5114" w:type="dxa"/>
            <w:vAlign w:val="center"/>
          </w:tcPr>
          <w:p>
            <w:pPr>
              <w:pStyle w:val="19"/>
            </w:pPr>
            <w:r>
              <w:t>　　本年收入</w:t>
            </w:r>
          </w:p>
        </w:tc>
        <w:tc>
          <w:tcPr>
            <w:tcW w:w="2874" w:type="dxa"/>
            <w:vAlign w:val="center"/>
          </w:tcPr>
          <w:p>
            <w:pPr>
              <w:pStyle w:val="18"/>
            </w:pPr>
            <w:r>
              <w:t>151.34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1</w:t>
            </w:r>
          </w:p>
        </w:tc>
        <w:tc>
          <w:tcPr>
            <w:tcW w:w="5114" w:type="dxa"/>
            <w:vAlign w:val="center"/>
          </w:tcPr>
          <w:p>
            <w:pPr>
              <w:pStyle w:val="15"/>
            </w:pPr>
            <w:r>
              <w:t>一般公共预算拨款</w:t>
            </w:r>
          </w:p>
        </w:tc>
        <w:tc>
          <w:tcPr>
            <w:tcW w:w="2874" w:type="dxa"/>
            <w:vAlign w:val="center"/>
          </w:tcPr>
          <w:p>
            <w:pPr>
              <w:pStyle w:val="14"/>
            </w:pPr>
            <w:r>
              <w:t>151.34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其中：一般财力</w:t>
            </w:r>
          </w:p>
        </w:tc>
        <w:tc>
          <w:tcPr>
            <w:tcW w:w="2874" w:type="dxa"/>
            <w:vAlign w:val="center"/>
          </w:tcPr>
          <w:p>
            <w:pPr>
              <w:pStyle w:val="14"/>
            </w:pPr>
            <w:r>
              <w:t>151.34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行政事业性收费</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专项收入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国有资源（资产）有偿使用收入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政府住房基金收入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上级一般公共预算安排转移支付</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一般债券</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其他</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2</w:t>
            </w:r>
          </w:p>
        </w:tc>
        <w:tc>
          <w:tcPr>
            <w:tcW w:w="5114" w:type="dxa"/>
            <w:vAlign w:val="center"/>
          </w:tcPr>
          <w:p>
            <w:pPr>
              <w:pStyle w:val="15"/>
            </w:pPr>
            <w:r>
              <w:t>基金预算拨款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3</w:t>
            </w:r>
          </w:p>
        </w:tc>
        <w:tc>
          <w:tcPr>
            <w:tcW w:w="5114" w:type="dxa"/>
            <w:vAlign w:val="center"/>
          </w:tcPr>
          <w:p>
            <w:pPr>
              <w:pStyle w:val="15"/>
            </w:pPr>
            <w:r>
              <w:t>国有资本经营预算拨款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4</w:t>
            </w:r>
          </w:p>
        </w:tc>
        <w:tc>
          <w:tcPr>
            <w:tcW w:w="5114" w:type="dxa"/>
            <w:vAlign w:val="center"/>
          </w:tcPr>
          <w:p>
            <w:pPr>
              <w:pStyle w:val="15"/>
            </w:pPr>
            <w:r>
              <w:t>财政专户核拨</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5</w:t>
            </w:r>
          </w:p>
        </w:tc>
        <w:tc>
          <w:tcPr>
            <w:tcW w:w="5114" w:type="dxa"/>
            <w:vAlign w:val="center"/>
          </w:tcPr>
          <w:p>
            <w:pPr>
              <w:pStyle w:val="15"/>
            </w:pPr>
            <w:r>
              <w:t>单位资金</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其中：事业收入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上级补助收入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附属单位上缴收入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事业单位经营收入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其他收入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7"/>
            </w:pPr>
          </w:p>
        </w:tc>
        <w:tc>
          <w:tcPr>
            <w:tcW w:w="5114" w:type="dxa"/>
            <w:vAlign w:val="center"/>
          </w:tcPr>
          <w:p>
            <w:pPr>
              <w:pStyle w:val="17"/>
            </w:pPr>
            <w:r>
              <w:t>预算支出</w:t>
            </w:r>
          </w:p>
        </w:tc>
        <w:tc>
          <w:tcPr>
            <w:tcW w:w="2874" w:type="dxa"/>
            <w:vAlign w:val="center"/>
          </w:tcPr>
          <w:p>
            <w:pPr>
              <w:pStyle w:val="18"/>
            </w:pPr>
            <w:r>
              <w:t>151.34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1</w:t>
            </w:r>
          </w:p>
        </w:tc>
        <w:tc>
          <w:tcPr>
            <w:tcW w:w="5114" w:type="dxa"/>
            <w:vAlign w:val="center"/>
          </w:tcPr>
          <w:p>
            <w:pPr>
              <w:pStyle w:val="15"/>
            </w:pPr>
            <w:r>
              <w:t>基本支出</w:t>
            </w:r>
          </w:p>
        </w:tc>
        <w:tc>
          <w:tcPr>
            <w:tcW w:w="2874" w:type="dxa"/>
            <w:vAlign w:val="center"/>
          </w:tcPr>
          <w:p>
            <w:pPr>
              <w:pStyle w:val="14"/>
            </w:pPr>
            <w:r>
              <w:t>130.84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rPr>
                <w:rFonts w:hint="eastAsia" w:eastAsia="方正书宋_GBK"/>
                <w:lang w:val="en-US" w:eastAsia="zh-CN"/>
              </w:rPr>
            </w:pPr>
            <w:r>
              <w:rPr>
                <w:rFonts w:hint="eastAsia"/>
                <w:lang w:val="en-US" w:eastAsia="zh-CN"/>
              </w:rPr>
              <w:t>2</w:t>
            </w:r>
          </w:p>
        </w:tc>
        <w:tc>
          <w:tcPr>
            <w:tcW w:w="5114" w:type="dxa"/>
            <w:vAlign w:val="center"/>
          </w:tcPr>
          <w:p>
            <w:pPr>
              <w:pStyle w:val="15"/>
            </w:pPr>
            <w:r>
              <w:t>其中：人员经费</w:t>
            </w:r>
          </w:p>
        </w:tc>
        <w:tc>
          <w:tcPr>
            <w:tcW w:w="2874" w:type="dxa"/>
            <w:vAlign w:val="center"/>
          </w:tcPr>
          <w:p>
            <w:pPr>
              <w:pStyle w:val="14"/>
            </w:pPr>
            <w:r>
              <w:t>109.49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rPr>
                <w:rFonts w:hint="eastAsia" w:eastAsia="方正书宋_GBK"/>
                <w:lang w:val="en-US" w:eastAsia="zh-CN"/>
              </w:rPr>
            </w:pPr>
          </w:p>
        </w:tc>
        <w:tc>
          <w:tcPr>
            <w:tcW w:w="5114" w:type="dxa"/>
            <w:vAlign w:val="center"/>
          </w:tcPr>
          <w:p>
            <w:pPr>
              <w:pStyle w:val="15"/>
            </w:pPr>
            <w:r>
              <w:t>　　　日常公用经费</w:t>
            </w:r>
          </w:p>
        </w:tc>
        <w:tc>
          <w:tcPr>
            <w:tcW w:w="2874" w:type="dxa"/>
            <w:vAlign w:val="center"/>
          </w:tcPr>
          <w:p>
            <w:pPr>
              <w:pStyle w:val="14"/>
            </w:pPr>
            <w:r>
              <w:t>21.35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rPr>
                <w:rFonts w:hint="default" w:eastAsia="方正书宋_GBK"/>
                <w:lang w:val="en-US" w:eastAsia="zh-CN"/>
              </w:rPr>
            </w:pPr>
            <w:r>
              <w:rPr>
                <w:rFonts w:hint="eastAsia"/>
                <w:lang w:val="en-US" w:eastAsia="zh-CN"/>
              </w:rPr>
              <w:t>3</w:t>
            </w:r>
          </w:p>
        </w:tc>
        <w:tc>
          <w:tcPr>
            <w:tcW w:w="5114" w:type="dxa"/>
            <w:vAlign w:val="center"/>
          </w:tcPr>
          <w:p>
            <w:pPr>
              <w:pStyle w:val="15"/>
            </w:pPr>
            <w:r>
              <w:t>项目支出</w:t>
            </w:r>
          </w:p>
        </w:tc>
        <w:tc>
          <w:tcPr>
            <w:tcW w:w="2874" w:type="dxa"/>
            <w:vAlign w:val="center"/>
          </w:tcPr>
          <w:p>
            <w:pPr>
              <w:pStyle w:val="14"/>
            </w:pPr>
            <w:r>
              <w:t>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rPr>
                <w:rFonts w:hint="eastAsia" w:eastAsia="方正书宋_GBK"/>
                <w:lang w:val="en-US" w:eastAsia="zh-CN"/>
              </w:rPr>
            </w:pPr>
            <w:r>
              <w:rPr>
                <w:rFonts w:hint="eastAsia"/>
                <w:lang w:val="en-US" w:eastAsia="zh-CN"/>
              </w:rPr>
              <w:t>4</w:t>
            </w:r>
          </w:p>
        </w:tc>
        <w:tc>
          <w:tcPr>
            <w:tcW w:w="5114" w:type="dxa"/>
            <w:vAlign w:val="center"/>
          </w:tcPr>
          <w:p>
            <w:pPr>
              <w:pStyle w:val="15"/>
              <w:rPr>
                <w:rFonts w:hint="eastAsia" w:eastAsia="方正书宋_GBK"/>
                <w:lang w:val="en-US" w:eastAsia="zh-CN"/>
              </w:rPr>
            </w:pPr>
            <w:r>
              <w:rPr>
                <w:rFonts w:hint="eastAsia"/>
                <w:lang w:val="en-US" w:eastAsia="zh-CN"/>
              </w:rPr>
              <w:t>其他支出</w:t>
            </w:r>
          </w:p>
        </w:tc>
        <w:tc>
          <w:tcPr>
            <w:tcW w:w="2874" w:type="dxa"/>
            <w:vAlign w:val="center"/>
          </w:tcPr>
          <w:p>
            <w:pPr>
              <w:pStyle w:val="14"/>
            </w:pPr>
          </w:p>
        </w:tc>
      </w:tr>
    </w:tbl>
    <w:p>
      <w:pPr>
        <w:sectPr>
          <w:pgSz w:w="11900" w:h="16840"/>
          <w:pgMar w:top="1020" w:right="1020" w:bottom="1020"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81"/>
        <w:gridCol w:w="1213"/>
        <w:gridCol w:w="1365"/>
        <w:gridCol w:w="1365"/>
        <w:gridCol w:w="1365"/>
        <w:gridCol w:w="1365"/>
        <w:gridCol w:w="1365"/>
        <w:gridCol w:w="1365"/>
        <w:gridCol w:w="1366"/>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378" w:type="dxa"/>
            <w:gridSpan w:val="4"/>
            <w:tcBorders>
              <w:top w:val="single" w:color="FFFFFF" w:sz="6" w:space="0"/>
              <w:left w:val="single" w:color="FFFFFF" w:sz="6" w:space="0"/>
              <w:right w:val="single" w:color="FFFFFF" w:sz="6" w:space="0"/>
            </w:tcBorders>
            <w:vAlign w:val="center"/>
          </w:tcPr>
          <w:p>
            <w:pPr>
              <w:pStyle w:val="12"/>
            </w:pPr>
            <w:r>
              <w:t>201003南堡开发区纪工委</w:t>
            </w:r>
          </w:p>
        </w:tc>
        <w:tc>
          <w:tcPr>
            <w:tcW w:w="7654" w:type="dxa"/>
            <w:gridSpan w:val="6"/>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restart"/>
            <w:vAlign w:val="center"/>
          </w:tcPr>
          <w:p>
            <w:pPr>
              <w:pStyle w:val="13"/>
            </w:pPr>
            <w:r>
              <w:t>项目名称</w:t>
            </w:r>
          </w:p>
        </w:tc>
        <w:tc>
          <w:tcPr>
            <w:tcW w:w="1134" w:type="dxa"/>
            <w:vMerge w:val="restart"/>
            <w:vAlign w:val="center"/>
          </w:tcPr>
          <w:p>
            <w:pPr>
              <w:pStyle w:val="13"/>
            </w:pPr>
            <w:r>
              <w:t>功能分类科目编码</w:t>
            </w:r>
          </w:p>
        </w:tc>
        <w:tc>
          <w:tcPr>
            <w:tcW w:w="10205"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continue"/>
          </w:tcPr>
          <w:p/>
        </w:tc>
        <w:tc>
          <w:tcPr>
            <w:tcW w:w="1134" w:type="dxa"/>
            <w:vMerge w:val="continue"/>
          </w:tcPr>
          <w:p/>
        </w:tc>
        <w:tc>
          <w:tcPr>
            <w:tcW w:w="1276" w:type="dxa"/>
            <w:vAlign w:val="center"/>
          </w:tcPr>
          <w:p>
            <w:pPr>
              <w:pStyle w:val="13"/>
            </w:pPr>
            <w:r>
              <w:t>合 计</w:t>
            </w:r>
          </w:p>
        </w:tc>
        <w:tc>
          <w:tcPr>
            <w:tcW w:w="1276" w:type="dxa"/>
            <w:vAlign w:val="center"/>
          </w:tcPr>
          <w:p>
            <w:pPr>
              <w:pStyle w:val="13"/>
            </w:pPr>
            <w:r>
              <w:t>一般公共    预算拨款</w:t>
            </w:r>
          </w:p>
        </w:tc>
        <w:tc>
          <w:tcPr>
            <w:tcW w:w="1276" w:type="dxa"/>
            <w:vAlign w:val="center"/>
          </w:tcPr>
          <w:p>
            <w:pPr>
              <w:pStyle w:val="13"/>
            </w:pPr>
            <w:r>
              <w:t>基金预算    拨款</w:t>
            </w:r>
          </w:p>
        </w:tc>
        <w:tc>
          <w:tcPr>
            <w:tcW w:w="1276" w:type="dxa"/>
            <w:vAlign w:val="center"/>
          </w:tcPr>
          <w:p>
            <w:pPr>
              <w:pStyle w:val="13"/>
            </w:pPr>
            <w:r>
              <w:t>国有资本经营预算拨款</w:t>
            </w:r>
          </w:p>
        </w:tc>
        <w:tc>
          <w:tcPr>
            <w:tcW w:w="1276" w:type="dxa"/>
            <w:vAlign w:val="center"/>
          </w:tcPr>
          <w:p>
            <w:pPr>
              <w:pStyle w:val="13"/>
            </w:pPr>
            <w:r>
              <w:t>财政专户    核拨</w:t>
            </w:r>
          </w:p>
        </w:tc>
        <w:tc>
          <w:tcPr>
            <w:tcW w:w="1276" w:type="dxa"/>
            <w:vAlign w:val="center"/>
          </w:tcPr>
          <w:p>
            <w:pPr>
              <w:pStyle w:val="13"/>
            </w:pPr>
            <w:r>
              <w:t>单位资金</w:t>
            </w:r>
          </w:p>
        </w:tc>
        <w:tc>
          <w:tcPr>
            <w:tcW w:w="1276" w:type="dxa"/>
            <w:vAlign w:val="center"/>
          </w:tcPr>
          <w:p>
            <w:pPr>
              <w:pStyle w:val="13"/>
            </w:pPr>
            <w:r>
              <w:t>财政拨款    结转</w:t>
            </w:r>
          </w:p>
        </w:tc>
        <w:tc>
          <w:tcPr>
            <w:tcW w:w="1276" w:type="dxa"/>
            <w:vAlign w:val="center"/>
          </w:tcPr>
          <w:p>
            <w:pPr>
              <w:pStyle w:val="13"/>
            </w:pPr>
            <w: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693" w:type="dxa"/>
            <w:vAlign w:val="center"/>
          </w:tcPr>
          <w:p>
            <w:pPr>
              <w:pStyle w:val="17"/>
              <w:spacing w:before="0" w:after="0"/>
              <w:ind w:firstLine="0"/>
            </w:pPr>
            <w:r>
              <w:t>合计</w:t>
            </w:r>
          </w:p>
        </w:tc>
        <w:tc>
          <w:tcPr>
            <w:tcW w:w="1134" w:type="dxa"/>
            <w:vAlign w:val="center"/>
          </w:tcPr>
          <w:p>
            <w:pPr>
              <w:pStyle w:val="18"/>
            </w:pPr>
          </w:p>
        </w:tc>
        <w:tc>
          <w:tcPr>
            <w:tcW w:w="1276" w:type="dxa"/>
            <w:vAlign w:val="center"/>
          </w:tcPr>
          <w:p>
            <w:pPr>
              <w:pStyle w:val="18"/>
            </w:pPr>
            <w:r>
              <w:t>20.50</w:t>
            </w:r>
          </w:p>
        </w:tc>
        <w:tc>
          <w:tcPr>
            <w:tcW w:w="1276" w:type="dxa"/>
            <w:vAlign w:val="center"/>
          </w:tcPr>
          <w:p>
            <w:pPr>
              <w:pStyle w:val="18"/>
            </w:pPr>
            <w:r>
              <w:t>20.50</w:t>
            </w:r>
          </w:p>
        </w:tc>
        <w:tc>
          <w:tcPr>
            <w:tcW w:w="1276" w:type="dxa"/>
            <w:vAlign w:val="center"/>
          </w:tcPr>
          <w:p>
            <w:pPr>
              <w:pStyle w:val="18"/>
            </w:pPr>
          </w:p>
        </w:tc>
        <w:tc>
          <w:tcPr>
            <w:tcW w:w="1276" w:type="dxa"/>
            <w:vAlign w:val="center"/>
          </w:tcPr>
          <w:p>
            <w:pPr>
              <w:pStyle w:val="18"/>
            </w:pPr>
          </w:p>
        </w:tc>
        <w:tc>
          <w:tcPr>
            <w:tcW w:w="1276" w:type="dxa"/>
            <w:vAlign w:val="center"/>
          </w:tcPr>
          <w:p>
            <w:pPr>
              <w:pStyle w:val="18"/>
            </w:pPr>
          </w:p>
        </w:tc>
        <w:tc>
          <w:tcPr>
            <w:tcW w:w="1276" w:type="dxa"/>
            <w:vAlign w:val="center"/>
          </w:tcPr>
          <w:p>
            <w:pPr>
              <w:pStyle w:val="18"/>
            </w:pPr>
          </w:p>
        </w:tc>
        <w:tc>
          <w:tcPr>
            <w:tcW w:w="1276" w:type="dxa"/>
            <w:vAlign w:val="center"/>
          </w:tcPr>
          <w:p>
            <w:pPr>
              <w:pStyle w:val="18"/>
            </w:pPr>
          </w:p>
        </w:tc>
        <w:tc>
          <w:tcPr>
            <w:tcW w:w="12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查办案件</w:t>
            </w:r>
          </w:p>
        </w:tc>
        <w:tc>
          <w:tcPr>
            <w:tcW w:w="1134" w:type="dxa"/>
            <w:vAlign w:val="center"/>
          </w:tcPr>
          <w:p>
            <w:pPr>
              <w:pStyle w:val="15"/>
            </w:pPr>
            <w:r>
              <w:t>2011199</w:t>
            </w:r>
          </w:p>
        </w:tc>
        <w:tc>
          <w:tcPr>
            <w:tcW w:w="1276" w:type="dxa"/>
            <w:vAlign w:val="center"/>
          </w:tcPr>
          <w:p>
            <w:pPr>
              <w:pStyle w:val="14"/>
            </w:pPr>
            <w:r>
              <w:t>5.00</w:t>
            </w:r>
          </w:p>
        </w:tc>
        <w:tc>
          <w:tcPr>
            <w:tcW w:w="1276" w:type="dxa"/>
            <w:vAlign w:val="center"/>
          </w:tcPr>
          <w:p>
            <w:pPr>
              <w:pStyle w:val="14"/>
            </w:pPr>
            <w:r>
              <w:t>5.00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党风廉政建设宣传费用</w:t>
            </w:r>
          </w:p>
        </w:tc>
        <w:tc>
          <w:tcPr>
            <w:tcW w:w="1134" w:type="dxa"/>
            <w:vAlign w:val="center"/>
          </w:tcPr>
          <w:p>
            <w:pPr>
              <w:pStyle w:val="15"/>
            </w:pPr>
            <w:r>
              <w:t>2011199</w:t>
            </w:r>
          </w:p>
        </w:tc>
        <w:tc>
          <w:tcPr>
            <w:tcW w:w="1276" w:type="dxa"/>
            <w:vAlign w:val="center"/>
          </w:tcPr>
          <w:p>
            <w:pPr>
              <w:pStyle w:val="14"/>
            </w:pPr>
            <w:r>
              <w:t>4.00</w:t>
            </w:r>
          </w:p>
        </w:tc>
        <w:tc>
          <w:tcPr>
            <w:tcW w:w="1276" w:type="dxa"/>
            <w:vAlign w:val="center"/>
          </w:tcPr>
          <w:p>
            <w:pPr>
              <w:pStyle w:val="14"/>
            </w:pPr>
            <w:r>
              <w:t>4.00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纪检监察刊物费</w:t>
            </w:r>
          </w:p>
        </w:tc>
        <w:tc>
          <w:tcPr>
            <w:tcW w:w="1134" w:type="dxa"/>
            <w:vAlign w:val="center"/>
          </w:tcPr>
          <w:p>
            <w:pPr>
              <w:pStyle w:val="15"/>
            </w:pPr>
            <w:r>
              <w:t>2011199</w:t>
            </w:r>
          </w:p>
        </w:tc>
        <w:tc>
          <w:tcPr>
            <w:tcW w:w="1276" w:type="dxa"/>
            <w:vAlign w:val="center"/>
          </w:tcPr>
          <w:p>
            <w:pPr>
              <w:pStyle w:val="14"/>
            </w:pPr>
            <w:r>
              <w:t>5.50</w:t>
            </w:r>
          </w:p>
        </w:tc>
        <w:tc>
          <w:tcPr>
            <w:tcW w:w="1276" w:type="dxa"/>
            <w:vAlign w:val="center"/>
          </w:tcPr>
          <w:p>
            <w:pPr>
              <w:pStyle w:val="14"/>
            </w:pPr>
            <w:r>
              <w:t>5.50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纪检监察业务培训费</w:t>
            </w:r>
          </w:p>
        </w:tc>
        <w:tc>
          <w:tcPr>
            <w:tcW w:w="1134" w:type="dxa"/>
            <w:vAlign w:val="center"/>
          </w:tcPr>
          <w:p>
            <w:pPr>
              <w:pStyle w:val="15"/>
            </w:pPr>
            <w:r>
              <w:t>2011199</w:t>
            </w:r>
          </w:p>
        </w:tc>
        <w:tc>
          <w:tcPr>
            <w:tcW w:w="1276" w:type="dxa"/>
            <w:vAlign w:val="center"/>
          </w:tcPr>
          <w:p>
            <w:pPr>
              <w:pStyle w:val="14"/>
            </w:pPr>
            <w:r>
              <w:t>2.00</w:t>
            </w:r>
          </w:p>
        </w:tc>
        <w:tc>
          <w:tcPr>
            <w:tcW w:w="1276" w:type="dxa"/>
            <w:vAlign w:val="center"/>
          </w:tcPr>
          <w:p>
            <w:pPr>
              <w:pStyle w:val="14"/>
            </w:pPr>
            <w:r>
              <w:t>2.00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693" w:type="dxa"/>
            <w:vAlign w:val="center"/>
          </w:tcPr>
          <w:p>
            <w:pPr>
              <w:pStyle w:val="15"/>
            </w:pPr>
            <w:r>
              <w:t>专项监督检查费</w:t>
            </w:r>
          </w:p>
        </w:tc>
        <w:tc>
          <w:tcPr>
            <w:tcW w:w="1134" w:type="dxa"/>
            <w:vAlign w:val="center"/>
          </w:tcPr>
          <w:p>
            <w:pPr>
              <w:pStyle w:val="15"/>
            </w:pPr>
            <w:r>
              <w:t>2011199</w:t>
            </w:r>
          </w:p>
        </w:tc>
        <w:tc>
          <w:tcPr>
            <w:tcW w:w="1276" w:type="dxa"/>
            <w:vAlign w:val="center"/>
          </w:tcPr>
          <w:p>
            <w:pPr>
              <w:pStyle w:val="14"/>
            </w:pPr>
            <w:r>
              <w:t>4.00</w:t>
            </w:r>
          </w:p>
        </w:tc>
        <w:tc>
          <w:tcPr>
            <w:tcW w:w="1276" w:type="dxa"/>
            <w:vAlign w:val="center"/>
          </w:tcPr>
          <w:p>
            <w:pPr>
              <w:pStyle w:val="14"/>
            </w:pPr>
            <w:r>
              <w:t>4.00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2"/>
            </w:pPr>
            <w:r>
              <w:t>201003南堡开发区纪工委</w:t>
            </w:r>
          </w:p>
        </w:tc>
        <w:tc>
          <w:tcPr>
            <w:tcW w:w="4252"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3"/>
            </w:pPr>
            <w:r>
              <w:t>政府经济分类</w:t>
            </w:r>
          </w:p>
        </w:tc>
        <w:tc>
          <w:tcPr>
            <w:tcW w:w="11480"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3"/>
            </w:pPr>
            <w:r>
              <w:t>合计</w:t>
            </w:r>
          </w:p>
        </w:tc>
        <w:tc>
          <w:tcPr>
            <w:tcW w:w="1417" w:type="dxa"/>
            <w:vAlign w:val="center"/>
          </w:tcPr>
          <w:p>
            <w:pPr>
              <w:pStyle w:val="13"/>
            </w:pPr>
            <w:r>
              <w:t>一般公共    预算拨款</w:t>
            </w:r>
          </w:p>
        </w:tc>
        <w:tc>
          <w:tcPr>
            <w:tcW w:w="1417" w:type="dxa"/>
            <w:vAlign w:val="center"/>
          </w:tcPr>
          <w:p>
            <w:pPr>
              <w:pStyle w:val="13"/>
            </w:pPr>
            <w:r>
              <w:t>基金预算    拨款</w:t>
            </w:r>
          </w:p>
        </w:tc>
        <w:tc>
          <w:tcPr>
            <w:tcW w:w="1559" w:type="dxa"/>
            <w:vAlign w:val="center"/>
          </w:tcPr>
          <w:p>
            <w:pPr>
              <w:pStyle w:val="13"/>
            </w:pPr>
            <w:r>
              <w:t>国有资本经营    预算拨款</w:t>
            </w:r>
          </w:p>
        </w:tc>
        <w:tc>
          <w:tcPr>
            <w:tcW w:w="1417" w:type="dxa"/>
            <w:vAlign w:val="center"/>
          </w:tcPr>
          <w:p>
            <w:pPr>
              <w:pStyle w:val="13"/>
            </w:pPr>
            <w:r>
              <w:t>财政专户    核拨</w:t>
            </w:r>
          </w:p>
        </w:tc>
        <w:tc>
          <w:tcPr>
            <w:tcW w:w="1417" w:type="dxa"/>
            <w:vAlign w:val="center"/>
          </w:tcPr>
          <w:p>
            <w:pPr>
              <w:pStyle w:val="13"/>
            </w:pPr>
            <w:r>
              <w:t>单位资金</w:t>
            </w:r>
          </w:p>
        </w:tc>
        <w:tc>
          <w:tcPr>
            <w:tcW w:w="1417" w:type="dxa"/>
            <w:vAlign w:val="center"/>
          </w:tcPr>
          <w:p>
            <w:pPr>
              <w:pStyle w:val="13"/>
            </w:pPr>
            <w:r>
              <w:t>财政拨款    结转</w:t>
            </w:r>
          </w:p>
        </w:tc>
        <w:tc>
          <w:tcPr>
            <w:tcW w:w="1417" w:type="dxa"/>
            <w:vAlign w:val="center"/>
          </w:tcPr>
          <w:p>
            <w:pPr>
              <w:pStyle w:val="13"/>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合  计</w:t>
            </w:r>
          </w:p>
        </w:tc>
        <w:tc>
          <w:tcPr>
            <w:tcW w:w="1417" w:type="dxa"/>
            <w:vAlign w:val="center"/>
          </w:tcPr>
          <w:p>
            <w:pPr>
              <w:pStyle w:val="18"/>
            </w:pPr>
            <w:r>
              <w:t>151.34</w:t>
            </w:r>
          </w:p>
        </w:tc>
        <w:tc>
          <w:tcPr>
            <w:tcW w:w="1417" w:type="dxa"/>
            <w:vAlign w:val="center"/>
          </w:tcPr>
          <w:p>
            <w:pPr>
              <w:pStyle w:val="18"/>
            </w:pPr>
            <w:r>
              <w:t>151.34</w:t>
            </w:r>
          </w:p>
        </w:tc>
        <w:tc>
          <w:tcPr>
            <w:tcW w:w="1417" w:type="dxa"/>
            <w:vAlign w:val="center"/>
          </w:tcPr>
          <w:p>
            <w:pPr>
              <w:pStyle w:val="18"/>
            </w:pP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501机关工资福利支出</w:t>
            </w:r>
          </w:p>
        </w:tc>
        <w:tc>
          <w:tcPr>
            <w:tcW w:w="1417" w:type="dxa"/>
            <w:vAlign w:val="center"/>
          </w:tcPr>
          <w:p>
            <w:pPr>
              <w:pStyle w:val="14"/>
            </w:pPr>
            <w:r>
              <w:t>85.11</w:t>
            </w:r>
          </w:p>
        </w:tc>
        <w:tc>
          <w:tcPr>
            <w:tcW w:w="1417" w:type="dxa"/>
            <w:vAlign w:val="center"/>
          </w:tcPr>
          <w:p>
            <w:pPr>
              <w:pStyle w:val="14"/>
            </w:pPr>
            <w:r>
              <w:t>85.11</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502机关商品和服务支出</w:t>
            </w:r>
          </w:p>
        </w:tc>
        <w:tc>
          <w:tcPr>
            <w:tcW w:w="1417" w:type="dxa"/>
            <w:vAlign w:val="center"/>
          </w:tcPr>
          <w:p>
            <w:pPr>
              <w:pStyle w:val="14"/>
            </w:pPr>
            <w:r>
              <w:t>38.85</w:t>
            </w:r>
          </w:p>
        </w:tc>
        <w:tc>
          <w:tcPr>
            <w:tcW w:w="1417" w:type="dxa"/>
            <w:vAlign w:val="center"/>
          </w:tcPr>
          <w:p>
            <w:pPr>
              <w:pStyle w:val="14"/>
            </w:pPr>
            <w:r>
              <w:t>38.85</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503机关资本性支出（一）</w:t>
            </w:r>
          </w:p>
        </w:tc>
        <w:tc>
          <w:tcPr>
            <w:tcW w:w="1417" w:type="dxa"/>
            <w:vAlign w:val="center"/>
          </w:tcPr>
          <w:p>
            <w:pPr>
              <w:pStyle w:val="14"/>
            </w:pPr>
            <w:r>
              <w:t>3.00</w:t>
            </w:r>
          </w:p>
        </w:tc>
        <w:tc>
          <w:tcPr>
            <w:tcW w:w="1417" w:type="dxa"/>
            <w:vAlign w:val="center"/>
          </w:tcPr>
          <w:p>
            <w:pPr>
              <w:pStyle w:val="14"/>
            </w:pPr>
            <w:r>
              <w:t>3.00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504机关资本性支出（二）</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505对事业单位经常性补助</w:t>
            </w:r>
          </w:p>
        </w:tc>
        <w:tc>
          <w:tcPr>
            <w:tcW w:w="1417" w:type="dxa"/>
            <w:vAlign w:val="center"/>
          </w:tcPr>
          <w:p>
            <w:pPr>
              <w:pStyle w:val="14"/>
            </w:pPr>
            <w:r>
              <w:t>24.37</w:t>
            </w:r>
          </w:p>
        </w:tc>
        <w:tc>
          <w:tcPr>
            <w:tcW w:w="1417" w:type="dxa"/>
            <w:vAlign w:val="center"/>
          </w:tcPr>
          <w:p>
            <w:pPr>
              <w:pStyle w:val="14"/>
            </w:pPr>
            <w:r>
              <w:t>24.37</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506对事业单位资本性补助</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507对企业补助</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508对企业资本性支出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509对个人和家庭的补助</w:t>
            </w:r>
          </w:p>
        </w:tc>
        <w:tc>
          <w:tcPr>
            <w:tcW w:w="1417" w:type="dxa"/>
            <w:vAlign w:val="center"/>
          </w:tcPr>
          <w:p>
            <w:pPr>
              <w:pStyle w:val="14"/>
            </w:pPr>
            <w:r>
              <w:t>0.01</w:t>
            </w:r>
          </w:p>
        </w:tc>
        <w:tc>
          <w:tcPr>
            <w:tcW w:w="1417" w:type="dxa"/>
            <w:vAlign w:val="center"/>
          </w:tcPr>
          <w:p>
            <w:pPr>
              <w:pStyle w:val="14"/>
            </w:pPr>
            <w:r>
              <w:t>0.01</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511债务利息及费用支出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513转移性支出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599其他支出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2"/>
            </w:pPr>
            <w:r>
              <w:t>201003南堡开发区纪工委</w:t>
            </w:r>
          </w:p>
        </w:tc>
        <w:tc>
          <w:tcPr>
            <w:tcW w:w="4252"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restart"/>
            <w:vAlign w:val="center"/>
          </w:tcPr>
          <w:p>
            <w:pPr>
              <w:pStyle w:val="13"/>
            </w:pPr>
            <w:r>
              <w:t>支出内容</w:t>
            </w:r>
          </w:p>
        </w:tc>
        <w:tc>
          <w:tcPr>
            <w:tcW w:w="11480"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continue"/>
          </w:tcPr>
          <w:p/>
        </w:tc>
        <w:tc>
          <w:tcPr>
            <w:tcW w:w="1417" w:type="dxa"/>
            <w:vAlign w:val="center"/>
          </w:tcPr>
          <w:p>
            <w:pPr>
              <w:pStyle w:val="13"/>
            </w:pPr>
            <w:r>
              <w:t>合计</w:t>
            </w:r>
          </w:p>
        </w:tc>
        <w:tc>
          <w:tcPr>
            <w:tcW w:w="1417" w:type="dxa"/>
            <w:vAlign w:val="center"/>
          </w:tcPr>
          <w:p>
            <w:pPr>
              <w:pStyle w:val="13"/>
            </w:pPr>
            <w:r>
              <w:t>一般公共    预算拨款</w:t>
            </w:r>
          </w:p>
        </w:tc>
        <w:tc>
          <w:tcPr>
            <w:tcW w:w="1417" w:type="dxa"/>
            <w:vAlign w:val="center"/>
          </w:tcPr>
          <w:p>
            <w:pPr>
              <w:pStyle w:val="13"/>
            </w:pPr>
            <w:r>
              <w:t>基金预算    拨款</w:t>
            </w:r>
          </w:p>
        </w:tc>
        <w:tc>
          <w:tcPr>
            <w:tcW w:w="1559" w:type="dxa"/>
            <w:vAlign w:val="center"/>
          </w:tcPr>
          <w:p>
            <w:pPr>
              <w:pStyle w:val="13"/>
            </w:pPr>
            <w:r>
              <w:t>国有资本经营    预算拨款</w:t>
            </w:r>
          </w:p>
        </w:tc>
        <w:tc>
          <w:tcPr>
            <w:tcW w:w="1417" w:type="dxa"/>
            <w:vAlign w:val="center"/>
          </w:tcPr>
          <w:p>
            <w:pPr>
              <w:pStyle w:val="13"/>
            </w:pPr>
            <w:r>
              <w:t>财政专户    核拨</w:t>
            </w:r>
          </w:p>
        </w:tc>
        <w:tc>
          <w:tcPr>
            <w:tcW w:w="1417" w:type="dxa"/>
            <w:vAlign w:val="center"/>
          </w:tcPr>
          <w:p>
            <w:pPr>
              <w:pStyle w:val="13"/>
            </w:pPr>
            <w:r>
              <w:t>单位资金</w:t>
            </w:r>
          </w:p>
        </w:tc>
        <w:tc>
          <w:tcPr>
            <w:tcW w:w="1417" w:type="dxa"/>
            <w:vAlign w:val="center"/>
          </w:tcPr>
          <w:p>
            <w:pPr>
              <w:pStyle w:val="13"/>
            </w:pPr>
            <w:r>
              <w:t>财政拨款    结转</w:t>
            </w:r>
          </w:p>
        </w:tc>
        <w:tc>
          <w:tcPr>
            <w:tcW w:w="1417" w:type="dxa"/>
            <w:vAlign w:val="center"/>
          </w:tcPr>
          <w:p>
            <w:pPr>
              <w:pStyle w:val="13"/>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7"/>
            </w:pPr>
            <w:r>
              <w:t>合计</w:t>
            </w:r>
          </w:p>
        </w:tc>
        <w:tc>
          <w:tcPr>
            <w:tcW w:w="1417" w:type="dxa"/>
            <w:vAlign w:val="center"/>
          </w:tcPr>
          <w:p>
            <w:pPr>
              <w:pStyle w:val="18"/>
            </w:pPr>
            <w:r>
              <w:t>2.10</w:t>
            </w:r>
          </w:p>
        </w:tc>
        <w:tc>
          <w:tcPr>
            <w:tcW w:w="1417" w:type="dxa"/>
            <w:vAlign w:val="center"/>
          </w:tcPr>
          <w:p>
            <w:pPr>
              <w:pStyle w:val="18"/>
            </w:pPr>
            <w:r>
              <w:t>2.10</w:t>
            </w:r>
          </w:p>
        </w:tc>
        <w:tc>
          <w:tcPr>
            <w:tcW w:w="1417" w:type="dxa"/>
            <w:vAlign w:val="center"/>
          </w:tcPr>
          <w:p>
            <w:pPr>
              <w:pStyle w:val="18"/>
            </w:pP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7"/>
            </w:pPr>
            <w:r>
              <w:t>“三公”经费小计</w:t>
            </w:r>
          </w:p>
        </w:tc>
        <w:tc>
          <w:tcPr>
            <w:tcW w:w="1417" w:type="dxa"/>
            <w:vAlign w:val="center"/>
          </w:tcPr>
          <w:p>
            <w:pPr>
              <w:pStyle w:val="18"/>
            </w:pPr>
            <w:r>
              <w:t>0.60</w:t>
            </w:r>
          </w:p>
        </w:tc>
        <w:tc>
          <w:tcPr>
            <w:tcW w:w="1417" w:type="dxa"/>
            <w:vAlign w:val="center"/>
          </w:tcPr>
          <w:p>
            <w:pPr>
              <w:pStyle w:val="18"/>
            </w:pPr>
            <w:r>
              <w:t>0.60</w:t>
            </w:r>
          </w:p>
        </w:tc>
        <w:tc>
          <w:tcPr>
            <w:tcW w:w="1417" w:type="dxa"/>
            <w:vAlign w:val="center"/>
          </w:tcPr>
          <w:p>
            <w:pPr>
              <w:pStyle w:val="18"/>
            </w:pP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一、因公出国（境）费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二、公务用车购置及运维费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 xml:space="preserve">    其中：公务用车购置费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 xml:space="preserve">          公务用车运行维护费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三、公务接待费</w:t>
            </w:r>
          </w:p>
        </w:tc>
        <w:tc>
          <w:tcPr>
            <w:tcW w:w="1417" w:type="dxa"/>
            <w:vAlign w:val="center"/>
          </w:tcPr>
          <w:p>
            <w:pPr>
              <w:pStyle w:val="14"/>
            </w:pPr>
            <w:r>
              <w:t>0.60</w:t>
            </w:r>
          </w:p>
        </w:tc>
        <w:tc>
          <w:tcPr>
            <w:tcW w:w="1417" w:type="dxa"/>
            <w:vAlign w:val="center"/>
          </w:tcPr>
          <w:p>
            <w:pPr>
              <w:pStyle w:val="14"/>
            </w:pPr>
            <w:r>
              <w:t>0.60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四、会议费</w:t>
            </w:r>
          </w:p>
        </w:tc>
        <w:tc>
          <w:tcPr>
            <w:tcW w:w="1417" w:type="dxa"/>
            <w:vAlign w:val="center"/>
          </w:tcPr>
          <w:p>
            <w:pPr>
              <w:pStyle w:val="14"/>
            </w:pPr>
            <w:r>
              <w:t>0.50</w:t>
            </w:r>
          </w:p>
        </w:tc>
        <w:tc>
          <w:tcPr>
            <w:tcW w:w="1417" w:type="dxa"/>
            <w:vAlign w:val="center"/>
          </w:tcPr>
          <w:p>
            <w:pPr>
              <w:pStyle w:val="14"/>
            </w:pPr>
            <w:r>
              <w:t>0.50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五、培训费</w:t>
            </w:r>
          </w:p>
        </w:tc>
        <w:tc>
          <w:tcPr>
            <w:tcW w:w="1417" w:type="dxa"/>
            <w:vAlign w:val="center"/>
          </w:tcPr>
          <w:p>
            <w:pPr>
              <w:pStyle w:val="14"/>
            </w:pPr>
            <w:r>
              <w:t>1.00</w:t>
            </w:r>
          </w:p>
        </w:tc>
        <w:tc>
          <w:tcPr>
            <w:tcW w:w="1417" w:type="dxa"/>
            <w:vAlign w:val="center"/>
          </w:tcPr>
          <w:p>
            <w:pPr>
              <w:pStyle w:val="14"/>
            </w:pPr>
            <w:r>
              <w:t>1.00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bl>
    <w:p>
      <w:pPr>
        <w:sectPr>
          <w:pgSz w:w="16840" w:h="11900" w:orient="landscape"/>
          <w:pgMar w:top="1361" w:right="1020" w:bottom="1361" w:left="1020" w:header="720" w:footer="720" w:gutter="0"/>
          <w:cols w:space="720" w:num="1"/>
        </w:sectPr>
      </w:pPr>
      <w:bookmarkStart w:id="3" w:name="_GoBack"/>
      <w:bookmarkEnd w:id="3"/>
    </w:p>
    <w:p/>
    <w:sectPr>
      <w:pgSz w:w="16840" w:h="11900" w:orient="landscape"/>
      <w:pgMar w:top="1361" w:right="1020" w:bottom="1361"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姚体简体">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硬笔楷书繁体">
    <w:panose1 w:val="03000509000000000000"/>
    <w:charset w:val="86"/>
    <w:family w:val="auto"/>
    <w:pitch w:val="default"/>
    <w:sig w:usb0="00000001" w:usb1="080E0000" w:usb2="00000000" w:usb3="00000000" w:csb0="00040000" w:csb1="00000000"/>
  </w:font>
  <w:font w:name="Tunga">
    <w:panose1 w:val="020B0502040204020203"/>
    <w:charset w:val="00"/>
    <w:family w:val="auto"/>
    <w:pitch w:val="default"/>
    <w:sig w:usb0="00400003" w:usb1="00000000" w:usb2="00000000" w:usb3="00000000" w:csb0="00000001" w:csb1="00000000"/>
  </w:font>
  <w:font w:name="方正楷体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黑体简体">
    <w:panose1 w:val="02010601030101010101"/>
    <w:charset w:val="86"/>
    <w:family w:val="auto"/>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艺黑繁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separate"/>
    </w:r>
    <w:r>
      <w:rPr>
        <w:rStyle w:val="9"/>
      </w:rPr>
      <w:t>16</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U0YjdjYjZjNmM0NGRlZGFiNjJjMTM0OWI3YmZmYWUifQ=="/>
  </w:docVars>
  <w:rsids>
    <w:rsidRoot w:val="00000000"/>
    <w:rsid w:val="0A1740B9"/>
    <w:rsid w:val="11056BB4"/>
    <w:rsid w:val="36046AB7"/>
    <w:rsid w:val="558C63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8">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unhideWhenUsed/>
    <w:uiPriority w:val="99"/>
  </w:style>
  <w:style w:type="paragraph" w:customStyle="1" w:styleId="1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2022-06-08T17:58:25Z</dcterms:created>
  <dcterms:modified xsi:type="dcterms:W3CDTF">2022-06-08T09:58:25Z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2022-06-08T17:58:27Z</dcterms:created>
  <dcterms:modified xsi:type="dcterms:W3CDTF">2022-06-08T09:58:27Z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2022-06-08T17:58:26Z</dcterms:created>
  <dcterms:modified xsi:type="dcterms:W3CDTF">2022-06-08T09:58:26Z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2022-06-08T17:58:22Z</dcterms:created>
  <dcterms:modified xsi:type="dcterms:W3CDTF">2022-06-08T09:58:22Z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2022-06-08T17:58:24Z</dcterms:created>
  <dcterms:modified xsi:type="dcterms:W3CDTF">2022-06-08T09:58:24Z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2022-06-08T17:58:23Z</dcterms:created>
  <dcterms:modified xsi:type="dcterms:W3CDTF">2022-06-08T09:58:23Z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2022-06-08T17:58:22Z</dcterms:created>
  <dcterms:modified xsi:type="dcterms:W3CDTF">2022-06-08T09:58:22Z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3faab5d-8aef-47f7-9228-d06ed5de772a}">
  <ds:schemaRefs/>
</ds:datastoreItem>
</file>

<file path=customXml/itemProps10.xml><?xml version="1.0" encoding="utf-8"?>
<ds:datastoreItem xmlns:ds="http://schemas.openxmlformats.org/officeDocument/2006/customXml" ds:itemID="{6c50550b-a188-4237-9f6d-891fe5bb2224}">
  <ds:schemaRefs/>
</ds:datastoreItem>
</file>

<file path=customXml/itemProps11.xml><?xml version="1.0" encoding="utf-8"?>
<ds:datastoreItem xmlns:ds="http://schemas.openxmlformats.org/officeDocument/2006/customXml" ds:itemID="{0fba6115-56d9-4bd5-88c5-d501755bd00a}">
  <ds:schemaRefs/>
</ds:datastoreItem>
</file>

<file path=customXml/itemProps12.xml><?xml version="1.0" encoding="utf-8"?>
<ds:datastoreItem xmlns:ds="http://schemas.openxmlformats.org/officeDocument/2006/customXml" ds:itemID="{5ff5998f-198c-4d20-b9de-13ec9f90b5e2}">
  <ds:schemaRefs/>
</ds:datastoreItem>
</file>

<file path=customXml/itemProps13.xml><?xml version="1.0" encoding="utf-8"?>
<ds:datastoreItem xmlns:ds="http://schemas.openxmlformats.org/officeDocument/2006/customXml" ds:itemID="{a945968c-0ad2-4822-a670-323bbf823633}">
  <ds:schemaRefs/>
</ds:datastoreItem>
</file>

<file path=customXml/itemProps14.xml><?xml version="1.0" encoding="utf-8"?>
<ds:datastoreItem xmlns:ds="http://schemas.openxmlformats.org/officeDocument/2006/customXml" ds:itemID="{3b9ee88d-dec7-44b6-b8b7-7f8fa5620f65}">
  <ds:schemaRefs/>
</ds:datastoreItem>
</file>

<file path=customXml/itemProps2.xml><?xml version="1.0" encoding="utf-8"?>
<ds:datastoreItem xmlns:ds="http://schemas.openxmlformats.org/officeDocument/2006/customXml" ds:itemID="{0c1eef3e-1fba-46b9-ac99-1cae507c3da9}">
  <ds:schemaRefs/>
</ds:datastoreItem>
</file>

<file path=customXml/itemProps3.xml><?xml version="1.0" encoding="utf-8"?>
<ds:datastoreItem xmlns:ds="http://schemas.openxmlformats.org/officeDocument/2006/customXml" ds:itemID="{15411588-bd25-4b86-889f-48babce38093}">
  <ds:schemaRefs/>
</ds:datastoreItem>
</file>

<file path=customXml/itemProps4.xml><?xml version="1.0" encoding="utf-8"?>
<ds:datastoreItem xmlns:ds="http://schemas.openxmlformats.org/officeDocument/2006/customXml" ds:itemID="{2a5058e8-b7dc-4224-8135-630039e038ca}">
  <ds:schemaRefs/>
</ds:datastoreItem>
</file>

<file path=customXml/itemProps5.xml><?xml version="1.0" encoding="utf-8"?>
<ds:datastoreItem xmlns:ds="http://schemas.openxmlformats.org/officeDocument/2006/customXml" ds:itemID="{9b103e94-2c83-42ea-aeed-71a100f69bba}">
  <ds:schemaRefs/>
</ds:datastoreItem>
</file>

<file path=customXml/itemProps6.xml><?xml version="1.0" encoding="utf-8"?>
<ds:datastoreItem xmlns:ds="http://schemas.openxmlformats.org/officeDocument/2006/customXml" ds:itemID="{89faf7d4-e916-471f-8ade-f871d1a9b111}">
  <ds:schemaRefs/>
</ds:datastoreItem>
</file>

<file path=customXml/itemProps7.xml><?xml version="1.0" encoding="utf-8"?>
<ds:datastoreItem xmlns:ds="http://schemas.openxmlformats.org/officeDocument/2006/customXml" ds:itemID="{b7544c0b-eea7-4354-9495-5c83296bd065}">
  <ds:schemaRefs/>
</ds:datastoreItem>
</file>

<file path=customXml/itemProps8.xml><?xml version="1.0" encoding="utf-8"?>
<ds:datastoreItem xmlns:ds="http://schemas.openxmlformats.org/officeDocument/2006/customXml" ds:itemID="{7e9ffc0b-650c-40d4-b5e0-fc1d87bb9739}">
  <ds:schemaRefs/>
</ds:datastoreItem>
</file>

<file path=customXml/itemProps9.xml><?xml version="1.0" encoding="utf-8"?>
<ds:datastoreItem xmlns:ds="http://schemas.openxmlformats.org/officeDocument/2006/customXml" ds:itemID="{885b803f-54f4-499f-a2bb-7e845d390108}">
  <ds:schemaRefs/>
</ds:datastoreItem>
</file>

<file path=docProps/app.xml><?xml version="1.0" encoding="utf-8"?>
<Properties xmlns="http://schemas.openxmlformats.org/officeDocument/2006/extended-properties" xmlns:vt="http://schemas.openxmlformats.org/officeDocument/2006/docPropsVTypes">
  <Pages>27</Pages>
  <Words>5256</Words>
  <Characters>6114</Characters>
  <TotalTime>3</TotalTime>
  <ScaleCrop>false</ScaleCrop>
  <LinksUpToDate>false</LinksUpToDate>
  <CharactersWithSpaces>6865</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2022-06-08T17:58:00Z</dcterms:created>
  <dc:creator>Lenovo</dc:creator>
  <cp:lastModifiedBy>    勿忘初心 。</cp:lastModifiedBy>
  <dcterms:modified xsi:type="dcterms:W3CDTF">2022-06-10T02:39:16Z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F0BFAA1C4CF94E679BB2EE82ABE2BC6C</vt:lpwstr>
  </property>
</Properties>
</file>