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E1" w:rsidRDefault="00622EE1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唐山市曹妃</w:t>
      </w:r>
      <w:proofErr w:type="gramStart"/>
      <w:r>
        <w:rPr>
          <w:rFonts w:ascii="Times New Roman" w:eastAsia="方正小标宋_GBK" w:hAnsi="Times New Roman" w:cs="Times New Roman" w:hint="eastAsia"/>
          <w:sz w:val="44"/>
          <w:szCs w:val="44"/>
        </w:rPr>
        <w:t>甸</w:t>
      </w:r>
      <w:proofErr w:type="gramEnd"/>
      <w:r>
        <w:rPr>
          <w:rFonts w:ascii="Times New Roman" w:eastAsia="方正小标宋_GBK" w:hAnsi="Times New Roman" w:cs="Times New Roman" w:hint="eastAsia"/>
          <w:sz w:val="44"/>
          <w:szCs w:val="44"/>
        </w:rPr>
        <w:t>区公安局南堡治安分局</w:t>
      </w:r>
      <w:r>
        <w:rPr>
          <w:rFonts w:ascii="Times New Roman" w:eastAsia="方正小标宋_GBK" w:hAnsi="Times New Roman" w:cs="Times New Roman"/>
          <w:sz w:val="44"/>
          <w:szCs w:val="44"/>
        </w:rPr>
        <w:t>2019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年部门预算信息公开</w:t>
      </w:r>
    </w:p>
    <w:p w:rsidR="00622EE1" w:rsidRDefault="00622EE1" w:rsidP="00FB7AC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按照《预算法》、《河北省预决算公开操作规程实施细则》规定，现将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年部门预算公开如下：</w:t>
      </w:r>
    </w:p>
    <w:p w:rsidR="00622EE1" w:rsidRDefault="00622EE1">
      <w:pPr>
        <w:numPr>
          <w:ilvl w:val="0"/>
          <w:numId w:val="1"/>
        </w:num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部门职责及机构设置情况</w:t>
      </w:r>
    </w:p>
    <w:p w:rsidR="00622EE1" w:rsidRDefault="00622EE1">
      <w:pPr>
        <w:widowControl/>
        <w:spacing w:line="560" w:lineRule="exact"/>
        <w:ind w:firstLine="48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部门职责：</w:t>
      </w:r>
      <w:r>
        <w:rPr>
          <w:rFonts w:ascii="仿宋" w:eastAsia="仿宋" w:hAnsi="仿宋" w:cs="仿宋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、收集和掌握影响社会政治稳定的情报信息，积极开辖区内不安定因素的排查和化解工作，全力维护辖区社会政治稳定。</w:t>
      </w:r>
      <w:r>
        <w:rPr>
          <w:rFonts w:ascii="仿宋" w:eastAsia="仿宋" w:hAnsi="仿宋" w:cs="仿宋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、管理辖区内的常住人口、暂住人口，受理常住人口变动登记和暂住人口《居住证》办理。</w:t>
      </w:r>
      <w:r>
        <w:rPr>
          <w:rFonts w:ascii="仿宋" w:eastAsia="仿宋" w:hAnsi="仿宋" w:cs="仿宋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、管理辖区内的重点行业、公共娱乐场所和枪支、弹药、爆炸、剧毒等危险品。</w:t>
      </w:r>
      <w:r>
        <w:rPr>
          <w:rFonts w:ascii="仿宋" w:eastAsia="仿宋" w:hAnsi="仿宋" w:cs="仿宋"/>
          <w:color w:val="00000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、指导、监督辖区内的机关、团体、企业、事业单位的内部治安保卫工作；</w:t>
      </w:r>
      <w:r>
        <w:rPr>
          <w:rFonts w:ascii="仿宋" w:eastAsia="仿宋" w:hAnsi="仿宋" w:cs="仿宋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、宣传、发动、组织指导群众开展安全防范工作；</w:t>
      </w:r>
      <w:r>
        <w:rPr>
          <w:rFonts w:ascii="仿宋" w:eastAsia="仿宋" w:hAnsi="仿宋" w:cs="仿宋"/>
          <w:color w:val="000000"/>
          <w:sz w:val="30"/>
          <w:szCs w:val="30"/>
        </w:rPr>
        <w:t>6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、侦办辖区内一般刑事案件，协助侦查部门侦破其他案件。</w:t>
      </w:r>
      <w:r>
        <w:rPr>
          <w:rFonts w:ascii="仿宋" w:eastAsia="仿宋" w:hAnsi="仿宋" w:cs="仿宋"/>
          <w:color w:val="000000"/>
          <w:sz w:val="30"/>
          <w:szCs w:val="30"/>
        </w:rPr>
        <w:t>7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、办理治安案件，调解治安纠纷。</w:t>
      </w:r>
      <w:r>
        <w:rPr>
          <w:rFonts w:ascii="仿宋" w:eastAsia="仿宋" w:hAnsi="仿宋" w:cs="仿宋"/>
          <w:color w:val="000000"/>
          <w:sz w:val="30"/>
          <w:szCs w:val="30"/>
        </w:rPr>
        <w:t>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、开展预防打击危害社会稳定的案件及事件；预防打击危害国家安全社会稳定的案件及事件。</w:t>
      </w:r>
    </w:p>
    <w:p w:rsidR="00622EE1" w:rsidRDefault="00622EE1">
      <w:pPr>
        <w:autoSpaceDE w:val="0"/>
        <w:autoSpaceDN w:val="0"/>
        <w:adjustRightInd w:val="0"/>
        <w:jc w:val="left"/>
        <w:rPr>
          <w:rFonts w:ascii="方正仿宋_GBK" w:eastAsia="方正仿宋_GBK" w:hAnsi="Times New Roman" w:cs="Times New Roman"/>
          <w:b/>
          <w:sz w:val="32"/>
          <w:szCs w:val="32"/>
        </w:rPr>
      </w:pPr>
      <w:r>
        <w:rPr>
          <w:rFonts w:ascii="方正仿宋_GBK" w:eastAsia="方正仿宋_GBK" w:hAnsi="Times New Roman" w:cs="Times New Roman"/>
          <w:b/>
          <w:sz w:val="32"/>
          <w:szCs w:val="32"/>
        </w:rPr>
        <w:t xml:space="preserve">       </w:t>
      </w:r>
      <w:r>
        <w:rPr>
          <w:rFonts w:ascii="方正仿宋_GBK" w:eastAsia="方正仿宋_GBK" w:hAnsi="Times New Roman" w:cs="Times New Roman" w:hint="eastAsia"/>
          <w:b/>
          <w:sz w:val="32"/>
          <w:szCs w:val="32"/>
        </w:rPr>
        <w:t>机构设置：</w:t>
      </w:r>
    </w:p>
    <w:tbl>
      <w:tblPr>
        <w:tblpPr w:leftFromText="180" w:rightFromText="180" w:vertAnchor="text" w:horzAnchor="page" w:tblpX="1446" w:tblpY="323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3"/>
        <w:gridCol w:w="3543"/>
        <w:gridCol w:w="3544"/>
        <w:gridCol w:w="3544"/>
      </w:tblGrid>
      <w:tr w:rsidR="00622EE1">
        <w:tc>
          <w:tcPr>
            <w:tcW w:w="3543" w:type="dxa"/>
          </w:tcPr>
          <w:p w:rsidR="00622EE1" w:rsidRDefault="00622EE1">
            <w:pPr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3543" w:type="dxa"/>
          </w:tcPr>
          <w:p w:rsidR="00622EE1" w:rsidRDefault="00622EE1">
            <w:pPr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单位性质</w:t>
            </w:r>
          </w:p>
        </w:tc>
        <w:tc>
          <w:tcPr>
            <w:tcW w:w="3544" w:type="dxa"/>
          </w:tcPr>
          <w:p w:rsidR="00622EE1" w:rsidRDefault="00622EE1">
            <w:pPr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单位规格</w:t>
            </w:r>
          </w:p>
        </w:tc>
        <w:tc>
          <w:tcPr>
            <w:tcW w:w="3544" w:type="dxa"/>
          </w:tcPr>
          <w:p w:rsidR="00622EE1" w:rsidRDefault="00622EE1">
            <w:pPr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经费保障形式</w:t>
            </w:r>
          </w:p>
        </w:tc>
      </w:tr>
      <w:tr w:rsidR="00622EE1" w:rsidTr="00E52A32">
        <w:trPr>
          <w:trHeight w:val="1589"/>
        </w:trPr>
        <w:tc>
          <w:tcPr>
            <w:tcW w:w="3543" w:type="dxa"/>
          </w:tcPr>
          <w:p w:rsidR="00622EE1" w:rsidRDefault="00622EE1">
            <w:pPr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唐山市曹妃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甸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区公安局南堡治安分局</w:t>
            </w:r>
          </w:p>
        </w:tc>
        <w:tc>
          <w:tcPr>
            <w:tcW w:w="3543" w:type="dxa"/>
            <w:vAlign w:val="center"/>
          </w:tcPr>
          <w:p w:rsidR="00622EE1" w:rsidRDefault="00622EE1" w:rsidP="00E52A3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</w:t>
            </w:r>
          </w:p>
        </w:tc>
        <w:tc>
          <w:tcPr>
            <w:tcW w:w="3544" w:type="dxa"/>
            <w:vAlign w:val="center"/>
          </w:tcPr>
          <w:p w:rsidR="00622EE1" w:rsidRDefault="00237E24" w:rsidP="00E52A32">
            <w:pPr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正</w:t>
            </w:r>
            <w:bookmarkStart w:id="0" w:name="_GoBack"/>
            <w:bookmarkEnd w:id="0"/>
            <w:r w:rsidR="00622EE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科级</w:t>
            </w:r>
          </w:p>
        </w:tc>
        <w:tc>
          <w:tcPr>
            <w:tcW w:w="3544" w:type="dxa"/>
            <w:vAlign w:val="center"/>
          </w:tcPr>
          <w:p w:rsidR="00622EE1" w:rsidRDefault="00622EE1" w:rsidP="00E52A32">
            <w:pPr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财政拨款</w:t>
            </w:r>
          </w:p>
        </w:tc>
      </w:tr>
    </w:tbl>
    <w:p w:rsidR="00622EE1" w:rsidRDefault="00622EE1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 xml:space="preserve">    </w:t>
      </w:r>
      <w:r>
        <w:rPr>
          <w:rFonts w:ascii="黑体" w:eastAsia="黑体" w:hAnsi="黑体" w:cs="Times New Roman" w:hint="eastAsia"/>
          <w:sz w:val="32"/>
          <w:szCs w:val="32"/>
        </w:rPr>
        <w:t>二、部门预算安排的总体情况</w:t>
      </w:r>
    </w:p>
    <w:p w:rsidR="00622EE1" w:rsidRDefault="00622EE1" w:rsidP="00FB7ACD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、收入说明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622EE1" w:rsidRDefault="00622EE1" w:rsidP="00FB7ACD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本部门当年全部收入，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年预算收入</w:t>
      </w:r>
      <w:r>
        <w:rPr>
          <w:rFonts w:ascii="仿宋_GB2312" w:eastAsia="仿宋_GB2312" w:hAnsi="仿宋_GB2312" w:cs="仿宋_GB2312"/>
          <w:sz w:val="32"/>
          <w:szCs w:val="32"/>
        </w:rPr>
        <w:t>3052.03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622EE1" w:rsidRDefault="00622EE1">
      <w:pPr>
        <w:numPr>
          <w:ilvl w:val="0"/>
          <w:numId w:val="2"/>
        </w:num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支出说明</w:t>
      </w:r>
    </w:p>
    <w:p w:rsidR="00622EE1" w:rsidRDefault="00622EE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收支预算总表支出栏、基本支出表、项目支出表按经济分类和支出功能分类科目编制，反映唐山市政协年度部门预算中支出预算的总体情况。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年部门支出预算为</w:t>
      </w:r>
      <w:r>
        <w:rPr>
          <w:rFonts w:ascii="仿宋_GB2312" w:eastAsia="仿宋_GB2312" w:hAnsi="仿宋_GB2312" w:cs="仿宋_GB2312"/>
          <w:sz w:val="32"/>
          <w:szCs w:val="32"/>
        </w:rPr>
        <w:t>3052.03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万元，其中基本支出</w:t>
      </w:r>
      <w:r>
        <w:rPr>
          <w:rFonts w:ascii="仿宋_GB2312" w:eastAsia="仿宋_GB2312" w:hAnsi="仿宋_GB2312" w:cs="仿宋_GB2312"/>
          <w:sz w:val="32"/>
          <w:szCs w:val="32"/>
        </w:rPr>
        <w:t xml:space="preserve">2240.99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万元，包括人员经费</w:t>
      </w:r>
      <w:r>
        <w:rPr>
          <w:rFonts w:ascii="仿宋_GB2312" w:eastAsia="仿宋_GB2312" w:hAnsi="仿宋_GB2312" w:cs="仿宋_GB2312"/>
          <w:sz w:val="32"/>
          <w:szCs w:val="32"/>
        </w:rPr>
        <w:t>1955.31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万元和公用经费</w:t>
      </w:r>
      <w:r>
        <w:rPr>
          <w:rFonts w:ascii="仿宋_GB2312" w:eastAsia="仿宋_GB2312" w:hAnsi="仿宋_GB2312" w:cs="仿宋_GB2312"/>
          <w:sz w:val="32"/>
          <w:szCs w:val="32"/>
        </w:rPr>
        <w:t>285.68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万元；项目支出</w:t>
      </w:r>
      <w:r>
        <w:rPr>
          <w:rFonts w:ascii="仿宋_GB2312" w:eastAsia="仿宋_GB2312" w:hAnsi="仿宋_GB2312" w:cs="仿宋_GB2312"/>
          <w:sz w:val="32"/>
          <w:szCs w:val="32"/>
        </w:rPr>
        <w:t>811.04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万元，全部为本级支出。</w:t>
      </w:r>
    </w:p>
    <w:p w:rsidR="00622EE1" w:rsidRDefault="00622EE1">
      <w:pPr>
        <w:numPr>
          <w:ilvl w:val="0"/>
          <w:numId w:val="2"/>
        </w:num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比上年增减情况</w:t>
      </w:r>
    </w:p>
    <w:p w:rsidR="00622EE1" w:rsidRDefault="00622EE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年部门预算较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年增</w:t>
      </w:r>
      <w:r w:rsidR="00FB7ACD">
        <w:rPr>
          <w:rFonts w:ascii="仿宋_GB2312" w:eastAsia="仿宋_GB2312" w:hAnsi="仿宋_GB2312" w:cs="仿宋_GB2312" w:hint="eastAsia"/>
          <w:sz w:val="32"/>
          <w:szCs w:val="32"/>
        </w:rPr>
        <w:t>加</w:t>
      </w:r>
      <w:r>
        <w:rPr>
          <w:rFonts w:ascii="仿宋_GB2312" w:eastAsia="仿宋_GB2312" w:hAnsi="仿宋_GB2312" w:cs="仿宋_GB2312"/>
          <w:sz w:val="32"/>
          <w:szCs w:val="32"/>
        </w:rPr>
        <w:t>376.19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万元，其中：基本支出减少</w:t>
      </w:r>
      <w:r>
        <w:rPr>
          <w:rFonts w:ascii="仿宋_GB2312" w:eastAsia="仿宋_GB2312" w:hAnsi="仿宋_GB2312" w:cs="仿宋_GB2312"/>
          <w:sz w:val="32"/>
          <w:szCs w:val="32"/>
        </w:rPr>
        <w:t>6.24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万元，主要是减少人员经费；项目支出</w:t>
      </w:r>
      <w:r w:rsidR="00FB7ACD"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>
        <w:rPr>
          <w:rFonts w:ascii="仿宋_GB2312" w:eastAsia="仿宋_GB2312" w:hAnsi="仿宋_GB2312" w:cs="仿宋_GB2312"/>
          <w:sz w:val="32"/>
          <w:szCs w:val="32"/>
        </w:rPr>
        <w:t>382.43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622EE1" w:rsidRDefault="00622EE1" w:rsidP="00FB7ACD">
      <w:pPr>
        <w:numPr>
          <w:ilvl w:val="0"/>
          <w:numId w:val="3"/>
        </w:num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机关运行经费安排情况</w:t>
      </w:r>
    </w:p>
    <w:p w:rsidR="00622EE1" w:rsidRDefault="00622EE1" w:rsidP="00FB7ACD">
      <w:pPr>
        <w:autoSpaceDE w:val="0"/>
        <w:autoSpaceDN w:val="0"/>
        <w:adjustRightInd w:val="0"/>
        <w:ind w:left="198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机关运行经费共计安排</w:t>
      </w:r>
      <w:r>
        <w:rPr>
          <w:rFonts w:ascii="仿宋_GB2312" w:eastAsia="仿宋_GB2312" w:hAnsi="仿宋_GB2312" w:cs="仿宋_GB2312"/>
          <w:sz w:val="32"/>
          <w:szCs w:val="32"/>
        </w:rPr>
        <w:t xml:space="preserve"> 285.68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万元，主要用于保证机关正常运转的办公及印刷费、邮电费、差旅费、培训费、会议费、福利费、一般设备购置费、日常维修费、办公楼物业管理费、公务车运行维护费等支出。</w:t>
      </w:r>
    </w:p>
    <w:p w:rsidR="00622EE1" w:rsidRDefault="00622EE1" w:rsidP="00FB7ACD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四、财政拨款“三公”经费预算情况及增减变化原因</w:t>
      </w:r>
    </w:p>
    <w:p w:rsidR="00622EE1" w:rsidRDefault="00622EE1" w:rsidP="00FB7ACD">
      <w:pPr>
        <w:autoSpaceDE w:val="0"/>
        <w:autoSpaceDN w:val="0"/>
        <w:adjustRightInd w:val="0"/>
        <w:ind w:left="198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年，财政拨款“三公”经费预算安排</w:t>
      </w:r>
      <w:r>
        <w:rPr>
          <w:rFonts w:ascii="仿宋_GB2312" w:eastAsia="仿宋_GB2312" w:hAnsi="仿宋_GB2312" w:cs="仿宋_GB2312"/>
          <w:sz w:val="32"/>
          <w:szCs w:val="32"/>
        </w:rPr>
        <w:t>65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万元与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年持平，其中：因公出国（境）费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万元与上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年持平；公务用车购置及运维费</w:t>
      </w:r>
      <w:r>
        <w:rPr>
          <w:rFonts w:ascii="仿宋_GB2312" w:eastAsia="仿宋_GB2312" w:hAnsi="仿宋_GB2312" w:cs="仿宋_GB2312"/>
          <w:sz w:val="32"/>
          <w:szCs w:val="32"/>
        </w:rPr>
        <w:t>64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万元与上年持平，按照公务用车标准每车每年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万元，公务接待费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万元与上年持平。</w:t>
      </w:r>
    </w:p>
    <w:p w:rsidR="00622EE1" w:rsidRDefault="00622EE1" w:rsidP="00FB7ACD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五、绩效预算信息</w:t>
      </w:r>
      <w:r>
        <w:rPr>
          <w:rFonts w:ascii="黑体" w:eastAsia="黑体" w:hAnsi="黑体" w:cs="Times New Roman"/>
          <w:sz w:val="32"/>
          <w:szCs w:val="32"/>
        </w:rPr>
        <w:t xml:space="preserve"> </w:t>
      </w:r>
    </w:p>
    <w:p w:rsidR="00622EE1" w:rsidRDefault="00622EE1" w:rsidP="00FB7ACD">
      <w:pPr>
        <w:ind w:firstLineChars="200" w:firstLine="643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总体绩效目标：</w:t>
      </w:r>
    </w:p>
    <w:p w:rsidR="00622EE1" w:rsidRDefault="00622EE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/>
          <w:szCs w:val="21"/>
        </w:rPr>
        <w:t xml:space="preserve">      </w:t>
      </w:r>
      <w:r>
        <w:rPr>
          <w:rFonts w:ascii="方正楷体_GBK" w:eastAsia="方正楷体_GBK"/>
          <w:b/>
          <w:sz w:val="28"/>
        </w:rPr>
        <w:t xml:space="preserve">  </w:t>
      </w:r>
      <w:r>
        <w:rPr>
          <w:rFonts w:ascii="方正仿宋_GBK" w:eastAsia="方正仿宋_GBK" w:hint="eastAsia"/>
          <w:sz w:val="28"/>
        </w:rPr>
        <w:t>组成检查组对人员密集和易燃易爆场</w:t>
      </w:r>
      <w:r>
        <w:rPr>
          <w:rFonts w:ascii="方正仿宋_GBK" w:eastAsia="方正仿宋_GBK"/>
          <w:sz w:val="28"/>
        </w:rPr>
        <w:t>(</w:t>
      </w:r>
      <w:r>
        <w:rPr>
          <w:rFonts w:ascii="方正仿宋_GBK" w:eastAsia="方正仿宋_GBK" w:hint="eastAsia"/>
          <w:sz w:val="28"/>
        </w:rPr>
        <w:t>两类场所</w:t>
      </w:r>
      <w:r>
        <w:rPr>
          <w:rFonts w:ascii="方正仿宋_GBK" w:eastAsia="方正仿宋_GBK"/>
          <w:sz w:val="28"/>
        </w:rPr>
        <w:t>)</w:t>
      </w:r>
      <w:r>
        <w:rPr>
          <w:rFonts w:ascii="方正仿宋_GBK" w:eastAsia="方正仿宋_GBK" w:hint="eastAsia"/>
          <w:sz w:val="28"/>
        </w:rPr>
        <w:t>进行消防安全检查，全区范围内未发生群体死亡和受伤事件。安全生产事故控制在省、市政府下达的指标之内。进一步强化治安热点部位突出方面性下降</w:t>
      </w:r>
      <w:r>
        <w:rPr>
          <w:rFonts w:ascii="方正仿宋_GBK" w:eastAsia="方正仿宋_GBK"/>
          <w:sz w:val="28"/>
        </w:rPr>
        <w:t>20%</w:t>
      </w:r>
      <w:r>
        <w:rPr>
          <w:rFonts w:ascii="方正仿宋_GBK" w:eastAsia="方正仿宋_GBK" w:hint="eastAsia"/>
          <w:sz w:val="28"/>
        </w:rPr>
        <w:t>；进一步加大对涉黄、涉财和娱乐场所吸贩毒新型毒品违法犯罪的打击力度。</w:t>
      </w:r>
      <w:proofErr w:type="gramStart"/>
      <w:r>
        <w:rPr>
          <w:rFonts w:ascii="方正仿宋_GBK" w:eastAsia="方正仿宋_GBK" w:hint="eastAsia"/>
          <w:sz w:val="28"/>
        </w:rPr>
        <w:t>践行</w:t>
      </w:r>
      <w:proofErr w:type="gramEnd"/>
      <w:r>
        <w:rPr>
          <w:rFonts w:ascii="方正仿宋_GBK" w:eastAsia="方正仿宋_GBK"/>
          <w:sz w:val="28"/>
        </w:rPr>
        <w:t>“</w:t>
      </w:r>
      <w:r>
        <w:rPr>
          <w:rFonts w:ascii="方正仿宋_GBK" w:eastAsia="方正仿宋_GBK" w:hint="eastAsia"/>
          <w:sz w:val="28"/>
        </w:rPr>
        <w:t>立警为公、执法为民</w:t>
      </w:r>
      <w:r>
        <w:rPr>
          <w:rFonts w:ascii="方正仿宋_GBK" w:eastAsia="方正仿宋_GBK"/>
          <w:sz w:val="28"/>
        </w:rPr>
        <w:t>”</w:t>
      </w:r>
      <w:r>
        <w:rPr>
          <w:rFonts w:ascii="方正仿宋_GBK" w:eastAsia="方正仿宋_GBK" w:hint="eastAsia"/>
          <w:sz w:val="28"/>
        </w:rPr>
        <w:t>全心全意为人民服务的宗旨，大力开展</w:t>
      </w:r>
      <w:r>
        <w:rPr>
          <w:rFonts w:ascii="方正仿宋_GBK" w:eastAsia="方正仿宋_GBK"/>
          <w:sz w:val="28"/>
        </w:rPr>
        <w:t>“</w:t>
      </w:r>
      <w:r>
        <w:rPr>
          <w:rFonts w:ascii="方正仿宋_GBK" w:eastAsia="方正仿宋_GBK" w:hint="eastAsia"/>
          <w:sz w:val="28"/>
        </w:rPr>
        <w:t>公安民警大走访</w:t>
      </w:r>
      <w:r>
        <w:rPr>
          <w:rFonts w:ascii="方正仿宋_GBK" w:eastAsia="方正仿宋_GBK"/>
          <w:sz w:val="28"/>
        </w:rPr>
        <w:t>”</w:t>
      </w:r>
      <w:r>
        <w:rPr>
          <w:rFonts w:ascii="方正仿宋_GBK" w:eastAsia="方正仿宋_GBK" w:hint="eastAsia"/>
          <w:sz w:val="28"/>
        </w:rPr>
        <w:t>爱民实践活动，组织广大民警走进社区村镇，走进千家万户，为群众排忧解难，努力构建和谐警民关系，不断满足人民群众对公安工作的新期待、新要求。</w:t>
      </w:r>
      <w:r>
        <w:rPr>
          <w:rFonts w:ascii="方正楷体_GBK" w:eastAsia="方正楷体_GBK"/>
          <w:b/>
          <w:sz w:val="28"/>
        </w:rPr>
        <w:t xml:space="preserve">  </w:t>
      </w:r>
    </w:p>
    <w:p w:rsidR="00622EE1" w:rsidRDefault="00622EE1">
      <w:pPr>
        <w:ind w:firstLine="562"/>
        <w:jc w:val="left"/>
        <w:rPr>
          <w:rFonts w:ascii="方正楷体_GBK" w:eastAsia="方正楷体_GBK"/>
          <w:b/>
          <w:color w:val="000000"/>
          <w:sz w:val="28"/>
        </w:rPr>
      </w:pPr>
      <w:r>
        <w:rPr>
          <w:rFonts w:ascii="方正楷体_GBK" w:eastAsia="方正楷体_GBK" w:hint="eastAsia"/>
          <w:b/>
          <w:color w:val="000000"/>
          <w:sz w:val="28"/>
        </w:rPr>
        <w:t>职责分类绩效目标：</w:t>
      </w:r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622EE1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22EE1" w:rsidRDefault="00622EE1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622EE1">
        <w:trPr>
          <w:trHeight w:val="227"/>
          <w:tblHeader/>
          <w:jc w:val="center"/>
        </w:trPr>
        <w:tc>
          <w:tcPr>
            <w:tcW w:w="2341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622EE1">
        <w:trPr>
          <w:trHeight w:val="227"/>
          <w:tblHeader/>
          <w:jc w:val="center"/>
        </w:trPr>
        <w:tc>
          <w:tcPr>
            <w:tcW w:w="2341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社会面管控</w:t>
            </w:r>
          </w:p>
        </w:tc>
        <w:tc>
          <w:tcPr>
            <w:tcW w:w="12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组织开展巡逻防控、人口户籍管理、治安管理和出入境及外国人管理。</w:t>
            </w:r>
          </w:p>
        </w:tc>
        <w:tc>
          <w:tcPr>
            <w:tcW w:w="29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维护社会稳定，提高群众安全感和满意度。</w:t>
            </w: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治安管理</w:t>
            </w:r>
          </w:p>
        </w:tc>
        <w:tc>
          <w:tcPr>
            <w:tcW w:w="1276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指导全县派出所规范化建设、负责护城河常态化建设，对县级内部单位、行业场所、金融、</w:t>
            </w:r>
            <w:r>
              <w:rPr>
                <w:rFonts w:ascii="方正书宋_GBK" w:eastAsia="方正书宋_GBK" w:hint="eastAsia"/>
              </w:rPr>
              <w:lastRenderedPageBreak/>
              <w:t>保安、枪械、危爆物品等进行管理，指导县级治安案件查处，掌握县级治安形势。</w:t>
            </w:r>
          </w:p>
        </w:tc>
        <w:tc>
          <w:tcPr>
            <w:tcW w:w="2976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提高护城河科技化、信息化水平，提高护城河整体查控能力；减少涉及枪械及危险、爆炸物</w:t>
            </w:r>
            <w:r>
              <w:rPr>
                <w:rFonts w:ascii="方正书宋_GBK" w:eastAsia="方正书宋_GBK" w:hint="eastAsia"/>
              </w:rPr>
              <w:lastRenderedPageBreak/>
              <w:t>品的案事件发生，保障合法行业生产经营；提高内部单位整体防控能力和水平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确保全县输油气管道和电力设施平稳运行；规范全县保安服务市场；掌握全县治安形势，指导治安防范和管理，实现平安创建工作目标。</w:t>
            </w: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社区民警每月搜集情报信息情况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治安案件发案数同比增幅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旅店业实名登记</w:t>
            </w:r>
            <w:proofErr w:type="gramStart"/>
            <w:r>
              <w:rPr>
                <w:rFonts w:ascii="方正书宋_GBK" w:eastAsia="方正书宋_GBK" w:hint="eastAsia"/>
              </w:rPr>
              <w:t>上传率</w:t>
            </w:r>
            <w:proofErr w:type="gramEnd"/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98%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95%</w:t>
            </w: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公安科学技术建设</w:t>
            </w:r>
          </w:p>
        </w:tc>
        <w:tc>
          <w:tcPr>
            <w:tcW w:w="12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组织实施刑事科学技术建设。</w:t>
            </w:r>
          </w:p>
        </w:tc>
        <w:tc>
          <w:tcPr>
            <w:tcW w:w="29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提高科学技术水平，为公安机关开展业务工作提供技术支持。</w:t>
            </w: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刑事科学技术</w:t>
            </w:r>
          </w:p>
        </w:tc>
        <w:tc>
          <w:tcPr>
            <w:tcW w:w="12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参与、直接办理重特大刑事案件、治安案件、事故和灾害等现场勘查及尸体检验工作；疑难案件痕迹、生物、理化、毒化、文件、影像、电子等各类物证的检验鉴定、复核及心理测试技术工作；承担有较大影响案件的气味追踪、犯罪物证气味鉴别，以及重大活动安保、安检等任务。</w:t>
            </w:r>
          </w:p>
        </w:tc>
        <w:tc>
          <w:tcPr>
            <w:tcW w:w="29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提高鉴定准确率，有效辅助案件侦破工作。</w:t>
            </w: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检验、鉴定率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70%</w:t>
            </w: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公安政务管理</w:t>
            </w:r>
          </w:p>
        </w:tc>
        <w:tc>
          <w:tcPr>
            <w:tcW w:w="12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承担系统综合业务管理和综合事务管理。</w:t>
            </w:r>
          </w:p>
        </w:tc>
        <w:tc>
          <w:tcPr>
            <w:tcW w:w="29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确保公安各项业务顺利开展，维护社会稳定能力增强。</w:t>
            </w: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综合业务管理</w:t>
            </w:r>
          </w:p>
        </w:tc>
        <w:tc>
          <w:tcPr>
            <w:tcW w:w="1276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指导、办理劳动教养、收容教养案件审批及听证、行政复议、国家赔偿、行政诉讼案件、</w:t>
            </w:r>
            <w:proofErr w:type="gramStart"/>
            <w:r>
              <w:rPr>
                <w:rFonts w:ascii="方正书宋_GBK" w:eastAsia="方正书宋_GBK" w:hint="eastAsia"/>
              </w:rPr>
              <w:t>涉警信访</w:t>
            </w:r>
            <w:proofErr w:type="gramEnd"/>
            <w:r>
              <w:rPr>
                <w:rFonts w:ascii="方正书宋_GBK" w:eastAsia="方正书宋_GBK" w:hint="eastAsia"/>
              </w:rPr>
              <w:t>工作；组织、指导、开</w:t>
            </w:r>
            <w:r>
              <w:rPr>
                <w:rFonts w:ascii="方正书宋_GBK" w:eastAsia="方正书宋_GBK" w:hint="eastAsia"/>
              </w:rPr>
              <w:lastRenderedPageBreak/>
              <w:t>展县级公安机关警务督察和内部审计；负责指挥调度、情报分析</w:t>
            </w:r>
            <w:proofErr w:type="gramStart"/>
            <w:r>
              <w:rPr>
                <w:rFonts w:ascii="方正书宋_GBK" w:eastAsia="方正书宋_GBK" w:hint="eastAsia"/>
              </w:rPr>
              <w:t>研</w:t>
            </w:r>
            <w:proofErr w:type="gramEnd"/>
            <w:r>
              <w:rPr>
                <w:rFonts w:ascii="方正书宋_GBK" w:eastAsia="方正书宋_GBK" w:hint="eastAsia"/>
              </w:rPr>
              <w:t>判等。</w:t>
            </w:r>
          </w:p>
        </w:tc>
        <w:tc>
          <w:tcPr>
            <w:tcW w:w="2976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加大督查力度，促进民警执法规范化，妥善处理信访案件，提高群众满意度。</w:t>
            </w: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平台红色预警抓获逃犯率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执法监督率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发现问题整改率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信访案件办结率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信访案件办结率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综合事务管理</w:t>
            </w:r>
          </w:p>
        </w:tc>
        <w:tc>
          <w:tcPr>
            <w:tcW w:w="12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按照规定权限管理公安干部；开展优抚表彰；制定县级公安机关装备、被装配备标准并负责管理；负责公安业务用房建设及维护，信息化运维、公安通信勤务保障、档案管理、科研等。</w:t>
            </w:r>
          </w:p>
        </w:tc>
        <w:tc>
          <w:tcPr>
            <w:tcW w:w="29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装备、被装配备、业务用房建设符合公安部标准，，公安队伍正规化、职业化水平不断提高，整体战斗力得到有效提升，有力支撑公安工作和队伍建设科学发展。</w:t>
            </w: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各项后勤保障工作完成率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维护社会稳定和国家安全</w:t>
            </w:r>
          </w:p>
        </w:tc>
        <w:tc>
          <w:tcPr>
            <w:tcW w:w="12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、协调和督导各级各部门排查、化解影响社会稳定的重大不稳定隐患、群体性事件和突发事件。贯彻实施国家安全战略，推进国家安全法制建设，贯彻落实国家安全工作方针，研究解决涉及国家安全工作的重大问题。</w:t>
            </w:r>
          </w:p>
        </w:tc>
        <w:tc>
          <w:tcPr>
            <w:tcW w:w="2976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预防减少不稳定因素的发生，有效化解不稳定隐患、群体性事件和突发事件，维护国家安全工作。</w:t>
            </w: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协调维护社会稳定和国家安全</w:t>
            </w:r>
          </w:p>
        </w:tc>
        <w:tc>
          <w:tcPr>
            <w:tcW w:w="1276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指导、协调和督导各级各部门排查、化解影响社会稳定的重大不稳定隐患、群体性事件和突发事件及影响国家安全的事件。</w:t>
            </w:r>
          </w:p>
        </w:tc>
        <w:tc>
          <w:tcPr>
            <w:tcW w:w="2976" w:type="dxa"/>
            <w:vMerge w:val="restart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预防减少不稳定因素的发生，有效化解不稳定隐患、群体性事件和突发事件，维护国家安全工作。</w:t>
            </w: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协调督导事项化解率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622EE1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622EE1" w:rsidRDefault="00622EE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安保活动圆满完成情况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622EE1" w:rsidRDefault="00622EE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</w:tr>
    </w:tbl>
    <w:p w:rsidR="00622EE1" w:rsidRDefault="00622EE1">
      <w:pPr>
        <w:jc w:val="left"/>
        <w:rPr>
          <w:sz w:val="28"/>
        </w:rPr>
      </w:pPr>
    </w:p>
    <w:p w:rsidR="00622EE1" w:rsidRDefault="00622EE1">
      <w:pPr>
        <w:autoSpaceDE w:val="0"/>
        <w:autoSpaceDN w:val="0"/>
        <w:adjustRightIn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 xml:space="preserve">    </w:t>
      </w:r>
      <w:r>
        <w:rPr>
          <w:rFonts w:ascii="黑体" w:eastAsia="黑体" w:hAnsi="黑体" w:cs="Times New Roman" w:hint="eastAsia"/>
          <w:sz w:val="32"/>
          <w:szCs w:val="32"/>
        </w:rPr>
        <w:t>六、政府采购预算情况</w:t>
      </w:r>
    </w:p>
    <w:p w:rsidR="00622EE1" w:rsidRDefault="00622EE1" w:rsidP="001F14C4">
      <w:pPr>
        <w:jc w:val="center"/>
        <w:outlineLvl w:val="0"/>
        <w:rPr>
          <w:rFonts w:ascii="方正小标宋_GBK" w:eastAsia="方正小标宋_GBK" w:cs="Times New Roman"/>
          <w:sz w:val="32"/>
          <w:szCs w:val="32"/>
        </w:rPr>
      </w:pPr>
      <w:r>
        <w:rPr>
          <w:rFonts w:ascii="方正小标宋_GBK" w:eastAsia="方正小标宋_GBK" w:hAnsi="Times New Roman" w:cs="方正小标宋_GBK"/>
          <w:sz w:val="32"/>
          <w:szCs w:val="32"/>
        </w:rPr>
        <w:t xml:space="preserve">   </w:t>
      </w:r>
      <w:bookmarkStart w:id="1" w:name="_Toc477938938"/>
      <w:r>
        <w:rPr>
          <w:rFonts w:ascii="方正小标宋_GBK" w:eastAsia="方正小标宋_GBK" w:cs="方正小标宋_GBK" w:hint="eastAsia"/>
          <w:sz w:val="32"/>
          <w:szCs w:val="32"/>
        </w:rPr>
        <w:t>部门政府采购预算</w:t>
      </w:r>
      <w:bookmarkEnd w:id="1"/>
    </w:p>
    <w:tbl>
      <w:tblPr>
        <w:tblW w:w="153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1136"/>
        <w:gridCol w:w="940"/>
        <w:gridCol w:w="1371"/>
        <w:gridCol w:w="940"/>
        <w:gridCol w:w="940"/>
        <w:gridCol w:w="962"/>
        <w:gridCol w:w="940"/>
        <w:gridCol w:w="940"/>
        <w:gridCol w:w="940"/>
        <w:gridCol w:w="940"/>
        <w:gridCol w:w="940"/>
        <w:gridCol w:w="940"/>
        <w:gridCol w:w="885"/>
      </w:tblGrid>
      <w:tr w:rsidR="00622EE1" w:rsidTr="001728C4">
        <w:trPr>
          <w:tblHeader/>
          <w:jc w:val="center"/>
        </w:trPr>
        <w:tc>
          <w:tcPr>
            <w:tcW w:w="8832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小标宋_GBK" w:eastAsia="方正小标宋_GBK" w:cs="Times New Roman"/>
                <w:sz w:val="24"/>
                <w:szCs w:val="24"/>
              </w:rPr>
            </w:pPr>
            <w:r>
              <w:rPr>
                <w:rFonts w:ascii="方正小标宋_GBK" w:eastAsia="方正小标宋_GBK" w:cs="方正小标宋_GBK"/>
                <w:sz w:val="24"/>
                <w:szCs w:val="24"/>
              </w:rPr>
              <w:t>312002</w:t>
            </w:r>
            <w:r>
              <w:rPr>
                <w:rFonts w:ascii="方正小标宋_GBK" w:eastAsia="方正小标宋_GBK" w:cs="方正小标宋_GBK" w:hint="eastAsia"/>
                <w:sz w:val="24"/>
                <w:szCs w:val="24"/>
              </w:rPr>
              <w:t>唐山市曹妃</w:t>
            </w:r>
            <w:proofErr w:type="gramStart"/>
            <w:r>
              <w:rPr>
                <w:rFonts w:ascii="方正小标宋_GBK" w:eastAsia="方正小标宋_GBK" w:cs="方正小标宋_GBK" w:hint="eastAsia"/>
                <w:sz w:val="24"/>
                <w:szCs w:val="24"/>
              </w:rPr>
              <w:t>甸</w:t>
            </w:r>
            <w:proofErr w:type="gramEnd"/>
            <w:r>
              <w:rPr>
                <w:rFonts w:ascii="方正小标宋_GBK" w:eastAsia="方正小标宋_GBK" w:cs="方正小标宋_GBK" w:hint="eastAsia"/>
                <w:sz w:val="24"/>
                <w:szCs w:val="24"/>
              </w:rPr>
              <w:t>区公安局南堡治安分局</w:t>
            </w:r>
          </w:p>
        </w:tc>
        <w:tc>
          <w:tcPr>
            <w:tcW w:w="652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  <w:sz w:val="24"/>
                <w:szCs w:val="24"/>
              </w:rPr>
            </w:pPr>
            <w:r>
              <w:rPr>
                <w:rFonts w:ascii="方正书宋_GBK" w:eastAsia="方正书宋_GBK" w:cs="方正书宋_GBK" w:hint="eastAsia"/>
                <w:sz w:val="24"/>
                <w:szCs w:val="24"/>
              </w:rPr>
              <w:t>单位：万元</w:t>
            </w:r>
          </w:p>
        </w:tc>
      </w:tr>
      <w:tr w:rsidR="00622EE1" w:rsidTr="001728C4">
        <w:trPr>
          <w:tblHeader/>
          <w:jc w:val="center"/>
        </w:trPr>
        <w:tc>
          <w:tcPr>
            <w:tcW w:w="3679" w:type="dxa"/>
            <w:gridSpan w:val="2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政府采购项目来源</w:t>
            </w:r>
          </w:p>
        </w:tc>
        <w:tc>
          <w:tcPr>
            <w:tcW w:w="940" w:type="dxa"/>
            <w:vMerge w:val="restart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采购物品名称</w:t>
            </w:r>
          </w:p>
        </w:tc>
        <w:tc>
          <w:tcPr>
            <w:tcW w:w="1371" w:type="dxa"/>
            <w:vMerge w:val="restart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政府采购目录序号</w:t>
            </w:r>
          </w:p>
        </w:tc>
        <w:tc>
          <w:tcPr>
            <w:tcW w:w="940" w:type="dxa"/>
            <w:vMerge w:val="restart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数量</w:t>
            </w:r>
            <w:r>
              <w:rPr>
                <w:rFonts w:ascii="方正书宋_GBK" w:eastAsia="方正书宋_GBK" w:cs="方正书宋_GBK"/>
                <w:b/>
                <w:bCs/>
              </w:rPr>
              <w:t xml:space="preserve">  </w:t>
            </w:r>
            <w:r>
              <w:rPr>
                <w:rFonts w:ascii="方正书宋_GBK" w:eastAsia="方正书宋_GBK" w:cs="方正书宋_GBK" w:hint="eastAsia"/>
                <w:b/>
                <w:bCs/>
              </w:rPr>
              <w:t>单位</w:t>
            </w:r>
          </w:p>
        </w:tc>
        <w:tc>
          <w:tcPr>
            <w:tcW w:w="940" w:type="dxa"/>
            <w:vMerge w:val="restart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数量</w:t>
            </w:r>
          </w:p>
        </w:tc>
        <w:tc>
          <w:tcPr>
            <w:tcW w:w="962" w:type="dxa"/>
            <w:vMerge w:val="restart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单价</w:t>
            </w:r>
          </w:p>
        </w:tc>
        <w:tc>
          <w:tcPr>
            <w:tcW w:w="6525" w:type="dxa"/>
            <w:gridSpan w:val="7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政府采购金额</w:t>
            </w:r>
          </w:p>
        </w:tc>
      </w:tr>
      <w:tr w:rsidR="00622EE1" w:rsidTr="001728C4">
        <w:trPr>
          <w:tblHeader/>
          <w:jc w:val="center"/>
        </w:trPr>
        <w:tc>
          <w:tcPr>
            <w:tcW w:w="2543" w:type="dxa"/>
            <w:vMerge w:val="restart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项目名称</w:t>
            </w:r>
          </w:p>
        </w:tc>
        <w:tc>
          <w:tcPr>
            <w:tcW w:w="1136" w:type="dxa"/>
            <w:vMerge w:val="restart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预算资金</w:t>
            </w:r>
          </w:p>
        </w:tc>
        <w:tc>
          <w:tcPr>
            <w:tcW w:w="940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1371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62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总计</w:t>
            </w:r>
          </w:p>
        </w:tc>
        <w:tc>
          <w:tcPr>
            <w:tcW w:w="4700" w:type="dxa"/>
            <w:gridSpan w:val="5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当年部门预算安排资金</w:t>
            </w:r>
          </w:p>
        </w:tc>
        <w:tc>
          <w:tcPr>
            <w:tcW w:w="885" w:type="dxa"/>
            <w:vMerge w:val="restart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其他渠道资金</w:t>
            </w:r>
          </w:p>
        </w:tc>
      </w:tr>
      <w:tr w:rsidR="00622EE1" w:rsidTr="001728C4">
        <w:trPr>
          <w:tblHeader/>
          <w:jc w:val="center"/>
        </w:trPr>
        <w:tc>
          <w:tcPr>
            <w:tcW w:w="2543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1136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1371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62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合计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一般公共预算拨款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基金预算拨款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财政专户核拨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其他来源收入</w:t>
            </w:r>
          </w:p>
        </w:tc>
        <w:tc>
          <w:tcPr>
            <w:tcW w:w="885" w:type="dxa"/>
            <w:vMerge/>
            <w:vAlign w:val="center"/>
          </w:tcPr>
          <w:p w:rsidR="00622EE1" w:rsidRDefault="00622EE1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</w:tr>
      <w:tr w:rsidR="00622EE1" w:rsidTr="001728C4">
        <w:trPr>
          <w:jc w:val="center"/>
        </w:trPr>
        <w:tc>
          <w:tcPr>
            <w:tcW w:w="2543" w:type="dxa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合　计</w:t>
            </w:r>
          </w:p>
        </w:tc>
        <w:tc>
          <w:tcPr>
            <w:tcW w:w="1136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Times New Roman"/>
                <w:b/>
                <w:bCs/>
              </w:rPr>
              <w:t>59.45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1371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Times New Roman"/>
                <w:b/>
                <w:bCs/>
              </w:rPr>
              <w:t>1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Times New Roman"/>
                <w:b/>
                <w:bCs/>
              </w:rPr>
              <w:t>1</w:t>
            </w:r>
          </w:p>
        </w:tc>
        <w:tc>
          <w:tcPr>
            <w:tcW w:w="962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Times New Roman"/>
                <w:b/>
                <w:bCs/>
              </w:rPr>
              <w:t>59.45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  <w:r>
              <w:rPr>
                <w:rFonts w:ascii="方正书宋_GBK" w:eastAsia="方正书宋_GBK" w:cs="方正书宋_GBK"/>
                <w:b/>
                <w:bCs/>
              </w:rPr>
              <w:t>59.45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  <w:r>
              <w:rPr>
                <w:rFonts w:ascii="方正书宋_GBK" w:eastAsia="方正书宋_GBK" w:cs="方正书宋_GBK"/>
                <w:b/>
                <w:bCs/>
              </w:rPr>
              <w:t>59.45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885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</w:tr>
      <w:tr w:rsidR="00622EE1" w:rsidTr="001728C4">
        <w:trPr>
          <w:jc w:val="center"/>
        </w:trPr>
        <w:tc>
          <w:tcPr>
            <w:tcW w:w="2543" w:type="dxa"/>
            <w:vAlign w:val="center"/>
          </w:tcPr>
          <w:p w:rsidR="00622EE1" w:rsidRDefault="00622EE1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小计</w:t>
            </w:r>
          </w:p>
        </w:tc>
        <w:tc>
          <w:tcPr>
            <w:tcW w:w="1136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Times New Roman"/>
                <w:b/>
                <w:bCs/>
              </w:rPr>
              <w:t>59.45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1371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Times New Roman"/>
                <w:b/>
                <w:bCs/>
              </w:rPr>
              <w:t>1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Times New Roman"/>
                <w:b/>
                <w:bCs/>
              </w:rPr>
              <w:t>1</w:t>
            </w:r>
          </w:p>
        </w:tc>
        <w:tc>
          <w:tcPr>
            <w:tcW w:w="962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Times New Roman"/>
                <w:b/>
                <w:bCs/>
              </w:rPr>
              <w:t>59.45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  <w:r>
              <w:rPr>
                <w:rFonts w:ascii="方正书宋_GBK" w:eastAsia="方正书宋_GBK" w:cs="方正书宋_GBK"/>
                <w:b/>
                <w:bCs/>
              </w:rPr>
              <w:t>59.45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  <w:r>
              <w:rPr>
                <w:rFonts w:ascii="方正书宋_GBK" w:eastAsia="方正书宋_GBK" w:cs="方正书宋_GBK"/>
                <w:b/>
                <w:bCs/>
              </w:rPr>
              <w:t>59.45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885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</w:tr>
      <w:tr w:rsidR="00622EE1" w:rsidTr="001728C4">
        <w:trPr>
          <w:jc w:val="center"/>
        </w:trPr>
        <w:tc>
          <w:tcPr>
            <w:tcW w:w="2543" w:type="dxa"/>
            <w:vAlign w:val="center"/>
          </w:tcPr>
          <w:p w:rsidR="00622EE1" w:rsidRPr="00AB5AF3" w:rsidRDefault="00622EE1" w:rsidP="00DA19FD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Times New Roman" w:hint="eastAsia"/>
              </w:rPr>
              <w:t>项目费用</w:t>
            </w:r>
          </w:p>
        </w:tc>
        <w:tc>
          <w:tcPr>
            <w:tcW w:w="1136" w:type="dxa"/>
            <w:vAlign w:val="center"/>
          </w:tcPr>
          <w:p w:rsidR="00622EE1" w:rsidRDefault="00622EE1" w:rsidP="00DA19FD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59.45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proofErr w:type="gramStart"/>
            <w:r w:rsidRPr="00AB5AF3">
              <w:rPr>
                <w:rFonts w:ascii="方正书宋_GBK" w:eastAsia="方正书宋_GBK" w:cs="Times New Roman" w:hint="eastAsia"/>
              </w:rPr>
              <w:t>南盐派出所</w:t>
            </w:r>
            <w:proofErr w:type="gramEnd"/>
            <w:r w:rsidRPr="00AB5AF3">
              <w:rPr>
                <w:rFonts w:ascii="方正书宋_GBK" w:eastAsia="方正书宋_GBK" w:cs="Times New Roman" w:hint="eastAsia"/>
              </w:rPr>
              <w:t>建设费</w:t>
            </w:r>
          </w:p>
        </w:tc>
        <w:tc>
          <w:tcPr>
            <w:tcW w:w="1371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Times New Roman"/>
              </w:rPr>
              <w:t>B010401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Times New Roman"/>
              </w:rPr>
              <w:t>1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Times New Roman"/>
              </w:rPr>
              <w:t>1</w:t>
            </w:r>
          </w:p>
        </w:tc>
        <w:tc>
          <w:tcPr>
            <w:tcW w:w="962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Times New Roman"/>
              </w:rPr>
              <w:t>59.45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59.45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59.45</w:t>
            </w: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622EE1" w:rsidTr="001728C4">
        <w:trPr>
          <w:jc w:val="center"/>
        </w:trPr>
        <w:tc>
          <w:tcPr>
            <w:tcW w:w="2543" w:type="dxa"/>
            <w:vAlign w:val="center"/>
          </w:tcPr>
          <w:p w:rsidR="00622EE1" w:rsidRPr="00AB5AF3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136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371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62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622EE1" w:rsidTr="001728C4">
        <w:trPr>
          <w:jc w:val="center"/>
        </w:trPr>
        <w:tc>
          <w:tcPr>
            <w:tcW w:w="2543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136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371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62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622EE1" w:rsidTr="001728C4">
        <w:trPr>
          <w:jc w:val="center"/>
        </w:trPr>
        <w:tc>
          <w:tcPr>
            <w:tcW w:w="2543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136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371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62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622EE1" w:rsidTr="001728C4">
        <w:trPr>
          <w:jc w:val="center"/>
        </w:trPr>
        <w:tc>
          <w:tcPr>
            <w:tcW w:w="2543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136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371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62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622EE1" w:rsidTr="001728C4">
        <w:trPr>
          <w:jc w:val="center"/>
        </w:trPr>
        <w:tc>
          <w:tcPr>
            <w:tcW w:w="2543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136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371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62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622EE1" w:rsidTr="001728C4">
        <w:trPr>
          <w:jc w:val="center"/>
        </w:trPr>
        <w:tc>
          <w:tcPr>
            <w:tcW w:w="2543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136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371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62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622EE1" w:rsidTr="001728C4">
        <w:trPr>
          <w:jc w:val="center"/>
        </w:trPr>
        <w:tc>
          <w:tcPr>
            <w:tcW w:w="2543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136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371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62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622EE1" w:rsidRDefault="00622EE1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</w:tbl>
    <w:p w:rsidR="00622EE1" w:rsidRDefault="00622EE1" w:rsidP="001F14C4">
      <w:pPr>
        <w:spacing w:line="300" w:lineRule="exact"/>
        <w:jc w:val="left"/>
        <w:outlineLvl w:val="0"/>
        <w:rPr>
          <w:rFonts w:cs="Times New Roman"/>
        </w:rPr>
        <w:sectPr w:rsidR="00622EE1">
          <w:pgSz w:w="16839" w:h="11907" w:orient="landscape"/>
          <w:pgMar w:top="1361" w:right="1020" w:bottom="1361" w:left="1020" w:header="851" w:footer="992" w:gutter="0"/>
          <w:cols w:space="720"/>
          <w:docGrid w:type="lines" w:linePitch="312"/>
        </w:sectPr>
      </w:pPr>
    </w:p>
    <w:p w:rsidR="00622EE1" w:rsidRDefault="00622EE1" w:rsidP="001F14C4">
      <w:pPr>
        <w:jc w:val="left"/>
        <w:rPr>
          <w:rFonts w:cs="Times New Roman"/>
        </w:rPr>
      </w:pPr>
    </w:p>
    <w:p w:rsidR="00622EE1" w:rsidRDefault="00622EE1" w:rsidP="001F14C4">
      <w:pPr>
        <w:outlineLvl w:val="0"/>
      </w:pPr>
      <w:r>
        <w:rPr>
          <w:sz w:val="28"/>
        </w:rPr>
        <w:t xml:space="preserve">      </w:t>
      </w:r>
      <w:r>
        <w:t xml:space="preserve">                                                </w:t>
      </w:r>
    </w:p>
    <w:p w:rsidR="00622EE1" w:rsidRDefault="00622EE1">
      <w:pPr>
        <w:autoSpaceDE w:val="0"/>
        <w:autoSpaceDN w:val="0"/>
        <w:adjustRightIn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 xml:space="preserve">    </w:t>
      </w:r>
      <w:r>
        <w:rPr>
          <w:rFonts w:ascii="黑体" w:eastAsia="黑体" w:hAnsi="黑体" w:cs="Times New Roman" w:hint="eastAsia"/>
          <w:sz w:val="32"/>
          <w:szCs w:val="32"/>
        </w:rPr>
        <w:t>七、国有资产信息</w:t>
      </w:r>
    </w:p>
    <w:p w:rsidR="00622EE1" w:rsidRDefault="00622EE1">
      <w:pPr>
        <w:ind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上年末固定资产金额为</w:t>
      </w:r>
      <w:r w:rsidRPr="001A7215">
        <w:rPr>
          <w:rFonts w:ascii="仿宋_GB2312" w:eastAsia="仿宋_GB2312" w:hAnsi="黑体" w:cs="Times New Roman"/>
          <w:sz w:val="32"/>
          <w:szCs w:val="32"/>
        </w:rPr>
        <w:t>11</w:t>
      </w:r>
      <w:r>
        <w:rPr>
          <w:rFonts w:ascii="仿宋_GB2312" w:eastAsia="仿宋_GB2312" w:hAnsi="黑体" w:cs="Times New Roman"/>
          <w:sz w:val="32"/>
          <w:szCs w:val="32"/>
        </w:rPr>
        <w:t>368863.76</w:t>
      </w:r>
      <w:r>
        <w:rPr>
          <w:rFonts w:ascii="仿宋_GB2312" w:eastAsia="仿宋_GB2312" w:hAnsi="黑体" w:cs="Times New Roman" w:hint="eastAsia"/>
          <w:sz w:val="32"/>
          <w:szCs w:val="32"/>
        </w:rPr>
        <w:t>万元（详见下表），本年度拟购置固定资产主要为电脑、打印机等办公设备，共计</w:t>
      </w:r>
      <w:r>
        <w:rPr>
          <w:rFonts w:ascii="仿宋_GB2312" w:eastAsia="仿宋_GB2312" w:hAnsi="黑体" w:cs="Times New Roman"/>
          <w:sz w:val="32"/>
          <w:szCs w:val="32"/>
        </w:rPr>
        <w:t xml:space="preserve"> 13</w:t>
      </w:r>
      <w:r>
        <w:rPr>
          <w:rFonts w:ascii="仿宋_GB2312" w:eastAsia="仿宋_GB2312" w:hAnsi="黑体" w:cs="Times New Roman" w:hint="eastAsia"/>
          <w:sz w:val="32"/>
          <w:szCs w:val="32"/>
        </w:rPr>
        <w:t>万元。</w:t>
      </w:r>
    </w:p>
    <w:p w:rsidR="00622EE1" w:rsidRDefault="00622EE1">
      <w:pPr>
        <w:ind w:firstLine="640"/>
        <w:rPr>
          <w:rFonts w:ascii="仿宋_GB2312" w:eastAsia="仿宋_GB2312" w:hAnsi="黑体" w:cs="Times New Roman"/>
          <w:color w:val="FF0000"/>
          <w:sz w:val="32"/>
          <w:szCs w:val="32"/>
        </w:rPr>
      </w:pPr>
    </w:p>
    <w:tbl>
      <w:tblPr>
        <w:tblW w:w="1348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24"/>
        <w:gridCol w:w="3155"/>
        <w:gridCol w:w="5103"/>
      </w:tblGrid>
      <w:tr w:rsidR="00622EE1">
        <w:trPr>
          <w:trHeight w:val="705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唐山市曹妃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甸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区公安局南堡治安分局部门固定资产占用情况表</w:t>
            </w:r>
          </w:p>
        </w:tc>
      </w:tr>
      <w:tr w:rsidR="00622EE1">
        <w:trPr>
          <w:trHeight w:val="51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EE1" w:rsidRDefault="00622EE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编制部门：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EE1" w:rsidRDefault="00622EE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截止时间：</w:t>
            </w:r>
            <w:r>
              <w:rPr>
                <w:rFonts w:ascii="宋体" w:hAnsi="宋体" w:cs="宋体"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>31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</w:p>
        </w:tc>
      </w:tr>
      <w:tr w:rsidR="00622EE1">
        <w:trPr>
          <w:trHeight w:val="64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目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622EE1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12018872.36</w:t>
            </w:r>
          </w:p>
        </w:tc>
      </w:tr>
      <w:tr w:rsidR="00622EE1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1183.96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2491592.32 </w:t>
            </w:r>
          </w:p>
        </w:tc>
      </w:tr>
      <w:tr w:rsidR="00622EE1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1183.96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2491592.32 </w:t>
            </w:r>
          </w:p>
        </w:tc>
      </w:tr>
      <w:tr w:rsidR="00622EE1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2684731.33</w:t>
            </w:r>
          </w:p>
        </w:tc>
      </w:tr>
      <w:tr w:rsidR="00622EE1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、单价在</w:t>
            </w:r>
            <w:r>
              <w:rPr>
                <w:rFonts w:ascii="宋体" w:hAnsi="宋体" w:cs="宋体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2"/>
              </w:rPr>
              <w:t>万元以上设备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0</w:t>
            </w:r>
          </w:p>
        </w:tc>
      </w:tr>
      <w:tr w:rsidR="00622EE1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lastRenderedPageBreak/>
              <w:t>4</w:t>
            </w:r>
            <w:r>
              <w:rPr>
                <w:rFonts w:ascii="宋体" w:hAnsi="宋体" w:cs="宋体" w:hint="eastAsia"/>
                <w:kern w:val="0"/>
                <w:sz w:val="22"/>
              </w:rPr>
              <w:t>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E1" w:rsidRDefault="00622EE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6842548.71</w:t>
            </w:r>
          </w:p>
        </w:tc>
      </w:tr>
    </w:tbl>
    <w:p w:rsidR="00622EE1" w:rsidRDefault="00622EE1">
      <w:pPr>
        <w:rPr>
          <w:rFonts w:ascii="仿宋_GB2312" w:eastAsia="仿宋_GB2312" w:hAnsi="黑体" w:cs="Times New Roman"/>
          <w:sz w:val="32"/>
          <w:szCs w:val="32"/>
        </w:rPr>
      </w:pPr>
    </w:p>
    <w:p w:rsidR="00622EE1" w:rsidRDefault="00622EE1" w:rsidP="00FB7ACD">
      <w:pPr>
        <w:numPr>
          <w:ilvl w:val="0"/>
          <w:numId w:val="4"/>
        </w:num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名词解释</w:t>
      </w:r>
    </w:p>
    <w:p w:rsidR="00622EE1" w:rsidRDefault="00622EE1" w:rsidP="00FB7ACD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、一般预算收入：省级财政当年拨付的资金。</w:t>
      </w:r>
    </w:p>
    <w:p w:rsidR="00622EE1" w:rsidRDefault="00622EE1" w:rsidP="00FB7ACD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、基本支出：为保障机构正常运转，完成日常工作任务，而发生的人员支出和公用支出。</w:t>
      </w:r>
    </w:p>
    <w:p w:rsidR="00622EE1" w:rsidRDefault="00622EE1" w:rsidP="00FB7ACD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、项目支出：是指在基本支出之外，为完成特定行政任务和事业发展目标，而发生的支出。</w:t>
      </w:r>
    </w:p>
    <w:p w:rsidR="00622EE1" w:rsidRDefault="00622EE1" w:rsidP="00FB7ACD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费：是指为保证行政单位（包括参照公务员管理的事业单位）运行，用于购买货物和服务的各项资金。主要包括：办公费、印刷费，水费、电费、邮电费、福利费、日常维修费、办公物业服务费、公务车运行维护费等。</w:t>
      </w:r>
    </w:p>
    <w:p w:rsidR="00622EE1" w:rsidRDefault="00622EE1" w:rsidP="00FB7ACD">
      <w:pPr>
        <w:autoSpaceDE w:val="0"/>
        <w:autoSpaceDN w:val="0"/>
        <w:adjustRightInd w:val="0"/>
        <w:ind w:leftChars="200" w:left="420" w:firstLineChars="200" w:firstLine="643"/>
        <w:jc w:val="left"/>
        <w:rPr>
          <w:rFonts w:ascii="宋体-方正超大字符集" w:eastAsia="宋体-方正超大字符集" w:hAnsi="宋体-方正超大字符集" w:cs="宋体-方正超大字符集"/>
          <w:b/>
          <w:bCs/>
          <w:sz w:val="32"/>
          <w:szCs w:val="32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2"/>
          <w:szCs w:val="32"/>
        </w:rPr>
        <w:t>九、其他需要说明的事项</w:t>
      </w:r>
    </w:p>
    <w:p w:rsidR="00622EE1" w:rsidRDefault="00622EE1" w:rsidP="00FB7ACD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622EE1" w:rsidRDefault="00622EE1">
      <w:pPr>
        <w:pStyle w:val="a6"/>
        <w:jc w:val="both"/>
      </w:pPr>
      <w:r>
        <w:rPr>
          <w:sz w:val="28"/>
        </w:rPr>
        <w:t xml:space="preserve">         </w:t>
      </w:r>
      <w:r>
        <w:t xml:space="preserve">                                                </w:t>
      </w:r>
    </w:p>
    <w:p w:rsidR="00622EE1" w:rsidRDefault="00622EE1">
      <w:pPr>
        <w:rPr>
          <w:rFonts w:ascii="仿宋_GB2312" w:eastAsia="仿宋_GB2312" w:hAnsi="仿宋_GB2312" w:cs="仿宋_GB2312"/>
          <w:sz w:val="32"/>
          <w:szCs w:val="32"/>
        </w:rPr>
      </w:pPr>
    </w:p>
    <w:sectPr w:rsidR="00622EE1" w:rsidSect="00F17490">
      <w:pgSz w:w="16838" w:h="11906" w:orient="landscape"/>
      <w:pgMar w:top="1463" w:right="1270" w:bottom="1463" w:left="127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-方正超大字符集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8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909A0EE"/>
    <w:multiLevelType w:val="singleLevel"/>
    <w:tmpl w:val="5909A0E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909A57E"/>
    <w:multiLevelType w:val="singleLevel"/>
    <w:tmpl w:val="5909A57E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25B3"/>
    <w:rsid w:val="00064A70"/>
    <w:rsid w:val="000C7642"/>
    <w:rsid w:val="0013031E"/>
    <w:rsid w:val="00147675"/>
    <w:rsid w:val="00163382"/>
    <w:rsid w:val="001728C4"/>
    <w:rsid w:val="00172A27"/>
    <w:rsid w:val="001A7215"/>
    <w:rsid w:val="001B1866"/>
    <w:rsid w:val="001F14C4"/>
    <w:rsid w:val="00237E24"/>
    <w:rsid w:val="00281C7A"/>
    <w:rsid w:val="002A6B5D"/>
    <w:rsid w:val="002A6C23"/>
    <w:rsid w:val="002C66B8"/>
    <w:rsid w:val="002E2D15"/>
    <w:rsid w:val="00323B72"/>
    <w:rsid w:val="00337BAE"/>
    <w:rsid w:val="0034000E"/>
    <w:rsid w:val="003536BD"/>
    <w:rsid w:val="0038528B"/>
    <w:rsid w:val="003A2C1F"/>
    <w:rsid w:val="003B7A46"/>
    <w:rsid w:val="0042126F"/>
    <w:rsid w:val="00421E0E"/>
    <w:rsid w:val="00422301"/>
    <w:rsid w:val="00431EAD"/>
    <w:rsid w:val="004661D8"/>
    <w:rsid w:val="004D2219"/>
    <w:rsid w:val="004D55AE"/>
    <w:rsid w:val="004D727A"/>
    <w:rsid w:val="004F6955"/>
    <w:rsid w:val="00523595"/>
    <w:rsid w:val="00532413"/>
    <w:rsid w:val="005352A9"/>
    <w:rsid w:val="00551EA9"/>
    <w:rsid w:val="005B16F8"/>
    <w:rsid w:val="00610D85"/>
    <w:rsid w:val="00622416"/>
    <w:rsid w:val="00622EE1"/>
    <w:rsid w:val="006710CB"/>
    <w:rsid w:val="00685967"/>
    <w:rsid w:val="006C2138"/>
    <w:rsid w:val="007061F9"/>
    <w:rsid w:val="007522F7"/>
    <w:rsid w:val="00791674"/>
    <w:rsid w:val="007E3B5A"/>
    <w:rsid w:val="0080170E"/>
    <w:rsid w:val="008161ED"/>
    <w:rsid w:val="00820948"/>
    <w:rsid w:val="0085366C"/>
    <w:rsid w:val="008B7D74"/>
    <w:rsid w:val="008D3D52"/>
    <w:rsid w:val="008F2679"/>
    <w:rsid w:val="008F34F3"/>
    <w:rsid w:val="00922F1E"/>
    <w:rsid w:val="009512B6"/>
    <w:rsid w:val="0096750B"/>
    <w:rsid w:val="00993705"/>
    <w:rsid w:val="00A07D1D"/>
    <w:rsid w:val="00A62A88"/>
    <w:rsid w:val="00AB5AF3"/>
    <w:rsid w:val="00AE02D8"/>
    <w:rsid w:val="00AE4A4E"/>
    <w:rsid w:val="00B50AAE"/>
    <w:rsid w:val="00BE310D"/>
    <w:rsid w:val="00CD5296"/>
    <w:rsid w:val="00D562E9"/>
    <w:rsid w:val="00DA19FD"/>
    <w:rsid w:val="00DA69E5"/>
    <w:rsid w:val="00DE5EC3"/>
    <w:rsid w:val="00DF613C"/>
    <w:rsid w:val="00E26A9F"/>
    <w:rsid w:val="00E40335"/>
    <w:rsid w:val="00E52A32"/>
    <w:rsid w:val="00EE6D3D"/>
    <w:rsid w:val="00EF262F"/>
    <w:rsid w:val="00F11F08"/>
    <w:rsid w:val="00F11F40"/>
    <w:rsid w:val="00F17490"/>
    <w:rsid w:val="00F209A8"/>
    <w:rsid w:val="00F61DE2"/>
    <w:rsid w:val="00F6300B"/>
    <w:rsid w:val="00F76756"/>
    <w:rsid w:val="00FB7ACD"/>
    <w:rsid w:val="00FC02B4"/>
    <w:rsid w:val="00FE598E"/>
    <w:rsid w:val="02335EF2"/>
    <w:rsid w:val="081465EC"/>
    <w:rsid w:val="08B872E5"/>
    <w:rsid w:val="0C6F0D5B"/>
    <w:rsid w:val="0D3D7863"/>
    <w:rsid w:val="11B14DCE"/>
    <w:rsid w:val="11BD51BB"/>
    <w:rsid w:val="13FE75A2"/>
    <w:rsid w:val="14A97FDE"/>
    <w:rsid w:val="16946C32"/>
    <w:rsid w:val="173E1959"/>
    <w:rsid w:val="17861D50"/>
    <w:rsid w:val="17B27C12"/>
    <w:rsid w:val="182B5206"/>
    <w:rsid w:val="183C475B"/>
    <w:rsid w:val="18E406CF"/>
    <w:rsid w:val="1A6C0E84"/>
    <w:rsid w:val="1A7C3068"/>
    <w:rsid w:val="1B6C046B"/>
    <w:rsid w:val="1C6D28A3"/>
    <w:rsid w:val="1CC5044C"/>
    <w:rsid w:val="1DC43078"/>
    <w:rsid w:val="1F436A91"/>
    <w:rsid w:val="20490F69"/>
    <w:rsid w:val="20880B42"/>
    <w:rsid w:val="20D06600"/>
    <w:rsid w:val="2434027F"/>
    <w:rsid w:val="253476E6"/>
    <w:rsid w:val="2573511A"/>
    <w:rsid w:val="268A0753"/>
    <w:rsid w:val="26A175C9"/>
    <w:rsid w:val="26B55F79"/>
    <w:rsid w:val="2B2D036C"/>
    <w:rsid w:val="2C343CEB"/>
    <w:rsid w:val="2C973BA3"/>
    <w:rsid w:val="2C984BAB"/>
    <w:rsid w:val="2CD91EE1"/>
    <w:rsid w:val="2D3D47D0"/>
    <w:rsid w:val="2D9F209F"/>
    <w:rsid w:val="2DFA07EA"/>
    <w:rsid w:val="2FAF2DC0"/>
    <w:rsid w:val="36294FF2"/>
    <w:rsid w:val="37346343"/>
    <w:rsid w:val="376059F1"/>
    <w:rsid w:val="38873BD7"/>
    <w:rsid w:val="396560E5"/>
    <w:rsid w:val="39B624A1"/>
    <w:rsid w:val="3B9D05E2"/>
    <w:rsid w:val="3B9D3F7B"/>
    <w:rsid w:val="3BC06A63"/>
    <w:rsid w:val="3F675A63"/>
    <w:rsid w:val="417B1318"/>
    <w:rsid w:val="42646472"/>
    <w:rsid w:val="460974D0"/>
    <w:rsid w:val="477E5776"/>
    <w:rsid w:val="47E52DBD"/>
    <w:rsid w:val="4D3E17D2"/>
    <w:rsid w:val="4D667939"/>
    <w:rsid w:val="4D9E5CE2"/>
    <w:rsid w:val="4DFF5EA5"/>
    <w:rsid w:val="4F762266"/>
    <w:rsid w:val="4F9F0743"/>
    <w:rsid w:val="507B57E7"/>
    <w:rsid w:val="516D3442"/>
    <w:rsid w:val="525A132C"/>
    <w:rsid w:val="52F74406"/>
    <w:rsid w:val="53934B54"/>
    <w:rsid w:val="56412769"/>
    <w:rsid w:val="56751EEF"/>
    <w:rsid w:val="56A439CF"/>
    <w:rsid w:val="588958A6"/>
    <w:rsid w:val="5BDA6008"/>
    <w:rsid w:val="5C5C3E00"/>
    <w:rsid w:val="5CF32068"/>
    <w:rsid w:val="6058645E"/>
    <w:rsid w:val="61AB5264"/>
    <w:rsid w:val="630F785A"/>
    <w:rsid w:val="67C9021A"/>
    <w:rsid w:val="6B1E69FE"/>
    <w:rsid w:val="6BDC690F"/>
    <w:rsid w:val="6BF81301"/>
    <w:rsid w:val="6D8F4191"/>
    <w:rsid w:val="6F123BFA"/>
    <w:rsid w:val="712552E9"/>
    <w:rsid w:val="779F354D"/>
    <w:rsid w:val="7944331F"/>
    <w:rsid w:val="79522814"/>
    <w:rsid w:val="798E53E1"/>
    <w:rsid w:val="7ACC0771"/>
    <w:rsid w:val="7AEC23D6"/>
    <w:rsid w:val="7BBC722B"/>
    <w:rsid w:val="7C9A7756"/>
    <w:rsid w:val="7F7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174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4D2219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F1749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F1749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17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17490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99"/>
    <w:rsid w:val="00F17490"/>
    <w:rPr>
      <w:rFonts w:ascii="Times New Roman" w:hAnsi="Times New Roman" w:cs="Times New Roman"/>
      <w:szCs w:val="24"/>
    </w:rPr>
  </w:style>
  <w:style w:type="paragraph" w:styleId="2">
    <w:name w:val="toc 2"/>
    <w:basedOn w:val="a"/>
    <w:next w:val="a"/>
    <w:uiPriority w:val="99"/>
    <w:rsid w:val="00F17490"/>
    <w:pPr>
      <w:ind w:leftChars="200" w:left="420"/>
    </w:pPr>
    <w:rPr>
      <w:rFonts w:ascii="Times New Roman" w:hAnsi="Times New Roman" w:cs="Times New Roman"/>
      <w:szCs w:val="24"/>
    </w:rPr>
  </w:style>
  <w:style w:type="paragraph" w:styleId="a5">
    <w:name w:val="Normal (Web)"/>
    <w:basedOn w:val="a"/>
    <w:uiPriority w:val="99"/>
    <w:rsid w:val="00F174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99"/>
    <w:qFormat/>
    <w:rsid w:val="00F1749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"/>
    <w:link w:val="a6"/>
    <w:uiPriority w:val="99"/>
    <w:locked/>
    <w:rsid w:val="004D2219"/>
    <w:rPr>
      <w:rFonts w:ascii="Cambria" w:hAnsi="Cambria" w:cs="Times New Roman"/>
      <w:b/>
      <w:bCs/>
      <w:sz w:val="32"/>
      <w:szCs w:val="32"/>
    </w:rPr>
  </w:style>
  <w:style w:type="character" w:styleId="a7">
    <w:name w:val="Hyperlink"/>
    <w:uiPriority w:val="99"/>
    <w:rsid w:val="00F17490"/>
    <w:rPr>
      <w:rFonts w:cs="Times New Roman"/>
      <w:color w:val="0000FF"/>
      <w:u w:val="single"/>
    </w:rPr>
  </w:style>
  <w:style w:type="character" w:customStyle="1" w:styleId="11">
    <w:name w:val="页码1"/>
    <w:uiPriority w:val="99"/>
    <w:rsid w:val="00F17490"/>
    <w:rPr>
      <w:rFonts w:cs="Times New Roman"/>
    </w:rPr>
  </w:style>
  <w:style w:type="character" w:customStyle="1" w:styleId="font11">
    <w:name w:val="font11"/>
    <w:uiPriority w:val="99"/>
    <w:rsid w:val="00F17490"/>
    <w:rPr>
      <w:rFonts w:ascii="宋体" w:eastAsia="宋体" w:hAnsi="宋体" w:cs="宋体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6877</TotalTime>
  <Pages>8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guest</dc:creator>
  <cp:keywords/>
  <dc:description/>
  <cp:lastModifiedBy>china</cp:lastModifiedBy>
  <cp:revision>16</cp:revision>
  <cp:lastPrinted>2017-05-03T09:08:00Z</cp:lastPrinted>
  <dcterms:created xsi:type="dcterms:W3CDTF">2019-04-10T03:22:00Z</dcterms:created>
  <dcterms:modified xsi:type="dcterms:W3CDTF">2021-07-22T02:03:00Z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