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rPr>
          <w:rFonts w:ascii="新宋体" w:hAnsi="新宋体" w:eastAsia="新宋体"/>
          <w:sz w:val="44"/>
          <w:szCs w:val="44"/>
          <w:lang w:val="zh-CN"/>
        </w:rPr>
      </w:pPr>
    </w:p>
    <w:p>
      <w:pPr>
        <w:spacing w:line="480" w:lineRule="exact"/>
        <w:jc w:val="center"/>
        <w:rPr>
          <w:rFonts w:ascii="新宋体" w:hAnsi="新宋体" w:eastAsia="新宋体"/>
          <w:b/>
          <w:bCs/>
          <w:sz w:val="72"/>
          <w:szCs w:val="72"/>
        </w:rPr>
      </w:pPr>
    </w:p>
    <w:p>
      <w:pPr>
        <w:adjustRightInd w:val="0"/>
        <w:snapToGrid w:val="0"/>
        <w:spacing w:line="360" w:lineRule="auto"/>
        <w:jc w:val="center"/>
        <w:rPr>
          <w:rFonts w:hint="eastAsia" w:ascii="新宋体" w:hAnsi="新宋体" w:eastAsia="新宋体" w:cs="新宋体"/>
          <w:b/>
          <w:bCs/>
          <w:sz w:val="52"/>
          <w:szCs w:val="52"/>
          <w:lang w:eastAsia="zh-CN"/>
        </w:rPr>
      </w:pPr>
      <w:r>
        <w:rPr>
          <w:rFonts w:hint="eastAsia" w:ascii="新宋体" w:hAnsi="新宋体" w:eastAsia="新宋体" w:cs="新宋体"/>
          <w:b/>
          <w:bCs/>
          <w:sz w:val="52"/>
          <w:szCs w:val="52"/>
          <w:lang w:eastAsia="zh-CN"/>
        </w:rPr>
        <w:t>一品江山二次加压设备采购</w:t>
      </w:r>
    </w:p>
    <w:p>
      <w:pPr>
        <w:spacing w:line="480" w:lineRule="exact"/>
        <w:jc w:val="center"/>
        <w:rPr>
          <w:rFonts w:ascii="新宋体" w:hAnsi="新宋体" w:eastAsia="新宋体"/>
          <w:b/>
          <w:bCs/>
          <w:sz w:val="26"/>
          <w:szCs w:val="26"/>
        </w:rPr>
      </w:pPr>
    </w:p>
    <w:p>
      <w:pPr>
        <w:spacing w:before="240" w:line="1360" w:lineRule="exact"/>
        <w:rPr>
          <w:rFonts w:ascii="新宋体" w:hAnsi="新宋体" w:eastAsia="新宋体"/>
          <w:b/>
          <w:bCs/>
          <w:sz w:val="52"/>
          <w:szCs w:val="52"/>
        </w:rPr>
      </w:pPr>
    </w:p>
    <w:p>
      <w:pPr>
        <w:spacing w:before="240" w:line="1360" w:lineRule="exact"/>
        <w:jc w:val="center"/>
        <w:rPr>
          <w:rFonts w:ascii="新宋体" w:hAnsi="新宋体" w:eastAsia="新宋体"/>
          <w:b/>
          <w:bCs/>
          <w:sz w:val="72"/>
          <w:szCs w:val="72"/>
        </w:rPr>
      </w:pPr>
      <w:r>
        <w:rPr>
          <w:rFonts w:hint="eastAsia" w:ascii="新宋体" w:hAnsi="新宋体" w:eastAsia="新宋体" w:cs="新宋体"/>
          <w:b/>
          <w:bCs/>
          <w:sz w:val="72"/>
          <w:szCs w:val="72"/>
        </w:rPr>
        <w:t>竞争性磋商文件</w:t>
      </w:r>
    </w:p>
    <w:p>
      <w:pPr>
        <w:spacing w:before="240" w:line="1360" w:lineRule="exact"/>
        <w:jc w:val="center"/>
        <w:rPr>
          <w:rFonts w:hint="eastAsia" w:ascii="新宋体" w:hAnsi="新宋体" w:eastAsia="新宋体"/>
          <w:b/>
          <w:bCs/>
          <w:sz w:val="72"/>
          <w:szCs w:val="72"/>
          <w:lang w:eastAsia="zh-CN"/>
        </w:rPr>
      </w:pPr>
      <w:r>
        <w:rPr>
          <w:rFonts w:hint="eastAsia" w:ascii="新宋体" w:hAnsi="新宋体" w:eastAsia="新宋体" w:cs="新宋体"/>
          <w:b/>
          <w:bCs/>
          <w:sz w:val="36"/>
          <w:szCs w:val="36"/>
        </w:rPr>
        <w:t>项目编号：</w:t>
      </w:r>
      <w:r>
        <w:rPr>
          <w:rFonts w:hint="eastAsia" w:ascii="新宋体" w:hAnsi="新宋体" w:eastAsia="新宋体" w:cs="新宋体"/>
          <w:b/>
          <w:bCs/>
          <w:sz w:val="36"/>
          <w:szCs w:val="36"/>
          <w:lang w:eastAsia="zh-CN"/>
        </w:rPr>
        <w:t>Zjjry2020-Z087</w:t>
      </w: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新宋体" w:hAnsi="新宋体" w:eastAsia="新宋体"/>
          <w:sz w:val="44"/>
          <w:szCs w:val="44"/>
        </w:rPr>
      </w:pPr>
    </w:p>
    <w:p>
      <w:pPr>
        <w:spacing w:line="500" w:lineRule="exact"/>
        <w:jc w:val="center"/>
        <w:rPr>
          <w:rFonts w:ascii="新宋体" w:hAnsi="新宋体" w:eastAsia="新宋体"/>
          <w:b/>
          <w:bCs/>
          <w:spacing w:val="-10"/>
          <w:sz w:val="32"/>
          <w:szCs w:val="32"/>
        </w:rPr>
      </w:pPr>
      <w:r>
        <w:rPr>
          <w:rFonts w:hint="eastAsia" w:ascii="新宋体" w:hAnsi="新宋体" w:eastAsia="新宋体" w:cs="新宋体"/>
          <w:b/>
          <w:bCs/>
          <w:spacing w:val="-10"/>
          <w:sz w:val="32"/>
          <w:szCs w:val="32"/>
        </w:rPr>
        <w:t>采购人：枝江市金润源水务有限公司</w:t>
      </w:r>
    </w:p>
    <w:p>
      <w:pPr>
        <w:spacing w:line="800" w:lineRule="exact"/>
        <w:jc w:val="center"/>
        <w:rPr>
          <w:rFonts w:ascii="新宋体" w:hAnsi="新宋体" w:eastAsia="新宋体"/>
          <w:b/>
          <w:bCs/>
          <w:spacing w:val="-10"/>
          <w:sz w:val="32"/>
          <w:szCs w:val="32"/>
        </w:rPr>
      </w:pPr>
      <w:r>
        <w:rPr>
          <w:rFonts w:hint="eastAsia" w:ascii="新宋体" w:hAnsi="新宋体" w:eastAsia="新宋体" w:cs="新宋体"/>
          <w:b/>
          <w:bCs/>
          <w:spacing w:val="-10"/>
          <w:sz w:val="32"/>
          <w:szCs w:val="32"/>
        </w:rPr>
        <w:t>采购代理机构：湖北祺远建设项目管理有限公司</w:t>
      </w:r>
    </w:p>
    <w:p>
      <w:pPr>
        <w:spacing w:line="700" w:lineRule="exact"/>
        <w:jc w:val="center"/>
        <w:rPr>
          <w:rFonts w:ascii="新宋体" w:hAnsi="新宋体" w:eastAsia="新宋体"/>
          <w:sz w:val="32"/>
          <w:szCs w:val="32"/>
        </w:rPr>
      </w:pPr>
      <w:r>
        <w:rPr>
          <w:rFonts w:hint="eastAsia" w:ascii="新宋体" w:hAnsi="新宋体" w:eastAsia="新宋体" w:cs="新宋体"/>
          <w:b/>
          <w:bCs/>
          <w:spacing w:val="-10"/>
          <w:sz w:val="32"/>
          <w:szCs w:val="32"/>
        </w:rPr>
        <w:t>二〇二〇年十</w:t>
      </w:r>
      <w:r>
        <w:rPr>
          <w:rFonts w:hint="eastAsia" w:ascii="新宋体" w:hAnsi="新宋体" w:eastAsia="新宋体" w:cs="新宋体"/>
          <w:b/>
          <w:bCs/>
          <w:spacing w:val="-10"/>
          <w:sz w:val="32"/>
          <w:szCs w:val="32"/>
          <w:lang w:val="en-US" w:eastAsia="zh-CN"/>
        </w:rPr>
        <w:t>二</w:t>
      </w:r>
      <w:r>
        <w:rPr>
          <w:rFonts w:hint="eastAsia" w:ascii="新宋体" w:hAnsi="新宋体" w:eastAsia="新宋体" w:cs="新宋体"/>
          <w:b/>
          <w:bCs/>
          <w:spacing w:val="-10"/>
          <w:sz w:val="32"/>
          <w:szCs w:val="32"/>
        </w:rPr>
        <w:t>月</w:t>
      </w:r>
    </w:p>
    <w:p>
      <w:pPr>
        <w:spacing w:line="420" w:lineRule="exact"/>
        <w:jc w:val="center"/>
        <w:rPr>
          <w:rFonts w:ascii="新宋体" w:hAnsi="新宋体" w:eastAsia="新宋体"/>
          <w:b/>
          <w:bCs/>
          <w:sz w:val="32"/>
          <w:szCs w:val="32"/>
        </w:rPr>
        <w:sectPr>
          <w:headerReference r:id="rId5" w:type="first"/>
          <w:footerReference r:id="rId8" w:type="first"/>
          <w:headerReference r:id="rId3" w:type="default"/>
          <w:footerReference r:id="rId6" w:type="default"/>
          <w:headerReference r:id="rId4" w:type="even"/>
          <w:footerReference r:id="rId7" w:type="even"/>
          <w:pgSz w:w="11909" w:h="16840"/>
          <w:pgMar w:top="1474" w:right="1474" w:bottom="1474" w:left="1474" w:header="454" w:footer="6" w:gutter="0"/>
          <w:pgNumType w:start="1"/>
          <w:cols w:space="720" w:num="1"/>
          <w:titlePg/>
          <w:docGrid w:linePitch="360" w:charSpace="0"/>
        </w:sectPr>
      </w:pPr>
    </w:p>
    <w:p>
      <w:pPr>
        <w:spacing w:line="420" w:lineRule="exact"/>
        <w:jc w:val="center"/>
        <w:rPr>
          <w:sz w:val="144"/>
          <w:szCs w:val="144"/>
        </w:rPr>
      </w:pPr>
    </w:p>
    <w:p>
      <w:pPr>
        <w:jc w:val="center"/>
        <w:rPr>
          <w:b/>
          <w:bCs/>
          <w:sz w:val="40"/>
          <w:szCs w:val="40"/>
        </w:rPr>
      </w:pPr>
      <w:r>
        <w:rPr>
          <w:rFonts w:hint="eastAsia" w:ascii="宋体" w:hAnsi="宋体"/>
          <w:b/>
          <w:bCs/>
          <w:sz w:val="40"/>
          <w:szCs w:val="40"/>
        </w:rPr>
        <w:t>目录</w:t>
      </w:r>
    </w:p>
    <w:p>
      <w:pPr>
        <w:pStyle w:val="13"/>
        <w:tabs>
          <w:tab w:val="right" w:leader="dot" w:pos="9075"/>
        </w:tabs>
        <w:rPr>
          <w:sz w:val="28"/>
          <w:szCs w:val="28"/>
        </w:rPr>
      </w:pPr>
      <w:r>
        <w:rPr>
          <w:sz w:val="28"/>
          <w:szCs w:val="28"/>
        </w:rPr>
        <w:fldChar w:fldCharType="begin"/>
      </w:r>
      <w:r>
        <w:rPr>
          <w:sz w:val="28"/>
          <w:szCs w:val="28"/>
        </w:rPr>
        <w:instrText xml:space="preserve">TOC \o "1-2" \h \u </w:instrText>
      </w:r>
      <w:r>
        <w:rPr>
          <w:sz w:val="28"/>
          <w:szCs w:val="28"/>
        </w:rPr>
        <w:fldChar w:fldCharType="separate"/>
      </w:r>
      <w:r>
        <w:fldChar w:fldCharType="begin"/>
      </w:r>
      <w:r>
        <w:instrText xml:space="preserve"> HYPERLINK \l "_Toc31221" </w:instrText>
      </w:r>
      <w:r>
        <w:fldChar w:fldCharType="separate"/>
      </w:r>
      <w:r>
        <w:rPr>
          <w:rFonts w:hint="eastAsia" w:ascii="宋体" w:hAnsi="宋体"/>
          <w:kern w:val="1"/>
          <w:sz w:val="28"/>
          <w:szCs w:val="40"/>
        </w:rPr>
        <w:t>前附表</w:t>
      </w:r>
      <w:r>
        <w:rPr>
          <w:sz w:val="28"/>
          <w:szCs w:val="28"/>
        </w:rPr>
        <w:tab/>
      </w:r>
      <w:r>
        <w:rPr>
          <w:sz w:val="28"/>
          <w:szCs w:val="28"/>
        </w:rPr>
        <w:fldChar w:fldCharType="begin"/>
      </w:r>
      <w:r>
        <w:rPr>
          <w:sz w:val="28"/>
          <w:szCs w:val="28"/>
        </w:rPr>
        <w:instrText xml:space="preserve"> PAGEREF _Toc31221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9075"/>
        </w:tabs>
        <w:rPr>
          <w:sz w:val="28"/>
          <w:szCs w:val="28"/>
        </w:rPr>
      </w:pPr>
      <w:r>
        <w:fldChar w:fldCharType="begin"/>
      </w:r>
      <w:r>
        <w:instrText xml:space="preserve"> HYPERLINK \l "_Toc8407" </w:instrText>
      </w:r>
      <w:r>
        <w:fldChar w:fldCharType="separate"/>
      </w:r>
      <w:r>
        <w:rPr>
          <w:rFonts w:hint="eastAsia" w:ascii="宋体" w:hAnsi="宋体"/>
          <w:kern w:val="1"/>
          <w:sz w:val="28"/>
          <w:szCs w:val="56"/>
        </w:rPr>
        <w:t>第一章竞争性磋商公告</w:t>
      </w:r>
      <w:r>
        <w:rPr>
          <w:sz w:val="28"/>
          <w:szCs w:val="28"/>
        </w:rPr>
        <w:tab/>
      </w:r>
      <w:r>
        <w:rPr>
          <w:sz w:val="28"/>
          <w:szCs w:val="28"/>
        </w:rPr>
        <w:fldChar w:fldCharType="begin"/>
      </w:r>
      <w:r>
        <w:rPr>
          <w:sz w:val="28"/>
          <w:szCs w:val="28"/>
        </w:rPr>
        <w:instrText xml:space="preserve"> PAGEREF _Toc8407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3"/>
        <w:tabs>
          <w:tab w:val="right" w:leader="dot" w:pos="9075"/>
        </w:tabs>
        <w:rPr>
          <w:sz w:val="28"/>
          <w:szCs w:val="28"/>
        </w:rPr>
      </w:pPr>
      <w:r>
        <w:fldChar w:fldCharType="begin"/>
      </w:r>
      <w:r>
        <w:instrText xml:space="preserve"> HYPERLINK \l "_Toc663" </w:instrText>
      </w:r>
      <w:r>
        <w:fldChar w:fldCharType="separate"/>
      </w:r>
      <w:r>
        <w:rPr>
          <w:rFonts w:hint="eastAsia" w:ascii="宋体" w:hAnsi="宋体" w:cs="宋体"/>
          <w:kern w:val="1"/>
          <w:sz w:val="28"/>
          <w:szCs w:val="56"/>
        </w:rPr>
        <w:t>第二章磋商须知</w:t>
      </w:r>
      <w:r>
        <w:rPr>
          <w:sz w:val="28"/>
          <w:szCs w:val="28"/>
        </w:rPr>
        <w:tab/>
      </w:r>
      <w:r>
        <w:rPr>
          <w:sz w:val="28"/>
          <w:szCs w:val="28"/>
        </w:rPr>
        <w:fldChar w:fldCharType="begin"/>
      </w:r>
      <w:r>
        <w:rPr>
          <w:sz w:val="28"/>
          <w:szCs w:val="28"/>
        </w:rPr>
        <w:instrText xml:space="preserve"> PAGEREF _Toc663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"_Toc4549" </w:instrText>
      </w:r>
      <w:r>
        <w:fldChar w:fldCharType="separate"/>
      </w:r>
      <w:r>
        <w:rPr>
          <w:rFonts w:hint="eastAsia" w:ascii="新宋体" w:hAnsi="新宋体" w:eastAsia="新宋体" w:cs="新宋体"/>
          <w:sz w:val="28"/>
          <w:szCs w:val="40"/>
        </w:rPr>
        <w:t>一、总则</w:t>
      </w:r>
      <w:r>
        <w:rPr>
          <w:sz w:val="28"/>
          <w:szCs w:val="28"/>
        </w:rPr>
        <w:tab/>
      </w:r>
      <w:r>
        <w:rPr>
          <w:sz w:val="28"/>
          <w:szCs w:val="28"/>
        </w:rPr>
        <w:fldChar w:fldCharType="begin"/>
      </w:r>
      <w:r>
        <w:rPr>
          <w:sz w:val="28"/>
          <w:szCs w:val="28"/>
        </w:rPr>
        <w:instrText xml:space="preserve"> PAGEREF _Toc4549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"_Toc24294" </w:instrText>
      </w:r>
      <w:r>
        <w:fldChar w:fldCharType="separate"/>
      </w:r>
      <w:r>
        <w:rPr>
          <w:rFonts w:hint="eastAsia" w:ascii="新宋体" w:hAnsi="新宋体" w:eastAsia="新宋体" w:cs="新宋体"/>
          <w:sz w:val="28"/>
          <w:szCs w:val="40"/>
        </w:rPr>
        <w:t>二、磋商文件说明</w:t>
      </w:r>
      <w:r>
        <w:rPr>
          <w:sz w:val="28"/>
          <w:szCs w:val="28"/>
        </w:rPr>
        <w:tab/>
      </w:r>
      <w:r>
        <w:rPr>
          <w:sz w:val="28"/>
          <w:szCs w:val="28"/>
        </w:rPr>
        <w:fldChar w:fldCharType="begin"/>
      </w:r>
      <w:r>
        <w:rPr>
          <w:sz w:val="28"/>
          <w:szCs w:val="28"/>
        </w:rPr>
        <w:instrText xml:space="preserve"> PAGEREF _Toc24294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"_Toc10864" </w:instrText>
      </w:r>
      <w:r>
        <w:fldChar w:fldCharType="separate"/>
      </w:r>
      <w:r>
        <w:rPr>
          <w:rFonts w:hint="eastAsia" w:ascii="新宋体" w:hAnsi="新宋体" w:eastAsia="新宋体" w:cs="新宋体"/>
          <w:bCs/>
          <w:sz w:val="28"/>
          <w:szCs w:val="40"/>
        </w:rPr>
        <w:t>三、开标程序</w:t>
      </w:r>
      <w:r>
        <w:rPr>
          <w:sz w:val="28"/>
          <w:szCs w:val="28"/>
        </w:rPr>
        <w:tab/>
      </w:r>
      <w:r>
        <w:rPr>
          <w:sz w:val="28"/>
          <w:szCs w:val="28"/>
        </w:rPr>
        <w:fldChar w:fldCharType="begin"/>
      </w:r>
      <w:r>
        <w:rPr>
          <w:sz w:val="28"/>
          <w:szCs w:val="28"/>
        </w:rPr>
        <w:instrText xml:space="preserve"> PAGEREF _Toc10864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"_Toc1599" </w:instrText>
      </w:r>
      <w:r>
        <w:fldChar w:fldCharType="separate"/>
      </w:r>
      <w:r>
        <w:rPr>
          <w:rFonts w:hint="eastAsia" w:ascii="新宋体" w:hAnsi="新宋体" w:eastAsia="新宋体" w:cs="新宋体"/>
          <w:bCs/>
          <w:sz w:val="28"/>
          <w:szCs w:val="40"/>
        </w:rPr>
        <w:t>四</w:t>
      </w:r>
      <w:r>
        <w:rPr>
          <w:rFonts w:ascii="新宋体" w:hAnsi="新宋体" w:eastAsia="新宋体" w:cs="新宋体"/>
          <w:bCs/>
          <w:sz w:val="28"/>
          <w:szCs w:val="40"/>
        </w:rPr>
        <w:t xml:space="preserve">. </w:t>
      </w:r>
      <w:r>
        <w:rPr>
          <w:rFonts w:hint="eastAsia" w:ascii="新宋体" w:hAnsi="新宋体" w:eastAsia="新宋体" w:cs="新宋体"/>
          <w:bCs/>
          <w:sz w:val="28"/>
          <w:szCs w:val="40"/>
        </w:rPr>
        <w:t>磋商程序与内容</w:t>
      </w:r>
      <w:r>
        <w:rPr>
          <w:sz w:val="28"/>
          <w:szCs w:val="28"/>
        </w:rPr>
        <w:tab/>
      </w:r>
      <w:r>
        <w:rPr>
          <w:sz w:val="28"/>
          <w:szCs w:val="28"/>
        </w:rPr>
        <w:fldChar w:fldCharType="begin"/>
      </w:r>
      <w:r>
        <w:rPr>
          <w:sz w:val="28"/>
          <w:szCs w:val="28"/>
        </w:rPr>
        <w:instrText xml:space="preserve"> PAGEREF _Toc1599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"_Toc29182" </w:instrText>
      </w:r>
      <w:r>
        <w:fldChar w:fldCharType="separate"/>
      </w:r>
      <w:r>
        <w:rPr>
          <w:rFonts w:hint="eastAsia" w:ascii="新宋体" w:hAnsi="新宋体" w:eastAsia="新宋体" w:cs="新宋体"/>
          <w:bCs/>
          <w:sz w:val="28"/>
          <w:szCs w:val="36"/>
        </w:rPr>
        <w:t>五、合同的签订</w:t>
      </w:r>
      <w:r>
        <w:rPr>
          <w:sz w:val="28"/>
          <w:szCs w:val="28"/>
        </w:rPr>
        <w:tab/>
      </w:r>
      <w:r>
        <w:rPr>
          <w:sz w:val="28"/>
          <w:szCs w:val="28"/>
        </w:rPr>
        <w:fldChar w:fldCharType="begin"/>
      </w:r>
      <w:r>
        <w:rPr>
          <w:sz w:val="28"/>
          <w:szCs w:val="28"/>
        </w:rPr>
        <w:instrText xml:space="preserve"> PAGEREF _Toc29182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4"/>
        <w:tabs>
          <w:tab w:val="right" w:leader="dot" w:pos="9075"/>
        </w:tabs>
        <w:ind w:left="31680"/>
        <w:rPr>
          <w:sz w:val="28"/>
          <w:szCs w:val="28"/>
        </w:rPr>
      </w:pPr>
      <w:r>
        <w:fldChar w:fldCharType="begin"/>
      </w:r>
      <w:r>
        <w:instrText xml:space="preserve"> HYPERLINK \l "_Toc16876" </w:instrText>
      </w:r>
      <w:r>
        <w:fldChar w:fldCharType="separate"/>
      </w:r>
      <w:r>
        <w:rPr>
          <w:rFonts w:hint="eastAsia" w:ascii="新宋体" w:hAnsi="新宋体" w:eastAsia="新宋体" w:cs="新宋体"/>
          <w:bCs/>
          <w:sz w:val="28"/>
          <w:szCs w:val="36"/>
        </w:rPr>
        <w:t>六、其他说明</w:t>
      </w:r>
      <w:r>
        <w:rPr>
          <w:sz w:val="28"/>
          <w:szCs w:val="28"/>
        </w:rPr>
        <w:tab/>
      </w:r>
      <w:r>
        <w:rPr>
          <w:sz w:val="28"/>
          <w:szCs w:val="28"/>
        </w:rPr>
        <w:fldChar w:fldCharType="begin"/>
      </w:r>
      <w:r>
        <w:rPr>
          <w:sz w:val="28"/>
          <w:szCs w:val="28"/>
        </w:rPr>
        <w:instrText xml:space="preserve"> PAGEREF _Toc16876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tabs>
          <w:tab w:val="right" w:leader="dot" w:pos="9075"/>
        </w:tabs>
        <w:rPr>
          <w:sz w:val="28"/>
          <w:szCs w:val="28"/>
        </w:rPr>
      </w:pPr>
      <w:r>
        <w:fldChar w:fldCharType="begin"/>
      </w:r>
      <w:r>
        <w:instrText xml:space="preserve"> HYPERLINK \l "_Toc9874" </w:instrText>
      </w:r>
      <w:r>
        <w:fldChar w:fldCharType="separate"/>
      </w:r>
      <w:r>
        <w:rPr>
          <w:rFonts w:hint="eastAsia" w:ascii="宋体" w:hAnsi="宋体" w:cs="宋体"/>
          <w:kern w:val="1"/>
          <w:sz w:val="28"/>
          <w:szCs w:val="56"/>
        </w:rPr>
        <w:t>第三章采购需求</w:t>
      </w:r>
      <w:r>
        <w:rPr>
          <w:sz w:val="28"/>
          <w:szCs w:val="28"/>
        </w:rPr>
        <w:tab/>
      </w:r>
      <w:r>
        <w:rPr>
          <w:sz w:val="28"/>
          <w:szCs w:val="28"/>
        </w:rPr>
        <w:fldChar w:fldCharType="begin"/>
      </w:r>
      <w:r>
        <w:rPr>
          <w:sz w:val="28"/>
          <w:szCs w:val="28"/>
        </w:rPr>
        <w:instrText xml:space="preserve"> PAGEREF _Toc9874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4"/>
        <w:tabs>
          <w:tab w:val="right" w:leader="dot" w:pos="9075"/>
        </w:tabs>
        <w:ind w:left="0" w:leftChars="0"/>
        <w:rPr>
          <w:sz w:val="28"/>
          <w:szCs w:val="28"/>
        </w:rPr>
      </w:pPr>
      <w:r>
        <w:fldChar w:fldCharType="begin"/>
      </w:r>
      <w:r>
        <w:instrText xml:space="preserve"> HYPERLINK \l "_Toc9874" </w:instrText>
      </w:r>
      <w:r>
        <w:fldChar w:fldCharType="separate"/>
      </w:r>
      <w:r>
        <w:rPr>
          <w:rFonts w:hint="eastAsia" w:ascii="宋体" w:hAnsi="宋体" w:cs="宋体"/>
          <w:kern w:val="1"/>
          <w:sz w:val="28"/>
          <w:szCs w:val="56"/>
        </w:rPr>
        <w:t>第四章合同条款及格式</w:t>
      </w:r>
      <w:r>
        <w:rPr>
          <w:sz w:val="28"/>
          <w:szCs w:val="28"/>
        </w:rPr>
        <w:tab/>
      </w:r>
      <w:r>
        <w:rPr>
          <w:sz w:val="28"/>
          <w:szCs w:val="28"/>
        </w:rPr>
        <w:t>2</w:t>
      </w:r>
      <w:r>
        <w:rPr>
          <w:sz w:val="28"/>
          <w:szCs w:val="28"/>
        </w:rPr>
        <w:fldChar w:fldCharType="end"/>
      </w:r>
      <w:r>
        <w:rPr>
          <w:sz w:val="28"/>
          <w:szCs w:val="40"/>
        </w:rPr>
        <w:t>8</w:t>
      </w:r>
    </w:p>
    <w:p>
      <w:pPr>
        <w:pStyle w:val="13"/>
        <w:tabs>
          <w:tab w:val="right" w:leader="dot" w:pos="9075"/>
        </w:tabs>
        <w:rPr>
          <w:sz w:val="28"/>
          <w:szCs w:val="28"/>
        </w:rPr>
      </w:pPr>
      <w:r>
        <w:fldChar w:fldCharType="begin"/>
      </w:r>
      <w:r>
        <w:instrText xml:space="preserve"> HYPERLINK \l "_Toc32095" </w:instrText>
      </w:r>
      <w:r>
        <w:fldChar w:fldCharType="separate"/>
      </w:r>
      <w:r>
        <w:rPr>
          <w:rFonts w:hint="eastAsia" w:ascii="新宋体" w:hAnsi="新宋体" w:eastAsia="新宋体" w:cs="新宋体"/>
          <w:bCs/>
          <w:sz w:val="28"/>
          <w:szCs w:val="48"/>
        </w:rPr>
        <w:t>第五章</w:t>
      </w:r>
      <w:r>
        <w:rPr>
          <w:rFonts w:ascii="新宋体" w:hAnsi="新宋体" w:eastAsia="新宋体" w:cs="新宋体"/>
          <w:bCs/>
          <w:sz w:val="28"/>
          <w:szCs w:val="48"/>
        </w:rPr>
        <w:t xml:space="preserve"> </w:t>
      </w:r>
      <w:r>
        <w:rPr>
          <w:rFonts w:hint="eastAsia" w:ascii="新宋体" w:hAnsi="新宋体" w:eastAsia="新宋体" w:cs="新宋体"/>
          <w:bCs/>
          <w:sz w:val="28"/>
          <w:szCs w:val="48"/>
        </w:rPr>
        <w:t>磋商响应文件格式</w:t>
      </w:r>
      <w:r>
        <w:rPr>
          <w:sz w:val="28"/>
          <w:szCs w:val="28"/>
        </w:rPr>
        <w:tab/>
      </w:r>
      <w:r>
        <w:rPr>
          <w:sz w:val="28"/>
          <w:szCs w:val="28"/>
        </w:rPr>
        <w:fldChar w:fldCharType="begin"/>
      </w:r>
      <w:r>
        <w:rPr>
          <w:sz w:val="28"/>
          <w:szCs w:val="28"/>
        </w:rPr>
        <w:instrText xml:space="preserve"> PAGEREF _Toc32095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4"/>
        <w:tabs>
          <w:tab w:val="right" w:leader="dot" w:pos="9075"/>
        </w:tabs>
        <w:ind w:left="31680"/>
      </w:pPr>
    </w:p>
    <w:p>
      <w:pPr>
        <w:pStyle w:val="30"/>
        <w:tabs>
          <w:tab w:val="right" w:leader="dot" w:pos="8961"/>
        </w:tabs>
        <w:rPr>
          <w:b/>
          <w:bCs/>
        </w:rPr>
      </w:pPr>
      <w:r>
        <w:rPr>
          <w:sz w:val="28"/>
          <w:szCs w:val="28"/>
        </w:rPr>
        <w:fldChar w:fldCharType="end"/>
      </w:r>
    </w:p>
    <w:p>
      <w:pPr>
        <w:pStyle w:val="30"/>
        <w:tabs>
          <w:tab w:val="right" w:leader="dot" w:pos="8961"/>
        </w:tabs>
        <w:rPr>
          <w:b/>
          <w:bCs/>
        </w:rPr>
      </w:pPr>
    </w:p>
    <w:p>
      <w:pPr>
        <w:pStyle w:val="30"/>
        <w:tabs>
          <w:tab w:val="right" w:leader="dot" w:pos="8961"/>
        </w:tabs>
        <w:rPr>
          <w:b/>
          <w:bCs/>
        </w:rPr>
      </w:pPr>
    </w:p>
    <w:p>
      <w:pPr>
        <w:pStyle w:val="30"/>
        <w:tabs>
          <w:tab w:val="right" w:leader="dot" w:pos="8961"/>
        </w:tabs>
        <w:rPr>
          <w:b/>
          <w:bCs/>
        </w:rPr>
      </w:pPr>
    </w:p>
    <w:p>
      <w:pPr>
        <w:pStyle w:val="30"/>
        <w:tabs>
          <w:tab w:val="right" w:leader="dot" w:pos="8961"/>
        </w:tabs>
        <w:rPr>
          <w:b/>
          <w:bCs/>
        </w:rPr>
      </w:pPr>
    </w:p>
    <w:p>
      <w:pPr>
        <w:pStyle w:val="30"/>
        <w:tabs>
          <w:tab w:val="right" w:leader="dot" w:pos="8961"/>
        </w:tabs>
        <w:rPr>
          <w:b/>
          <w:bCs/>
        </w:rPr>
      </w:pPr>
    </w:p>
    <w:p>
      <w:pPr>
        <w:pStyle w:val="30"/>
        <w:tabs>
          <w:tab w:val="right" w:leader="dot" w:pos="8961"/>
        </w:tabs>
        <w:rPr>
          <w:b/>
          <w:bCs/>
        </w:rPr>
      </w:pPr>
    </w:p>
    <w:p>
      <w:pPr>
        <w:pStyle w:val="30"/>
        <w:tabs>
          <w:tab w:val="right" w:leader="dot" w:pos="8961"/>
        </w:tabs>
        <w:rPr>
          <w:b/>
          <w:bCs/>
        </w:rPr>
      </w:pPr>
    </w:p>
    <w:p>
      <w:pPr>
        <w:pStyle w:val="30"/>
        <w:tabs>
          <w:tab w:val="right" w:leader="dot" w:pos="8961"/>
        </w:tabs>
      </w:pPr>
    </w:p>
    <w:p>
      <w:pPr>
        <w:pStyle w:val="3"/>
        <w:rPr>
          <w:rFonts w:ascii="宋体" w:eastAsia="宋体" w:cs="Times New Roman"/>
          <w:kern w:val="1"/>
          <w:sz w:val="36"/>
          <w:szCs w:val="36"/>
        </w:rPr>
      </w:pPr>
    </w:p>
    <w:p>
      <w:pPr>
        <w:pStyle w:val="3"/>
        <w:rPr>
          <w:rFonts w:ascii="宋体" w:eastAsia="宋体" w:cs="Times New Roman"/>
          <w:kern w:val="1"/>
          <w:sz w:val="36"/>
          <w:szCs w:val="36"/>
        </w:rPr>
      </w:pPr>
    </w:p>
    <w:p>
      <w:pPr>
        <w:pStyle w:val="3"/>
        <w:rPr>
          <w:rFonts w:ascii="宋体" w:eastAsia="宋体" w:cs="Times New Roman"/>
          <w:kern w:val="1"/>
          <w:sz w:val="36"/>
          <w:szCs w:val="36"/>
        </w:rPr>
      </w:pPr>
    </w:p>
    <w:p/>
    <w:p>
      <w:pPr>
        <w:pStyle w:val="3"/>
        <w:spacing w:line="240" w:lineRule="auto"/>
        <w:jc w:val="both"/>
        <w:rPr>
          <w:rFonts w:ascii="宋体" w:eastAsia="宋体"/>
          <w:kern w:val="1"/>
          <w:sz w:val="36"/>
          <w:szCs w:val="36"/>
        </w:rPr>
        <w:sectPr>
          <w:footerReference r:id="rId9" w:type="default"/>
          <w:pgSz w:w="11909" w:h="16840"/>
          <w:pgMar w:top="1417" w:right="1417" w:bottom="1417" w:left="1417" w:header="454" w:footer="57" w:gutter="0"/>
          <w:pgNumType w:start="1"/>
          <w:cols w:space="720" w:num="1"/>
          <w:docGrid w:linePitch="360" w:charSpace="0"/>
        </w:sectPr>
      </w:pPr>
      <w:bookmarkStart w:id="0" w:name="_Toc6578153"/>
    </w:p>
    <w:p>
      <w:pPr>
        <w:pStyle w:val="3"/>
        <w:kinsoku w:val="0"/>
        <w:overflowPunct w:val="0"/>
        <w:autoSpaceDE w:val="0"/>
        <w:autoSpaceDN w:val="0"/>
        <w:adjustRightInd w:val="0"/>
        <w:snapToGrid w:val="0"/>
        <w:spacing w:line="240" w:lineRule="auto"/>
        <w:rPr>
          <w:rFonts w:ascii="宋体" w:eastAsia="宋体" w:cs="Times New Roman"/>
          <w:kern w:val="1"/>
          <w:sz w:val="28"/>
          <w:szCs w:val="28"/>
        </w:rPr>
      </w:pPr>
      <w:bookmarkStart w:id="1" w:name="_Toc31221"/>
      <w:r>
        <w:rPr>
          <w:rFonts w:hint="eastAsia" w:ascii="宋体" w:hAnsi="宋体"/>
          <w:kern w:val="1"/>
          <w:sz w:val="28"/>
          <w:szCs w:val="28"/>
        </w:rPr>
        <w:t>前附表</w:t>
      </w:r>
      <w:bookmarkEnd w:id="0"/>
      <w:bookmarkEnd w:id="1"/>
    </w:p>
    <w:p/>
    <w:tbl>
      <w:tblPr>
        <w:tblStyle w:val="16"/>
        <w:tblW w:w="9934" w:type="dxa"/>
        <w:jc w:val="center"/>
        <w:tblLayout w:type="fixed"/>
        <w:tblCellMar>
          <w:top w:w="0" w:type="dxa"/>
          <w:left w:w="108" w:type="dxa"/>
          <w:bottom w:w="0" w:type="dxa"/>
          <w:right w:w="108" w:type="dxa"/>
        </w:tblCellMar>
      </w:tblPr>
      <w:tblGrid>
        <w:gridCol w:w="750"/>
        <w:gridCol w:w="1290"/>
        <w:gridCol w:w="7894"/>
      </w:tblGrid>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b/>
                <w:bCs/>
                <w:kern w:val="1"/>
                <w:sz w:val="24"/>
                <w:szCs w:val="24"/>
              </w:rPr>
            </w:pPr>
            <w:r>
              <w:rPr>
                <w:rFonts w:hint="eastAsia" w:ascii="宋体" w:hAnsi="宋体" w:cs="宋体"/>
                <w:b/>
                <w:bCs/>
                <w:kern w:val="1"/>
                <w:sz w:val="24"/>
                <w:szCs w:val="24"/>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b/>
                <w:bCs/>
                <w:kern w:val="1"/>
                <w:sz w:val="24"/>
                <w:szCs w:val="24"/>
              </w:rPr>
            </w:pPr>
            <w:r>
              <w:rPr>
                <w:rFonts w:hint="eastAsia" w:ascii="宋体" w:hAnsi="宋体" w:cs="宋体"/>
                <w:b/>
                <w:bCs/>
                <w:kern w:val="1"/>
                <w:sz w:val="24"/>
                <w:szCs w:val="24"/>
              </w:rPr>
              <w:t>内容</w:t>
            </w:r>
          </w:p>
        </w:tc>
        <w:tc>
          <w:tcPr>
            <w:tcW w:w="7894" w:type="dxa"/>
            <w:tcBorders>
              <w:top w:val="single" w:color="000000" w:sz="4" w:space="0"/>
              <w:left w:val="single" w:color="000000" w:sz="4" w:space="0"/>
              <w:bottom w:val="single" w:color="000000" w:sz="4" w:space="0"/>
              <w:right w:val="single" w:color="000000" w:sz="4" w:space="0"/>
            </w:tcBorders>
            <w:vAlign w:val="center"/>
          </w:tcPr>
          <w:p>
            <w:pPr>
              <w:tabs>
                <w:tab w:val="left" w:pos="1180"/>
              </w:tabs>
              <w:spacing w:line="360" w:lineRule="exact"/>
              <w:ind w:firstLine="2891" w:firstLineChars="1200"/>
              <w:rPr>
                <w:rFonts w:ascii="宋体"/>
                <w:b/>
                <w:bCs/>
                <w:kern w:val="1"/>
                <w:sz w:val="24"/>
                <w:szCs w:val="24"/>
              </w:rPr>
            </w:pPr>
            <w:r>
              <w:rPr>
                <w:rFonts w:hint="eastAsia" w:ascii="宋体" w:hAnsi="宋体" w:cs="宋体"/>
                <w:b/>
                <w:bCs/>
                <w:kern w:val="1"/>
                <w:sz w:val="24"/>
                <w:szCs w:val="24"/>
              </w:rPr>
              <w:t>说明与要求</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项目名称</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eastAsia="宋体"/>
                <w:kern w:val="1"/>
                <w:sz w:val="24"/>
                <w:szCs w:val="24"/>
                <w:lang w:eastAsia="zh-CN"/>
              </w:rPr>
            </w:pPr>
            <w:r>
              <w:rPr>
                <w:rFonts w:hint="eastAsia" w:ascii="宋体" w:hAnsi="宋体" w:cs="宋体"/>
                <w:kern w:val="1"/>
                <w:sz w:val="24"/>
                <w:szCs w:val="24"/>
                <w:lang w:eastAsia="zh-CN"/>
              </w:rPr>
              <w:t>一品江山二次加压设备采购</w:t>
            </w:r>
          </w:p>
        </w:tc>
      </w:tr>
      <w:tr>
        <w:tblPrEx>
          <w:tblCellMar>
            <w:top w:w="0" w:type="dxa"/>
            <w:left w:w="108" w:type="dxa"/>
            <w:bottom w:w="0" w:type="dxa"/>
            <w:right w:w="108" w:type="dxa"/>
          </w:tblCellMar>
        </w:tblPrEx>
        <w:trPr>
          <w:trHeight w:val="458"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采购内容</w:t>
            </w:r>
          </w:p>
        </w:tc>
        <w:tc>
          <w:tcPr>
            <w:tcW w:w="7894" w:type="dxa"/>
            <w:tcBorders>
              <w:top w:val="single" w:color="000000" w:sz="4" w:space="0"/>
              <w:left w:val="single" w:color="000000" w:sz="4" w:space="0"/>
              <w:bottom w:val="single" w:color="000000" w:sz="4" w:space="0"/>
              <w:right w:val="single" w:color="000000" w:sz="4" w:space="0"/>
            </w:tcBorders>
            <w:vAlign w:val="center"/>
          </w:tcPr>
          <w:p>
            <w:pPr>
              <w:pStyle w:val="2"/>
              <w:kinsoku w:val="0"/>
              <w:autoSpaceDE w:val="0"/>
              <w:autoSpaceDN w:val="0"/>
              <w:spacing w:line="288" w:lineRule="auto"/>
              <w:rPr>
                <w:rFonts w:eastAsia="宋体" w:cs="Times New Roman"/>
                <w:kern w:val="1"/>
              </w:rPr>
            </w:pPr>
            <w:r>
              <w:rPr>
                <w:rFonts w:hint="eastAsia" w:ascii="宋体" w:eastAsia="宋体"/>
              </w:rPr>
              <w:t>根据</w:t>
            </w:r>
            <w:r>
              <w:rPr>
                <w:rFonts w:hint="eastAsia" w:ascii="宋体" w:eastAsia="宋体"/>
                <w:lang w:val="en-US" w:eastAsia="zh-CN"/>
              </w:rPr>
              <w:t>一品江山</w:t>
            </w:r>
            <w:r>
              <w:rPr>
                <w:rFonts w:hint="eastAsia" w:ascii="宋体" w:eastAsia="宋体"/>
              </w:rPr>
              <w:t>小区项目施工进度要求，现需采购</w:t>
            </w:r>
            <w:r>
              <w:rPr>
                <w:rFonts w:ascii="宋体" w:eastAsia="宋体"/>
              </w:rPr>
              <w:t xml:space="preserve"> 2 </w:t>
            </w:r>
            <w:r>
              <w:rPr>
                <w:rFonts w:hint="eastAsia" w:ascii="宋体" w:eastAsia="宋体"/>
              </w:rPr>
              <w:t>套无负压供水设备含标准化泵房。（详见采购需求）</w:t>
            </w:r>
          </w:p>
        </w:tc>
      </w:tr>
      <w:tr>
        <w:tblPrEx>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采购方式</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竞争性磋商</w:t>
            </w:r>
          </w:p>
        </w:tc>
      </w:tr>
      <w:tr>
        <w:tblPrEx>
          <w:tblCellMar>
            <w:top w:w="0" w:type="dxa"/>
            <w:left w:w="108" w:type="dxa"/>
            <w:bottom w:w="0" w:type="dxa"/>
            <w:right w:w="108" w:type="dxa"/>
          </w:tblCellMar>
        </w:tblPrEx>
        <w:trPr>
          <w:trHeight w:val="48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资金来源</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企业自筹资金</w:t>
            </w:r>
          </w:p>
        </w:tc>
      </w:tr>
      <w:tr>
        <w:tblPrEx>
          <w:tblCellMar>
            <w:top w:w="0" w:type="dxa"/>
            <w:left w:w="108" w:type="dxa"/>
            <w:bottom w:w="0" w:type="dxa"/>
            <w:right w:w="108" w:type="dxa"/>
          </w:tblCellMar>
        </w:tblPrEx>
        <w:trPr>
          <w:trHeight w:val="46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kern w:val="1"/>
                <w:sz w:val="24"/>
                <w:szCs w:val="24"/>
              </w:rPr>
            </w:pPr>
            <w:r>
              <w:rPr>
                <w:rFonts w:hint="eastAsia" w:ascii="宋体" w:hAnsi="宋体" w:cs="宋体"/>
                <w:kern w:val="1"/>
                <w:sz w:val="24"/>
                <w:szCs w:val="24"/>
              </w:rPr>
              <w:t>交货时间</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kern w:val="1"/>
                <w:sz w:val="24"/>
                <w:szCs w:val="24"/>
              </w:rPr>
            </w:pPr>
            <w:r>
              <w:rPr>
                <w:rFonts w:hint="eastAsia" w:ascii="宋体" w:hAnsi="宋体" w:cs="宋体"/>
                <w:kern w:val="1"/>
                <w:sz w:val="24"/>
                <w:szCs w:val="24"/>
                <w:lang w:val="zh-CN"/>
              </w:rPr>
              <w:t>自合同签订之日起</w:t>
            </w:r>
            <w:r>
              <w:rPr>
                <w:rFonts w:ascii="宋体" w:hAnsi="宋体" w:cs="宋体"/>
                <w:kern w:val="1"/>
                <w:sz w:val="24"/>
                <w:szCs w:val="24"/>
                <w:lang w:val="zh-CN"/>
              </w:rPr>
              <w:t>25</w:t>
            </w:r>
            <w:r>
              <w:rPr>
                <w:rFonts w:hint="eastAsia" w:ascii="宋体" w:hAnsi="宋体" w:cs="宋体"/>
                <w:kern w:val="1"/>
                <w:sz w:val="24"/>
                <w:szCs w:val="24"/>
                <w:lang w:val="zh-CN"/>
              </w:rPr>
              <w:t>日历天</w:t>
            </w:r>
            <w:r>
              <w:rPr>
                <w:rFonts w:hint="eastAsia" w:ascii="宋体" w:hAnsi="宋体" w:cs="宋体"/>
                <w:kern w:val="1"/>
                <w:sz w:val="24"/>
                <w:szCs w:val="24"/>
              </w:rPr>
              <w:t>。</w:t>
            </w:r>
          </w:p>
        </w:tc>
      </w:tr>
      <w:tr>
        <w:tblPrEx>
          <w:tblCellMar>
            <w:top w:w="0" w:type="dxa"/>
            <w:left w:w="108" w:type="dxa"/>
            <w:bottom w:w="0" w:type="dxa"/>
            <w:right w:w="108" w:type="dxa"/>
          </w:tblCellMar>
        </w:tblPrEx>
        <w:trPr>
          <w:trHeight w:val="46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服务期限</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以质保期为准，质保期内的设备如出现故障或者损坏，供应商应根据质保标准为采购人提供置换或者修复服务。</w:t>
            </w:r>
          </w:p>
        </w:tc>
      </w:tr>
      <w:tr>
        <w:tblPrEx>
          <w:tblCellMar>
            <w:top w:w="0" w:type="dxa"/>
            <w:left w:w="108" w:type="dxa"/>
            <w:bottom w:w="0" w:type="dxa"/>
            <w:right w:w="108" w:type="dxa"/>
          </w:tblCellMar>
        </w:tblPrEx>
        <w:trPr>
          <w:trHeight w:val="41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质量要求</w:t>
            </w:r>
          </w:p>
        </w:tc>
        <w:tc>
          <w:tcPr>
            <w:tcW w:w="78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sz w:val="24"/>
                <w:szCs w:val="24"/>
              </w:rPr>
            </w:pPr>
            <w:r>
              <w:rPr>
                <w:rFonts w:hint="eastAsia" w:ascii="宋体" w:hAnsi="宋体" w:cs="宋体"/>
                <w:sz w:val="24"/>
                <w:szCs w:val="24"/>
              </w:rPr>
              <w:t>达到国家现行有关技术规范、标准及规程要求，满足采购人要求的质量目标。</w:t>
            </w:r>
          </w:p>
        </w:tc>
      </w:tr>
      <w:tr>
        <w:tblPrEx>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供应商</w:t>
            </w:r>
          </w:p>
          <w:p>
            <w:pPr>
              <w:spacing w:line="360" w:lineRule="exact"/>
              <w:jc w:val="center"/>
              <w:rPr>
                <w:rFonts w:ascii="宋体"/>
                <w:kern w:val="1"/>
                <w:sz w:val="24"/>
                <w:szCs w:val="24"/>
              </w:rPr>
            </w:pPr>
            <w:r>
              <w:rPr>
                <w:rFonts w:hint="eastAsia" w:ascii="宋体" w:hAnsi="宋体" w:cs="宋体"/>
                <w:kern w:val="1"/>
                <w:sz w:val="24"/>
                <w:szCs w:val="24"/>
              </w:rPr>
              <w:t>资格要求</w:t>
            </w:r>
          </w:p>
        </w:tc>
        <w:tc>
          <w:tcPr>
            <w:tcW w:w="7894" w:type="dxa"/>
            <w:tcBorders>
              <w:top w:val="single" w:color="000000" w:sz="4" w:space="0"/>
              <w:left w:val="single" w:color="000000" w:sz="4" w:space="0"/>
              <w:bottom w:val="single" w:color="000000" w:sz="4" w:space="0"/>
              <w:right w:val="single" w:color="000000" w:sz="4" w:space="0"/>
            </w:tcBorders>
            <w:vAlign w:val="center"/>
          </w:tcPr>
          <w:p>
            <w:pPr>
              <w:pStyle w:val="2"/>
              <w:kinsoku w:val="0"/>
              <w:autoSpaceDE w:val="0"/>
              <w:autoSpaceDN w:val="0"/>
              <w:spacing w:line="288" w:lineRule="auto"/>
              <w:rPr>
                <w:rFonts w:ascii="宋体" w:eastAsia="宋体"/>
              </w:rPr>
            </w:pPr>
            <w:r>
              <w:rPr>
                <w:rFonts w:ascii="宋体" w:eastAsia="宋体"/>
              </w:rPr>
              <w:t>1</w:t>
            </w:r>
            <w:r>
              <w:rPr>
                <w:rFonts w:hint="eastAsia" w:ascii="宋体" w:eastAsia="宋体"/>
              </w:rPr>
              <w:t>、供应商应具备《政府采购法》第二十二条规定的条件；</w:t>
            </w:r>
          </w:p>
          <w:p>
            <w:pPr>
              <w:pStyle w:val="2"/>
              <w:kinsoku w:val="0"/>
              <w:autoSpaceDE w:val="0"/>
              <w:autoSpaceDN w:val="0"/>
              <w:spacing w:line="288" w:lineRule="auto"/>
              <w:rPr>
                <w:rFonts w:ascii="宋体" w:eastAsia="宋体"/>
              </w:rPr>
            </w:pPr>
            <w:r>
              <w:rPr>
                <w:rFonts w:ascii="宋体" w:eastAsia="宋体"/>
              </w:rPr>
              <w:t>2</w:t>
            </w:r>
            <w:r>
              <w:rPr>
                <w:rFonts w:hint="eastAsia" w:ascii="宋体" w:eastAsia="宋体"/>
              </w:rPr>
              <w:t>、供应商应具备合法有效的营业执照，具有履行合同所必需的设备和专业技术能力；</w:t>
            </w:r>
          </w:p>
          <w:p>
            <w:pPr>
              <w:pStyle w:val="2"/>
              <w:kinsoku w:val="0"/>
              <w:autoSpaceDE w:val="0"/>
              <w:autoSpaceDN w:val="0"/>
              <w:spacing w:line="288" w:lineRule="auto"/>
              <w:rPr>
                <w:rFonts w:ascii="宋体" w:eastAsia="宋体"/>
              </w:rPr>
            </w:pPr>
            <w:r>
              <w:rPr>
                <w:rFonts w:ascii="宋体" w:eastAsia="宋体"/>
              </w:rPr>
              <w:t>3</w:t>
            </w:r>
            <w:r>
              <w:rPr>
                <w:rFonts w:hint="eastAsia" w:ascii="宋体" w:eastAsia="宋体"/>
              </w:rPr>
              <w:t>、投标产品具有饮用水卫生安全产品卫生许可证；</w:t>
            </w:r>
          </w:p>
          <w:p>
            <w:pPr>
              <w:pStyle w:val="2"/>
              <w:kinsoku w:val="0"/>
              <w:autoSpaceDE w:val="0"/>
              <w:autoSpaceDN w:val="0"/>
              <w:spacing w:line="288" w:lineRule="auto"/>
              <w:rPr>
                <w:rFonts w:ascii="宋体" w:eastAsia="宋体"/>
              </w:rPr>
            </w:pPr>
            <w:r>
              <w:rPr>
                <w:rFonts w:ascii="宋体" w:eastAsia="宋体"/>
              </w:rPr>
              <w:t>4</w:t>
            </w:r>
            <w:r>
              <w:rPr>
                <w:rFonts w:hint="eastAsia" w:ascii="宋体" w:eastAsia="宋体"/>
              </w:rPr>
              <w:t>、响应文件递交截止时间当天，“信用中国”网站</w:t>
            </w:r>
            <w:r>
              <w:rPr>
                <w:rFonts w:ascii="宋体" w:eastAsia="宋体"/>
              </w:rPr>
              <w:t>(www.creditchina.gov.cn)</w:t>
            </w:r>
            <w:r>
              <w:rPr>
                <w:rFonts w:hint="eastAsia" w:ascii="宋体" w:eastAsia="宋体"/>
              </w:rPr>
              <w:t>、中国政府采购网</w:t>
            </w:r>
            <w:r>
              <w:rPr>
                <w:rFonts w:ascii="宋体" w:eastAsia="宋体"/>
              </w:rPr>
              <w:t>(www.ccgp.gov.cn)</w:t>
            </w:r>
            <w:r>
              <w:rPr>
                <w:rFonts w:hint="eastAsia" w:ascii="宋体" w:eastAsia="宋体"/>
              </w:rPr>
              <w:t>查询，供应商未被列入信用记录失信被执行人、重大税收违法案件当事人名单、政府采购严重违法失信行为记录名单；</w:t>
            </w:r>
          </w:p>
          <w:p>
            <w:pPr>
              <w:pStyle w:val="2"/>
              <w:kinsoku w:val="0"/>
              <w:autoSpaceDE w:val="0"/>
              <w:autoSpaceDN w:val="0"/>
              <w:spacing w:line="288" w:lineRule="auto"/>
              <w:rPr>
                <w:rFonts w:ascii="宋体" w:eastAsia="宋体"/>
              </w:rPr>
            </w:pPr>
            <w:r>
              <w:rPr>
                <w:rFonts w:ascii="宋体" w:eastAsia="宋体"/>
              </w:rPr>
              <w:t>5</w:t>
            </w:r>
            <w:r>
              <w:rPr>
                <w:rFonts w:hint="eastAsia" w:ascii="宋体" w:eastAsia="宋体"/>
              </w:rPr>
              <w:t>、单位负责人为同一人或者存在控股、管理关系的不同单位，不得同时参加同一标段投标或者未划分标段的同一招标项目投标；与采购人存在利害关系可能影响招标公正性的法人、其他组织或者个人，不得参加投标；</w:t>
            </w:r>
          </w:p>
          <w:p>
            <w:pPr>
              <w:pStyle w:val="2"/>
              <w:kinsoku w:val="0"/>
              <w:autoSpaceDE w:val="0"/>
              <w:autoSpaceDN w:val="0"/>
              <w:spacing w:line="288" w:lineRule="auto"/>
              <w:rPr>
                <w:rFonts w:ascii="宋体" w:eastAsia="宋体"/>
              </w:rPr>
            </w:pPr>
            <w:r>
              <w:rPr>
                <w:rFonts w:ascii="宋体" w:eastAsia="宋体"/>
              </w:rPr>
              <w:t>6</w:t>
            </w:r>
            <w:r>
              <w:rPr>
                <w:rFonts w:hint="eastAsia" w:ascii="宋体" w:eastAsia="宋体"/>
              </w:rPr>
              <w:t>、本项目不接受联合体磋商。</w:t>
            </w:r>
          </w:p>
          <w:p>
            <w:pPr>
              <w:rPr>
                <w:rFonts w:ascii="宋体" w:cs="宋体"/>
                <w:b/>
                <w:bCs/>
                <w:sz w:val="24"/>
                <w:szCs w:val="24"/>
              </w:rPr>
            </w:pPr>
            <w:r>
              <w:rPr>
                <w:rFonts w:hint="eastAsia" w:ascii="宋体" w:hAnsi="宋体" w:cs="宋体"/>
                <w:b/>
                <w:bCs/>
                <w:sz w:val="24"/>
                <w:szCs w:val="24"/>
              </w:rPr>
              <w:t>备注：①以上证明资料不单独提交磋商小组备查。</w:t>
            </w:r>
          </w:p>
          <w:p>
            <w:pPr>
              <w:ind w:firstLine="723" w:firstLineChars="300"/>
              <w:rPr>
                <w:rFonts w:ascii="宋体"/>
                <w:sz w:val="24"/>
                <w:szCs w:val="24"/>
              </w:rPr>
            </w:pPr>
            <w:r>
              <w:rPr>
                <w:rFonts w:hint="eastAsia" w:ascii="宋体" w:hAnsi="宋体" w:cs="宋体"/>
                <w:b/>
                <w:bCs/>
                <w:sz w:val="24"/>
                <w:szCs w:val="24"/>
              </w:rPr>
              <w:t>②供应商在制作响应文件时所粘贴的相关证明资料</w:t>
            </w:r>
            <w:r>
              <w:rPr>
                <w:rFonts w:hint="eastAsia" w:ascii="新宋体" w:hAnsi="新宋体" w:eastAsia="新宋体" w:cs="新宋体"/>
                <w:b/>
                <w:bCs/>
                <w:sz w:val="24"/>
                <w:szCs w:val="24"/>
              </w:rPr>
              <w:t>为原件扫描件并加盖公章</w:t>
            </w:r>
            <w:r>
              <w:rPr>
                <w:rFonts w:hint="eastAsia" w:ascii="宋体" w:hAnsi="宋体" w:cs="宋体"/>
                <w:b/>
                <w:bCs/>
                <w:sz w:val="24"/>
                <w:szCs w:val="24"/>
              </w:rPr>
              <w:t>，否则磋商委员会和采购人将不予采信，只有符合以上所有条件的供应商才能通过资格审查。</w:t>
            </w:r>
          </w:p>
        </w:tc>
      </w:tr>
      <w:tr>
        <w:tblPrEx>
          <w:tblCellMar>
            <w:top w:w="0" w:type="dxa"/>
            <w:left w:w="108" w:type="dxa"/>
            <w:bottom w:w="0" w:type="dxa"/>
            <w:right w:w="108" w:type="dxa"/>
          </w:tblCellMar>
        </w:tblPrEx>
        <w:trPr>
          <w:trHeight w:val="642"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资格审查</w:t>
            </w:r>
          </w:p>
          <w:p>
            <w:pPr>
              <w:spacing w:line="360" w:lineRule="exact"/>
              <w:jc w:val="center"/>
              <w:rPr>
                <w:rFonts w:ascii="宋体"/>
                <w:kern w:val="1"/>
                <w:sz w:val="24"/>
                <w:szCs w:val="24"/>
              </w:rPr>
            </w:pPr>
            <w:r>
              <w:rPr>
                <w:rFonts w:hint="eastAsia" w:ascii="宋体" w:hAnsi="宋体" w:cs="宋体"/>
                <w:kern w:val="1"/>
                <w:sz w:val="24"/>
                <w:szCs w:val="24"/>
              </w:rPr>
              <w:t>方式</w:t>
            </w:r>
          </w:p>
        </w:tc>
        <w:tc>
          <w:tcPr>
            <w:tcW w:w="7894" w:type="dxa"/>
            <w:tcBorders>
              <w:top w:val="single" w:color="000000" w:sz="4" w:space="0"/>
              <w:left w:val="single" w:color="000000" w:sz="4" w:space="0"/>
              <w:bottom w:val="single" w:color="000000" w:sz="4" w:space="0"/>
              <w:right w:val="single" w:color="000000" w:sz="4" w:space="0"/>
            </w:tcBorders>
            <w:vAlign w:val="center"/>
          </w:tcPr>
          <w:p>
            <w:pPr>
              <w:pStyle w:val="7"/>
              <w:widowControl/>
              <w:spacing w:line="360" w:lineRule="exact"/>
              <w:rPr>
                <w:rFonts w:ascii="宋体"/>
                <w:kern w:val="1"/>
                <w:sz w:val="24"/>
                <w:szCs w:val="24"/>
              </w:rPr>
            </w:pPr>
            <w:r>
              <w:rPr>
                <w:rFonts w:hint="eastAsia" w:ascii="宋体" w:hAnsi="宋体" w:cs="宋体"/>
                <w:sz w:val="24"/>
                <w:szCs w:val="24"/>
              </w:rPr>
              <w:t>资格后审</w:t>
            </w:r>
          </w:p>
        </w:tc>
      </w:tr>
      <w:tr>
        <w:tblPrEx>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color w:val="auto"/>
                <w:kern w:val="1"/>
                <w:sz w:val="24"/>
                <w:szCs w:val="24"/>
              </w:rPr>
            </w:pPr>
            <w:r>
              <w:rPr>
                <w:rFonts w:hint="eastAsia" w:ascii="宋体" w:hAnsi="宋体" w:cs="宋体"/>
                <w:color w:val="auto"/>
                <w:kern w:val="1"/>
                <w:sz w:val="24"/>
                <w:szCs w:val="24"/>
              </w:rPr>
              <w:t>最高磋商限价</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宋体" w:eastAsia="宋体"/>
                <w:color w:val="auto"/>
                <w:lang w:eastAsia="zh-CN"/>
              </w:rPr>
            </w:pPr>
            <w:r>
              <w:rPr>
                <w:rFonts w:hint="eastAsia" w:ascii="宋体" w:hAnsi="新宋体" w:cs="新宋体"/>
                <w:color w:val="auto"/>
                <w:sz w:val="24"/>
                <w:szCs w:val="24"/>
                <w:lang w:eastAsia="zh-CN"/>
              </w:rPr>
              <w:t>120万元。</w:t>
            </w:r>
          </w:p>
        </w:tc>
      </w:tr>
      <w:tr>
        <w:tblPrEx>
          <w:tblCellMar>
            <w:top w:w="0" w:type="dxa"/>
            <w:left w:w="108" w:type="dxa"/>
            <w:bottom w:w="0" w:type="dxa"/>
            <w:right w:w="108" w:type="dxa"/>
          </w:tblCellMar>
        </w:tblPrEx>
        <w:trPr>
          <w:trHeight w:val="66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磋商</w:t>
            </w:r>
          </w:p>
          <w:p>
            <w:pPr>
              <w:spacing w:line="360" w:lineRule="exact"/>
              <w:jc w:val="center"/>
              <w:rPr>
                <w:rFonts w:ascii="宋体"/>
                <w:kern w:val="1"/>
                <w:sz w:val="24"/>
                <w:szCs w:val="24"/>
              </w:rPr>
            </w:pPr>
            <w:r>
              <w:rPr>
                <w:rFonts w:hint="eastAsia" w:ascii="宋体" w:hAnsi="宋体" w:cs="宋体"/>
                <w:kern w:val="1"/>
                <w:sz w:val="24"/>
                <w:szCs w:val="24"/>
              </w:rPr>
              <w:t>有效期</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投标截止后</w:t>
            </w:r>
            <w:r>
              <w:rPr>
                <w:rFonts w:ascii="宋体" w:hAnsi="宋体" w:cs="宋体"/>
                <w:kern w:val="1"/>
                <w:sz w:val="24"/>
                <w:szCs w:val="24"/>
              </w:rPr>
              <w:t>9</w:t>
            </w:r>
            <w:r>
              <w:rPr>
                <w:rFonts w:ascii="宋体" w:cs="宋体"/>
                <w:kern w:val="1"/>
                <w:sz w:val="24"/>
                <w:szCs w:val="24"/>
              </w:rPr>
              <w:t>0</w:t>
            </w:r>
            <w:r>
              <w:rPr>
                <w:rFonts w:hint="eastAsia" w:ascii="宋体" w:hAnsi="宋体" w:cs="宋体"/>
                <w:kern w:val="1"/>
                <w:sz w:val="24"/>
                <w:szCs w:val="24"/>
              </w:rPr>
              <w:t>日内有效</w:t>
            </w:r>
          </w:p>
        </w:tc>
      </w:tr>
      <w:tr>
        <w:tblPrEx>
          <w:tblCellMar>
            <w:top w:w="0" w:type="dxa"/>
            <w:left w:w="108" w:type="dxa"/>
            <w:bottom w:w="0" w:type="dxa"/>
            <w:right w:w="108" w:type="dxa"/>
          </w:tblCellMar>
        </w:tblPrEx>
        <w:trPr>
          <w:trHeight w:val="70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磋商</w:t>
            </w:r>
          </w:p>
          <w:p>
            <w:pPr>
              <w:spacing w:line="360" w:lineRule="exact"/>
              <w:jc w:val="center"/>
              <w:rPr>
                <w:rFonts w:ascii="宋体"/>
                <w:kern w:val="1"/>
                <w:sz w:val="24"/>
                <w:szCs w:val="24"/>
              </w:rPr>
            </w:pPr>
            <w:r>
              <w:rPr>
                <w:rFonts w:hint="eastAsia" w:ascii="宋体" w:hAnsi="宋体" w:cs="宋体"/>
                <w:kern w:val="1"/>
                <w:sz w:val="24"/>
                <w:szCs w:val="24"/>
              </w:rPr>
              <w:t>保证金</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本项目不设立磋商保证金。</w:t>
            </w:r>
          </w:p>
        </w:tc>
      </w:tr>
      <w:tr>
        <w:tblPrEx>
          <w:tblCellMar>
            <w:top w:w="0" w:type="dxa"/>
            <w:left w:w="108" w:type="dxa"/>
            <w:bottom w:w="0" w:type="dxa"/>
            <w:right w:w="108" w:type="dxa"/>
          </w:tblCellMar>
        </w:tblPrEx>
        <w:trPr>
          <w:trHeight w:val="240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磋商文件的澄清、修改和补充</w:t>
            </w:r>
          </w:p>
        </w:tc>
        <w:tc>
          <w:tcPr>
            <w:tcW w:w="7894" w:type="dxa"/>
            <w:tcBorders>
              <w:top w:val="single" w:color="000000" w:sz="4" w:space="0"/>
              <w:left w:val="single" w:color="000000" w:sz="4" w:space="0"/>
              <w:bottom w:val="single" w:color="000000" w:sz="4" w:space="0"/>
              <w:right w:val="single" w:color="000000" w:sz="4" w:space="0"/>
            </w:tcBorders>
            <w:vAlign w:val="center"/>
          </w:tcPr>
          <w:p>
            <w:pPr>
              <w:ind w:right="-57"/>
              <w:rPr>
                <w:rFonts w:ascii="宋体"/>
                <w:sz w:val="24"/>
                <w:szCs w:val="24"/>
              </w:rPr>
            </w:pPr>
            <w:r>
              <w:rPr>
                <w:rFonts w:hint="eastAsia" w:ascii="宋体" w:hAnsi="宋体" w:cs="宋体"/>
                <w:sz w:val="24"/>
                <w:szCs w:val="24"/>
              </w:rPr>
              <w:t>采购人不集中组织答疑会，供应商如有疑问，需在</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ascii="宋体" w:hAnsi="宋体" w:cs="宋体"/>
                <w:sz w:val="24"/>
                <w:szCs w:val="24"/>
              </w:rPr>
              <w:t>17</w:t>
            </w:r>
            <w:r>
              <w:rPr>
                <w:rFonts w:hint="eastAsia" w:ascii="宋体" w:hAnsi="宋体" w:cs="宋体"/>
                <w:sz w:val="24"/>
                <w:szCs w:val="24"/>
              </w:rPr>
              <w:t>时前向招标代理公司通过</w:t>
            </w:r>
            <w:r>
              <w:rPr>
                <w:rFonts w:ascii="宋体" w:hAnsi="宋体" w:cs="宋体"/>
                <w:sz w:val="24"/>
                <w:szCs w:val="24"/>
              </w:rPr>
              <w:t>Email: 23474692@qq.com</w:t>
            </w:r>
            <w:r>
              <w:rPr>
                <w:rFonts w:hint="eastAsia" w:ascii="宋体" w:hAnsi="宋体" w:cs="宋体"/>
                <w:sz w:val="24"/>
                <w:szCs w:val="24"/>
              </w:rPr>
              <w:t>匿名提交磋商事宜的质疑，代理公司在规定时间内对问题作出整理后，将在枝江金润源集团公司官网（</w:t>
            </w:r>
            <w:r>
              <w:rPr>
                <w:rFonts w:ascii="宋体" w:hAnsi="宋体" w:cs="宋体"/>
                <w:sz w:val="24"/>
                <w:szCs w:val="24"/>
              </w:rPr>
              <w:t>http://www.zjjryjt.cn/</w:t>
            </w:r>
            <w:r>
              <w:rPr>
                <w:rFonts w:hint="eastAsia" w:ascii="宋体" w:hAnsi="宋体" w:cs="宋体"/>
                <w:sz w:val="24"/>
                <w:szCs w:val="24"/>
              </w:rPr>
              <w:t>）上公布答疑回复。</w:t>
            </w:r>
          </w:p>
          <w:p>
            <w:pPr>
              <w:ind w:left="438" w:leftChars="-20" w:right="-57" w:hanging="480" w:hangingChars="200"/>
              <w:rPr>
                <w:rFonts w:ascii="宋体"/>
                <w:sz w:val="24"/>
                <w:szCs w:val="24"/>
              </w:rPr>
            </w:pPr>
            <w:r>
              <w:rPr>
                <w:rFonts w:hint="eastAsia" w:ascii="宋体" w:hAnsi="宋体" w:cs="宋体"/>
                <w:sz w:val="24"/>
                <w:szCs w:val="24"/>
              </w:rPr>
              <w:t>答疑提问开始时间：</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w:t>
            </w:r>
            <w:r>
              <w:rPr>
                <w:rFonts w:ascii="宋体" w:hAnsi="宋体" w:cs="宋体"/>
                <w:sz w:val="24"/>
                <w:szCs w:val="24"/>
              </w:rPr>
              <w:t>10</w:t>
            </w:r>
            <w:r>
              <w:rPr>
                <w:rFonts w:hint="eastAsia" w:ascii="宋体" w:hAnsi="宋体" w:cs="宋体"/>
                <w:sz w:val="24"/>
                <w:szCs w:val="24"/>
              </w:rPr>
              <w:t>时</w:t>
            </w:r>
          </w:p>
          <w:p>
            <w:pPr>
              <w:ind w:left="438" w:leftChars="-20" w:right="-57" w:hanging="480" w:hangingChars="200"/>
              <w:rPr>
                <w:rFonts w:ascii="宋体"/>
                <w:sz w:val="24"/>
                <w:szCs w:val="24"/>
              </w:rPr>
            </w:pPr>
            <w:r>
              <w:rPr>
                <w:rFonts w:hint="eastAsia" w:ascii="宋体" w:hAnsi="宋体" w:cs="宋体"/>
                <w:sz w:val="24"/>
                <w:szCs w:val="24"/>
              </w:rPr>
              <w:t>答疑提问结束时间：</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ascii="宋体" w:hAnsi="宋体" w:cs="宋体"/>
                <w:sz w:val="24"/>
                <w:szCs w:val="24"/>
              </w:rPr>
              <w:t>17</w:t>
            </w:r>
            <w:r>
              <w:rPr>
                <w:rFonts w:hint="eastAsia" w:ascii="宋体" w:hAnsi="宋体" w:cs="宋体"/>
                <w:sz w:val="24"/>
                <w:szCs w:val="24"/>
              </w:rPr>
              <w:t>时</w:t>
            </w:r>
          </w:p>
          <w:p>
            <w:pPr>
              <w:ind w:left="438" w:leftChars="-20" w:right="-57" w:hanging="480" w:hangingChars="200"/>
              <w:rPr>
                <w:rFonts w:hint="eastAsia" w:ascii="宋体" w:eastAsia="宋体"/>
                <w:sz w:val="24"/>
                <w:szCs w:val="24"/>
                <w:lang w:eastAsia="zh-CN"/>
              </w:rPr>
            </w:pPr>
            <w:r>
              <w:rPr>
                <w:rFonts w:hint="eastAsia" w:ascii="宋体" w:hAnsi="宋体" w:cs="宋体"/>
                <w:sz w:val="24"/>
                <w:szCs w:val="24"/>
              </w:rPr>
              <w:t>答疑回复时间：</w:t>
            </w:r>
            <w:r>
              <w:rPr>
                <w:rFonts w:ascii="宋体" w:hAnsi="宋体" w:cs="宋体"/>
                <w:sz w:val="24"/>
                <w:szCs w:val="24"/>
              </w:rPr>
              <w:t xml:space="preserve">    2020</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ascii="宋体" w:hAnsi="宋体" w:cs="宋体"/>
                <w:sz w:val="24"/>
                <w:szCs w:val="24"/>
              </w:rPr>
              <w:t>17</w:t>
            </w:r>
            <w:r>
              <w:rPr>
                <w:rFonts w:hint="eastAsia" w:ascii="宋体" w:hAnsi="宋体" w:cs="宋体"/>
                <w:sz w:val="24"/>
                <w:szCs w:val="24"/>
              </w:rPr>
              <w:t>时</w:t>
            </w:r>
            <w:r>
              <w:rPr>
                <w:rFonts w:hint="eastAsia" w:ascii="宋体" w:hAnsi="宋体" w:cs="宋体"/>
                <w:sz w:val="24"/>
                <w:szCs w:val="24"/>
                <w:lang w:eastAsia="zh-CN"/>
              </w:rPr>
              <w:t>后</w:t>
            </w:r>
          </w:p>
        </w:tc>
      </w:tr>
      <w:tr>
        <w:tblPrEx>
          <w:tblCellMar>
            <w:top w:w="0" w:type="dxa"/>
            <w:left w:w="108" w:type="dxa"/>
            <w:bottom w:w="0" w:type="dxa"/>
            <w:right w:w="108" w:type="dxa"/>
          </w:tblCellMar>
        </w:tblPrEx>
        <w:trPr>
          <w:trHeight w:val="53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14</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磋商响应文件份数、规格</w:t>
            </w:r>
          </w:p>
        </w:tc>
        <w:tc>
          <w:tcPr>
            <w:tcW w:w="7894" w:type="dxa"/>
            <w:tcBorders>
              <w:top w:val="single" w:color="000000" w:sz="4" w:space="0"/>
              <w:left w:val="single" w:color="000000" w:sz="4" w:space="0"/>
              <w:bottom w:val="single" w:color="000000" w:sz="4" w:space="0"/>
              <w:right w:val="single" w:color="000000" w:sz="4" w:space="0"/>
            </w:tcBorders>
            <w:vAlign w:val="center"/>
          </w:tcPr>
          <w:p>
            <w:pPr>
              <w:ind w:left="438" w:leftChars="-20" w:right="-57" w:hanging="480" w:hangingChars="200"/>
              <w:jc w:val="left"/>
              <w:rPr>
                <w:rFonts w:ascii="宋体"/>
                <w:sz w:val="24"/>
                <w:szCs w:val="24"/>
              </w:rPr>
            </w:pPr>
            <w:r>
              <w:rPr>
                <w:rFonts w:hint="eastAsia" w:ascii="宋体" w:hAnsi="宋体" w:cs="宋体"/>
                <w:sz w:val="24"/>
                <w:szCs w:val="24"/>
              </w:rPr>
              <w:t>磋商响应性文件份数：</w:t>
            </w:r>
          </w:p>
          <w:p>
            <w:pPr>
              <w:ind w:left="438" w:leftChars="-20" w:right="-57" w:hanging="480" w:hangingChars="200"/>
              <w:jc w:val="left"/>
              <w:rPr>
                <w:rFonts w:ascii="宋体"/>
                <w:sz w:val="24"/>
                <w:szCs w:val="24"/>
              </w:rPr>
            </w:pPr>
            <w:r>
              <w:rPr>
                <w:rFonts w:hint="eastAsia" w:ascii="宋体" w:hAnsi="宋体" w:cs="宋体"/>
                <w:sz w:val="24"/>
                <w:szCs w:val="24"/>
              </w:rPr>
              <w:t>纸质磋商响应性文件二份，其中正本一份，副本一份；</w:t>
            </w:r>
          </w:p>
          <w:p>
            <w:pPr>
              <w:spacing w:line="360" w:lineRule="exact"/>
              <w:rPr>
                <w:rFonts w:ascii="宋体"/>
                <w:sz w:val="24"/>
                <w:szCs w:val="24"/>
              </w:rPr>
            </w:pPr>
            <w:r>
              <w:rPr>
                <w:rFonts w:hint="eastAsia" w:ascii="宋体" w:hAnsi="宋体" w:cs="宋体"/>
                <w:sz w:val="24"/>
                <w:szCs w:val="24"/>
              </w:rPr>
              <w:t>电子磋商响应性文件一份（</w:t>
            </w:r>
            <w:r>
              <w:rPr>
                <w:rFonts w:ascii="宋体" w:hAnsi="宋体" w:cs="宋体"/>
                <w:sz w:val="24"/>
                <w:szCs w:val="24"/>
              </w:rPr>
              <w:t>U</w:t>
            </w:r>
            <w:r>
              <w:rPr>
                <w:rFonts w:hint="eastAsia" w:ascii="宋体" w:hAnsi="宋体" w:cs="宋体"/>
                <w:sz w:val="24"/>
                <w:szCs w:val="24"/>
              </w:rPr>
              <w:t>盘拷贝）。</w:t>
            </w:r>
          </w:p>
        </w:tc>
      </w:tr>
      <w:tr>
        <w:tblPrEx>
          <w:tblCellMar>
            <w:top w:w="0" w:type="dxa"/>
            <w:left w:w="108" w:type="dxa"/>
            <w:bottom w:w="0" w:type="dxa"/>
            <w:right w:w="108" w:type="dxa"/>
          </w:tblCellMar>
        </w:tblPrEx>
        <w:trPr>
          <w:trHeight w:val="156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15</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磋商响应文件的递交地点及截止时间</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sz w:val="24"/>
                <w:szCs w:val="24"/>
              </w:rPr>
            </w:pPr>
            <w:r>
              <w:rPr>
                <w:rFonts w:hint="eastAsia" w:ascii="宋体" w:hAnsi="宋体" w:cs="宋体"/>
                <w:sz w:val="24"/>
                <w:szCs w:val="24"/>
              </w:rPr>
              <w:t>磋商响应文件递交时间：</w:t>
            </w:r>
            <w:r>
              <w:rPr>
                <w:rFonts w:hint="eastAsia" w:ascii="宋体" w:hAnsi="宋体" w:cs="宋体"/>
                <w:sz w:val="24"/>
                <w:szCs w:val="24"/>
                <w:lang w:eastAsia="zh-CN"/>
              </w:rPr>
              <w:t>202</w:t>
            </w:r>
            <w:r>
              <w:rPr>
                <w:rFonts w:hint="eastAsia" w:ascii="宋体" w:hAnsi="宋体" w:cs="宋体"/>
                <w:sz w:val="24"/>
                <w:szCs w:val="24"/>
                <w:lang w:val="en-US" w:eastAsia="zh-CN"/>
              </w:rPr>
              <w:t>1</w:t>
            </w:r>
            <w:r>
              <w:rPr>
                <w:rFonts w:hint="eastAsia" w:ascii="宋体" w:hAnsi="宋体" w:cs="宋体"/>
                <w:sz w:val="24"/>
                <w:szCs w:val="24"/>
                <w:lang w:eastAsia="zh-CN"/>
              </w:rPr>
              <w:t>年</w:t>
            </w:r>
            <w:r>
              <w:rPr>
                <w:rFonts w:hint="eastAsia" w:ascii="宋体" w:hAnsi="宋体" w:cs="宋体"/>
                <w:sz w:val="24"/>
                <w:szCs w:val="24"/>
                <w:lang w:val="en-US" w:eastAsia="zh-CN"/>
              </w:rPr>
              <w:t>1</w:t>
            </w:r>
            <w:r>
              <w:rPr>
                <w:rFonts w:hint="eastAsia" w:ascii="宋体" w:hAnsi="宋体" w:cs="宋体"/>
                <w:sz w:val="24"/>
                <w:szCs w:val="24"/>
                <w:lang w:eastAsia="zh-CN"/>
              </w:rPr>
              <w:t>月</w:t>
            </w:r>
            <w:r>
              <w:rPr>
                <w:rFonts w:hint="eastAsia" w:ascii="宋体" w:hAnsi="宋体" w:cs="宋体"/>
                <w:sz w:val="24"/>
                <w:szCs w:val="24"/>
                <w:lang w:val="en-US" w:eastAsia="zh-CN"/>
              </w:rPr>
              <w:t>4</w:t>
            </w:r>
            <w:r>
              <w:rPr>
                <w:rFonts w:hint="eastAsia" w:ascii="宋体" w:hAnsi="宋体" w:cs="宋体"/>
                <w:sz w:val="24"/>
                <w:szCs w:val="24"/>
                <w:lang w:eastAsia="zh-CN"/>
              </w:rPr>
              <w:t>日</w:t>
            </w:r>
            <w:r>
              <w:rPr>
                <w:rFonts w:ascii="宋体" w:hAnsi="宋体" w:cs="宋体"/>
                <w:sz w:val="24"/>
                <w:szCs w:val="24"/>
              </w:rPr>
              <w:t xml:space="preserve">8 </w:t>
            </w:r>
            <w:r>
              <w:rPr>
                <w:rFonts w:hint="eastAsia" w:ascii="宋体" w:hAnsi="宋体" w:cs="宋体"/>
                <w:sz w:val="24"/>
                <w:szCs w:val="24"/>
              </w:rPr>
              <w:t>时</w:t>
            </w:r>
            <w:r>
              <w:rPr>
                <w:rFonts w:ascii="宋体" w:hAnsi="宋体" w:cs="宋体"/>
                <w:sz w:val="24"/>
                <w:szCs w:val="24"/>
              </w:rPr>
              <w:t>30</w:t>
            </w:r>
            <w:r>
              <w:rPr>
                <w:rFonts w:hint="eastAsia" w:ascii="宋体" w:hAnsi="宋体" w:cs="宋体"/>
                <w:sz w:val="24"/>
                <w:szCs w:val="24"/>
              </w:rPr>
              <w:t>分</w:t>
            </w:r>
            <w:r>
              <w:rPr>
                <w:rFonts w:ascii="宋体" w:cs="宋体"/>
                <w:sz w:val="24"/>
                <w:szCs w:val="24"/>
              </w:rPr>
              <w:t>--</w:t>
            </w:r>
            <w:r>
              <w:rPr>
                <w:rFonts w:ascii="宋体" w:hAnsi="宋体" w:cs="宋体"/>
                <w:sz w:val="24"/>
                <w:szCs w:val="24"/>
              </w:rPr>
              <w:t>9</w:t>
            </w:r>
            <w:r>
              <w:rPr>
                <w:rFonts w:hint="eastAsia" w:ascii="宋体" w:hAnsi="宋体" w:cs="宋体"/>
                <w:sz w:val="24"/>
                <w:szCs w:val="24"/>
              </w:rPr>
              <w:t>时</w:t>
            </w:r>
          </w:p>
          <w:p>
            <w:pPr>
              <w:spacing w:line="360" w:lineRule="exact"/>
              <w:rPr>
                <w:rFonts w:ascii="新宋体" w:eastAsia="新宋体"/>
                <w:sz w:val="24"/>
                <w:szCs w:val="24"/>
              </w:rPr>
            </w:pPr>
            <w:r>
              <w:rPr>
                <w:rFonts w:hint="eastAsia" w:ascii="宋体" w:hAnsi="宋体" w:cs="宋体"/>
                <w:sz w:val="24"/>
                <w:szCs w:val="24"/>
              </w:rPr>
              <w:t>磋商响应文件递交地点：枝江金润源集团公司</w:t>
            </w:r>
            <w:r>
              <w:rPr>
                <w:rFonts w:ascii="宋体" w:hAnsi="宋体" w:cs="宋体"/>
                <w:sz w:val="24"/>
                <w:szCs w:val="24"/>
              </w:rPr>
              <w:t>(</w:t>
            </w:r>
            <w:r>
              <w:rPr>
                <w:rFonts w:hint="eastAsia" w:ascii="宋体" w:hAnsi="宋体" w:cs="宋体"/>
                <w:sz w:val="24"/>
                <w:szCs w:val="24"/>
              </w:rPr>
              <w:t>枝江市友谊大道</w:t>
            </w:r>
            <w:r>
              <w:rPr>
                <w:rFonts w:ascii="宋体" w:hAnsi="宋体" w:cs="宋体"/>
                <w:sz w:val="24"/>
                <w:szCs w:val="24"/>
              </w:rPr>
              <w:t>19</w:t>
            </w:r>
            <w:r>
              <w:rPr>
                <w:rFonts w:hint="eastAsia" w:ascii="宋体" w:hAnsi="宋体" w:cs="宋体"/>
                <w:sz w:val="24"/>
                <w:szCs w:val="24"/>
              </w:rPr>
              <w:t>号</w:t>
            </w:r>
            <w:r>
              <w:rPr>
                <w:rFonts w:ascii="宋体" w:hAnsi="宋体" w:cs="宋体"/>
                <w:sz w:val="24"/>
                <w:szCs w:val="24"/>
              </w:rPr>
              <w:t>)3</w:t>
            </w:r>
            <w:r>
              <w:rPr>
                <w:rFonts w:hint="eastAsia" w:ascii="宋体" w:hAnsi="宋体" w:cs="宋体"/>
                <w:sz w:val="24"/>
                <w:szCs w:val="24"/>
              </w:rPr>
              <w:t>楼开标室</w:t>
            </w:r>
          </w:p>
          <w:p>
            <w:pPr>
              <w:spacing w:line="360" w:lineRule="exact"/>
              <w:rPr>
                <w:rFonts w:ascii="宋体"/>
                <w:sz w:val="24"/>
                <w:szCs w:val="24"/>
              </w:rPr>
            </w:pPr>
            <w:r>
              <w:rPr>
                <w:rFonts w:hint="eastAsia" w:ascii="宋体" w:hAnsi="宋体" w:cs="宋体"/>
                <w:sz w:val="24"/>
                <w:szCs w:val="24"/>
              </w:rPr>
              <w:t>磋商响应文件签收单位：湖北祺远建设项目管理有限公司</w:t>
            </w:r>
          </w:p>
        </w:tc>
      </w:tr>
      <w:tr>
        <w:tblPrEx>
          <w:tblCellMar>
            <w:top w:w="0" w:type="dxa"/>
            <w:left w:w="108" w:type="dxa"/>
            <w:bottom w:w="0" w:type="dxa"/>
            <w:right w:w="108" w:type="dxa"/>
          </w:tblCellMar>
        </w:tblPrEx>
        <w:trPr>
          <w:cantSplit/>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16</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hint="eastAsia" w:ascii="宋体" w:hAnsi="宋体" w:cs="宋体"/>
                <w:kern w:val="1"/>
                <w:sz w:val="24"/>
                <w:szCs w:val="24"/>
              </w:rPr>
              <w:t>开标会</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sz w:val="24"/>
                <w:szCs w:val="24"/>
              </w:rPr>
            </w:pPr>
            <w:r>
              <w:rPr>
                <w:rFonts w:hint="eastAsia" w:ascii="宋体" w:hAnsi="宋体" w:cs="宋体"/>
                <w:kern w:val="1"/>
                <w:sz w:val="24"/>
                <w:szCs w:val="24"/>
              </w:rPr>
              <w:t>开标地点：</w:t>
            </w:r>
            <w:r>
              <w:rPr>
                <w:rFonts w:hint="eastAsia" w:ascii="宋体" w:hAnsi="宋体" w:cs="宋体"/>
                <w:sz w:val="24"/>
                <w:szCs w:val="24"/>
              </w:rPr>
              <w:t>枝江金润源集团公司</w:t>
            </w:r>
            <w:r>
              <w:rPr>
                <w:rFonts w:ascii="宋体" w:hAnsi="宋体" w:cs="宋体"/>
                <w:sz w:val="24"/>
                <w:szCs w:val="24"/>
              </w:rPr>
              <w:t>(</w:t>
            </w:r>
            <w:r>
              <w:rPr>
                <w:rFonts w:hint="eastAsia" w:ascii="宋体" w:hAnsi="宋体" w:cs="宋体"/>
                <w:sz w:val="24"/>
                <w:szCs w:val="24"/>
              </w:rPr>
              <w:t>枝江市友谊大道</w:t>
            </w:r>
            <w:r>
              <w:rPr>
                <w:rFonts w:ascii="宋体" w:hAnsi="宋体" w:cs="宋体"/>
                <w:sz w:val="24"/>
                <w:szCs w:val="24"/>
              </w:rPr>
              <w:t>19</w:t>
            </w:r>
            <w:r>
              <w:rPr>
                <w:rFonts w:hint="eastAsia" w:ascii="宋体" w:hAnsi="宋体" w:cs="宋体"/>
                <w:sz w:val="24"/>
                <w:szCs w:val="24"/>
              </w:rPr>
              <w:t>号</w:t>
            </w:r>
            <w:r>
              <w:rPr>
                <w:rFonts w:ascii="宋体" w:hAnsi="宋体" w:cs="宋体"/>
                <w:sz w:val="24"/>
                <w:szCs w:val="24"/>
              </w:rPr>
              <w:t>)3</w:t>
            </w:r>
            <w:r>
              <w:rPr>
                <w:rFonts w:hint="eastAsia" w:ascii="宋体" w:hAnsi="宋体" w:cs="宋体"/>
                <w:sz w:val="24"/>
                <w:szCs w:val="24"/>
              </w:rPr>
              <w:t>楼开标室</w:t>
            </w:r>
          </w:p>
          <w:p>
            <w:pPr>
              <w:spacing w:line="360" w:lineRule="exact"/>
              <w:rPr>
                <w:rFonts w:ascii="宋体"/>
                <w:kern w:val="1"/>
                <w:sz w:val="24"/>
                <w:szCs w:val="24"/>
              </w:rPr>
            </w:pPr>
            <w:r>
              <w:rPr>
                <w:rFonts w:hint="eastAsia" w:ascii="宋体" w:hAnsi="宋体" w:cs="宋体"/>
                <w:kern w:val="1"/>
                <w:sz w:val="24"/>
                <w:szCs w:val="24"/>
              </w:rPr>
              <w:t>开标时间：</w:t>
            </w:r>
            <w:r>
              <w:rPr>
                <w:rFonts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4</w:t>
            </w:r>
            <w:r>
              <w:rPr>
                <w:rFonts w:hint="eastAsia" w:ascii="宋体" w:hAnsi="宋体" w:cs="宋体"/>
                <w:sz w:val="24"/>
                <w:szCs w:val="24"/>
              </w:rPr>
              <w:t>日</w:t>
            </w:r>
            <w:r>
              <w:rPr>
                <w:rFonts w:ascii="宋体" w:hAnsi="宋体" w:cs="宋体"/>
                <w:sz w:val="24"/>
                <w:szCs w:val="24"/>
              </w:rPr>
              <w:t>9</w:t>
            </w:r>
            <w:r>
              <w:rPr>
                <w:rFonts w:hint="eastAsia" w:ascii="宋体" w:hAnsi="宋体" w:cs="宋体"/>
                <w:sz w:val="24"/>
                <w:szCs w:val="24"/>
              </w:rPr>
              <w:t>时</w:t>
            </w:r>
            <w:r>
              <w:rPr>
                <w:rFonts w:hint="eastAsia" w:ascii="新宋体" w:hAnsi="新宋体" w:eastAsia="新宋体" w:cs="新宋体"/>
                <w:sz w:val="24"/>
                <w:szCs w:val="24"/>
              </w:rPr>
              <w:t>止</w:t>
            </w:r>
          </w:p>
        </w:tc>
      </w:tr>
      <w:tr>
        <w:tblPrEx>
          <w:tblCellMar>
            <w:top w:w="0" w:type="dxa"/>
            <w:left w:w="108" w:type="dxa"/>
            <w:bottom w:w="0" w:type="dxa"/>
            <w:right w:w="108" w:type="dxa"/>
          </w:tblCellMar>
        </w:tblPrEx>
        <w:trPr>
          <w:trHeight w:val="1058"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17</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宋体"/>
                <w:kern w:val="1"/>
                <w:sz w:val="24"/>
                <w:szCs w:val="24"/>
              </w:rPr>
            </w:pPr>
            <w:r>
              <w:rPr>
                <w:rFonts w:hint="eastAsia" w:ascii="宋体" w:hAnsi="宋体" w:cs="宋体"/>
                <w:kern w:val="1"/>
                <w:sz w:val="24"/>
                <w:szCs w:val="24"/>
              </w:rPr>
              <w:t>付款方式</w:t>
            </w:r>
          </w:p>
        </w:tc>
        <w:tc>
          <w:tcPr>
            <w:tcW w:w="78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宋体"/>
                <w:kern w:val="1"/>
                <w:sz w:val="24"/>
                <w:szCs w:val="24"/>
              </w:rPr>
            </w:pPr>
            <w:r>
              <w:rPr>
                <w:rFonts w:hint="eastAsia" w:ascii="宋体" w:hAnsi="宋体" w:cs="宋体"/>
                <w:kern w:val="1"/>
                <w:sz w:val="24"/>
                <w:szCs w:val="24"/>
              </w:rPr>
              <w:t>货到安装调试完毕验收后付</w:t>
            </w:r>
            <w:r>
              <w:rPr>
                <w:rFonts w:hint="eastAsia" w:ascii="宋体" w:hAnsi="宋体" w:cs="宋体"/>
                <w:kern w:val="1"/>
                <w:sz w:val="24"/>
                <w:szCs w:val="24"/>
                <w:lang w:eastAsia="zh-CN"/>
              </w:rPr>
              <w:t>至合同总价的</w:t>
            </w:r>
            <w:r>
              <w:rPr>
                <w:rFonts w:ascii="宋体" w:hAnsi="宋体" w:cs="宋体"/>
                <w:kern w:val="1"/>
                <w:sz w:val="24"/>
                <w:szCs w:val="24"/>
              </w:rPr>
              <w:t>60</w:t>
            </w:r>
            <w:r>
              <w:rPr>
                <w:rFonts w:hint="eastAsia" w:ascii="宋体" w:hAnsi="宋体" w:cs="宋体"/>
                <w:kern w:val="1"/>
                <w:sz w:val="24"/>
                <w:szCs w:val="24"/>
              </w:rPr>
              <w:t>％，试运行六个月无故障后再付</w:t>
            </w:r>
            <w:r>
              <w:rPr>
                <w:rFonts w:hint="eastAsia" w:ascii="宋体" w:hAnsi="宋体" w:cs="宋体"/>
                <w:kern w:val="1"/>
                <w:sz w:val="24"/>
                <w:szCs w:val="24"/>
                <w:lang w:eastAsia="zh-CN"/>
              </w:rPr>
              <w:t>至合同总价的</w:t>
            </w:r>
            <w:r>
              <w:rPr>
                <w:rFonts w:hint="eastAsia" w:ascii="宋体" w:hAnsi="宋体" w:cs="宋体"/>
                <w:kern w:val="1"/>
                <w:sz w:val="24"/>
                <w:szCs w:val="24"/>
                <w:lang w:val="en-US" w:eastAsia="zh-CN"/>
              </w:rPr>
              <w:t>95</w:t>
            </w:r>
            <w:r>
              <w:rPr>
                <w:rFonts w:hint="eastAsia" w:ascii="宋体" w:hAnsi="宋体" w:cs="宋体"/>
                <w:kern w:val="1"/>
                <w:sz w:val="24"/>
                <w:szCs w:val="24"/>
              </w:rPr>
              <w:t>％（若出重大故障，以故障修复之日为计算起始日</w:t>
            </w:r>
            <w:r>
              <w:rPr>
                <w:rFonts w:hint="eastAsia" w:ascii="宋体" w:hAnsi="宋体" w:cs="宋体"/>
                <w:kern w:val="1"/>
                <w:sz w:val="24"/>
                <w:szCs w:val="24"/>
                <w:lang w:eastAsia="zh-CN"/>
              </w:rPr>
              <w:t>，再试运行六个月后付至合同总价的</w:t>
            </w:r>
            <w:r>
              <w:rPr>
                <w:rFonts w:hint="eastAsia" w:ascii="宋体" w:hAnsi="宋体" w:cs="宋体"/>
                <w:kern w:val="1"/>
                <w:sz w:val="24"/>
                <w:szCs w:val="24"/>
                <w:lang w:val="en-US" w:eastAsia="zh-CN"/>
              </w:rPr>
              <w:t>95%</w:t>
            </w:r>
            <w:r>
              <w:rPr>
                <w:rFonts w:hint="eastAsia" w:ascii="宋体" w:hAnsi="宋体" w:cs="宋体"/>
                <w:kern w:val="1"/>
                <w:sz w:val="24"/>
                <w:szCs w:val="24"/>
              </w:rPr>
              <w:t>），留</w:t>
            </w:r>
            <w:r>
              <w:rPr>
                <w:rFonts w:hint="eastAsia" w:ascii="宋体" w:hAnsi="宋体" w:cs="宋体"/>
                <w:kern w:val="1"/>
                <w:sz w:val="24"/>
                <w:szCs w:val="24"/>
                <w:lang w:eastAsia="zh-CN"/>
              </w:rPr>
              <w:t>剩余</w:t>
            </w:r>
            <w:r>
              <w:rPr>
                <w:rFonts w:ascii="宋体" w:hAnsi="宋体" w:cs="宋体"/>
                <w:kern w:val="1"/>
                <w:sz w:val="24"/>
                <w:szCs w:val="24"/>
              </w:rPr>
              <w:t>5</w:t>
            </w:r>
            <w:r>
              <w:rPr>
                <w:rFonts w:hint="eastAsia" w:ascii="宋体" w:hAnsi="宋体" w:cs="宋体"/>
                <w:kern w:val="1"/>
                <w:sz w:val="24"/>
                <w:szCs w:val="24"/>
              </w:rPr>
              <w:t>％作为质保金至质保期满后一次性付清。</w:t>
            </w:r>
            <w:r>
              <w:rPr>
                <w:rFonts w:hint="eastAsia" w:ascii="宋体" w:hAnsi="宋体" w:cs="宋体"/>
                <w:b/>
                <w:bCs/>
                <w:kern w:val="1"/>
                <w:sz w:val="24"/>
                <w:szCs w:val="24"/>
              </w:rPr>
              <w:t>结算时须提供合法合规的增值税专票。（上述付款方式采用现金或银行保兑（商业汇票）方式付款，以上未付款项均不计利息。）</w:t>
            </w:r>
          </w:p>
        </w:tc>
      </w:tr>
      <w:tr>
        <w:tblPrEx>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kern w:val="1"/>
                <w:sz w:val="24"/>
                <w:szCs w:val="24"/>
              </w:rPr>
            </w:pPr>
            <w:r>
              <w:rPr>
                <w:rFonts w:ascii="宋体" w:hAnsi="宋体" w:cs="宋体"/>
                <w:kern w:val="1"/>
                <w:sz w:val="24"/>
                <w:szCs w:val="24"/>
              </w:rPr>
              <w:t>18</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kern w:val="1"/>
                <w:sz w:val="24"/>
                <w:szCs w:val="24"/>
              </w:rPr>
            </w:pPr>
            <w:r>
              <w:rPr>
                <w:rFonts w:hint="eastAsia" w:ascii="宋体" w:hAnsi="宋体" w:cs="宋体"/>
                <w:kern w:val="1"/>
                <w:sz w:val="24"/>
                <w:szCs w:val="24"/>
              </w:rPr>
              <w:t>现场踏勘</w:t>
            </w:r>
          </w:p>
        </w:tc>
        <w:tc>
          <w:tcPr>
            <w:tcW w:w="789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kern w:val="1"/>
                <w:sz w:val="24"/>
                <w:szCs w:val="24"/>
              </w:rPr>
            </w:pPr>
            <w:r>
              <w:rPr>
                <w:rFonts w:hint="eastAsia" w:ascii="宋体" w:hAnsi="宋体" w:cs="宋体"/>
                <w:kern w:val="1"/>
                <w:sz w:val="24"/>
                <w:szCs w:val="24"/>
              </w:rPr>
              <w:t>采购人不集中组织现场踏勘，磋商供应商必须自行踏勘现场。磋商供应商可以踏勘为目的自行进入采购人的项目现场，但供应商不得因此使采购人承担有关的责任和蒙受损失，供应商应承担踏勘现场的责任和风险。</w:t>
            </w:r>
          </w:p>
        </w:tc>
      </w:tr>
      <w:tr>
        <w:tblPrEx>
          <w:tblCellMar>
            <w:top w:w="0" w:type="dxa"/>
            <w:left w:w="108" w:type="dxa"/>
            <w:bottom w:w="0" w:type="dxa"/>
            <w:right w:w="108" w:type="dxa"/>
          </w:tblCellMar>
        </w:tblPrEx>
        <w:trPr>
          <w:trHeight w:val="116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kern w:val="1"/>
                <w:sz w:val="24"/>
                <w:szCs w:val="24"/>
              </w:rPr>
            </w:pPr>
            <w:r>
              <w:rPr>
                <w:rFonts w:ascii="宋体" w:hAnsi="宋体" w:cs="宋体"/>
                <w:kern w:val="1"/>
                <w:sz w:val="24"/>
                <w:szCs w:val="24"/>
              </w:rPr>
              <w:t>19</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cs="宋体"/>
                <w:kern w:val="1"/>
                <w:sz w:val="24"/>
                <w:szCs w:val="24"/>
              </w:rPr>
            </w:pPr>
            <w:r>
              <w:rPr>
                <w:rFonts w:hint="eastAsia" w:ascii="宋体" w:hAnsi="宋体" w:cs="宋体"/>
                <w:kern w:val="1"/>
                <w:sz w:val="24"/>
                <w:szCs w:val="24"/>
              </w:rPr>
              <w:t>样品提供的规定</w:t>
            </w:r>
          </w:p>
        </w:tc>
        <w:tc>
          <w:tcPr>
            <w:tcW w:w="7894" w:type="dxa"/>
            <w:tcBorders>
              <w:top w:val="single" w:color="000000" w:sz="4" w:space="0"/>
              <w:left w:val="single" w:color="000000" w:sz="4" w:space="0"/>
              <w:bottom w:val="single" w:color="000000" w:sz="4" w:space="0"/>
              <w:right w:val="single" w:color="000000" w:sz="4" w:space="0"/>
            </w:tcBorders>
            <w:vAlign w:val="center"/>
          </w:tcPr>
          <w:p>
            <w:pPr>
              <w:pStyle w:val="43"/>
              <w:spacing w:before="112"/>
              <w:ind w:left="104"/>
              <w:rPr>
                <w:rFonts w:ascii="宋体" w:cs="宋体"/>
                <w:kern w:val="1"/>
                <w:sz w:val="24"/>
                <w:szCs w:val="24"/>
              </w:rPr>
            </w:pPr>
            <w:r>
              <w:rPr>
                <w:rFonts w:ascii="Wingdings" w:hAnsi="Wingdings" w:eastAsia="Times New Roman"/>
                <w:sz w:val="24"/>
              </w:rPr>
              <w:t></w:t>
            </w:r>
            <w:r>
              <w:rPr>
                <w:rFonts w:hint="eastAsia" w:ascii="宋体" w:hAnsi="宋体" w:cs="宋体"/>
                <w:kern w:val="1"/>
                <w:sz w:val="24"/>
                <w:szCs w:val="24"/>
              </w:rPr>
              <w:t>不要求提供</w:t>
            </w:r>
          </w:p>
          <w:p>
            <w:pPr>
              <w:pStyle w:val="43"/>
              <w:numPr>
                <w:ilvl w:val="0"/>
                <w:numId w:val="1"/>
              </w:numPr>
              <w:tabs>
                <w:tab w:val="left" w:pos="319"/>
              </w:tabs>
              <w:spacing w:before="134"/>
              <w:rPr>
                <w:rFonts w:ascii="宋体" w:cs="宋体"/>
                <w:kern w:val="1"/>
                <w:sz w:val="24"/>
                <w:szCs w:val="24"/>
              </w:rPr>
            </w:pPr>
            <w:r>
              <w:rPr>
                <w:rFonts w:hint="eastAsia" w:ascii="宋体" w:hAnsi="宋体" w:cs="宋体"/>
                <w:kern w:val="1"/>
                <w:sz w:val="24"/>
                <w:szCs w:val="24"/>
              </w:rPr>
              <w:t>要求提供</w:t>
            </w:r>
          </w:p>
          <w:p>
            <w:pPr>
              <w:pStyle w:val="43"/>
              <w:spacing w:before="132"/>
              <w:ind w:left="104"/>
              <w:rPr>
                <w:rFonts w:ascii="宋体" w:cs="宋体"/>
                <w:kern w:val="1"/>
                <w:sz w:val="24"/>
                <w:szCs w:val="24"/>
              </w:rPr>
            </w:pPr>
            <w:r>
              <w:rPr>
                <w:rFonts w:hint="eastAsia" w:ascii="宋体" w:hAnsi="宋体" w:cs="宋体"/>
                <w:kern w:val="1"/>
                <w:sz w:val="24"/>
                <w:szCs w:val="24"/>
              </w:rPr>
              <w:t>提交的时间：</w:t>
            </w:r>
            <w:r>
              <w:rPr>
                <w:rFonts w:ascii="宋体" w:hAnsi="宋体" w:cs="宋体"/>
                <w:kern w:val="1"/>
                <w:sz w:val="24"/>
                <w:szCs w:val="24"/>
              </w:rPr>
              <w:t>/</w:t>
            </w:r>
          </w:p>
          <w:p>
            <w:pPr>
              <w:pStyle w:val="43"/>
              <w:spacing w:before="131"/>
              <w:ind w:left="104"/>
              <w:rPr>
                <w:rFonts w:ascii="宋体" w:cs="宋体"/>
                <w:kern w:val="1"/>
                <w:sz w:val="24"/>
                <w:szCs w:val="24"/>
              </w:rPr>
            </w:pPr>
            <w:r>
              <w:rPr>
                <w:rFonts w:hint="eastAsia" w:ascii="宋体" w:hAnsi="宋体" w:cs="宋体"/>
                <w:kern w:val="1"/>
                <w:sz w:val="24"/>
                <w:szCs w:val="24"/>
              </w:rPr>
              <w:t>地点：枝江金润源建设投资控股集团有限公司</w:t>
            </w:r>
            <w:r>
              <w:rPr>
                <w:rFonts w:ascii="宋体" w:hAnsi="宋体" w:cs="宋体"/>
                <w:kern w:val="1"/>
                <w:sz w:val="24"/>
                <w:szCs w:val="24"/>
              </w:rPr>
              <w:t xml:space="preserve"> 3 </w:t>
            </w:r>
            <w:r>
              <w:rPr>
                <w:rFonts w:hint="eastAsia" w:ascii="宋体" w:hAnsi="宋体" w:cs="宋体"/>
                <w:kern w:val="1"/>
                <w:sz w:val="24"/>
                <w:szCs w:val="24"/>
              </w:rPr>
              <w:t>楼会议室</w:t>
            </w:r>
            <w:r>
              <w:rPr>
                <w:rFonts w:ascii="宋体" w:hAnsi="宋体" w:cs="宋体"/>
                <w:kern w:val="1"/>
                <w:sz w:val="24"/>
                <w:szCs w:val="24"/>
              </w:rPr>
              <w:t>(</w:t>
            </w:r>
            <w:r>
              <w:rPr>
                <w:rFonts w:hint="eastAsia" w:ascii="宋体" w:hAnsi="宋体" w:cs="宋体"/>
                <w:kern w:val="1"/>
                <w:sz w:val="24"/>
                <w:szCs w:val="24"/>
              </w:rPr>
              <w:t>枝江市友谊大道</w:t>
            </w:r>
            <w:r>
              <w:rPr>
                <w:rFonts w:ascii="宋体" w:hAnsi="宋体" w:cs="宋体"/>
                <w:kern w:val="1"/>
                <w:sz w:val="24"/>
                <w:szCs w:val="24"/>
              </w:rPr>
              <w:t xml:space="preserve"> 19 </w:t>
            </w:r>
            <w:r>
              <w:rPr>
                <w:rFonts w:hint="eastAsia" w:ascii="宋体" w:hAnsi="宋体" w:cs="宋体"/>
                <w:kern w:val="1"/>
                <w:sz w:val="24"/>
                <w:szCs w:val="24"/>
              </w:rPr>
              <w:t>号</w:t>
            </w:r>
            <w:r>
              <w:rPr>
                <w:rFonts w:ascii="宋体" w:hAnsi="宋体" w:cs="宋体"/>
                <w:kern w:val="1"/>
                <w:sz w:val="24"/>
                <w:szCs w:val="24"/>
              </w:rPr>
              <w:t>)</w:t>
            </w:r>
            <w:r>
              <w:rPr>
                <w:rFonts w:hint="eastAsia" w:ascii="宋体" w:hAnsi="宋体" w:cs="宋体"/>
                <w:kern w:val="1"/>
                <w:sz w:val="24"/>
                <w:szCs w:val="24"/>
              </w:rPr>
              <w:t>。</w:t>
            </w:r>
          </w:p>
        </w:tc>
      </w:tr>
      <w:tr>
        <w:tblPrEx>
          <w:tblCellMar>
            <w:top w:w="0" w:type="dxa"/>
            <w:left w:w="108" w:type="dxa"/>
            <w:bottom w:w="0" w:type="dxa"/>
            <w:right w:w="108" w:type="dxa"/>
          </w:tblCellMar>
        </w:tblPrEx>
        <w:trPr>
          <w:trHeight w:val="112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kern w:val="1"/>
                <w:sz w:val="24"/>
                <w:szCs w:val="24"/>
              </w:rPr>
            </w:pPr>
            <w:r>
              <w:rPr>
                <w:rFonts w:ascii="宋体" w:hAnsi="宋体" w:cs="宋体"/>
                <w:kern w:val="1"/>
                <w:sz w:val="24"/>
                <w:szCs w:val="24"/>
              </w:rPr>
              <w:t>20</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kern w:val="1"/>
                <w:sz w:val="24"/>
                <w:szCs w:val="24"/>
              </w:rPr>
            </w:pPr>
            <w:r>
              <w:rPr>
                <w:rFonts w:hint="eastAsia" w:ascii="宋体" w:hAnsi="宋体" w:cs="宋体"/>
                <w:kern w:val="1"/>
                <w:sz w:val="24"/>
                <w:szCs w:val="24"/>
              </w:rPr>
              <w:t>招标代理费</w:t>
            </w:r>
          </w:p>
        </w:tc>
        <w:tc>
          <w:tcPr>
            <w:tcW w:w="78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pPr>
            <w:r>
              <w:rPr>
                <w:rFonts w:hint="eastAsia" w:ascii="宋体" w:hAnsi="宋体" w:cs="宋体"/>
                <w:kern w:val="1"/>
                <w:sz w:val="24"/>
                <w:szCs w:val="24"/>
              </w:rPr>
              <w:t>代理服务费</w:t>
            </w:r>
            <w:r>
              <w:rPr>
                <w:rFonts w:hint="eastAsia" w:ascii="宋体" w:hAnsi="宋体" w:cs="宋体"/>
                <w:kern w:val="1"/>
                <w:sz w:val="24"/>
                <w:szCs w:val="24"/>
                <w:lang w:val="en-US" w:eastAsia="zh-CN"/>
              </w:rPr>
              <w:t>6</w:t>
            </w:r>
            <w:r>
              <w:rPr>
                <w:rFonts w:ascii="宋体" w:hAnsi="宋体" w:cs="宋体"/>
                <w:kern w:val="1"/>
                <w:sz w:val="24"/>
                <w:szCs w:val="24"/>
              </w:rPr>
              <w:t>000.00</w:t>
            </w:r>
            <w:r>
              <w:rPr>
                <w:rFonts w:hint="eastAsia" w:ascii="宋体" w:hAnsi="宋体" w:cs="宋体"/>
                <w:kern w:val="1"/>
                <w:sz w:val="24"/>
                <w:szCs w:val="24"/>
              </w:rPr>
              <w:t>元由成交供应商向代理公司交纳，供应商报价时应考虑招标代理服务费，本费用不列入报价单内，由成交供应商在领取成交通知书时向代理机构交纳。</w:t>
            </w:r>
          </w:p>
        </w:tc>
      </w:tr>
    </w:tbl>
    <w:p>
      <w:pPr>
        <w:pStyle w:val="3"/>
        <w:rPr>
          <w:rFonts w:ascii="宋体" w:eastAsia="宋体"/>
          <w:kern w:val="1"/>
          <w:sz w:val="44"/>
          <w:szCs w:val="44"/>
        </w:rPr>
      </w:pPr>
      <w:bookmarkStart w:id="2" w:name="_Toc6578154"/>
      <w:bookmarkStart w:id="3" w:name="_Toc522097479"/>
      <w:bookmarkStart w:id="4" w:name="_Toc8407"/>
      <w:bookmarkStart w:id="5" w:name="OLE_LINK6"/>
    </w:p>
    <w:p>
      <w:pPr>
        <w:rPr>
          <w:rFonts w:ascii="宋体"/>
          <w:kern w:val="1"/>
          <w:sz w:val="44"/>
          <w:szCs w:val="44"/>
        </w:rPr>
      </w:pPr>
    </w:p>
    <w:p>
      <w:pPr>
        <w:pStyle w:val="2"/>
        <w:rPr>
          <w:rFonts w:ascii="宋体" w:eastAsia="宋体"/>
          <w:kern w:val="1"/>
          <w:sz w:val="44"/>
          <w:szCs w:val="44"/>
        </w:rPr>
      </w:pPr>
    </w:p>
    <w:p>
      <w:pPr>
        <w:pStyle w:val="3"/>
        <w:rPr>
          <w:rFonts w:ascii="宋体" w:eastAsia="宋体" w:cs="Times New Roman"/>
          <w:kern w:val="1"/>
          <w:sz w:val="44"/>
          <w:szCs w:val="44"/>
        </w:rPr>
      </w:pPr>
      <w:r>
        <w:rPr>
          <w:rFonts w:hint="eastAsia" w:ascii="宋体" w:hAnsi="宋体"/>
          <w:kern w:val="1"/>
          <w:sz w:val="44"/>
          <w:szCs w:val="44"/>
        </w:rPr>
        <w:t>第一章竞争性磋商公告</w:t>
      </w:r>
      <w:bookmarkEnd w:id="2"/>
      <w:bookmarkEnd w:id="3"/>
      <w:bookmarkEnd w:id="4"/>
    </w:p>
    <w:p>
      <w:pPr>
        <w:spacing w:line="360" w:lineRule="exact"/>
        <w:ind w:firstLine="480" w:firstLineChars="200"/>
        <w:rPr>
          <w:rFonts w:ascii="宋体"/>
          <w:sz w:val="24"/>
          <w:szCs w:val="24"/>
        </w:rPr>
      </w:pPr>
      <w:bookmarkStart w:id="6" w:name="OLE_LINK5"/>
      <w:bookmarkStart w:id="7" w:name="OLE_LINK7"/>
      <w:bookmarkStart w:id="8" w:name="_Toc465325105"/>
      <w:bookmarkStart w:id="9" w:name="_Toc465324871"/>
      <w:r>
        <w:rPr>
          <w:rFonts w:hint="eastAsia" w:ascii="宋体" w:hAnsi="宋体" w:cs="宋体"/>
          <w:sz w:val="24"/>
          <w:szCs w:val="24"/>
          <w:lang w:eastAsia="zh-CN"/>
        </w:rPr>
        <w:t>一品江山二次加压设备采购</w:t>
      </w:r>
      <w:r>
        <w:rPr>
          <w:rFonts w:hint="eastAsia" w:ascii="宋体" w:hAnsi="宋体" w:cs="宋体"/>
          <w:sz w:val="24"/>
          <w:szCs w:val="24"/>
        </w:rPr>
        <w:t>已具备采购条件，湖北祺远建设项目管理有限公司受采购人委托作为本项目采购代理机构，现对本项目进行竞争性磋商采购，具体公告如下：</w:t>
      </w:r>
    </w:p>
    <w:p>
      <w:pPr>
        <w:spacing w:beforeLines="50" w:afterLines="50" w:line="360" w:lineRule="exact"/>
        <w:ind w:firstLine="482" w:firstLineChars="200"/>
        <w:jc w:val="left"/>
        <w:outlineLvl w:val="1"/>
        <w:rPr>
          <w:rFonts w:ascii="宋体"/>
          <w:sz w:val="24"/>
          <w:szCs w:val="24"/>
        </w:rPr>
      </w:pPr>
      <w:bookmarkStart w:id="10" w:name="_Toc26704_WPSOffice_Level2"/>
      <w:bookmarkStart w:id="11" w:name="_Toc32038"/>
      <w:bookmarkStart w:id="12" w:name="_Toc20634"/>
      <w:bookmarkStart w:id="13" w:name="_Toc32715_WPSOffice_Level2"/>
      <w:r>
        <w:rPr>
          <w:rFonts w:hint="eastAsia" w:ascii="宋体" w:hAnsi="宋体" w:cs="宋体"/>
          <w:b/>
          <w:bCs/>
          <w:sz w:val="24"/>
          <w:szCs w:val="24"/>
        </w:rPr>
        <w:t>一、项目概况：</w:t>
      </w:r>
      <w:bookmarkEnd w:id="10"/>
      <w:bookmarkEnd w:id="11"/>
      <w:bookmarkEnd w:id="12"/>
      <w:bookmarkEnd w:id="13"/>
    </w:p>
    <w:p>
      <w:pPr>
        <w:spacing w:line="360" w:lineRule="exact"/>
        <w:ind w:firstLine="480" w:firstLineChars="200"/>
        <w:jc w:val="left"/>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sz w:val="24"/>
          <w:szCs w:val="24"/>
          <w:lang w:eastAsia="zh-CN"/>
        </w:rPr>
        <w:t>一品江山二次加压设备采购</w:t>
      </w:r>
    </w:p>
    <w:p>
      <w:pPr>
        <w:spacing w:line="360" w:lineRule="exact"/>
        <w:ind w:firstLine="480" w:firstLineChars="200"/>
        <w:rPr>
          <w:rFonts w:hint="eastAsia" w:ascii="宋体" w:eastAsia="宋体" w:cs="宋体"/>
          <w:kern w:val="1"/>
          <w:sz w:val="24"/>
          <w:szCs w:val="24"/>
          <w:lang w:eastAsia="zh-CN"/>
        </w:rPr>
      </w:pPr>
      <w:r>
        <w:rPr>
          <w:rFonts w:ascii="宋体" w:hAnsi="宋体" w:cs="宋体"/>
          <w:kern w:val="1"/>
          <w:sz w:val="24"/>
          <w:szCs w:val="24"/>
        </w:rPr>
        <w:t>2</w:t>
      </w:r>
      <w:r>
        <w:rPr>
          <w:rFonts w:hint="eastAsia" w:ascii="宋体" w:hAnsi="宋体" w:cs="宋体"/>
          <w:kern w:val="1"/>
          <w:sz w:val="24"/>
          <w:szCs w:val="24"/>
        </w:rPr>
        <w:t>、项目编号：</w:t>
      </w:r>
      <w:r>
        <w:rPr>
          <w:rFonts w:hint="eastAsia" w:ascii="宋体" w:hAnsi="宋体" w:cs="宋体"/>
          <w:kern w:val="1"/>
          <w:sz w:val="24"/>
          <w:szCs w:val="24"/>
          <w:lang w:eastAsia="zh-CN"/>
        </w:rPr>
        <w:t>Zjjry2020-Z087</w:t>
      </w:r>
    </w:p>
    <w:p>
      <w:pPr>
        <w:spacing w:line="360" w:lineRule="exact"/>
        <w:ind w:firstLine="480" w:firstLineChars="200"/>
        <w:rPr>
          <w:rFonts w:ascii="宋体" w:cs="宋体"/>
          <w:kern w:val="1"/>
          <w:sz w:val="24"/>
          <w:szCs w:val="24"/>
        </w:rPr>
      </w:pPr>
      <w:r>
        <w:rPr>
          <w:rFonts w:ascii="宋体" w:hAnsi="宋体" w:cs="宋体"/>
          <w:kern w:val="1"/>
          <w:sz w:val="24"/>
          <w:szCs w:val="24"/>
        </w:rPr>
        <w:t>3</w:t>
      </w:r>
      <w:r>
        <w:rPr>
          <w:rFonts w:hint="eastAsia" w:ascii="宋体" w:hAnsi="宋体" w:cs="宋体"/>
          <w:kern w:val="1"/>
          <w:sz w:val="24"/>
          <w:szCs w:val="24"/>
        </w:rPr>
        <w:t>、项目地点：采购人指定地点</w:t>
      </w:r>
    </w:p>
    <w:p>
      <w:pPr>
        <w:spacing w:line="360" w:lineRule="exact"/>
        <w:ind w:firstLine="480" w:firstLineChars="200"/>
        <w:rPr>
          <w:rFonts w:ascii="宋体" w:cs="宋体"/>
          <w:kern w:val="1"/>
          <w:sz w:val="24"/>
          <w:szCs w:val="24"/>
        </w:rPr>
      </w:pPr>
      <w:r>
        <w:rPr>
          <w:rFonts w:ascii="宋体" w:hAnsi="宋体" w:cs="宋体"/>
          <w:kern w:val="1"/>
          <w:sz w:val="24"/>
          <w:szCs w:val="24"/>
        </w:rPr>
        <w:t>4</w:t>
      </w:r>
      <w:r>
        <w:rPr>
          <w:rFonts w:hint="eastAsia" w:ascii="宋体" w:hAnsi="宋体" w:cs="宋体"/>
          <w:kern w:val="1"/>
          <w:sz w:val="24"/>
          <w:szCs w:val="24"/>
        </w:rPr>
        <w:t>、采购内容：根据</w:t>
      </w:r>
      <w:r>
        <w:rPr>
          <w:rFonts w:hint="eastAsia" w:ascii="宋体" w:hAnsi="宋体" w:cs="宋体"/>
          <w:sz w:val="24"/>
          <w:szCs w:val="24"/>
          <w:lang w:eastAsia="zh-CN"/>
        </w:rPr>
        <w:t>一品江山</w:t>
      </w:r>
      <w:r>
        <w:rPr>
          <w:rFonts w:hint="eastAsia" w:ascii="宋体" w:hAnsi="宋体" w:cs="宋体"/>
          <w:sz w:val="24"/>
          <w:szCs w:val="24"/>
        </w:rPr>
        <w:t>小区</w:t>
      </w:r>
      <w:r>
        <w:rPr>
          <w:rFonts w:hint="eastAsia" w:ascii="宋体" w:hAnsi="宋体" w:cs="宋体"/>
          <w:kern w:val="1"/>
          <w:sz w:val="24"/>
          <w:szCs w:val="24"/>
        </w:rPr>
        <w:t>项目施工进度要求，现需采购</w:t>
      </w:r>
      <w:r>
        <w:rPr>
          <w:rFonts w:ascii="宋体" w:hAnsi="宋体" w:cs="宋体"/>
          <w:kern w:val="1"/>
          <w:sz w:val="24"/>
          <w:szCs w:val="24"/>
        </w:rPr>
        <w:t xml:space="preserve"> 2 </w:t>
      </w:r>
      <w:r>
        <w:rPr>
          <w:rFonts w:hint="eastAsia" w:ascii="宋体" w:hAnsi="宋体" w:cs="宋体"/>
          <w:kern w:val="1"/>
          <w:sz w:val="24"/>
          <w:szCs w:val="24"/>
        </w:rPr>
        <w:t>套无负压供水设备含标准化泵房。（详见采购需求）</w:t>
      </w:r>
    </w:p>
    <w:p>
      <w:pPr>
        <w:spacing w:line="360" w:lineRule="exact"/>
        <w:ind w:firstLine="480" w:firstLineChars="200"/>
        <w:rPr>
          <w:rFonts w:ascii="宋体" w:cs="宋体"/>
          <w:kern w:val="1"/>
          <w:sz w:val="24"/>
          <w:szCs w:val="24"/>
        </w:rPr>
      </w:pPr>
      <w:r>
        <w:rPr>
          <w:rFonts w:ascii="宋体" w:hAnsi="宋体" w:cs="宋体"/>
          <w:kern w:val="1"/>
          <w:sz w:val="24"/>
          <w:szCs w:val="24"/>
        </w:rPr>
        <w:t>5</w:t>
      </w:r>
      <w:r>
        <w:rPr>
          <w:rFonts w:hint="eastAsia" w:ascii="宋体" w:hAnsi="宋体" w:cs="宋体"/>
          <w:kern w:val="1"/>
          <w:sz w:val="24"/>
          <w:szCs w:val="24"/>
        </w:rPr>
        <w:t>、交货时</w:t>
      </w:r>
      <w:r>
        <w:rPr>
          <w:rFonts w:hint="eastAsia" w:ascii="宋体" w:hAnsi="宋体" w:cs="宋体"/>
          <w:kern w:val="1"/>
          <w:sz w:val="24"/>
          <w:szCs w:val="24"/>
          <w:lang w:val="zh-CN"/>
        </w:rPr>
        <w:t>间：自合同签订之日起</w:t>
      </w:r>
      <w:r>
        <w:rPr>
          <w:rFonts w:ascii="宋体" w:hAnsi="宋体" w:cs="宋体"/>
          <w:kern w:val="1"/>
          <w:sz w:val="24"/>
          <w:szCs w:val="24"/>
          <w:lang w:val="zh-CN"/>
        </w:rPr>
        <w:t>25</w:t>
      </w:r>
      <w:r>
        <w:rPr>
          <w:rFonts w:hint="eastAsia" w:ascii="宋体" w:hAnsi="宋体" w:cs="宋体"/>
          <w:kern w:val="1"/>
          <w:sz w:val="24"/>
          <w:szCs w:val="24"/>
          <w:lang w:val="zh-CN"/>
        </w:rPr>
        <w:t>日历天</w:t>
      </w:r>
      <w:r>
        <w:rPr>
          <w:rFonts w:hint="eastAsia" w:ascii="宋体" w:hAnsi="宋体" w:cs="宋体"/>
          <w:kern w:val="1"/>
          <w:sz w:val="24"/>
          <w:szCs w:val="24"/>
        </w:rPr>
        <w:t>。</w:t>
      </w:r>
    </w:p>
    <w:p>
      <w:pPr>
        <w:spacing w:line="360" w:lineRule="exact"/>
        <w:ind w:firstLine="480" w:firstLineChars="200"/>
        <w:rPr>
          <w:rFonts w:ascii="宋体" w:cs="宋体"/>
          <w:kern w:val="1"/>
          <w:sz w:val="24"/>
          <w:szCs w:val="24"/>
        </w:rPr>
      </w:pPr>
      <w:r>
        <w:rPr>
          <w:rFonts w:ascii="宋体" w:hAnsi="宋体" w:cs="宋体"/>
          <w:kern w:val="1"/>
          <w:sz w:val="24"/>
          <w:szCs w:val="24"/>
        </w:rPr>
        <w:t>6</w:t>
      </w:r>
      <w:r>
        <w:rPr>
          <w:rFonts w:hint="eastAsia" w:ascii="宋体" w:hAnsi="宋体" w:cs="宋体"/>
          <w:kern w:val="1"/>
          <w:sz w:val="24"/>
          <w:szCs w:val="24"/>
        </w:rPr>
        <w:t>、服务期限：以质保期为准，质保期内的设备如出现故障或者损坏，供应商应根据质保标准为采购人提供置换或者修复服务。</w:t>
      </w:r>
    </w:p>
    <w:p>
      <w:pPr>
        <w:spacing w:line="360" w:lineRule="exact"/>
        <w:ind w:firstLine="480" w:firstLineChars="200"/>
        <w:jc w:val="left"/>
        <w:rPr>
          <w:rFonts w:hint="eastAsia" w:ascii="宋体" w:eastAsia="宋体" w:cs="宋体"/>
          <w:kern w:val="1"/>
          <w:sz w:val="24"/>
          <w:szCs w:val="24"/>
          <w:lang w:eastAsia="zh-CN"/>
        </w:rPr>
      </w:pPr>
      <w:r>
        <w:rPr>
          <w:rFonts w:ascii="宋体" w:hAnsi="宋体" w:cs="宋体"/>
          <w:kern w:val="1"/>
          <w:sz w:val="24"/>
          <w:szCs w:val="24"/>
        </w:rPr>
        <w:t>7</w:t>
      </w:r>
      <w:r>
        <w:rPr>
          <w:rFonts w:hint="eastAsia" w:ascii="宋体" w:hAnsi="宋体" w:cs="宋体"/>
          <w:kern w:val="1"/>
          <w:sz w:val="24"/>
          <w:szCs w:val="24"/>
        </w:rPr>
        <w:t>、本项目最高磋商报价</w:t>
      </w:r>
      <w:r>
        <w:rPr>
          <w:rFonts w:hint="eastAsia" w:ascii="宋体" w:hAnsi="宋体" w:cs="宋体"/>
          <w:color w:val="auto"/>
          <w:kern w:val="1"/>
          <w:sz w:val="24"/>
          <w:szCs w:val="24"/>
        </w:rPr>
        <w:t>为：</w:t>
      </w:r>
      <w:r>
        <w:rPr>
          <w:rFonts w:hint="eastAsia" w:ascii="宋体" w:hAnsi="新宋体" w:cs="新宋体"/>
          <w:color w:val="auto"/>
          <w:sz w:val="24"/>
          <w:szCs w:val="24"/>
          <w:lang w:eastAsia="zh-CN"/>
        </w:rPr>
        <w:t>120万元。</w:t>
      </w:r>
    </w:p>
    <w:p>
      <w:pPr>
        <w:spacing w:beforeLines="50" w:afterLines="50" w:line="360" w:lineRule="exact"/>
        <w:ind w:firstLine="482" w:firstLineChars="200"/>
        <w:jc w:val="left"/>
        <w:outlineLvl w:val="1"/>
        <w:rPr>
          <w:rFonts w:ascii="宋体"/>
          <w:b/>
          <w:bCs/>
          <w:sz w:val="24"/>
          <w:szCs w:val="24"/>
        </w:rPr>
      </w:pPr>
      <w:bookmarkStart w:id="14" w:name="_Toc25208_WPSOffice_Level2"/>
      <w:bookmarkStart w:id="15" w:name="_Toc13521"/>
      <w:bookmarkStart w:id="16" w:name="_Toc24711_WPSOffice_Level2"/>
      <w:bookmarkStart w:id="17" w:name="_Toc15689"/>
      <w:r>
        <w:rPr>
          <w:rFonts w:hint="eastAsia" w:ascii="宋体" w:hAnsi="宋体" w:cs="宋体"/>
          <w:b/>
          <w:bCs/>
          <w:sz w:val="24"/>
          <w:szCs w:val="24"/>
        </w:rPr>
        <w:t>二、供应商资格</w:t>
      </w:r>
      <w:r>
        <w:rPr>
          <w:rFonts w:ascii="宋体" w:hAnsi="宋体" w:cs="宋体"/>
          <w:b/>
          <w:bCs/>
          <w:sz w:val="24"/>
          <w:szCs w:val="24"/>
        </w:rPr>
        <w:t>:</w:t>
      </w:r>
      <w:bookmarkEnd w:id="14"/>
      <w:bookmarkEnd w:id="15"/>
      <w:bookmarkEnd w:id="16"/>
      <w:bookmarkEnd w:id="17"/>
    </w:p>
    <w:p>
      <w:pPr>
        <w:pStyle w:val="2"/>
        <w:kinsoku w:val="0"/>
        <w:autoSpaceDE w:val="0"/>
        <w:autoSpaceDN w:val="0"/>
        <w:spacing w:line="288" w:lineRule="auto"/>
        <w:ind w:firstLine="480" w:firstLineChars="200"/>
        <w:rPr>
          <w:rFonts w:ascii="宋体" w:eastAsia="宋体"/>
        </w:rPr>
      </w:pPr>
      <w:bookmarkStart w:id="18" w:name="_Toc6668_WPSOffice_Level2"/>
      <w:r>
        <w:rPr>
          <w:rFonts w:ascii="宋体" w:eastAsia="宋体"/>
        </w:rPr>
        <w:t>1</w:t>
      </w:r>
      <w:r>
        <w:rPr>
          <w:rFonts w:hint="eastAsia" w:ascii="宋体" w:eastAsia="宋体"/>
        </w:rPr>
        <w:t>、供应商应具备《政府采购法》第二十二条规定的条件；</w:t>
      </w:r>
    </w:p>
    <w:p>
      <w:pPr>
        <w:pStyle w:val="2"/>
        <w:kinsoku w:val="0"/>
        <w:autoSpaceDE w:val="0"/>
        <w:autoSpaceDN w:val="0"/>
        <w:spacing w:line="288" w:lineRule="auto"/>
        <w:ind w:firstLine="480" w:firstLineChars="200"/>
        <w:rPr>
          <w:rFonts w:ascii="宋体" w:eastAsia="宋体"/>
        </w:rPr>
      </w:pPr>
      <w:r>
        <w:rPr>
          <w:rFonts w:ascii="宋体" w:eastAsia="宋体"/>
        </w:rPr>
        <w:t>2</w:t>
      </w:r>
      <w:r>
        <w:rPr>
          <w:rFonts w:hint="eastAsia" w:ascii="宋体" w:eastAsia="宋体"/>
        </w:rPr>
        <w:t>、供应商应具备合法有效的营业执照，具有履行合同所必需的设备和专业技术能力；</w:t>
      </w:r>
    </w:p>
    <w:p>
      <w:pPr>
        <w:pStyle w:val="2"/>
        <w:kinsoku w:val="0"/>
        <w:autoSpaceDE w:val="0"/>
        <w:autoSpaceDN w:val="0"/>
        <w:spacing w:line="288" w:lineRule="auto"/>
        <w:ind w:firstLine="480" w:firstLineChars="200"/>
        <w:rPr>
          <w:rFonts w:ascii="宋体" w:eastAsia="宋体"/>
        </w:rPr>
      </w:pPr>
      <w:r>
        <w:rPr>
          <w:rFonts w:ascii="宋体" w:eastAsia="宋体"/>
        </w:rPr>
        <w:t>3</w:t>
      </w:r>
      <w:r>
        <w:rPr>
          <w:rFonts w:hint="eastAsia" w:ascii="宋体" w:eastAsia="宋体"/>
        </w:rPr>
        <w:t>、投标产品具有饮用水卫生安全产品卫生许可证；</w:t>
      </w:r>
    </w:p>
    <w:p>
      <w:pPr>
        <w:pStyle w:val="2"/>
        <w:kinsoku w:val="0"/>
        <w:autoSpaceDE w:val="0"/>
        <w:autoSpaceDN w:val="0"/>
        <w:spacing w:line="288" w:lineRule="auto"/>
        <w:ind w:firstLine="480" w:firstLineChars="200"/>
        <w:rPr>
          <w:rFonts w:ascii="宋体" w:eastAsia="宋体"/>
        </w:rPr>
      </w:pPr>
      <w:r>
        <w:rPr>
          <w:rFonts w:ascii="宋体" w:eastAsia="宋体"/>
        </w:rPr>
        <w:t>4</w:t>
      </w:r>
      <w:r>
        <w:rPr>
          <w:rFonts w:hint="eastAsia" w:ascii="宋体" w:eastAsia="宋体"/>
        </w:rPr>
        <w:t>、响应文件递交截止时间当天，“信用中国”网站</w:t>
      </w:r>
      <w:r>
        <w:rPr>
          <w:rFonts w:ascii="宋体" w:eastAsia="宋体"/>
        </w:rPr>
        <w:t>(www.creditchina.gov.cn)</w:t>
      </w:r>
      <w:r>
        <w:rPr>
          <w:rFonts w:hint="eastAsia" w:ascii="宋体" w:eastAsia="宋体"/>
        </w:rPr>
        <w:t>、中国政府采购网</w:t>
      </w:r>
      <w:r>
        <w:rPr>
          <w:rFonts w:ascii="宋体" w:eastAsia="宋体"/>
        </w:rPr>
        <w:t>(www.ccgp.gov.cn)</w:t>
      </w:r>
      <w:r>
        <w:rPr>
          <w:rFonts w:hint="eastAsia" w:ascii="宋体" w:eastAsia="宋体"/>
        </w:rPr>
        <w:t>查询，供应商未被列入信用记录失信被执行人、重大税收违法案件当事人名单、政府采购严重违法失信行为记录名单；</w:t>
      </w:r>
    </w:p>
    <w:p>
      <w:pPr>
        <w:pStyle w:val="2"/>
        <w:kinsoku w:val="0"/>
        <w:autoSpaceDE w:val="0"/>
        <w:autoSpaceDN w:val="0"/>
        <w:spacing w:line="288" w:lineRule="auto"/>
        <w:ind w:firstLine="480" w:firstLineChars="200"/>
        <w:rPr>
          <w:rFonts w:ascii="宋体" w:eastAsia="宋体"/>
        </w:rPr>
      </w:pPr>
      <w:r>
        <w:rPr>
          <w:rFonts w:ascii="宋体" w:eastAsia="宋体"/>
        </w:rPr>
        <w:t>5</w:t>
      </w:r>
      <w:r>
        <w:rPr>
          <w:rFonts w:hint="eastAsia" w:ascii="宋体" w:eastAsia="宋体"/>
        </w:rPr>
        <w:t>、单位负责人为同一人或者存在控股、管理关系的不同单位，不得同时参加同一标段投标或者未划分标段的同一招标项目投标；与采购人存在利害关系可能影响招标公正性的法人、其他组织或者个人，不得参加投标；</w:t>
      </w:r>
    </w:p>
    <w:p>
      <w:pPr>
        <w:pStyle w:val="2"/>
        <w:kinsoku w:val="0"/>
        <w:autoSpaceDE w:val="0"/>
        <w:autoSpaceDN w:val="0"/>
        <w:spacing w:line="288" w:lineRule="auto"/>
        <w:ind w:firstLine="480" w:firstLineChars="200"/>
        <w:rPr>
          <w:rFonts w:ascii="宋体" w:eastAsia="宋体"/>
        </w:rPr>
      </w:pPr>
      <w:r>
        <w:rPr>
          <w:rFonts w:ascii="宋体" w:eastAsia="宋体"/>
        </w:rPr>
        <w:t>6</w:t>
      </w:r>
      <w:r>
        <w:rPr>
          <w:rFonts w:hint="eastAsia" w:ascii="宋体" w:eastAsia="宋体"/>
        </w:rPr>
        <w:t>、本项目不接受联合体磋商。</w:t>
      </w:r>
    </w:p>
    <w:p>
      <w:pPr>
        <w:spacing w:line="420" w:lineRule="exact"/>
        <w:ind w:firstLine="482" w:firstLineChars="200"/>
        <w:rPr>
          <w:rFonts w:ascii="宋体"/>
          <w:b/>
          <w:bCs/>
          <w:sz w:val="24"/>
          <w:szCs w:val="24"/>
        </w:rPr>
      </w:pPr>
      <w:r>
        <w:rPr>
          <w:rFonts w:hint="eastAsia" w:ascii="宋体" w:hAnsi="宋体" w:cs="宋体"/>
          <w:b/>
          <w:bCs/>
          <w:sz w:val="24"/>
          <w:szCs w:val="24"/>
        </w:rPr>
        <w:t>备注：①以上证明资料不单独提交磋商小组备查。②供应商在制作响应文件时所粘贴的相关证明资料</w:t>
      </w:r>
      <w:r>
        <w:rPr>
          <w:rFonts w:hint="eastAsia" w:ascii="新宋体" w:hAnsi="新宋体" w:eastAsia="新宋体" w:cs="新宋体"/>
          <w:b/>
          <w:bCs/>
          <w:sz w:val="24"/>
          <w:szCs w:val="24"/>
        </w:rPr>
        <w:t>为原件扫描件并加盖公章</w:t>
      </w:r>
      <w:r>
        <w:rPr>
          <w:rFonts w:hint="eastAsia" w:ascii="宋体" w:hAnsi="宋体" w:cs="宋体"/>
          <w:b/>
          <w:bCs/>
          <w:sz w:val="24"/>
          <w:szCs w:val="24"/>
        </w:rPr>
        <w:t>，否则磋商委员会和采购人将不予采信，只有符合以上所有条件的供应商才能通过资格审查。</w:t>
      </w:r>
    </w:p>
    <w:p>
      <w:pPr>
        <w:spacing w:line="420" w:lineRule="exact"/>
        <w:ind w:firstLine="482" w:firstLineChars="200"/>
        <w:outlineLvl w:val="1"/>
        <w:rPr>
          <w:rFonts w:ascii="宋体"/>
          <w:b/>
          <w:bCs/>
          <w:sz w:val="24"/>
          <w:szCs w:val="24"/>
        </w:rPr>
      </w:pPr>
      <w:bookmarkStart w:id="19" w:name="_Toc22325"/>
      <w:bookmarkStart w:id="20" w:name="_Toc1993"/>
      <w:bookmarkStart w:id="21" w:name="_Toc14328_WPSOffice_Level2"/>
      <w:r>
        <w:rPr>
          <w:rFonts w:hint="eastAsia" w:ascii="宋体" w:hAnsi="宋体" w:cs="宋体"/>
          <w:b/>
          <w:bCs/>
          <w:sz w:val="24"/>
          <w:szCs w:val="24"/>
        </w:rPr>
        <w:t>三、竞争性磋商文件的发放：</w:t>
      </w:r>
      <w:bookmarkEnd w:id="18"/>
      <w:bookmarkEnd w:id="19"/>
      <w:bookmarkEnd w:id="20"/>
      <w:bookmarkEnd w:id="21"/>
    </w:p>
    <w:p>
      <w:pPr>
        <w:adjustRightIn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、下载方法：项目不进行现场报名、实行网上下载竞争性磋商文件，供应商需登录枝江金润源建设投资控股集团有限公司官网（</w:t>
      </w:r>
      <w:r>
        <w:fldChar w:fldCharType="begin"/>
      </w:r>
      <w:r>
        <w:instrText xml:space="preserve"> HYPERLINK "http://www.zjjryjt.com/" </w:instrText>
      </w:r>
      <w:r>
        <w:fldChar w:fldCharType="separate"/>
      </w:r>
      <w:r>
        <w:rPr>
          <w:rFonts w:ascii="宋体" w:hAnsi="宋体" w:cs="宋体"/>
          <w:sz w:val="24"/>
          <w:szCs w:val="24"/>
        </w:rPr>
        <w:t>http://www.zjjryjt.cn/</w:t>
      </w:r>
      <w:r>
        <w:rPr>
          <w:rFonts w:ascii="宋体" w:hAnsi="宋体" w:cs="宋体"/>
          <w:sz w:val="24"/>
          <w:szCs w:val="24"/>
        </w:rPr>
        <w:fldChar w:fldCharType="end"/>
      </w:r>
      <w:r>
        <w:rPr>
          <w:rFonts w:hint="eastAsia" w:ascii="宋体" w:hAnsi="宋体" w:cs="宋体"/>
          <w:sz w:val="24"/>
          <w:szCs w:val="24"/>
        </w:rPr>
        <w:t>）在公告附件中下载竞争性磋商文件和相关资料。</w:t>
      </w:r>
    </w:p>
    <w:p>
      <w:pPr>
        <w:adjustRightInd w:val="0"/>
        <w:spacing w:line="38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、本项目磋商时间为</w:t>
      </w:r>
      <w:r>
        <w:rPr>
          <w:rFonts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4</w:t>
      </w:r>
      <w:r>
        <w:rPr>
          <w:rFonts w:hint="eastAsia" w:ascii="宋体" w:hAnsi="宋体" w:cs="宋体"/>
          <w:sz w:val="24"/>
          <w:szCs w:val="24"/>
        </w:rPr>
        <w:t>日</w:t>
      </w:r>
      <w:r>
        <w:rPr>
          <w:rFonts w:ascii="宋体" w:hAnsi="宋体" w:cs="宋体"/>
          <w:sz w:val="24"/>
          <w:szCs w:val="24"/>
        </w:rPr>
        <w:t>9</w:t>
      </w:r>
      <w:r>
        <w:rPr>
          <w:rFonts w:hint="eastAsia" w:ascii="宋体" w:hAnsi="宋体" w:cs="宋体"/>
          <w:sz w:val="24"/>
          <w:szCs w:val="24"/>
        </w:rPr>
        <w:t>时止，地点在枝江金润源建设投资控股集团有限公司</w:t>
      </w:r>
      <w:r>
        <w:rPr>
          <w:rFonts w:ascii="宋体" w:hAnsi="宋体" w:cs="宋体"/>
          <w:sz w:val="24"/>
          <w:szCs w:val="24"/>
        </w:rPr>
        <w:t>(</w:t>
      </w:r>
      <w:r>
        <w:rPr>
          <w:rFonts w:hint="eastAsia" w:ascii="宋体" w:hAnsi="宋体" w:cs="宋体"/>
          <w:sz w:val="24"/>
          <w:szCs w:val="24"/>
        </w:rPr>
        <w:t>枝江市友谊大道</w:t>
      </w:r>
      <w:r>
        <w:rPr>
          <w:rFonts w:ascii="宋体" w:hAnsi="宋体" w:cs="宋体"/>
          <w:sz w:val="24"/>
          <w:szCs w:val="24"/>
        </w:rPr>
        <w:t>19</w:t>
      </w:r>
      <w:r>
        <w:rPr>
          <w:rFonts w:hint="eastAsia" w:ascii="宋体" w:hAnsi="宋体" w:cs="宋体"/>
          <w:sz w:val="24"/>
          <w:szCs w:val="24"/>
        </w:rPr>
        <w:t>号</w:t>
      </w:r>
      <w:r>
        <w:rPr>
          <w:rFonts w:ascii="宋体" w:hAnsi="宋体" w:cs="宋体"/>
          <w:sz w:val="24"/>
          <w:szCs w:val="24"/>
        </w:rPr>
        <w:t>)3</w:t>
      </w:r>
      <w:r>
        <w:rPr>
          <w:rFonts w:hint="eastAsia" w:ascii="宋体" w:hAnsi="宋体" w:cs="宋体"/>
          <w:sz w:val="24"/>
          <w:szCs w:val="24"/>
        </w:rPr>
        <w:t>楼开标室。本项目实行资格后审，资格审查的标准、条件及方法详见竞争性磋商文件规定，资格后审不合格的供应商将作无效标处理，投标费用由供应商自己负责。</w:t>
      </w:r>
    </w:p>
    <w:p>
      <w:pPr>
        <w:adjustRightInd w:val="0"/>
        <w:spacing w:line="440" w:lineRule="exact"/>
        <w:ind w:firstLine="361" w:firstLineChars="150"/>
        <w:jc w:val="left"/>
        <w:outlineLvl w:val="1"/>
        <w:rPr>
          <w:rFonts w:ascii="宋体" w:cs="宋体"/>
          <w:b/>
          <w:bCs/>
          <w:sz w:val="24"/>
          <w:szCs w:val="24"/>
        </w:rPr>
      </w:pPr>
      <w:bookmarkStart w:id="22" w:name="_Toc4929_WPSOffice_Level2"/>
      <w:bookmarkStart w:id="23" w:name="_Toc10578"/>
      <w:bookmarkStart w:id="24" w:name="_Toc19330_WPSOffice_Level2"/>
      <w:bookmarkStart w:id="25" w:name="_Toc20557"/>
      <w:r>
        <w:rPr>
          <w:rFonts w:hint="eastAsia" w:ascii="宋体" w:hAnsi="宋体" w:cs="宋体"/>
          <w:b/>
          <w:bCs/>
          <w:sz w:val="24"/>
          <w:szCs w:val="24"/>
        </w:rPr>
        <w:t>四、磋商保证金</w:t>
      </w:r>
      <w:bookmarkEnd w:id="22"/>
      <w:bookmarkEnd w:id="23"/>
      <w:bookmarkEnd w:id="24"/>
      <w:bookmarkEnd w:id="25"/>
    </w:p>
    <w:p>
      <w:pPr>
        <w:adjustRightInd w:val="0"/>
        <w:snapToGrid w:val="0"/>
        <w:spacing w:line="360" w:lineRule="exact"/>
        <w:ind w:firstLine="480" w:firstLineChars="200"/>
        <w:rPr>
          <w:rFonts w:ascii="宋体" w:cs="宋体"/>
          <w:sz w:val="24"/>
          <w:szCs w:val="24"/>
        </w:rPr>
      </w:pPr>
      <w:bookmarkStart w:id="26" w:name="_Toc29940_WPSOffice_Level2"/>
      <w:bookmarkStart w:id="27" w:name="_Toc20203"/>
      <w:bookmarkStart w:id="28" w:name="_Toc19334_WPSOffice_Level2"/>
      <w:bookmarkStart w:id="29" w:name="_Toc27018"/>
      <w:r>
        <w:rPr>
          <w:rFonts w:hint="eastAsia" w:ascii="宋体" w:hAnsi="宋体" w:cs="宋体"/>
          <w:sz w:val="24"/>
          <w:szCs w:val="24"/>
        </w:rPr>
        <w:t>本项目不设立磋商保证金。</w:t>
      </w:r>
    </w:p>
    <w:p>
      <w:pPr>
        <w:spacing w:beforeLines="50" w:afterLines="50" w:line="360" w:lineRule="exact"/>
        <w:ind w:firstLine="361" w:firstLineChars="150"/>
        <w:jc w:val="left"/>
        <w:outlineLvl w:val="1"/>
        <w:rPr>
          <w:rFonts w:ascii="宋体"/>
          <w:b/>
          <w:bCs/>
          <w:sz w:val="24"/>
          <w:szCs w:val="24"/>
        </w:rPr>
      </w:pPr>
      <w:r>
        <w:rPr>
          <w:rFonts w:hint="eastAsia" w:ascii="宋体" w:hAnsi="宋体" w:cs="宋体"/>
          <w:b/>
          <w:bCs/>
          <w:sz w:val="24"/>
          <w:szCs w:val="24"/>
        </w:rPr>
        <w:t>五、联系人及方式：</w:t>
      </w:r>
      <w:bookmarkEnd w:id="26"/>
      <w:bookmarkEnd w:id="27"/>
      <w:bookmarkEnd w:id="28"/>
      <w:bookmarkEnd w:id="29"/>
    </w:p>
    <w:p>
      <w:pPr>
        <w:adjustRightInd w:val="0"/>
        <w:snapToGrid w:val="0"/>
        <w:spacing w:line="360" w:lineRule="exact"/>
        <w:ind w:firstLine="480" w:firstLineChars="200"/>
        <w:rPr>
          <w:rFonts w:ascii="宋体"/>
          <w:sz w:val="24"/>
          <w:szCs w:val="24"/>
        </w:rPr>
      </w:pPr>
      <w:r>
        <w:rPr>
          <w:rFonts w:hint="eastAsia" w:ascii="宋体" w:hAnsi="宋体" w:cs="宋体"/>
          <w:sz w:val="24"/>
          <w:szCs w:val="24"/>
        </w:rPr>
        <w:t>采购人：枝江市金润源水务有限公司</w:t>
      </w:r>
    </w:p>
    <w:p>
      <w:pPr>
        <w:adjustRightInd w:val="0"/>
        <w:spacing w:line="380" w:lineRule="exact"/>
        <w:ind w:firstLine="480" w:firstLineChars="200"/>
        <w:jc w:val="left"/>
        <w:rPr>
          <w:rFonts w:ascii="宋体" w:cs="宋体"/>
          <w:sz w:val="24"/>
          <w:szCs w:val="24"/>
        </w:rPr>
      </w:pPr>
      <w:r>
        <w:rPr>
          <w:rFonts w:hint="eastAsia" w:ascii="宋体" w:hAnsi="宋体" w:cs="宋体"/>
          <w:sz w:val="24"/>
          <w:szCs w:val="24"/>
        </w:rPr>
        <w:t>联系人：胡冰峰</w:t>
      </w:r>
    </w:p>
    <w:p>
      <w:pPr>
        <w:adjustRightInd w:val="0"/>
        <w:spacing w:line="380" w:lineRule="exact"/>
        <w:ind w:firstLine="480" w:firstLineChars="200"/>
        <w:jc w:val="left"/>
        <w:rPr>
          <w:rFonts w:ascii="宋体"/>
          <w:sz w:val="24"/>
          <w:szCs w:val="24"/>
        </w:rPr>
      </w:pPr>
      <w:r>
        <w:rPr>
          <w:rFonts w:hint="eastAsia" w:ascii="宋体" w:hAnsi="宋体" w:cs="宋体"/>
          <w:sz w:val="24"/>
          <w:szCs w:val="24"/>
        </w:rPr>
        <w:t>联系电话：</w:t>
      </w:r>
      <w:r>
        <w:rPr>
          <w:rFonts w:ascii="宋体" w:hAnsi="宋体" w:cs="宋体"/>
          <w:sz w:val="24"/>
          <w:szCs w:val="24"/>
        </w:rPr>
        <w:t>13986838868</w:t>
      </w:r>
    </w:p>
    <w:p>
      <w:pPr>
        <w:adjustRightInd w:val="0"/>
        <w:snapToGrid w:val="0"/>
        <w:spacing w:line="360" w:lineRule="exact"/>
        <w:ind w:firstLine="480" w:firstLineChars="200"/>
        <w:rPr>
          <w:rFonts w:ascii="宋体"/>
          <w:sz w:val="24"/>
          <w:szCs w:val="24"/>
        </w:rPr>
      </w:pPr>
      <w:r>
        <w:rPr>
          <w:rFonts w:hint="eastAsia" w:ascii="宋体" w:hAnsi="宋体" w:cs="宋体"/>
          <w:sz w:val="24"/>
          <w:szCs w:val="24"/>
        </w:rPr>
        <w:t>采购代理机构：湖北祺远建设项目管理有限公司</w:t>
      </w:r>
    </w:p>
    <w:p>
      <w:pPr>
        <w:adjustRightInd w:val="0"/>
        <w:snapToGrid w:val="0"/>
        <w:spacing w:line="360" w:lineRule="exact"/>
        <w:ind w:firstLine="480" w:firstLineChars="200"/>
        <w:rPr>
          <w:rFonts w:ascii="宋体" w:cs="宋体"/>
          <w:sz w:val="24"/>
          <w:szCs w:val="24"/>
        </w:rPr>
      </w:pPr>
      <w:r>
        <w:rPr>
          <w:rFonts w:hint="eastAsia" w:ascii="宋体" w:hAnsi="宋体" w:cs="宋体"/>
          <w:sz w:val="24"/>
          <w:szCs w:val="24"/>
        </w:rPr>
        <w:t>联系人：张茜</w:t>
      </w:r>
    </w:p>
    <w:p>
      <w:pPr>
        <w:adjustRightInd w:val="0"/>
        <w:snapToGrid w:val="0"/>
        <w:spacing w:line="360" w:lineRule="exact"/>
        <w:ind w:firstLine="480" w:firstLineChars="200"/>
        <w:rPr>
          <w:rFonts w:ascii="宋体"/>
          <w:sz w:val="24"/>
          <w:szCs w:val="24"/>
        </w:rPr>
      </w:pPr>
      <w:r>
        <w:rPr>
          <w:rFonts w:hint="eastAsia" w:ascii="宋体" w:hAnsi="宋体" w:cs="宋体"/>
          <w:sz w:val="24"/>
          <w:szCs w:val="24"/>
        </w:rPr>
        <w:t>联系电话：</w:t>
      </w:r>
      <w:r>
        <w:rPr>
          <w:rFonts w:ascii="宋体" w:hAnsi="宋体" w:cs="宋体"/>
          <w:sz w:val="24"/>
          <w:szCs w:val="24"/>
        </w:rPr>
        <w:t>18694093214</w:t>
      </w:r>
    </w:p>
    <w:p>
      <w:pPr>
        <w:widowControl/>
        <w:ind w:firstLine="480" w:firstLineChars="200"/>
        <w:jc w:val="left"/>
        <w:rPr>
          <w:rFonts w:ascii="宋体"/>
          <w:b/>
          <w:bCs/>
          <w:sz w:val="24"/>
          <w:szCs w:val="24"/>
        </w:rPr>
      </w:pPr>
      <w:r>
        <w:rPr>
          <w:rFonts w:hint="eastAsia" w:ascii="宋体" w:hAnsi="宋体" w:cs="宋体"/>
          <w:sz w:val="24"/>
          <w:szCs w:val="24"/>
        </w:rPr>
        <w:t>注：本磋商公告在枝江金润源集团公司官网（</w:t>
      </w:r>
      <w:r>
        <w:rPr>
          <w:rFonts w:ascii="宋体"/>
          <w:kern w:val="0"/>
          <w:sz w:val="24"/>
          <w:szCs w:val="24"/>
        </w:rPr>
        <w:drawing>
          <wp:inline distT="0" distB="0" distL="114300" distR="114300">
            <wp:extent cx="190500" cy="146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190500" cy="146050"/>
                    </a:xfrm>
                    <a:prstGeom prst="rect">
                      <a:avLst/>
                    </a:prstGeom>
                    <a:noFill/>
                    <a:ln>
                      <a:noFill/>
                    </a:ln>
                  </pic:spPr>
                </pic:pic>
              </a:graphicData>
            </a:graphic>
          </wp:inline>
        </w:drawing>
      </w:r>
      <w:r>
        <w:rPr>
          <w:rFonts w:ascii="宋体" w:hAnsi="宋体" w:cs="宋体"/>
          <w:kern w:val="0"/>
          <w:sz w:val="24"/>
          <w:szCs w:val="24"/>
        </w:rPr>
        <w:t>http://www.zjjryjt.cn/</w:t>
      </w:r>
      <w:r>
        <w:rPr>
          <w:rFonts w:hint="eastAsia" w:ascii="宋体" w:hAnsi="宋体" w:cs="宋体"/>
          <w:sz w:val="24"/>
          <w:szCs w:val="24"/>
        </w:rPr>
        <w:t>）上发布。</w:t>
      </w:r>
    </w:p>
    <w:p>
      <w:pPr>
        <w:spacing w:line="360" w:lineRule="exact"/>
        <w:ind w:right="480"/>
        <w:rPr>
          <w:rFonts w:ascii="宋体"/>
          <w:sz w:val="24"/>
          <w:szCs w:val="24"/>
        </w:rPr>
      </w:pPr>
    </w:p>
    <w:p>
      <w:pPr>
        <w:spacing w:line="360" w:lineRule="exact"/>
        <w:ind w:right="360" w:firstLine="480"/>
        <w:jc w:val="right"/>
        <w:rPr>
          <w:rFonts w:ascii="宋体" w:cs="宋体"/>
          <w:sz w:val="24"/>
          <w:szCs w:val="24"/>
        </w:rPr>
      </w:pPr>
      <w:r>
        <w:rPr>
          <w:rFonts w:hint="eastAsia" w:ascii="宋体" w:hAnsi="宋体" w:cs="宋体"/>
          <w:sz w:val="24"/>
          <w:szCs w:val="24"/>
        </w:rPr>
        <w:t>湖北祺远建设项目管理有限公司</w:t>
      </w:r>
      <w:bookmarkEnd w:id="5"/>
      <w:bookmarkEnd w:id="6"/>
      <w:bookmarkEnd w:id="7"/>
    </w:p>
    <w:p>
      <w:pPr>
        <w:spacing w:line="360" w:lineRule="exact"/>
        <w:ind w:right="360" w:firstLine="480"/>
        <w:jc w:val="center"/>
        <w:rPr>
          <w:rFonts w:ascii="宋体" w:cs="宋体"/>
          <w:sz w:val="24"/>
          <w:szCs w:val="24"/>
        </w:rPr>
      </w:pPr>
      <w:r>
        <w:rPr>
          <w:rFonts w:ascii="宋体" w:hAnsi="宋体" w:cs="宋体"/>
          <w:sz w:val="24"/>
          <w:szCs w:val="24"/>
        </w:rPr>
        <w:t xml:space="preserve">                                    2020</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p>
    <w:p>
      <w:pPr>
        <w:pStyle w:val="29"/>
        <w:ind w:firstLine="31680"/>
        <w:rPr>
          <w:rFonts w:hAnsi="宋体"/>
          <w:sz w:val="24"/>
          <w:szCs w:val="24"/>
        </w:rPr>
      </w:pPr>
      <w:r>
        <w:rPr>
          <w:rFonts w:hAnsi="宋体"/>
          <w:sz w:val="24"/>
          <w:szCs w:val="24"/>
        </w:rPr>
        <w:t xml:space="preserve"> </w:t>
      </w:r>
    </w:p>
    <w:p>
      <w:bookmarkStart w:id="30" w:name="_Toc6578155"/>
      <w:bookmarkStart w:id="31" w:name="_Toc522097480"/>
    </w:p>
    <w:p>
      <w:pPr>
        <w:pStyle w:val="4"/>
      </w:pPr>
    </w:p>
    <w:p/>
    <w:p>
      <w:pPr>
        <w:pStyle w:val="3"/>
        <w:rPr>
          <w:rFonts w:ascii="宋体" w:hAnsi="宋体" w:eastAsia="宋体" w:cs="宋体"/>
          <w:kern w:val="1"/>
          <w:sz w:val="44"/>
          <w:szCs w:val="44"/>
        </w:rPr>
      </w:pPr>
      <w:bookmarkStart w:id="32" w:name="_Toc663"/>
    </w:p>
    <w:p>
      <w:pPr>
        <w:rPr>
          <w:rFonts w:ascii="宋体" w:cs="宋体"/>
          <w:kern w:val="1"/>
          <w:sz w:val="44"/>
          <w:szCs w:val="44"/>
        </w:rPr>
      </w:pPr>
    </w:p>
    <w:p>
      <w:pPr>
        <w:pStyle w:val="2"/>
        <w:rPr>
          <w:rFonts w:ascii="宋体" w:hAnsi="宋体" w:eastAsia="宋体" w:cs="宋体"/>
          <w:kern w:val="1"/>
          <w:sz w:val="44"/>
          <w:szCs w:val="44"/>
        </w:rPr>
      </w:pPr>
    </w:p>
    <w:p>
      <w:pPr>
        <w:pStyle w:val="2"/>
        <w:rPr>
          <w:rFonts w:ascii="宋体" w:hAnsi="宋体" w:eastAsia="宋体" w:cs="宋体"/>
          <w:kern w:val="1"/>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3"/>
        <w:rPr>
          <w:rFonts w:ascii="宋体" w:hAnsi="宋体" w:eastAsia="宋体" w:cs="Times New Roman"/>
          <w:kern w:val="1"/>
          <w:sz w:val="44"/>
          <w:szCs w:val="44"/>
        </w:rPr>
      </w:pPr>
      <w:r>
        <w:rPr>
          <w:rFonts w:hint="eastAsia" w:ascii="宋体" w:hAnsi="宋体" w:eastAsia="宋体" w:cs="宋体"/>
          <w:kern w:val="1"/>
          <w:sz w:val="44"/>
          <w:szCs w:val="44"/>
        </w:rPr>
        <w:t>第二章磋商须知</w:t>
      </w:r>
      <w:bookmarkEnd w:id="8"/>
      <w:bookmarkEnd w:id="9"/>
      <w:bookmarkEnd w:id="30"/>
      <w:bookmarkEnd w:id="31"/>
      <w:bookmarkEnd w:id="32"/>
    </w:p>
    <w:p>
      <w:pPr>
        <w:pStyle w:val="4"/>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新宋体" w:hAnsi="新宋体" w:eastAsia="新宋体" w:cs="新宋体"/>
          <w:b/>
          <w:bCs/>
          <w:kern w:val="2"/>
          <w:sz w:val="24"/>
          <w:szCs w:val="24"/>
          <w:lang w:val="en-US" w:eastAsia="zh-CN" w:bidi="ar-SA"/>
        </w:rPr>
      </w:pPr>
      <w:bookmarkStart w:id="33" w:name="_Toc522097481"/>
      <w:bookmarkStart w:id="34" w:name="_Toc6578156"/>
      <w:bookmarkStart w:id="35" w:name="_Toc4549"/>
      <w:r>
        <w:rPr>
          <w:rFonts w:hint="eastAsia" w:ascii="新宋体" w:hAnsi="新宋体" w:eastAsia="新宋体" w:cs="新宋体"/>
          <w:b/>
          <w:bCs/>
          <w:kern w:val="2"/>
          <w:sz w:val="24"/>
          <w:szCs w:val="24"/>
          <w:lang w:val="en-US" w:eastAsia="zh-CN" w:bidi="ar-SA"/>
        </w:rPr>
        <w:t>一、总则</w:t>
      </w:r>
      <w:bookmarkEnd w:id="33"/>
      <w:bookmarkEnd w:id="34"/>
      <w:bookmarkEnd w:id="35"/>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 xml:space="preserve">1. </w:t>
      </w:r>
      <w:r>
        <w:rPr>
          <w:rFonts w:hint="eastAsia" w:ascii="新宋体" w:hAnsi="新宋体" w:eastAsia="新宋体" w:cs="新宋体"/>
          <w:b/>
          <w:bCs/>
          <w:sz w:val="24"/>
          <w:szCs w:val="24"/>
        </w:rPr>
        <w:t>适用范围</w:t>
      </w:r>
    </w:p>
    <w:p>
      <w:pPr>
        <w:spacing w:line="360" w:lineRule="exact"/>
        <w:ind w:firstLine="458" w:firstLineChars="191"/>
        <w:rPr>
          <w:rFonts w:ascii="新宋体" w:hAnsi="新宋体" w:eastAsia="新宋体"/>
          <w:sz w:val="24"/>
          <w:szCs w:val="24"/>
        </w:rPr>
      </w:pPr>
      <w:r>
        <w:rPr>
          <w:rFonts w:hint="eastAsia" w:ascii="新宋体" w:hAnsi="新宋体" w:eastAsia="新宋体" w:cs="新宋体"/>
          <w:sz w:val="24"/>
          <w:szCs w:val="24"/>
        </w:rPr>
        <w:t>本竞争性磋商文件适用于本项目竞争性磋商公告中所述的采购项目。</w:t>
      </w:r>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 xml:space="preserve">2. </w:t>
      </w:r>
      <w:r>
        <w:rPr>
          <w:rFonts w:hint="eastAsia" w:ascii="新宋体" w:hAnsi="新宋体" w:eastAsia="新宋体" w:cs="新宋体"/>
          <w:b/>
          <w:bCs/>
          <w:sz w:val="24"/>
          <w:szCs w:val="24"/>
        </w:rPr>
        <w:t>定义</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2.1.</w:t>
      </w:r>
      <w:r>
        <w:rPr>
          <w:rFonts w:hint="eastAsia" w:ascii="新宋体" w:hAnsi="新宋体" w:eastAsia="新宋体" w:cs="新宋体"/>
          <w:sz w:val="24"/>
          <w:szCs w:val="24"/>
        </w:rPr>
        <w:t>“采购人”是指枝江市金润源水务有限公司。</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2.2.</w:t>
      </w:r>
      <w:r>
        <w:rPr>
          <w:rFonts w:hint="eastAsia" w:ascii="新宋体" w:hAnsi="新宋体" w:eastAsia="新宋体" w:cs="新宋体"/>
          <w:sz w:val="24"/>
          <w:szCs w:val="24"/>
        </w:rPr>
        <w:t>“磋商供应商”是指：符合本磋商文件规定并参加本项目磋商的供应商。</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2.3.</w:t>
      </w:r>
      <w:r>
        <w:rPr>
          <w:rFonts w:hint="eastAsia" w:ascii="新宋体" w:hAnsi="新宋体" w:eastAsia="新宋体" w:cs="新宋体"/>
          <w:sz w:val="24"/>
          <w:szCs w:val="24"/>
        </w:rPr>
        <w:t>“监管部门”是指：枝江金润源建设投资控股集团有限公司监督部门。</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2.4.</w:t>
      </w:r>
      <w:r>
        <w:rPr>
          <w:rFonts w:hint="eastAsia" w:ascii="新宋体" w:hAnsi="新宋体" w:eastAsia="新宋体" w:cs="新宋体"/>
          <w:sz w:val="24"/>
          <w:szCs w:val="24"/>
        </w:rPr>
        <w:t>“采购代理机构”是指：湖北祺远建设项目管理有限公司。</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2.5.</w:t>
      </w:r>
      <w:r>
        <w:rPr>
          <w:rFonts w:hint="eastAsia" w:ascii="新宋体" w:hAnsi="新宋体" w:eastAsia="新宋体" w:cs="新宋体"/>
          <w:sz w:val="24"/>
          <w:szCs w:val="24"/>
        </w:rPr>
        <w:t>“成交供应商”是指：经磋商小组评审、推荐，采购人依法确定并签订合同的磋商供应商。</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2.6.</w:t>
      </w:r>
      <w:r>
        <w:rPr>
          <w:rFonts w:hint="eastAsia" w:ascii="新宋体" w:hAnsi="新宋体" w:eastAsia="新宋体" w:cs="新宋体"/>
          <w:sz w:val="24"/>
          <w:szCs w:val="24"/>
        </w:rPr>
        <w:t>“磋商响应文件”是指：磋商供应商根据本文件要求，编制包含报价、技术和服务等所有内容的文件。</w:t>
      </w:r>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 xml:space="preserve">3. </w:t>
      </w:r>
      <w:r>
        <w:rPr>
          <w:rFonts w:hint="eastAsia" w:ascii="新宋体" w:hAnsi="新宋体" w:eastAsia="新宋体" w:cs="新宋体"/>
          <w:b/>
          <w:bCs/>
          <w:sz w:val="24"/>
          <w:szCs w:val="24"/>
        </w:rPr>
        <w:t>磋商供应商必须具备的基本条件及踏勘要求</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3.1.</w:t>
      </w:r>
      <w:r>
        <w:rPr>
          <w:rFonts w:hint="eastAsia" w:ascii="新宋体" w:hAnsi="新宋体" w:eastAsia="新宋体" w:cs="新宋体"/>
          <w:sz w:val="24"/>
          <w:szCs w:val="24"/>
        </w:rPr>
        <w:t>符合磋商文件“第一章竞争性磋商公告”第二条所规定的供应商资格要求，有能力提供本项目服务的供应商。</w:t>
      </w:r>
    </w:p>
    <w:p>
      <w:pPr>
        <w:spacing w:line="360" w:lineRule="exact"/>
        <w:ind w:firstLine="460" w:firstLineChars="191"/>
        <w:rPr>
          <w:rFonts w:ascii="新宋体" w:hAnsi="新宋体" w:eastAsia="新宋体" w:cs="新宋体"/>
          <w:b/>
          <w:bCs/>
          <w:sz w:val="24"/>
          <w:szCs w:val="24"/>
        </w:rPr>
      </w:pPr>
      <w:r>
        <w:rPr>
          <w:rFonts w:ascii="新宋体" w:hAnsi="新宋体" w:eastAsia="新宋体" w:cs="新宋体"/>
          <w:b/>
          <w:bCs/>
          <w:sz w:val="24"/>
          <w:szCs w:val="24"/>
        </w:rPr>
        <w:t>3.2.</w:t>
      </w:r>
      <w:r>
        <w:rPr>
          <w:rFonts w:hint="eastAsia" w:ascii="新宋体" w:hAnsi="新宋体" w:eastAsia="新宋体" w:cs="新宋体"/>
          <w:b/>
          <w:bCs/>
          <w:sz w:val="24"/>
          <w:szCs w:val="24"/>
        </w:rPr>
        <w:t>采购人不集中组织现场踏勘，磋商供应商必须自行踏勘现场。</w:t>
      </w:r>
    </w:p>
    <w:p>
      <w:pPr>
        <w:spacing w:line="360" w:lineRule="exact"/>
        <w:ind w:firstLine="458" w:firstLineChars="191"/>
        <w:rPr>
          <w:rFonts w:ascii="新宋体" w:hAnsi="新宋体" w:eastAsia="新宋体" w:cs="新宋体"/>
          <w:sz w:val="24"/>
          <w:szCs w:val="24"/>
        </w:rPr>
      </w:pPr>
      <w:r>
        <w:rPr>
          <w:rFonts w:ascii="新宋体" w:hAnsi="新宋体" w:eastAsia="新宋体" w:cs="新宋体"/>
          <w:sz w:val="24"/>
          <w:szCs w:val="24"/>
        </w:rPr>
        <w:t>3.3.</w:t>
      </w:r>
      <w:r>
        <w:rPr>
          <w:rFonts w:hint="eastAsia" w:ascii="新宋体" w:hAnsi="新宋体" w:eastAsia="新宋体" w:cs="新宋体"/>
          <w:sz w:val="24"/>
          <w:szCs w:val="24"/>
        </w:rPr>
        <w:t>磋商供应商可以踏勘为目的自行进入采购人的项目现场，但供应商不得因此使采购人承担有关的责任和蒙受损失，供应商应承担踏勘现场的责任和风险。</w:t>
      </w:r>
    </w:p>
    <w:p>
      <w:pPr>
        <w:spacing w:line="360" w:lineRule="exact"/>
        <w:ind w:firstLine="460" w:firstLineChars="191"/>
        <w:rPr>
          <w:b/>
          <w:bCs/>
        </w:rPr>
      </w:pPr>
      <w:r>
        <w:rPr>
          <w:rFonts w:ascii="新宋体" w:hAnsi="新宋体" w:eastAsia="新宋体" w:cs="新宋体"/>
          <w:b/>
          <w:bCs/>
          <w:sz w:val="24"/>
          <w:szCs w:val="24"/>
        </w:rPr>
        <w:t>3.4.</w:t>
      </w:r>
      <w:r>
        <w:rPr>
          <w:rFonts w:hint="eastAsia" w:ascii="新宋体" w:hAnsi="新宋体" w:eastAsia="新宋体" w:cs="新宋体"/>
          <w:b/>
          <w:bCs/>
          <w:sz w:val="24"/>
          <w:szCs w:val="24"/>
        </w:rPr>
        <w:t>须提供踏勘承诺函或者证明资料。</w:t>
      </w:r>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 xml:space="preserve">4. </w:t>
      </w:r>
      <w:r>
        <w:rPr>
          <w:rFonts w:hint="eastAsia" w:ascii="新宋体" w:hAnsi="新宋体" w:eastAsia="新宋体" w:cs="新宋体"/>
          <w:b/>
          <w:bCs/>
          <w:sz w:val="24"/>
          <w:szCs w:val="24"/>
        </w:rPr>
        <w:t>磋商费用</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4.1.</w:t>
      </w:r>
      <w:r>
        <w:rPr>
          <w:rFonts w:hint="eastAsia" w:ascii="新宋体" w:hAnsi="新宋体" w:eastAsia="新宋体" w:cs="新宋体"/>
          <w:sz w:val="24"/>
          <w:szCs w:val="24"/>
        </w:rPr>
        <w:t>磋商供应商应自行承担所有与编写和提交磋商响应文件有关的费用，不论磋商结果如何，采购人和采购代理机构在任何情况下无义务和责任承担此类费用。</w:t>
      </w:r>
    </w:p>
    <w:p>
      <w:pPr>
        <w:pStyle w:val="4"/>
        <w:jc w:val="center"/>
        <w:rPr>
          <w:rFonts w:ascii="新宋体" w:hAnsi="新宋体" w:eastAsia="新宋体" w:cs="Times New Roman"/>
          <w:sz w:val="28"/>
          <w:szCs w:val="28"/>
        </w:rPr>
      </w:pPr>
      <w:bookmarkStart w:id="36" w:name="_Toc522097482"/>
      <w:bookmarkStart w:id="37" w:name="_Toc24294"/>
      <w:bookmarkStart w:id="38" w:name="_Toc6578157"/>
      <w:r>
        <w:rPr>
          <w:rFonts w:hint="eastAsia" w:ascii="新宋体" w:hAnsi="新宋体" w:eastAsia="新宋体" w:cs="新宋体"/>
          <w:sz w:val="28"/>
          <w:szCs w:val="28"/>
        </w:rPr>
        <w:t>二、磋商文件说明</w:t>
      </w:r>
      <w:bookmarkEnd w:id="36"/>
      <w:bookmarkEnd w:id="37"/>
      <w:bookmarkEnd w:id="38"/>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5.</w:t>
      </w:r>
      <w:r>
        <w:rPr>
          <w:rFonts w:hint="eastAsia" w:ascii="新宋体" w:hAnsi="新宋体" w:eastAsia="新宋体" w:cs="新宋体"/>
          <w:b/>
          <w:bCs/>
          <w:sz w:val="24"/>
          <w:szCs w:val="24"/>
        </w:rPr>
        <w:t>磋商文件的构成</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5.1.</w:t>
      </w:r>
      <w:r>
        <w:rPr>
          <w:rFonts w:hint="eastAsia" w:ascii="新宋体" w:hAnsi="新宋体" w:eastAsia="新宋体" w:cs="新宋体"/>
          <w:sz w:val="24"/>
          <w:szCs w:val="24"/>
        </w:rPr>
        <w:t>磋商文件主要由下列部分组成：</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第一章竞争性磋商公告；</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第二章磋商须知；</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第三章采购要求；</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第四章磋商程序、最后报价及评分标准；</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第五章磋商响应文件格式；</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5.2.</w:t>
      </w:r>
      <w:r>
        <w:rPr>
          <w:rFonts w:hint="eastAsia" w:ascii="新宋体" w:hAnsi="新宋体" w:eastAsia="新宋体" w:cs="新宋体"/>
          <w:sz w:val="24"/>
          <w:szCs w:val="24"/>
        </w:rPr>
        <w:t>参加磋商的供应商应认真阅读磋商文件中所有的条款和要求。如果参加磋商的供应商没有按照磋商文件要求提交全部资料，或者磋商响应文件没有对磋商文件在各方面都做出实质性响应，其风险应由参加磋商的供应商承担。根据有关条款规定，没有实质性响应磋商文件要求的磋商将被拒绝。</w:t>
      </w:r>
    </w:p>
    <w:p>
      <w:pPr>
        <w:spacing w:line="360" w:lineRule="exact"/>
        <w:ind w:firstLine="482" w:firstLineChars="200"/>
        <w:jc w:val="left"/>
        <w:rPr>
          <w:rFonts w:ascii="新宋体" w:hAnsi="新宋体" w:eastAsia="新宋体"/>
          <w:sz w:val="24"/>
          <w:szCs w:val="24"/>
        </w:rPr>
      </w:pPr>
      <w:r>
        <w:rPr>
          <w:rFonts w:ascii="新宋体" w:hAnsi="新宋体" w:eastAsia="新宋体" w:cs="新宋体"/>
          <w:b/>
          <w:bCs/>
          <w:sz w:val="24"/>
          <w:szCs w:val="24"/>
        </w:rPr>
        <w:t>6.</w:t>
      </w:r>
      <w:r>
        <w:rPr>
          <w:rFonts w:hint="eastAsia" w:ascii="新宋体" w:hAnsi="新宋体" w:eastAsia="新宋体" w:cs="新宋体"/>
          <w:b/>
          <w:bCs/>
          <w:sz w:val="24"/>
          <w:szCs w:val="24"/>
        </w:rPr>
        <w:t>磋商文件答疑</w:t>
      </w:r>
    </w:p>
    <w:p>
      <w:pPr>
        <w:kinsoku w:val="0"/>
        <w:overflowPunct w:val="0"/>
        <w:autoSpaceDE w:val="0"/>
        <w:autoSpaceDN w:val="0"/>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供应商对磋商文件有疑问的，应在磋商文件规定的提问截止时间前通过邮箱：</w:t>
      </w:r>
      <w:r>
        <w:rPr>
          <w:rFonts w:ascii="新宋体" w:hAnsi="新宋体" w:eastAsia="新宋体" w:cs="新宋体"/>
          <w:sz w:val="24"/>
          <w:szCs w:val="24"/>
        </w:rPr>
        <w:t>23474692@qq.com</w:t>
      </w:r>
      <w:r>
        <w:rPr>
          <w:rFonts w:hint="eastAsia" w:ascii="新宋体" w:hAnsi="新宋体" w:eastAsia="新宋体" w:cs="新宋体"/>
          <w:sz w:val="24"/>
          <w:szCs w:val="24"/>
        </w:rPr>
        <w:t>提出。采购代理机构将在</w:t>
      </w:r>
      <w:r>
        <w:rPr>
          <w:rFonts w:hint="eastAsia" w:ascii="宋体" w:hAnsi="宋体" w:cs="宋体"/>
          <w:sz w:val="24"/>
          <w:szCs w:val="24"/>
        </w:rPr>
        <w:t>枝江金润源集团公司官网（</w:t>
      </w:r>
      <w:r>
        <w:rPr>
          <w:rFonts w:ascii="宋体" w:hAnsi="宋体" w:cs="宋体"/>
          <w:sz w:val="24"/>
          <w:szCs w:val="24"/>
        </w:rPr>
        <w:t>http://www.zjjryjt.cn/</w:t>
      </w:r>
      <w:r>
        <w:rPr>
          <w:rFonts w:hint="eastAsia" w:ascii="宋体" w:hAnsi="宋体" w:cs="宋体"/>
          <w:sz w:val="24"/>
          <w:szCs w:val="24"/>
        </w:rPr>
        <w:t>）</w:t>
      </w:r>
      <w:r>
        <w:rPr>
          <w:rFonts w:hint="eastAsia" w:ascii="新宋体" w:hAnsi="新宋体" w:eastAsia="新宋体" w:cs="新宋体"/>
          <w:sz w:val="24"/>
          <w:szCs w:val="24"/>
        </w:rPr>
        <w:t>上发布答疑文件。对于在磋商文件规定的提问截止时间前未对磋商文件提出异议的，视其完全接受磋商文件内容，并对在此时间之后提出的质疑将不予受理。</w:t>
      </w:r>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7.</w:t>
      </w:r>
      <w:r>
        <w:rPr>
          <w:rFonts w:hint="eastAsia" w:ascii="新宋体" w:hAnsi="新宋体" w:eastAsia="新宋体" w:cs="新宋体"/>
          <w:b/>
          <w:bCs/>
          <w:sz w:val="24"/>
          <w:szCs w:val="24"/>
        </w:rPr>
        <w:t>磋商文件的澄清修改</w:t>
      </w:r>
    </w:p>
    <w:p>
      <w:pPr>
        <w:spacing w:line="36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采购人出于对所提出问题的澄清或其它考虑，可以对磋商文件以补充文件的形式进行修改，修改后的补充文件将在</w:t>
      </w:r>
      <w:r>
        <w:rPr>
          <w:rFonts w:hint="eastAsia" w:ascii="宋体" w:hAnsi="宋体" w:cs="宋体"/>
          <w:sz w:val="24"/>
          <w:szCs w:val="24"/>
        </w:rPr>
        <w:t>枝江金润源集团公司官网（</w:t>
      </w:r>
      <w:r>
        <w:rPr>
          <w:rFonts w:ascii="宋体" w:hAnsi="宋体" w:cs="宋体"/>
          <w:sz w:val="24"/>
          <w:szCs w:val="24"/>
        </w:rPr>
        <w:t>http://www.zjjryjt.cn/</w:t>
      </w:r>
      <w:r>
        <w:rPr>
          <w:rFonts w:hint="eastAsia" w:ascii="宋体" w:hAnsi="宋体" w:cs="宋体"/>
          <w:sz w:val="24"/>
          <w:szCs w:val="24"/>
        </w:rPr>
        <w:t>）</w:t>
      </w:r>
      <w:r>
        <w:rPr>
          <w:rFonts w:hint="eastAsia" w:ascii="新宋体" w:hAnsi="新宋体" w:eastAsia="新宋体" w:cs="新宋体"/>
          <w:sz w:val="24"/>
          <w:szCs w:val="24"/>
        </w:rPr>
        <w:t>上向所有供应商公布，修改后的补充文件是磋商文件的组成部分，对供应商具有约束力。任何口头、电话等非正式的解答均视为无效。　</w:t>
      </w:r>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8</w:t>
      </w:r>
      <w:r>
        <w:rPr>
          <w:rFonts w:hint="eastAsia" w:ascii="新宋体" w:hAnsi="新宋体" w:eastAsia="新宋体" w:cs="新宋体"/>
          <w:b/>
          <w:bCs/>
          <w:sz w:val="24"/>
          <w:szCs w:val="24"/>
        </w:rPr>
        <w:t>、磋商响应文件的编写</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8.1.</w:t>
      </w:r>
      <w:r>
        <w:rPr>
          <w:rFonts w:hint="eastAsia" w:ascii="新宋体" w:hAnsi="新宋体" w:eastAsia="新宋体" w:cs="新宋体"/>
          <w:sz w:val="24"/>
          <w:szCs w:val="24"/>
        </w:rPr>
        <w:t>供应商应仔细阅读磋商文件的所有内容，按磋商文件的要求编制磋商响应文件，并保证所提供的全部资料的真实性，以使其磋商响应文件可以对磋商文件作出实质性响应，否则，其磋商响应文件有可能被拒绝。供应商编写的磋商响应文件应包括下列部分：</w:t>
      </w:r>
    </w:p>
    <w:p>
      <w:pPr>
        <w:spacing w:line="36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 xml:space="preserve">8.1.1 </w:t>
      </w:r>
      <w:r>
        <w:rPr>
          <w:rFonts w:hint="eastAsia" w:ascii="新宋体" w:hAnsi="新宋体" w:eastAsia="新宋体" w:cs="新宋体"/>
          <w:sz w:val="24"/>
          <w:szCs w:val="24"/>
        </w:rPr>
        <w:t>供应商提供该项目工作方案，须包含但不限于以下内容：</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1</w:t>
      </w:r>
      <w:r>
        <w:rPr>
          <w:rFonts w:hint="eastAsia" w:ascii="新宋体" w:hAnsi="新宋体" w:eastAsia="新宋体" w:cs="新宋体"/>
          <w:sz w:val="24"/>
          <w:szCs w:val="24"/>
        </w:rPr>
        <w:t>）项目技术方案；</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8.1.2</w:t>
      </w:r>
      <w:r>
        <w:rPr>
          <w:rFonts w:hint="eastAsia" w:ascii="新宋体" w:hAnsi="新宋体" w:eastAsia="新宋体" w:cs="新宋体"/>
          <w:sz w:val="24"/>
          <w:szCs w:val="24"/>
        </w:rPr>
        <w:t>商务文件</w:t>
      </w:r>
    </w:p>
    <w:p>
      <w:pPr>
        <w:spacing w:line="360" w:lineRule="exact"/>
        <w:ind w:firstLine="480" w:firstLineChars="200"/>
        <w:jc w:val="left"/>
        <w:rPr>
          <w:rFonts w:ascii="宋体"/>
          <w:sz w:val="24"/>
          <w:szCs w:val="24"/>
        </w:rPr>
      </w:pPr>
      <w:r>
        <w:rPr>
          <w:rFonts w:hint="eastAsia" w:ascii="宋体" w:hAnsi="宋体" w:cs="宋体"/>
          <w:sz w:val="24"/>
          <w:szCs w:val="24"/>
        </w:rPr>
        <w:t>磋商响应文件主要由商务标部分和方案设计文件组成。具体内容为：</w:t>
      </w:r>
    </w:p>
    <w:p>
      <w:pPr>
        <w:spacing w:line="3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）商务标部分：包括：磋商响应函；法定代表人身份证明书；</w:t>
      </w:r>
      <w:r>
        <w:rPr>
          <w:rFonts w:hint="eastAsia" w:ascii="宋体" w:hAnsi="宋体" w:cs="宋体"/>
          <w:b/>
          <w:bCs/>
          <w:sz w:val="24"/>
          <w:szCs w:val="24"/>
        </w:rPr>
        <w:t>法定代表人授权委托书</w:t>
      </w:r>
      <w:r>
        <w:rPr>
          <w:rFonts w:hint="eastAsia" w:ascii="宋体" w:hAnsi="宋体" w:cs="宋体"/>
          <w:sz w:val="24"/>
          <w:szCs w:val="24"/>
        </w:rPr>
        <w:t>；供应商基本情况表；资格审查资料（供应商对照资格审查条件编制）；供应商应提交的其他证明材料；</w:t>
      </w:r>
    </w:p>
    <w:p>
      <w:pPr>
        <w:spacing w:line="3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）工作方案。</w:t>
      </w:r>
    </w:p>
    <w:p>
      <w:pPr>
        <w:pStyle w:val="9"/>
        <w:adjustRightInd w:val="0"/>
        <w:snapToGrid w:val="0"/>
        <w:spacing w:line="360" w:lineRule="exact"/>
        <w:ind w:firstLine="480" w:firstLineChars="200"/>
        <w:jc w:val="left"/>
        <w:rPr>
          <w:rFonts w:ascii="新宋体" w:hAnsi="新宋体" w:eastAsia="新宋体" w:cs="Times New Roman"/>
          <w:sz w:val="24"/>
          <w:szCs w:val="24"/>
        </w:rPr>
      </w:pPr>
      <w:r>
        <w:rPr>
          <w:rFonts w:ascii="新宋体" w:hAnsi="新宋体" w:eastAsia="新宋体" w:cs="新宋体"/>
          <w:sz w:val="24"/>
          <w:szCs w:val="24"/>
        </w:rPr>
        <w:t>8.1.3</w:t>
      </w:r>
      <w:r>
        <w:rPr>
          <w:rFonts w:hint="eastAsia" w:ascii="新宋体" w:hAnsi="新宋体" w:eastAsia="新宋体" w:cs="新宋体"/>
          <w:sz w:val="24"/>
          <w:szCs w:val="24"/>
        </w:rPr>
        <w:t>磋商承诺书；</w:t>
      </w:r>
    </w:p>
    <w:p>
      <w:pPr>
        <w:pStyle w:val="9"/>
        <w:adjustRightInd w:val="0"/>
        <w:snapToGrid w:val="0"/>
        <w:spacing w:line="360" w:lineRule="exact"/>
        <w:ind w:firstLine="480" w:firstLineChars="200"/>
        <w:jc w:val="left"/>
        <w:rPr>
          <w:rFonts w:ascii="新宋体" w:hAnsi="新宋体" w:eastAsia="新宋体" w:cs="Times New Roman"/>
          <w:sz w:val="24"/>
          <w:szCs w:val="24"/>
        </w:rPr>
      </w:pPr>
      <w:r>
        <w:rPr>
          <w:rFonts w:ascii="新宋体" w:hAnsi="新宋体" w:eastAsia="新宋体" w:cs="新宋体"/>
          <w:sz w:val="24"/>
          <w:szCs w:val="24"/>
        </w:rPr>
        <w:t>8.1.4</w:t>
      </w:r>
      <w:r>
        <w:rPr>
          <w:rFonts w:hint="eastAsia" w:ascii="新宋体" w:hAnsi="新宋体" w:eastAsia="新宋体" w:cs="新宋体"/>
          <w:sz w:val="24"/>
          <w:szCs w:val="24"/>
        </w:rPr>
        <w:t>磋商响应函；</w:t>
      </w:r>
    </w:p>
    <w:p>
      <w:pPr>
        <w:pStyle w:val="9"/>
        <w:adjustRightInd w:val="0"/>
        <w:snapToGrid w:val="0"/>
        <w:spacing w:line="360" w:lineRule="exact"/>
        <w:ind w:firstLine="480" w:firstLineChars="200"/>
        <w:jc w:val="left"/>
        <w:rPr>
          <w:rFonts w:ascii="新宋体" w:hAnsi="新宋体" w:eastAsia="新宋体" w:cs="Times New Roman"/>
          <w:sz w:val="24"/>
          <w:szCs w:val="24"/>
        </w:rPr>
      </w:pPr>
      <w:r>
        <w:rPr>
          <w:rFonts w:ascii="新宋体" w:hAnsi="新宋体" w:eastAsia="新宋体" w:cs="新宋体"/>
          <w:sz w:val="24"/>
          <w:szCs w:val="24"/>
        </w:rPr>
        <w:t>8.1.5</w:t>
      </w:r>
      <w:r>
        <w:rPr>
          <w:rFonts w:hint="eastAsia" w:ascii="新宋体" w:hAnsi="新宋体" w:eastAsia="新宋体" w:cs="新宋体"/>
          <w:sz w:val="24"/>
          <w:szCs w:val="24"/>
        </w:rPr>
        <w:t>开标一览表；</w:t>
      </w:r>
    </w:p>
    <w:p>
      <w:pPr>
        <w:pStyle w:val="9"/>
        <w:adjustRightInd w:val="0"/>
        <w:snapToGrid w:val="0"/>
        <w:spacing w:line="36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8.1.6</w:t>
      </w:r>
      <w:r>
        <w:rPr>
          <w:rFonts w:hint="eastAsia" w:ascii="新宋体" w:hAnsi="新宋体" w:eastAsia="新宋体" w:cs="新宋体"/>
          <w:sz w:val="24"/>
          <w:szCs w:val="24"/>
        </w:rPr>
        <w:t>磋商资格证明文件：</w:t>
      </w:r>
    </w:p>
    <w:p>
      <w:pPr>
        <w:widowControl/>
        <w:spacing w:line="38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备注：</w:t>
      </w:r>
    </w:p>
    <w:p>
      <w:pPr>
        <w:numPr>
          <w:ilvl w:val="0"/>
          <w:numId w:val="2"/>
        </w:numPr>
        <w:spacing w:line="380" w:lineRule="exact"/>
        <w:ind w:left="0" w:firstLine="480" w:firstLineChars="200"/>
        <w:jc w:val="left"/>
        <w:rPr>
          <w:rFonts w:ascii="新宋体" w:hAnsi="新宋体" w:eastAsia="新宋体"/>
          <w:sz w:val="24"/>
          <w:szCs w:val="24"/>
        </w:rPr>
      </w:pPr>
      <w:r>
        <w:rPr>
          <w:rFonts w:hint="eastAsia" w:ascii="新宋体" w:hAnsi="新宋体" w:eastAsia="新宋体" w:cs="新宋体"/>
          <w:sz w:val="24"/>
          <w:szCs w:val="24"/>
        </w:rPr>
        <w:t>磋商小组将对资格后审合格的供应商的磋商文件进行评审，资格后审不合格的供应商的磋商文件将作废标处理。</w:t>
      </w:r>
    </w:p>
    <w:p>
      <w:pPr>
        <w:numPr>
          <w:ilvl w:val="0"/>
          <w:numId w:val="2"/>
        </w:numPr>
        <w:spacing w:line="380" w:lineRule="exact"/>
        <w:ind w:left="0" w:firstLine="480" w:firstLineChars="200"/>
        <w:jc w:val="left"/>
        <w:rPr>
          <w:rFonts w:ascii="新宋体" w:hAnsi="新宋体" w:eastAsia="新宋体"/>
          <w:sz w:val="24"/>
          <w:szCs w:val="24"/>
        </w:rPr>
      </w:pPr>
      <w:r>
        <w:rPr>
          <w:rFonts w:hint="eastAsia" w:ascii="新宋体" w:hAnsi="新宋体" w:eastAsia="新宋体" w:cs="新宋体"/>
          <w:sz w:val="24"/>
          <w:szCs w:val="24"/>
        </w:rPr>
        <w:t>供应商的法定代表人或其委托代理人到场情况（提供身份证原件，由相关人员比对身份，以开标会签到记录为准）</w:t>
      </w:r>
    </w:p>
    <w:p>
      <w:pPr>
        <w:spacing w:line="360" w:lineRule="exact"/>
        <w:ind w:firstLine="482" w:firstLineChars="200"/>
        <w:jc w:val="left"/>
        <w:rPr>
          <w:rFonts w:ascii="新宋体" w:hAnsi="新宋体" w:eastAsia="新宋体" w:cs="新宋体"/>
          <w:b/>
          <w:bCs/>
          <w:sz w:val="24"/>
          <w:szCs w:val="24"/>
        </w:rPr>
      </w:pPr>
      <w:r>
        <w:rPr>
          <w:rFonts w:ascii="新宋体" w:hAnsi="新宋体" w:eastAsia="新宋体" w:cs="新宋体"/>
          <w:b/>
          <w:bCs/>
          <w:sz w:val="24"/>
          <w:szCs w:val="24"/>
        </w:rPr>
        <w:t>8.2.</w:t>
      </w:r>
      <w:r>
        <w:rPr>
          <w:rFonts w:hint="eastAsia" w:ascii="新宋体" w:hAnsi="新宋体" w:eastAsia="新宋体" w:cs="新宋体"/>
          <w:b/>
          <w:bCs/>
          <w:sz w:val="24"/>
          <w:szCs w:val="24"/>
        </w:rPr>
        <w:t>磋商响应文件的份数和签署</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8.2.1</w:t>
      </w:r>
      <w:r>
        <w:rPr>
          <w:rFonts w:hint="eastAsia" w:ascii="新宋体" w:hAnsi="新宋体" w:eastAsia="新宋体" w:cs="新宋体"/>
          <w:sz w:val="24"/>
          <w:szCs w:val="24"/>
        </w:rPr>
        <w:t>磋商响应性文件份数：纸质磋商响应性文件二份，其中正本一份，副本一份；</w:t>
      </w:r>
    </w:p>
    <w:p>
      <w:pPr>
        <w:spacing w:line="32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其正、副本都应装订成册（须胶装），并在竞争性磋商响应文件封面清楚的注明“正本”或“副本”。电子磋商响应性文件一份（</w:t>
      </w:r>
      <w:r>
        <w:rPr>
          <w:rFonts w:ascii="新宋体" w:hAnsi="新宋体" w:eastAsia="新宋体" w:cs="新宋体"/>
          <w:sz w:val="24"/>
          <w:szCs w:val="24"/>
        </w:rPr>
        <w:t>U</w:t>
      </w:r>
      <w:r>
        <w:rPr>
          <w:rFonts w:hint="eastAsia" w:ascii="新宋体" w:hAnsi="新宋体" w:eastAsia="新宋体" w:cs="新宋体"/>
          <w:sz w:val="24"/>
          <w:szCs w:val="24"/>
        </w:rPr>
        <w:t>盘拷贝）。磋商响应文件正本和副本密封在一个包中，并在包封上注明采购项目名称、供应商名称和有“在</w:t>
      </w:r>
      <w:r>
        <w:rPr>
          <w:rFonts w:ascii="新宋体" w:hAnsi="新宋体" w:eastAsia="新宋体" w:cs="新宋体"/>
          <w:sz w:val="24"/>
          <w:szCs w:val="24"/>
        </w:rPr>
        <w:t>(</w:t>
      </w:r>
      <w:r>
        <w:rPr>
          <w:rFonts w:hint="eastAsia" w:ascii="新宋体" w:hAnsi="新宋体" w:eastAsia="新宋体" w:cs="新宋体"/>
          <w:sz w:val="24"/>
          <w:szCs w:val="24"/>
        </w:rPr>
        <w:t>磋商文件中规定的开标日期和时间</w:t>
      </w:r>
      <w:r>
        <w:rPr>
          <w:rFonts w:ascii="新宋体" w:hAnsi="新宋体" w:eastAsia="新宋体" w:cs="新宋体"/>
          <w:sz w:val="24"/>
          <w:szCs w:val="24"/>
        </w:rPr>
        <w:t>)</w:t>
      </w:r>
      <w:r>
        <w:rPr>
          <w:rFonts w:hint="eastAsia" w:ascii="新宋体" w:hAnsi="新宋体" w:eastAsia="新宋体" w:cs="新宋体"/>
          <w:sz w:val="24"/>
          <w:szCs w:val="24"/>
        </w:rPr>
        <w:t>之前不得启封”的字样，封口处加盖供应商印章。如果未按要求密封，采购人对误投或提前启封概不负责。</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8.2.3</w:t>
      </w:r>
      <w:r>
        <w:rPr>
          <w:rFonts w:hint="eastAsia" w:ascii="新宋体" w:hAnsi="新宋体" w:eastAsia="新宋体" w:cs="新宋体"/>
          <w:sz w:val="24"/>
          <w:szCs w:val="24"/>
        </w:rPr>
        <w:t>供应商应根据磋商文件要求，在竞争性磋商响应文件适当的位置填写供应商全称、加盖供应商印章、签署法定代表人或法定代表人授权代表的全名。</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8.2.4</w:t>
      </w:r>
      <w:r>
        <w:rPr>
          <w:rFonts w:hint="eastAsia" w:ascii="新宋体" w:hAnsi="新宋体" w:eastAsia="新宋体" w:cs="新宋体"/>
          <w:sz w:val="24"/>
          <w:szCs w:val="24"/>
        </w:rPr>
        <w:t>竞争性磋商响应文件的签署人如果是由法定代表人授权代表签名，则必须出具法定代表人授权委托书，并将其附在竞争性磋商响应文件中。</w:t>
      </w:r>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9</w:t>
      </w:r>
      <w:r>
        <w:rPr>
          <w:rFonts w:hint="eastAsia" w:ascii="新宋体" w:hAnsi="新宋体" w:eastAsia="新宋体" w:cs="新宋体"/>
          <w:sz w:val="24"/>
          <w:szCs w:val="24"/>
        </w:rPr>
        <w:t>、</w:t>
      </w:r>
      <w:r>
        <w:rPr>
          <w:rFonts w:hint="eastAsia" w:ascii="新宋体" w:hAnsi="新宋体" w:eastAsia="新宋体" w:cs="新宋体"/>
          <w:b/>
          <w:bCs/>
          <w:sz w:val="24"/>
          <w:szCs w:val="24"/>
        </w:rPr>
        <w:t>磋商响应文件的签署及其它规定</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9.1.</w:t>
      </w:r>
      <w:r>
        <w:rPr>
          <w:rFonts w:hint="eastAsia" w:ascii="新宋体" w:hAnsi="新宋体" w:eastAsia="新宋体" w:cs="新宋体"/>
          <w:sz w:val="24"/>
          <w:szCs w:val="24"/>
        </w:rPr>
        <w:t>磋商响应文件的签署</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 xml:space="preserve">9.1.1 </w:t>
      </w:r>
      <w:r>
        <w:rPr>
          <w:rFonts w:hint="eastAsia" w:ascii="新宋体" w:hAnsi="新宋体" w:eastAsia="新宋体" w:cs="新宋体"/>
          <w:sz w:val="24"/>
          <w:szCs w:val="24"/>
        </w:rPr>
        <w:t>磋商响应文件中的大写金额和小写金额不一致的，以大写金额为准</w:t>
      </w:r>
      <w:r>
        <w:rPr>
          <w:rFonts w:ascii="新宋体" w:hAnsi="新宋体" w:eastAsia="新宋体" w:cs="新宋体"/>
          <w:sz w:val="24"/>
          <w:szCs w:val="24"/>
        </w:rPr>
        <w:t>;</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 xml:space="preserve">9.1.2 </w:t>
      </w:r>
      <w:r>
        <w:rPr>
          <w:rFonts w:hint="eastAsia" w:ascii="新宋体" w:hAnsi="新宋体" w:eastAsia="新宋体" w:cs="新宋体"/>
          <w:sz w:val="24"/>
          <w:szCs w:val="24"/>
        </w:rPr>
        <w:t>总价金额与按单价汇总金额不一致的，以单价金额计算结果为准；单价金额小数点有明显错位的，应以总价为准，并修改单价。</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9.2.</w:t>
      </w:r>
      <w:r>
        <w:rPr>
          <w:rFonts w:hint="eastAsia" w:ascii="新宋体" w:hAnsi="新宋体" w:eastAsia="新宋体" w:cs="新宋体"/>
          <w:sz w:val="24"/>
          <w:szCs w:val="24"/>
        </w:rPr>
        <w:t>磋商响应文件的语言和计量单位</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9.2.1.</w:t>
      </w:r>
      <w:r>
        <w:rPr>
          <w:rFonts w:hint="eastAsia" w:ascii="新宋体" w:hAnsi="新宋体" w:eastAsia="新宋体" w:cs="新宋体"/>
          <w:sz w:val="24"/>
          <w:szCs w:val="24"/>
        </w:rPr>
        <w:t>参加磋商供应商提交的磋商文件以及参加磋商供应商与采购人和采购人就有关磋商的所有往来信函均应使用简体中文。</w:t>
      </w:r>
    </w:p>
    <w:p>
      <w:pPr>
        <w:spacing w:line="380" w:lineRule="exact"/>
        <w:ind w:firstLine="480" w:firstLineChars="200"/>
        <w:jc w:val="left"/>
        <w:rPr>
          <w:rFonts w:ascii="新宋体" w:hAnsi="新宋体" w:eastAsia="新宋体"/>
          <w:sz w:val="24"/>
          <w:szCs w:val="24"/>
        </w:rPr>
      </w:pPr>
      <w:r>
        <w:rPr>
          <w:rFonts w:ascii="新宋体" w:hAnsi="新宋体" w:eastAsia="新宋体" w:cs="新宋体"/>
          <w:sz w:val="24"/>
          <w:szCs w:val="24"/>
        </w:rPr>
        <w:t>9.2.2.</w:t>
      </w:r>
      <w:r>
        <w:rPr>
          <w:rFonts w:hint="eastAsia" w:ascii="新宋体" w:hAnsi="新宋体" w:eastAsia="新宋体" w:cs="新宋体"/>
          <w:sz w:val="24"/>
          <w:szCs w:val="24"/>
        </w:rPr>
        <w:t>参加磋商供应商所使用的计量单位，应使用国家法定计量单位。</w:t>
      </w:r>
    </w:p>
    <w:p>
      <w:pPr>
        <w:spacing w:line="380" w:lineRule="exact"/>
        <w:ind w:firstLine="482" w:firstLineChars="200"/>
        <w:jc w:val="left"/>
        <w:rPr>
          <w:rFonts w:ascii="新宋体" w:hAnsi="新宋体" w:eastAsia="新宋体" w:cs="新宋体"/>
          <w:b/>
          <w:bCs/>
          <w:sz w:val="24"/>
          <w:szCs w:val="24"/>
        </w:rPr>
      </w:pPr>
      <w:r>
        <w:rPr>
          <w:rFonts w:ascii="新宋体" w:hAnsi="新宋体" w:eastAsia="新宋体" w:cs="新宋体"/>
          <w:b/>
          <w:bCs/>
          <w:sz w:val="24"/>
          <w:szCs w:val="24"/>
        </w:rPr>
        <w:t xml:space="preserve">9.3. </w:t>
      </w:r>
      <w:r>
        <w:rPr>
          <w:rFonts w:hint="eastAsia" w:ascii="新宋体" w:hAnsi="新宋体" w:eastAsia="新宋体" w:cs="新宋体"/>
          <w:b/>
          <w:bCs/>
          <w:sz w:val="24"/>
          <w:szCs w:val="24"/>
        </w:rPr>
        <w:t>磋商报价要求</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9.3.1</w:t>
      </w:r>
      <w:r>
        <w:rPr>
          <w:rFonts w:hint="eastAsia" w:ascii="新宋体" w:hAnsi="新宋体" w:eastAsia="新宋体" w:cs="新宋体"/>
          <w:sz w:val="24"/>
          <w:szCs w:val="24"/>
        </w:rPr>
        <w:t>供应商所提供的货物和服务均以人民币报价。</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9.3.2</w:t>
      </w:r>
      <w:r>
        <w:rPr>
          <w:rFonts w:hint="eastAsia" w:ascii="新宋体" w:hAnsi="新宋体" w:eastAsia="新宋体" w:cs="新宋体"/>
          <w:sz w:val="24"/>
          <w:szCs w:val="24"/>
        </w:rPr>
        <w:t>供应商应按照“第三章</w:t>
      </w:r>
      <w:r>
        <w:rPr>
          <w:rFonts w:ascii="新宋体" w:hAnsi="新宋体" w:eastAsia="新宋体" w:cs="新宋体"/>
          <w:sz w:val="24"/>
          <w:szCs w:val="24"/>
        </w:rPr>
        <w:t xml:space="preserve"> </w:t>
      </w:r>
      <w:r>
        <w:rPr>
          <w:rFonts w:hint="eastAsia" w:ascii="新宋体" w:hAnsi="新宋体" w:eastAsia="新宋体" w:cs="新宋体"/>
          <w:sz w:val="24"/>
          <w:szCs w:val="24"/>
        </w:rPr>
        <w:t>采购需求”规定的货物、服务内容、责任范围以及合同条款进行报价。并按《竞争性磋商报价一览表》和《竞争性磋商报价明细表》确定的格式报出分项价格和总价。磋商报价应为优惠后的报价，任何报价上的优惠应体现在各分项报价中，国家规定的各项税费不得优惠。磋商报价中不得包含磋商文件要求以外的内容，否则，在评审时不予核减。磋商报价中也不得缺漏磋商文件所要求的内容，否则，在评审时将被视为已包含在磋商报价中。</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9.3.3</w:t>
      </w:r>
      <w:r>
        <w:rPr>
          <w:rFonts w:hint="eastAsia" w:ascii="新宋体" w:hAnsi="新宋体" w:eastAsia="新宋体" w:cs="新宋体"/>
          <w:sz w:val="24"/>
          <w:szCs w:val="24"/>
        </w:rPr>
        <w:t>《竞争性磋商报价明细表》填写时应响应下列要求：</w:t>
      </w:r>
    </w:p>
    <w:p>
      <w:pPr>
        <w:spacing w:line="38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w:t>
      </w:r>
      <w:r>
        <w:rPr>
          <w:rFonts w:ascii="新宋体" w:hAnsi="新宋体" w:eastAsia="新宋体" w:cs="新宋体"/>
          <w:sz w:val="24"/>
          <w:szCs w:val="24"/>
        </w:rPr>
        <w:t>1</w:t>
      </w:r>
      <w:r>
        <w:rPr>
          <w:rFonts w:hint="eastAsia" w:ascii="新宋体" w:hAnsi="新宋体" w:eastAsia="新宋体" w:cs="新宋体"/>
          <w:sz w:val="24"/>
          <w:szCs w:val="24"/>
        </w:rPr>
        <w:t>）对于报价免费的项目应标明“免费”；</w:t>
      </w:r>
    </w:p>
    <w:p>
      <w:pPr>
        <w:spacing w:line="38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w:t>
      </w:r>
      <w:r>
        <w:rPr>
          <w:rFonts w:ascii="新宋体" w:hAnsi="新宋体" w:eastAsia="新宋体" w:cs="新宋体"/>
          <w:sz w:val="24"/>
          <w:szCs w:val="24"/>
        </w:rPr>
        <w:t>2</w:t>
      </w:r>
      <w:r>
        <w:rPr>
          <w:rFonts w:hint="eastAsia" w:ascii="新宋体" w:hAnsi="新宋体" w:eastAsia="新宋体" w:cs="新宋体"/>
          <w:sz w:val="24"/>
          <w:szCs w:val="24"/>
        </w:rPr>
        <w:t>）所有根据合同或其它原因应由供应商支付的税款和其它应交纳的费用都要包括在供应商提交的磋商总价中；</w:t>
      </w:r>
    </w:p>
    <w:p>
      <w:pPr>
        <w:spacing w:line="38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w:t>
      </w:r>
      <w:r>
        <w:rPr>
          <w:rFonts w:ascii="新宋体" w:hAnsi="新宋体" w:eastAsia="新宋体" w:cs="新宋体"/>
          <w:sz w:val="24"/>
          <w:szCs w:val="24"/>
        </w:rPr>
        <w:t>3</w:t>
      </w:r>
      <w:r>
        <w:rPr>
          <w:rFonts w:hint="eastAsia" w:ascii="新宋体" w:hAnsi="新宋体" w:eastAsia="新宋体" w:cs="新宋体"/>
          <w:sz w:val="24"/>
          <w:szCs w:val="24"/>
        </w:rPr>
        <w:t>）应包含货物运至最终目的地的运输、保险和伴随货物服务的有关费用。</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9.3.4</w:t>
      </w:r>
      <w:r>
        <w:rPr>
          <w:rFonts w:hint="eastAsia" w:ascii="新宋体" w:hAnsi="新宋体" w:eastAsia="新宋体" w:cs="新宋体"/>
          <w:sz w:val="24"/>
          <w:szCs w:val="24"/>
        </w:rPr>
        <w:t>每一种规格的货物、服务只允许有一个报价，否则将被视为无效响应文件。</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9.3.5</w:t>
      </w:r>
      <w:r>
        <w:rPr>
          <w:rFonts w:hint="eastAsia" w:ascii="新宋体" w:hAnsi="新宋体" w:eastAsia="新宋体" w:cs="新宋体"/>
          <w:sz w:val="24"/>
          <w:szCs w:val="24"/>
        </w:rPr>
        <w:t>供应商所报的总价在合同执行过程中是固定不变的，不得以任何理由予以变更。</w:t>
      </w:r>
    </w:p>
    <w:p>
      <w:pPr>
        <w:spacing w:line="380" w:lineRule="exact"/>
        <w:ind w:firstLine="480" w:firstLineChars="200"/>
        <w:jc w:val="left"/>
        <w:rPr>
          <w:rFonts w:ascii="新宋体" w:hAnsi="新宋体" w:eastAsia="新宋体" w:cs="新宋体"/>
          <w:sz w:val="24"/>
          <w:szCs w:val="24"/>
        </w:rPr>
      </w:pPr>
      <w:r>
        <w:rPr>
          <w:rFonts w:ascii="新宋体" w:hAnsi="新宋体" w:eastAsia="新宋体" w:cs="新宋体"/>
          <w:sz w:val="24"/>
          <w:szCs w:val="24"/>
        </w:rPr>
        <w:t>9.3.6</w:t>
      </w:r>
      <w:r>
        <w:rPr>
          <w:rFonts w:hint="eastAsia" w:ascii="新宋体" w:hAnsi="新宋体" w:eastAsia="新宋体" w:cs="新宋体"/>
          <w:sz w:val="24"/>
          <w:szCs w:val="24"/>
        </w:rPr>
        <w:t>供应商的最后磋商报价不得超过项目采购预算或最高限价，否则将被视为无效响应文件。</w:t>
      </w:r>
    </w:p>
    <w:p>
      <w:pPr>
        <w:spacing w:line="38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9.4. </w:t>
      </w:r>
      <w:r>
        <w:rPr>
          <w:rFonts w:hint="eastAsia" w:ascii="宋体"/>
          <w:b/>
          <w:bCs/>
        </w:rPr>
        <w:t>交</w:t>
      </w:r>
      <w:r>
        <w:rPr>
          <w:rFonts w:hint="eastAsia" w:ascii="宋体" w:hAnsi="宋体" w:cs="宋体"/>
          <w:b/>
          <w:bCs/>
          <w:kern w:val="1"/>
          <w:sz w:val="24"/>
          <w:szCs w:val="24"/>
        </w:rPr>
        <w:t>货时</w:t>
      </w:r>
      <w:r>
        <w:rPr>
          <w:rFonts w:hint="eastAsia" w:ascii="宋体" w:hAnsi="宋体" w:cs="宋体"/>
          <w:b/>
          <w:bCs/>
          <w:kern w:val="1"/>
          <w:sz w:val="24"/>
          <w:szCs w:val="24"/>
          <w:lang w:val="zh-CN"/>
        </w:rPr>
        <w:t>间：自合同签订之日起</w:t>
      </w:r>
      <w:r>
        <w:rPr>
          <w:rFonts w:ascii="宋体" w:hAnsi="宋体" w:cs="宋体"/>
          <w:b/>
          <w:bCs/>
          <w:kern w:val="1"/>
          <w:sz w:val="24"/>
          <w:szCs w:val="24"/>
          <w:lang w:val="zh-CN"/>
        </w:rPr>
        <w:t>25</w:t>
      </w:r>
      <w:r>
        <w:rPr>
          <w:rFonts w:hint="eastAsia" w:ascii="宋体" w:hAnsi="宋体" w:cs="宋体"/>
          <w:b/>
          <w:bCs/>
          <w:kern w:val="1"/>
          <w:sz w:val="24"/>
          <w:szCs w:val="24"/>
          <w:lang w:val="zh-CN"/>
        </w:rPr>
        <w:t>日历</w:t>
      </w:r>
      <w:r>
        <w:rPr>
          <w:rFonts w:hint="eastAsia" w:ascii="宋体"/>
          <w:b/>
          <w:bCs/>
          <w:lang w:val="zh-CN"/>
        </w:rPr>
        <w:t>天</w:t>
      </w:r>
      <w:r>
        <w:rPr>
          <w:rFonts w:hint="eastAsia" w:ascii="宋体" w:hAnsi="宋体" w:cs="宋体"/>
          <w:b/>
          <w:bCs/>
          <w:kern w:val="1"/>
          <w:sz w:val="24"/>
          <w:szCs w:val="24"/>
        </w:rPr>
        <w:t>。</w:t>
      </w:r>
    </w:p>
    <w:p>
      <w:pPr>
        <w:tabs>
          <w:tab w:val="left" w:pos="630"/>
        </w:tabs>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9.5. </w:t>
      </w:r>
      <w:r>
        <w:rPr>
          <w:rFonts w:hint="eastAsia" w:ascii="新宋体" w:hAnsi="新宋体" w:eastAsia="新宋体" w:cs="新宋体"/>
          <w:b/>
          <w:bCs/>
          <w:sz w:val="24"/>
          <w:szCs w:val="24"/>
        </w:rPr>
        <w:t>磋商保证金：</w:t>
      </w:r>
    </w:p>
    <w:p>
      <w:pPr>
        <w:spacing w:line="360" w:lineRule="exact"/>
        <w:ind w:firstLine="480" w:firstLineChars="200"/>
        <w:jc w:val="left"/>
        <w:rPr>
          <w:rFonts w:ascii="宋体" w:cs="宋体"/>
          <w:kern w:val="1"/>
          <w:sz w:val="24"/>
          <w:szCs w:val="24"/>
        </w:rPr>
      </w:pPr>
      <w:r>
        <w:rPr>
          <w:rFonts w:hint="eastAsia" w:ascii="宋体" w:hAnsi="宋体" w:cs="宋体"/>
          <w:kern w:val="1"/>
          <w:sz w:val="24"/>
          <w:szCs w:val="24"/>
        </w:rPr>
        <w:t>本项目不设立磋商保证金。</w:t>
      </w:r>
    </w:p>
    <w:p>
      <w:pPr>
        <w:spacing w:line="360" w:lineRule="exact"/>
        <w:ind w:firstLine="482" w:firstLineChars="200"/>
        <w:jc w:val="left"/>
        <w:rPr>
          <w:rFonts w:hint="eastAsia" w:ascii="新宋体" w:hAnsi="新宋体" w:eastAsia="新宋体" w:cs="新宋体"/>
          <w:b/>
          <w:bCs/>
          <w:sz w:val="24"/>
          <w:szCs w:val="24"/>
        </w:rPr>
      </w:pPr>
      <w:r>
        <w:rPr>
          <w:rFonts w:ascii="新宋体" w:hAnsi="新宋体" w:eastAsia="新宋体" w:cs="新宋体"/>
          <w:b/>
          <w:bCs/>
          <w:sz w:val="24"/>
          <w:szCs w:val="24"/>
        </w:rPr>
        <w:t>9.6.</w:t>
      </w:r>
      <w:r>
        <w:rPr>
          <w:rFonts w:hint="eastAsia" w:ascii="新宋体" w:hAnsi="新宋体" w:eastAsia="新宋体" w:cs="新宋体"/>
          <w:b/>
          <w:bCs/>
          <w:sz w:val="24"/>
          <w:szCs w:val="24"/>
        </w:rPr>
        <w:t>付款方式：货到安装调试完毕验收后付至合同总价的60％，试运行六个月无故障后再付至合同总价的95％（若出重大故障，以故障修复之日为计算起始日，再试运行六个月后付至合同总价的95%），留剩余5％作为质保金至质保期满后一次性付清。结算时须提供合法合规的增值税专票。（上述付款方式采用现金或银行保兑（商业汇票）方式付款，以上未付款项均不计利息。）</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9.7</w:t>
      </w:r>
      <w:r>
        <w:rPr>
          <w:rFonts w:hint="eastAsia" w:ascii="新宋体" w:hAnsi="新宋体" w:eastAsia="新宋体" w:cs="新宋体"/>
          <w:sz w:val="24"/>
          <w:szCs w:val="24"/>
        </w:rPr>
        <w:t>售后服务承诺：成交供应商在项目验收合格并运行稳定后，如出现设备、系统故障等问题，必须根据甲方要求，在规定时间内到场进行维护维修，若成交供应商不服从甲方要求，则甲方有权终止合同，余款不予支付（供应商制作响应文件时应对此条作出承诺，否则视为未实质性响应磋商文件要求）。</w:t>
      </w:r>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10</w:t>
      </w:r>
      <w:r>
        <w:rPr>
          <w:rFonts w:hint="eastAsia" w:ascii="新宋体" w:hAnsi="新宋体" w:eastAsia="新宋体" w:cs="新宋体"/>
          <w:b/>
          <w:bCs/>
          <w:sz w:val="24"/>
          <w:szCs w:val="24"/>
        </w:rPr>
        <w:t>、资料的宣读</w:t>
      </w:r>
    </w:p>
    <w:p>
      <w:pPr>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10.1.</w:t>
      </w:r>
      <w:r>
        <w:rPr>
          <w:rFonts w:hint="eastAsia" w:ascii="新宋体" w:hAnsi="新宋体" w:eastAsia="新宋体" w:cs="新宋体"/>
          <w:sz w:val="24"/>
          <w:szCs w:val="24"/>
        </w:rPr>
        <w:t>截止到磋商时间，经确认无误后，在开标会上，由工作人员当众宣读各供应商名称。</w:t>
      </w:r>
    </w:p>
    <w:p>
      <w:pPr>
        <w:spacing w:line="36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11. </w:t>
      </w:r>
      <w:r>
        <w:rPr>
          <w:rFonts w:hint="eastAsia" w:ascii="新宋体" w:hAnsi="新宋体" w:eastAsia="新宋体" w:cs="新宋体"/>
          <w:b/>
          <w:bCs/>
          <w:sz w:val="24"/>
          <w:szCs w:val="24"/>
        </w:rPr>
        <w:t>磋商有效期</w:t>
      </w:r>
    </w:p>
    <w:p>
      <w:pPr>
        <w:spacing w:line="320" w:lineRule="exact"/>
        <w:ind w:firstLine="480" w:firstLineChars="200"/>
        <w:jc w:val="left"/>
        <w:rPr>
          <w:rFonts w:ascii="新宋体" w:hAnsi="新宋体" w:eastAsia="新宋体"/>
          <w:snapToGrid w:val="0"/>
          <w:sz w:val="24"/>
          <w:szCs w:val="24"/>
        </w:rPr>
      </w:pPr>
      <w:r>
        <w:rPr>
          <w:rFonts w:ascii="新宋体" w:hAnsi="新宋体" w:eastAsia="新宋体" w:cs="新宋体"/>
          <w:sz w:val="24"/>
          <w:szCs w:val="24"/>
        </w:rPr>
        <w:t>11.1.</w:t>
      </w:r>
      <w:r>
        <w:rPr>
          <w:rFonts w:hint="eastAsia" w:ascii="新宋体" w:hAnsi="新宋体" w:eastAsia="新宋体" w:cs="新宋体"/>
          <w:snapToGrid w:val="0"/>
          <w:sz w:val="24"/>
          <w:szCs w:val="24"/>
        </w:rPr>
        <w:t>本次竞争性磋商有效期为自磋商之日后</w:t>
      </w:r>
      <w:r>
        <w:rPr>
          <w:rFonts w:ascii="新宋体" w:hAnsi="新宋体" w:eastAsia="新宋体" w:cs="新宋体"/>
          <w:snapToGrid w:val="0"/>
          <w:sz w:val="24"/>
          <w:szCs w:val="24"/>
        </w:rPr>
        <w:t>90</w:t>
      </w:r>
      <w:r>
        <w:rPr>
          <w:rFonts w:hint="eastAsia" w:ascii="新宋体" w:hAnsi="新宋体" w:eastAsia="新宋体" w:cs="新宋体"/>
          <w:snapToGrid w:val="0"/>
          <w:sz w:val="24"/>
          <w:szCs w:val="24"/>
        </w:rPr>
        <w:t>天内有效，如成交则有效期将顺延至合同终止日为止，应在此期间保持有效。磋商有效期不达要求的将被视为非响应性磋商要求而予以拒绝。</w:t>
      </w:r>
    </w:p>
    <w:p>
      <w:pPr>
        <w:spacing w:line="32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12. </w:t>
      </w:r>
      <w:r>
        <w:rPr>
          <w:rFonts w:hint="eastAsia" w:ascii="新宋体" w:hAnsi="新宋体" w:eastAsia="新宋体" w:cs="新宋体"/>
          <w:b/>
          <w:bCs/>
          <w:sz w:val="24"/>
          <w:szCs w:val="24"/>
        </w:rPr>
        <w:t>磋商响应文件的递交</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12.1.</w:t>
      </w:r>
      <w:r>
        <w:rPr>
          <w:rFonts w:hint="eastAsia" w:ascii="新宋体" w:hAnsi="新宋体" w:eastAsia="新宋体" w:cs="新宋体"/>
          <w:sz w:val="24"/>
          <w:szCs w:val="24"/>
        </w:rPr>
        <w:t>供应商应在规定的磋商截止时间前递交磋商响应文件。逾期送达的，或者未送达指定地点，以及未按指定方式送达的磋商响应文件，后果自行承担。</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12.2.</w:t>
      </w:r>
      <w:r>
        <w:rPr>
          <w:rFonts w:hint="eastAsia" w:ascii="新宋体" w:hAnsi="新宋体" w:eastAsia="新宋体" w:cs="新宋体"/>
          <w:sz w:val="24"/>
          <w:szCs w:val="24"/>
        </w:rPr>
        <w:t>磋商响应文件的密封和标记</w:t>
      </w:r>
    </w:p>
    <w:p>
      <w:pPr>
        <w:spacing w:line="320" w:lineRule="exact"/>
        <w:ind w:firstLine="480" w:firstLineChars="200"/>
        <w:jc w:val="left"/>
        <w:rPr>
          <w:rFonts w:ascii="新宋体" w:hAnsi="新宋体" w:eastAsia="新宋体"/>
          <w:sz w:val="24"/>
          <w:szCs w:val="24"/>
        </w:rPr>
      </w:pPr>
      <w:r>
        <w:rPr>
          <w:rFonts w:hint="eastAsia" w:ascii="新宋体" w:hAnsi="新宋体" w:eastAsia="新宋体" w:cs="新宋体"/>
          <w:sz w:val="24"/>
          <w:szCs w:val="24"/>
        </w:rPr>
        <w:t>磋商响应文件正本和副本密封在一个包中，并在包封上注明采购项目名称、供应商名称和有“在</w:t>
      </w:r>
      <w:r>
        <w:rPr>
          <w:rFonts w:ascii="新宋体" w:hAnsi="新宋体" w:eastAsia="新宋体" w:cs="新宋体"/>
          <w:sz w:val="24"/>
          <w:szCs w:val="24"/>
        </w:rPr>
        <w:t>(</w:t>
      </w:r>
      <w:r>
        <w:rPr>
          <w:rFonts w:hint="eastAsia" w:ascii="新宋体" w:hAnsi="新宋体" w:eastAsia="新宋体" w:cs="新宋体"/>
          <w:sz w:val="24"/>
          <w:szCs w:val="24"/>
        </w:rPr>
        <w:t>磋商文件中规定的开标日期和时间</w:t>
      </w:r>
      <w:r>
        <w:rPr>
          <w:rFonts w:ascii="新宋体" w:hAnsi="新宋体" w:eastAsia="新宋体" w:cs="新宋体"/>
          <w:sz w:val="24"/>
          <w:szCs w:val="24"/>
        </w:rPr>
        <w:t>)</w:t>
      </w:r>
      <w:r>
        <w:rPr>
          <w:rFonts w:hint="eastAsia" w:ascii="新宋体" w:hAnsi="新宋体" w:eastAsia="新宋体" w:cs="新宋体"/>
          <w:sz w:val="24"/>
          <w:szCs w:val="24"/>
        </w:rPr>
        <w:t>之前不得启封”的字样，封口处加盖供应商印章。如果未按要求密封，采购人对误投或提前启封概不负责。</w:t>
      </w:r>
    </w:p>
    <w:p>
      <w:pPr>
        <w:spacing w:line="32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13. </w:t>
      </w:r>
      <w:r>
        <w:rPr>
          <w:rFonts w:hint="eastAsia" w:ascii="新宋体" w:hAnsi="新宋体" w:eastAsia="新宋体" w:cs="新宋体"/>
          <w:b/>
          <w:bCs/>
          <w:sz w:val="24"/>
          <w:szCs w:val="24"/>
        </w:rPr>
        <w:t>迟交的磋商响应文件</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13.1.</w:t>
      </w:r>
      <w:r>
        <w:rPr>
          <w:rFonts w:hint="eastAsia" w:ascii="新宋体" w:hAnsi="新宋体" w:eastAsia="新宋体" w:cs="新宋体"/>
          <w:sz w:val="24"/>
          <w:szCs w:val="24"/>
        </w:rPr>
        <w:t>采购人将拒绝在磋商文件中规定的截止时间后收到的任何磋商响应文件。</w:t>
      </w:r>
    </w:p>
    <w:p>
      <w:pPr>
        <w:spacing w:line="320" w:lineRule="exact"/>
        <w:ind w:firstLine="482" w:firstLineChars="200"/>
        <w:jc w:val="left"/>
        <w:rPr>
          <w:rFonts w:ascii="新宋体" w:hAnsi="新宋体" w:eastAsia="新宋体"/>
          <w:b/>
          <w:bCs/>
          <w:sz w:val="24"/>
          <w:szCs w:val="24"/>
        </w:rPr>
      </w:pPr>
      <w:r>
        <w:rPr>
          <w:rFonts w:ascii="新宋体" w:hAnsi="新宋体" w:eastAsia="新宋体" w:cs="新宋体"/>
          <w:b/>
          <w:bCs/>
          <w:sz w:val="24"/>
          <w:szCs w:val="24"/>
        </w:rPr>
        <w:t xml:space="preserve">14. </w:t>
      </w:r>
      <w:r>
        <w:rPr>
          <w:rFonts w:hint="eastAsia" w:ascii="新宋体" w:hAnsi="新宋体" w:eastAsia="新宋体" w:cs="新宋体"/>
          <w:b/>
          <w:bCs/>
          <w:sz w:val="24"/>
          <w:szCs w:val="24"/>
        </w:rPr>
        <w:t>磋商文件的修改和撤回</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14.1.</w:t>
      </w:r>
      <w:r>
        <w:rPr>
          <w:rFonts w:hint="eastAsia" w:ascii="新宋体" w:hAnsi="新宋体" w:eastAsia="新宋体" w:cs="新宋体"/>
          <w:sz w:val="24"/>
          <w:szCs w:val="24"/>
        </w:rPr>
        <w:t>供应商在提交磋商响应文件截止时间前，可以对所提交的磋商响应文件进行补充、修改或者撤回，并书面通知采购代理机构。补充、修改的内容作为响应文件的组成部分。补充、修改的内容与响应文件不一致的，以补充、修改的内容为准。</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14.2.</w:t>
      </w:r>
      <w:r>
        <w:rPr>
          <w:rFonts w:hint="eastAsia" w:ascii="新宋体" w:hAnsi="新宋体" w:eastAsia="新宋体" w:cs="新宋体"/>
          <w:sz w:val="24"/>
          <w:szCs w:val="24"/>
        </w:rPr>
        <w:t>供应商在递交磋商响应文件后，可以撤回其磋商响应文件，但供应商必须在规定的磋商截止期之前以书面形式告知采购代理机构。</w:t>
      </w:r>
    </w:p>
    <w:p>
      <w:pPr>
        <w:spacing w:line="320" w:lineRule="exact"/>
        <w:ind w:firstLine="480" w:firstLineChars="200"/>
        <w:jc w:val="left"/>
        <w:rPr>
          <w:rFonts w:ascii="新宋体" w:hAnsi="新宋体" w:eastAsia="新宋体"/>
          <w:sz w:val="24"/>
          <w:szCs w:val="24"/>
        </w:rPr>
      </w:pPr>
      <w:r>
        <w:rPr>
          <w:rFonts w:ascii="新宋体" w:hAnsi="新宋体" w:eastAsia="新宋体" w:cs="新宋体"/>
          <w:sz w:val="24"/>
          <w:szCs w:val="24"/>
        </w:rPr>
        <w:t>14.3.</w:t>
      </w:r>
      <w:r>
        <w:rPr>
          <w:rFonts w:hint="eastAsia" w:ascii="新宋体" w:hAnsi="新宋体" w:eastAsia="新宋体" w:cs="新宋体"/>
          <w:sz w:val="24"/>
          <w:szCs w:val="24"/>
        </w:rPr>
        <w:t>供应商所提交的磋商响应文件在磋商结束后，无论成交与否都不退还。</w:t>
      </w:r>
    </w:p>
    <w:p>
      <w:pPr>
        <w:spacing w:line="440" w:lineRule="exact"/>
        <w:jc w:val="center"/>
        <w:outlineLvl w:val="1"/>
        <w:rPr>
          <w:rFonts w:ascii="新宋体" w:hAnsi="新宋体" w:eastAsia="新宋体"/>
          <w:b/>
          <w:bCs/>
          <w:sz w:val="28"/>
          <w:szCs w:val="28"/>
        </w:rPr>
      </w:pPr>
      <w:bookmarkStart w:id="39" w:name="_Toc10864"/>
      <w:r>
        <w:rPr>
          <w:rFonts w:hint="eastAsia" w:ascii="新宋体" w:hAnsi="新宋体" w:eastAsia="新宋体" w:cs="新宋体"/>
          <w:b/>
          <w:bCs/>
          <w:sz w:val="28"/>
          <w:szCs w:val="28"/>
        </w:rPr>
        <w:t>三、开标程序</w:t>
      </w:r>
      <w:bookmarkEnd w:id="39"/>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15.</w:t>
      </w:r>
      <w:r>
        <w:rPr>
          <w:rFonts w:hint="eastAsia" w:ascii="新宋体" w:hAnsi="新宋体" w:eastAsia="新宋体" w:cs="新宋体"/>
          <w:b/>
          <w:bCs/>
          <w:sz w:val="24"/>
          <w:szCs w:val="24"/>
        </w:rPr>
        <w:t>开标</w:t>
      </w:r>
    </w:p>
    <w:p>
      <w:pPr>
        <w:spacing w:line="380" w:lineRule="exact"/>
        <w:ind w:firstLine="458" w:firstLineChars="191"/>
        <w:rPr>
          <w:rFonts w:ascii="新宋体" w:hAnsi="新宋体" w:eastAsia="新宋体"/>
          <w:sz w:val="24"/>
          <w:szCs w:val="24"/>
        </w:rPr>
      </w:pPr>
      <w:r>
        <w:rPr>
          <w:rFonts w:ascii="新宋体" w:hAnsi="新宋体" w:eastAsia="新宋体" w:cs="新宋体"/>
          <w:sz w:val="24"/>
          <w:szCs w:val="24"/>
        </w:rPr>
        <w:t>15.1.</w:t>
      </w:r>
      <w:r>
        <w:rPr>
          <w:rFonts w:hint="eastAsia" w:ascii="新宋体" w:hAnsi="新宋体" w:eastAsia="新宋体" w:cs="新宋体"/>
          <w:sz w:val="24"/>
          <w:szCs w:val="24"/>
        </w:rPr>
        <w:t>采购人按磋商公告中确定的时间和地点组织磋商。届时将邀请所有参加磋商供应商以及监督部门、采购人代表参加开标会。供应商的法定代表人或其委托代理人应按规定时间携带其身份证明文件</w:t>
      </w:r>
      <w:r>
        <w:rPr>
          <w:rFonts w:ascii="新宋体" w:hAnsi="新宋体" w:eastAsia="新宋体" w:cs="新宋体"/>
          <w:sz w:val="24"/>
          <w:szCs w:val="24"/>
        </w:rPr>
        <w:t>(</w:t>
      </w:r>
      <w:r>
        <w:rPr>
          <w:rFonts w:hint="eastAsia" w:ascii="新宋体" w:hAnsi="新宋体" w:eastAsia="新宋体" w:cs="新宋体"/>
          <w:sz w:val="24"/>
          <w:szCs w:val="24"/>
        </w:rPr>
        <w:t>法人代表参加开标会的提供法人代表身份证明原件，委托人参加开标会的提供授权委托书原件</w:t>
      </w:r>
      <w:r>
        <w:rPr>
          <w:rFonts w:ascii="新宋体" w:hAnsi="新宋体" w:eastAsia="新宋体" w:cs="新宋体"/>
          <w:sz w:val="24"/>
          <w:szCs w:val="24"/>
        </w:rPr>
        <w:t>)</w:t>
      </w:r>
      <w:r>
        <w:rPr>
          <w:rFonts w:hint="eastAsia" w:ascii="新宋体" w:hAnsi="新宋体" w:eastAsia="新宋体" w:cs="新宋体"/>
          <w:sz w:val="24"/>
          <w:szCs w:val="24"/>
        </w:rPr>
        <w:t>和第二代有效身份证原件准时参加开标会。</w:t>
      </w:r>
    </w:p>
    <w:p>
      <w:pPr>
        <w:spacing w:line="380" w:lineRule="exact"/>
        <w:ind w:firstLine="480" w:firstLineChars="200"/>
        <w:rPr>
          <w:rFonts w:ascii="新宋体" w:hAnsi="新宋体" w:eastAsia="新宋体" w:cs="新宋体"/>
          <w:sz w:val="24"/>
          <w:szCs w:val="24"/>
        </w:rPr>
      </w:pPr>
      <w:r>
        <w:rPr>
          <w:rFonts w:ascii="新宋体" w:hAnsi="新宋体" w:eastAsia="新宋体" w:cs="新宋体"/>
          <w:sz w:val="24"/>
          <w:szCs w:val="24"/>
        </w:rPr>
        <w:t>15.2.</w:t>
      </w:r>
      <w:r>
        <w:rPr>
          <w:rFonts w:hint="eastAsia" w:ascii="新宋体" w:hAnsi="新宋体" w:eastAsia="新宋体" w:cs="新宋体"/>
          <w:sz w:val="24"/>
          <w:szCs w:val="24"/>
        </w:rPr>
        <w:t>开标时，采购代理机构将当众宣读参加磋商供应商名称以及采购人认为合适的其它内容。</w:t>
      </w:r>
    </w:p>
    <w:p>
      <w:pPr>
        <w:pStyle w:val="29"/>
        <w:ind w:firstLine="31680"/>
      </w:pPr>
    </w:p>
    <w:p>
      <w:pPr>
        <w:spacing w:line="440" w:lineRule="exact"/>
        <w:jc w:val="center"/>
        <w:outlineLvl w:val="1"/>
        <w:rPr>
          <w:rFonts w:ascii="新宋体" w:hAnsi="新宋体" w:eastAsia="新宋体"/>
          <w:b/>
          <w:bCs/>
          <w:sz w:val="28"/>
          <w:szCs w:val="28"/>
        </w:rPr>
      </w:pPr>
      <w:bookmarkStart w:id="40" w:name="_Toc1599"/>
      <w:r>
        <w:rPr>
          <w:rFonts w:hint="eastAsia" w:ascii="新宋体" w:hAnsi="新宋体" w:eastAsia="新宋体" w:cs="新宋体"/>
          <w:b/>
          <w:bCs/>
          <w:sz w:val="28"/>
          <w:szCs w:val="28"/>
        </w:rPr>
        <w:t>四</w:t>
      </w:r>
      <w:r>
        <w:rPr>
          <w:rFonts w:ascii="新宋体" w:hAnsi="新宋体" w:eastAsia="新宋体" w:cs="新宋体"/>
          <w:b/>
          <w:bCs/>
          <w:sz w:val="28"/>
          <w:szCs w:val="28"/>
        </w:rPr>
        <w:t xml:space="preserve">. </w:t>
      </w:r>
      <w:r>
        <w:rPr>
          <w:rFonts w:hint="eastAsia" w:ascii="新宋体" w:hAnsi="新宋体" w:eastAsia="新宋体" w:cs="新宋体"/>
          <w:b/>
          <w:bCs/>
          <w:sz w:val="28"/>
          <w:szCs w:val="28"/>
        </w:rPr>
        <w:t>磋商程序与内容</w:t>
      </w:r>
      <w:bookmarkEnd w:id="40"/>
    </w:p>
    <w:p>
      <w:pPr>
        <w:spacing w:line="340" w:lineRule="exact"/>
        <w:ind w:firstLine="463" w:firstLineChars="192"/>
        <w:rPr>
          <w:rFonts w:ascii="新宋体" w:hAnsi="新宋体" w:eastAsia="新宋体"/>
          <w:b/>
          <w:bCs/>
          <w:sz w:val="24"/>
          <w:szCs w:val="24"/>
        </w:rPr>
      </w:pPr>
      <w:r>
        <w:rPr>
          <w:rFonts w:ascii="新宋体" w:hAnsi="新宋体" w:eastAsia="新宋体" w:cs="新宋体"/>
          <w:b/>
          <w:bCs/>
          <w:sz w:val="24"/>
          <w:szCs w:val="24"/>
        </w:rPr>
        <w:t>16.</w:t>
      </w:r>
      <w:r>
        <w:rPr>
          <w:rFonts w:hint="eastAsia" w:ascii="新宋体" w:hAnsi="新宋体" w:eastAsia="新宋体" w:cs="新宋体"/>
          <w:b/>
          <w:bCs/>
          <w:sz w:val="24"/>
          <w:szCs w:val="24"/>
        </w:rPr>
        <w:t>成立磋商小组</w:t>
      </w:r>
    </w:p>
    <w:p>
      <w:pPr>
        <w:spacing w:line="340" w:lineRule="exact"/>
        <w:ind w:firstLine="458" w:firstLineChars="191"/>
        <w:rPr>
          <w:rFonts w:ascii="新宋体" w:hAnsi="新宋体" w:eastAsia="新宋体"/>
          <w:sz w:val="24"/>
          <w:szCs w:val="24"/>
        </w:rPr>
      </w:pPr>
      <w:r>
        <w:rPr>
          <w:rFonts w:ascii="新宋体" w:hAnsi="新宋体" w:eastAsia="新宋体" w:cs="新宋体"/>
          <w:sz w:val="24"/>
          <w:szCs w:val="24"/>
        </w:rPr>
        <w:t>16.1.</w:t>
      </w:r>
      <w:r>
        <w:rPr>
          <w:rFonts w:hint="eastAsia" w:ascii="新宋体" w:hAnsi="新宋体" w:eastAsia="新宋体" w:cs="新宋体"/>
          <w:sz w:val="24"/>
          <w:szCs w:val="24"/>
        </w:rPr>
        <w:t>磋商由采购人依照有关法规组建的磋商小组负责，磋商小组由采购人代表和有关技术、经济等方面的专家组成，</w:t>
      </w:r>
      <w:r>
        <w:rPr>
          <w:rFonts w:hint="eastAsia" w:hAnsi="宋体"/>
          <w:sz w:val="24"/>
          <w:szCs w:val="24"/>
        </w:rPr>
        <w:t>其中专家的人数不少于磋商小组成员总数的三分之二，</w:t>
      </w:r>
      <w:r>
        <w:rPr>
          <w:rFonts w:hint="eastAsia" w:ascii="新宋体" w:hAnsi="新宋体" w:eastAsia="新宋体" w:cs="新宋体"/>
          <w:sz w:val="24"/>
          <w:szCs w:val="24"/>
        </w:rPr>
        <w:t>成员人数为</w:t>
      </w:r>
      <w:r>
        <w:rPr>
          <w:rFonts w:ascii="新宋体" w:hAnsi="新宋体" w:eastAsia="新宋体" w:cs="新宋体"/>
          <w:sz w:val="24"/>
          <w:szCs w:val="24"/>
        </w:rPr>
        <w:t>3</w:t>
      </w:r>
      <w:r>
        <w:rPr>
          <w:rFonts w:hint="eastAsia" w:ascii="新宋体" w:hAnsi="新宋体" w:eastAsia="新宋体" w:cs="新宋体"/>
          <w:sz w:val="24"/>
          <w:szCs w:val="24"/>
        </w:rPr>
        <w:t>人及以上单数。</w:t>
      </w:r>
    </w:p>
    <w:p>
      <w:pPr>
        <w:spacing w:line="340" w:lineRule="exact"/>
        <w:ind w:firstLine="480" w:firstLineChars="200"/>
        <w:rPr>
          <w:rFonts w:ascii="新宋体" w:hAnsi="新宋体" w:eastAsia="新宋体"/>
          <w:sz w:val="24"/>
          <w:szCs w:val="24"/>
        </w:rPr>
      </w:pPr>
      <w:r>
        <w:rPr>
          <w:rFonts w:ascii="新宋体" w:hAnsi="新宋体" w:eastAsia="新宋体" w:cs="新宋体"/>
          <w:sz w:val="24"/>
          <w:szCs w:val="24"/>
        </w:rPr>
        <w:t>16.2.</w:t>
      </w:r>
      <w:r>
        <w:rPr>
          <w:rFonts w:hint="eastAsia" w:ascii="新宋体" w:hAnsi="新宋体" w:eastAsia="新宋体" w:cs="新宋体"/>
          <w:sz w:val="24"/>
          <w:szCs w:val="24"/>
        </w:rPr>
        <w:t>在竞争性磋商过程中，如果出现磋商小组成员意见不一致的情况，按照少数服从多数的原则确定。</w:t>
      </w:r>
    </w:p>
    <w:p>
      <w:pPr>
        <w:spacing w:line="34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17.</w:t>
      </w:r>
      <w:r>
        <w:rPr>
          <w:rFonts w:hint="eastAsia" w:ascii="新宋体" w:hAnsi="新宋体" w:eastAsia="新宋体" w:cs="新宋体"/>
          <w:b/>
          <w:bCs/>
          <w:sz w:val="24"/>
          <w:szCs w:val="24"/>
        </w:rPr>
        <w:t>竞争性磋商响应文件的审查</w:t>
      </w:r>
    </w:p>
    <w:p>
      <w:pPr>
        <w:pStyle w:val="9"/>
        <w:spacing w:line="340" w:lineRule="exact"/>
        <w:ind w:firstLine="480" w:firstLineChars="200"/>
        <w:rPr>
          <w:rFonts w:ascii="新宋体" w:hAnsi="新宋体" w:eastAsia="新宋体" w:cs="Times New Roman"/>
          <w:sz w:val="24"/>
          <w:szCs w:val="24"/>
        </w:rPr>
      </w:pPr>
      <w:r>
        <w:rPr>
          <w:rFonts w:ascii="新宋体" w:hAnsi="新宋体" w:eastAsia="新宋体" w:cs="新宋体"/>
          <w:sz w:val="24"/>
          <w:szCs w:val="24"/>
        </w:rPr>
        <w:t xml:space="preserve">17.1 </w:t>
      </w:r>
      <w:r>
        <w:rPr>
          <w:rFonts w:hint="eastAsia" w:ascii="新宋体" w:hAnsi="新宋体" w:eastAsia="新宋体" w:cs="新宋体"/>
          <w:b/>
          <w:bCs/>
          <w:sz w:val="24"/>
          <w:szCs w:val="24"/>
        </w:rPr>
        <w:t>资格审查</w:t>
      </w:r>
    </w:p>
    <w:p>
      <w:pPr>
        <w:spacing w:line="420" w:lineRule="exact"/>
        <w:ind w:firstLine="480" w:firstLineChars="200"/>
        <w:rPr>
          <w:rFonts w:ascii="宋体" w:cs="宋体"/>
          <w:sz w:val="24"/>
          <w:szCs w:val="24"/>
        </w:rPr>
      </w:pPr>
      <w:r>
        <w:rPr>
          <w:rFonts w:hint="eastAsia" w:ascii="宋体" w:hAnsi="宋体" w:cs="宋体"/>
          <w:sz w:val="24"/>
          <w:szCs w:val="24"/>
        </w:rPr>
        <w:t>详见“第一章竞争性磋商公告”中的供应商资格要求。</w:t>
      </w:r>
    </w:p>
    <w:p>
      <w:pPr>
        <w:pStyle w:val="9"/>
        <w:spacing w:line="340" w:lineRule="exact"/>
        <w:ind w:firstLine="480" w:firstLineChars="200"/>
        <w:rPr>
          <w:rFonts w:ascii="新宋体" w:hAnsi="新宋体" w:eastAsia="新宋体" w:cs="Times New Roman"/>
          <w:sz w:val="24"/>
          <w:szCs w:val="24"/>
        </w:rPr>
      </w:pPr>
      <w:r>
        <w:rPr>
          <w:rFonts w:ascii="新宋体" w:hAnsi="新宋体" w:eastAsia="新宋体" w:cs="新宋体"/>
          <w:sz w:val="24"/>
          <w:szCs w:val="24"/>
        </w:rPr>
        <w:t xml:space="preserve">17.2 </w:t>
      </w:r>
      <w:r>
        <w:rPr>
          <w:rFonts w:hint="eastAsia" w:ascii="新宋体" w:hAnsi="新宋体" w:eastAsia="新宋体" w:cs="新宋体"/>
          <w:b/>
          <w:bCs/>
          <w:sz w:val="24"/>
          <w:szCs w:val="24"/>
        </w:rPr>
        <w:t>符合性审查</w:t>
      </w:r>
    </w:p>
    <w:p>
      <w:pPr>
        <w:pStyle w:val="9"/>
        <w:spacing w:line="340" w:lineRule="exact"/>
        <w:ind w:firstLine="480" w:firstLineChars="200"/>
        <w:rPr>
          <w:rFonts w:ascii="新宋体" w:hAnsi="新宋体" w:eastAsia="新宋体" w:cs="Times New Roman"/>
          <w:sz w:val="24"/>
          <w:szCs w:val="24"/>
        </w:rPr>
      </w:pPr>
      <w:r>
        <w:rPr>
          <w:rFonts w:hint="eastAsia" w:ascii="新宋体" w:hAnsi="新宋体" w:eastAsia="新宋体" w:cs="新宋体"/>
          <w:sz w:val="24"/>
          <w:szCs w:val="24"/>
        </w:rPr>
        <w:t>磋商小组应当审查每一份磋商响应文件是否对磋商文件所提出的所有实质性要求和条件作出了响应，未能在实质上响应的磋商响应文件，</w:t>
      </w:r>
      <w:r>
        <w:rPr>
          <w:rFonts w:hint="eastAsia" w:ascii="新宋体" w:hAnsi="新宋体" w:eastAsia="新宋体" w:cs="新宋体"/>
          <w:b/>
          <w:bCs/>
          <w:sz w:val="24"/>
          <w:szCs w:val="24"/>
          <w:u w:val="single"/>
        </w:rPr>
        <w:t>应作无效磋商响应文件处理</w:t>
      </w:r>
      <w:r>
        <w:rPr>
          <w:rFonts w:hint="eastAsia" w:ascii="新宋体" w:hAnsi="新宋体" w:eastAsia="新宋体" w:cs="新宋体"/>
          <w:sz w:val="24"/>
          <w:szCs w:val="24"/>
        </w:rPr>
        <w:t>。</w:t>
      </w:r>
    </w:p>
    <w:p>
      <w:pPr>
        <w:pStyle w:val="9"/>
        <w:spacing w:line="340" w:lineRule="exact"/>
        <w:ind w:firstLine="480" w:firstLineChars="200"/>
        <w:rPr>
          <w:rFonts w:ascii="新宋体" w:hAnsi="新宋体" w:eastAsia="新宋体" w:cs="Times New Roman"/>
          <w:sz w:val="24"/>
          <w:szCs w:val="24"/>
        </w:rPr>
      </w:pPr>
      <w:r>
        <w:rPr>
          <w:rFonts w:hint="eastAsia" w:ascii="新宋体" w:hAnsi="新宋体" w:eastAsia="新宋体" w:cs="新宋体"/>
          <w:sz w:val="24"/>
          <w:szCs w:val="24"/>
        </w:rPr>
        <w:t>以下情形，均将视为</w:t>
      </w:r>
      <w:r>
        <w:rPr>
          <w:rFonts w:hint="eastAsia" w:ascii="新宋体" w:hAnsi="新宋体" w:eastAsia="新宋体" w:cs="新宋体"/>
          <w:b/>
          <w:bCs/>
          <w:sz w:val="24"/>
          <w:szCs w:val="24"/>
          <w:u w:val="single"/>
        </w:rPr>
        <w:t>无效磋商响应文件处理：</w:t>
      </w:r>
    </w:p>
    <w:p>
      <w:pPr>
        <w:spacing w:line="340" w:lineRule="exact"/>
        <w:ind w:firstLine="480" w:firstLineChars="200"/>
        <w:rPr>
          <w:rFonts w:ascii="新宋体" w:hAnsi="新宋体" w:eastAsia="新宋体"/>
          <w:sz w:val="24"/>
          <w:szCs w:val="24"/>
        </w:rPr>
      </w:pPr>
      <w:r>
        <w:rPr>
          <w:rFonts w:ascii="新宋体" w:hAnsi="新宋体" w:eastAsia="新宋体" w:cs="新宋体"/>
          <w:sz w:val="24"/>
          <w:szCs w:val="24"/>
        </w:rPr>
        <w:t xml:space="preserve"> (1)</w:t>
      </w:r>
      <w:r>
        <w:rPr>
          <w:rFonts w:hint="eastAsia" w:ascii="新宋体" w:hAnsi="新宋体" w:eastAsia="新宋体" w:cs="新宋体"/>
          <w:sz w:val="24"/>
          <w:szCs w:val="24"/>
        </w:rPr>
        <w:t>磋商响应文件应有供应商法人代表或授权代表签字和加盖行政公章，而没有或部分没有签字和加盖行政公章的；或加盖的公章为非行政公章的；磋商响应文件由授权代表签字、盖章，而磋商响应文件中无授权委托书原件的；磋商响应文件中复印件不清楚者视为本复印件无效的；</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磋商响应文件技术规格中的响应与实际不符且没有提供有效技术资料进行说明的，或提供虚假资料投标的；</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(3)</w:t>
      </w:r>
      <w:r>
        <w:rPr>
          <w:rFonts w:hint="eastAsia" w:ascii="新宋体" w:hAnsi="新宋体" w:eastAsia="新宋体" w:cs="新宋体"/>
          <w:sz w:val="24"/>
          <w:szCs w:val="24"/>
        </w:rPr>
        <w:t>提供虚假资料进行磋商的；</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(4)</w:t>
      </w:r>
      <w:r>
        <w:rPr>
          <w:rFonts w:hint="eastAsia" w:ascii="新宋体" w:hAnsi="新宋体" w:eastAsia="新宋体" w:cs="新宋体"/>
          <w:sz w:val="24"/>
          <w:szCs w:val="24"/>
        </w:rPr>
        <w:t>供应商名称与营业执照、资质证书等不一致的；</w:t>
      </w:r>
    </w:p>
    <w:p>
      <w:pPr>
        <w:spacing w:line="340" w:lineRule="exact"/>
        <w:ind w:firstLine="480" w:firstLineChars="200"/>
        <w:rPr>
          <w:rFonts w:ascii="新宋体" w:hAnsi="新宋体" w:eastAsia="新宋体"/>
          <w:sz w:val="24"/>
          <w:szCs w:val="24"/>
        </w:rPr>
      </w:pPr>
      <w:r>
        <w:rPr>
          <w:rFonts w:ascii="新宋体" w:hAnsi="新宋体" w:eastAsia="新宋体" w:cs="新宋体"/>
          <w:sz w:val="24"/>
          <w:szCs w:val="24"/>
        </w:rPr>
        <w:t>(5)</w:t>
      </w:r>
      <w:r>
        <w:rPr>
          <w:rFonts w:hint="eastAsia" w:ascii="新宋体" w:hAnsi="新宋体" w:eastAsia="新宋体" w:cs="新宋体"/>
          <w:sz w:val="24"/>
          <w:szCs w:val="24"/>
        </w:rPr>
        <w:t>未按规定的格式填写，内容不全或者关键内容字迹模糊、无法辨认，造成磋商响应文件实质上不响应竞争性磋商文件的要求，或者导致无法对磋商响应文件的实质性内容进行评审的；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(6)</w:t>
      </w:r>
      <w:r>
        <w:rPr>
          <w:rFonts w:hint="eastAsia" w:ascii="新宋体" w:hAnsi="新宋体" w:eastAsia="新宋体" w:cs="新宋体"/>
          <w:sz w:val="24"/>
          <w:szCs w:val="24"/>
        </w:rPr>
        <w:t>同一供应商提交两个以上不同的磋商响应文件，且未声明哪一个有效的；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(7)</w:t>
      </w:r>
      <w:r>
        <w:rPr>
          <w:rFonts w:hint="eastAsia" w:ascii="新宋体" w:hAnsi="新宋体" w:eastAsia="新宋体" w:cs="新宋体"/>
          <w:sz w:val="24"/>
          <w:szCs w:val="24"/>
        </w:rPr>
        <w:t>磋商响应文件附有采购人不能接受的条件的；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(8)</w:t>
      </w:r>
      <w:r>
        <w:rPr>
          <w:rFonts w:hint="eastAsia" w:ascii="新宋体" w:hAnsi="新宋体" w:eastAsia="新宋体" w:cs="新宋体"/>
          <w:sz w:val="24"/>
          <w:szCs w:val="24"/>
        </w:rPr>
        <w:t>不符合竞争性磋商文件规定被视为无效其它条款的；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(9)</w:t>
      </w:r>
      <w:r>
        <w:rPr>
          <w:rFonts w:hint="eastAsia" w:ascii="新宋体" w:hAnsi="新宋体" w:eastAsia="新宋体" w:cs="新宋体"/>
          <w:sz w:val="24"/>
          <w:szCs w:val="24"/>
        </w:rPr>
        <w:t>参与磋商的供应商法定代表人或其委托代理人未按时参加磋商的；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(10)</w:t>
      </w:r>
      <w:r>
        <w:rPr>
          <w:rFonts w:hint="eastAsia" w:ascii="新宋体" w:hAnsi="新宋体" w:eastAsia="新宋体" w:cs="新宋体"/>
          <w:sz w:val="24"/>
          <w:szCs w:val="24"/>
        </w:rPr>
        <w:t>扰乱会场秩序，经劝阻仍无理取闹的；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(11)</w:t>
      </w:r>
      <w:r>
        <w:rPr>
          <w:rFonts w:hint="eastAsia" w:ascii="新宋体" w:hAnsi="新宋体" w:eastAsia="新宋体" w:cs="新宋体"/>
          <w:sz w:val="24"/>
          <w:szCs w:val="24"/>
        </w:rPr>
        <w:t>在参与磋商的供应商之间串通，事先商定磋商报价或合谋使特定人成交的；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(12)</w:t>
      </w:r>
      <w:r>
        <w:rPr>
          <w:rFonts w:hint="eastAsia" w:ascii="新宋体" w:hAnsi="新宋体" w:eastAsia="新宋体" w:cs="新宋体"/>
          <w:sz w:val="24"/>
          <w:szCs w:val="24"/>
        </w:rPr>
        <w:t>不同供应商授权同一人作为供应商代表的。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(13)</w:t>
      </w:r>
      <w:r>
        <w:rPr>
          <w:rFonts w:hint="eastAsia" w:ascii="新宋体" w:hAnsi="新宋体" w:eastAsia="新宋体" w:cs="新宋体"/>
          <w:b/>
          <w:bCs/>
          <w:sz w:val="24"/>
          <w:szCs w:val="24"/>
          <w:u w:val="single"/>
        </w:rPr>
        <w:t>清单掉项或篡改标的物数量材质的。</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(14)</w:t>
      </w:r>
      <w:r>
        <w:rPr>
          <w:rFonts w:hint="eastAsia" w:ascii="新宋体" w:hAnsi="新宋体" w:eastAsia="新宋体" w:cs="新宋体"/>
          <w:sz w:val="24"/>
          <w:szCs w:val="24"/>
        </w:rPr>
        <w:t>其他严重违反磋商程序和不符合磋商文件规定的行为。</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17.3</w:t>
      </w:r>
      <w:r>
        <w:rPr>
          <w:rFonts w:hint="eastAsia" w:ascii="新宋体" w:hAnsi="新宋体" w:eastAsia="新宋体" w:cs="新宋体"/>
          <w:sz w:val="24"/>
          <w:szCs w:val="24"/>
        </w:rPr>
        <w:t>非实质性偏离是指磋商响应文件在实质上响应磋商文件的要求，但在个别地方存在一些不规则、不一致、不完整的内容，并且澄清、说明或者补正这些内容不会改变磋商响应文件的实质性内容。以下情况属于非实质性偏离：</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w:t>
      </w:r>
      <w:r>
        <w:rPr>
          <w:rFonts w:hint="eastAsia" w:ascii="新宋体" w:hAnsi="新宋体" w:eastAsia="新宋体" w:cs="新宋体"/>
          <w:sz w:val="24"/>
          <w:szCs w:val="24"/>
        </w:rPr>
        <w:t>文字表述的内容含义不明确；</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同类问题表述不一致；</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(3)</w:t>
      </w:r>
      <w:r>
        <w:rPr>
          <w:rFonts w:hint="eastAsia" w:ascii="新宋体" w:hAnsi="新宋体" w:eastAsia="新宋体" w:cs="新宋体"/>
          <w:sz w:val="24"/>
          <w:szCs w:val="24"/>
        </w:rPr>
        <w:t>有明显文字和计算错误；</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(4)</w:t>
      </w:r>
      <w:r>
        <w:rPr>
          <w:rFonts w:hint="eastAsia" w:ascii="新宋体" w:hAnsi="新宋体" w:eastAsia="新宋体" w:cs="新宋体"/>
          <w:sz w:val="24"/>
          <w:szCs w:val="24"/>
        </w:rPr>
        <w:t>提供的技术信息和数据资料不完整；</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(5)</w:t>
      </w:r>
      <w:r>
        <w:rPr>
          <w:rFonts w:hint="eastAsia" w:ascii="新宋体" w:hAnsi="新宋体" w:eastAsia="新宋体" w:cs="新宋体"/>
          <w:sz w:val="24"/>
          <w:szCs w:val="24"/>
        </w:rPr>
        <w:t>磋商响应文件未按磋商文件要求进行装订或未编制目录；</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(6)</w:t>
      </w:r>
      <w:r>
        <w:rPr>
          <w:rFonts w:hint="eastAsia" w:ascii="新宋体" w:hAnsi="新宋体" w:eastAsia="新宋体" w:cs="新宋体"/>
          <w:sz w:val="24"/>
          <w:szCs w:val="24"/>
        </w:rPr>
        <w:t>磋商小组认定的其他非实质性偏离。</w:t>
      </w:r>
    </w:p>
    <w:p>
      <w:pPr>
        <w:kinsoku w:val="0"/>
        <w:overflowPunct w:val="0"/>
        <w:autoSpaceDE w:val="0"/>
        <w:autoSpaceDN w:val="0"/>
        <w:adjustRightInd w:val="0"/>
        <w:snapToGrid w:val="0"/>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磋商响应文件有上述</w:t>
      </w:r>
      <w:r>
        <w:rPr>
          <w:rFonts w:ascii="新宋体" w:hAnsi="新宋体" w:eastAsia="新宋体" w:cs="新宋体"/>
          <w:sz w:val="24"/>
          <w:szCs w:val="24"/>
        </w:rPr>
        <w:t>17.3</w:t>
      </w:r>
      <w:r>
        <w:rPr>
          <w:rFonts w:hint="eastAsia" w:ascii="新宋体" w:hAnsi="新宋体" w:eastAsia="新宋体" w:cs="新宋体"/>
          <w:sz w:val="24"/>
          <w:szCs w:val="24"/>
        </w:rPr>
        <w:t>（</w:t>
      </w:r>
      <w:r>
        <w:rPr>
          <w:rFonts w:ascii="新宋体" w:hAnsi="新宋体" w:eastAsia="新宋体" w:cs="新宋体"/>
          <w:sz w:val="24"/>
          <w:szCs w:val="24"/>
        </w:rPr>
        <w:t>1--3</w:t>
      </w:r>
      <w:r>
        <w:rPr>
          <w:rFonts w:hint="eastAsia" w:ascii="新宋体" w:hAnsi="新宋体" w:eastAsia="新宋体" w:cs="新宋体"/>
          <w:sz w:val="24"/>
          <w:szCs w:val="24"/>
        </w:rPr>
        <w:t>）情形之一的，磋商小组应当书面要求供应商在规定的时间内予以澄清、说明或补正。供应商拒不或在规定的时间内没有进行澄清、说明或补正或澄清、说明、补正的内容也不能说明问题的，视为该磋商响应文件制作不规范，按无效磋商响应文件处理。磋商小组不会接受供应商主动提出的澄清、说明或补正。</w:t>
      </w:r>
    </w:p>
    <w:p>
      <w:pPr>
        <w:kinsoku w:val="0"/>
        <w:overflowPunct w:val="0"/>
        <w:autoSpaceDE w:val="0"/>
        <w:autoSpaceDN w:val="0"/>
        <w:adjustRightInd w:val="0"/>
        <w:snapToGrid w:val="0"/>
        <w:spacing w:line="360" w:lineRule="exact"/>
        <w:ind w:firstLine="480" w:firstLineChars="200"/>
        <w:jc w:val="left"/>
        <w:rPr>
          <w:rFonts w:ascii="新宋体" w:hAnsi="新宋体" w:eastAsia="新宋体"/>
          <w:sz w:val="24"/>
          <w:szCs w:val="24"/>
        </w:rPr>
      </w:pPr>
      <w:r>
        <w:rPr>
          <w:rFonts w:ascii="新宋体" w:hAnsi="新宋体" w:eastAsia="新宋体" w:cs="新宋体"/>
          <w:sz w:val="24"/>
          <w:szCs w:val="24"/>
        </w:rPr>
        <w:t>17.4.</w:t>
      </w:r>
      <w:r>
        <w:rPr>
          <w:rFonts w:hint="eastAsia" w:ascii="新宋体" w:hAnsi="新宋体" w:eastAsia="新宋体" w:cs="新宋体"/>
          <w:sz w:val="24"/>
          <w:szCs w:val="24"/>
        </w:rPr>
        <w:t>磋商响应文件被确认为无效文件后，该供应商即失去参加本次磋商采购的竞争机会。</w:t>
      </w: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18.</w:t>
      </w:r>
      <w:r>
        <w:rPr>
          <w:rFonts w:hint="eastAsia" w:ascii="新宋体" w:hAnsi="新宋体" w:eastAsia="新宋体" w:cs="新宋体"/>
          <w:b/>
          <w:bCs/>
          <w:sz w:val="24"/>
          <w:szCs w:val="24"/>
        </w:rPr>
        <w:t>磋商原则：</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18.1</w:t>
      </w:r>
      <w:r>
        <w:rPr>
          <w:rFonts w:hint="eastAsia" w:ascii="新宋体" w:hAnsi="新宋体" w:eastAsia="新宋体" w:cs="新宋体"/>
          <w:sz w:val="24"/>
          <w:szCs w:val="24"/>
        </w:rPr>
        <w:t>磋商原则</w:t>
      </w:r>
      <w:r>
        <w:rPr>
          <w:rFonts w:ascii="新宋体" w:hAnsi="新宋体" w:eastAsia="新宋体" w:cs="新宋体"/>
          <w:sz w:val="24"/>
          <w:szCs w:val="24"/>
        </w:rPr>
        <w:t>:</w:t>
      </w:r>
      <w:r>
        <w:rPr>
          <w:rFonts w:hint="eastAsia" w:ascii="新宋体" w:hAnsi="新宋体" w:eastAsia="新宋体" w:cs="新宋体"/>
          <w:sz w:val="24"/>
          <w:szCs w:val="24"/>
        </w:rPr>
        <w:t>客观、公正、审慎。</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18.2</w:t>
      </w:r>
      <w:r>
        <w:rPr>
          <w:rFonts w:hint="eastAsia" w:ascii="新宋体" w:hAnsi="新宋体" w:eastAsia="新宋体" w:cs="新宋体"/>
          <w:sz w:val="24"/>
          <w:szCs w:val="24"/>
        </w:rPr>
        <w:t>磋商文件能够详细列明采购技术和要求的，磋商结束后，磋商小组将要求所有实质性响应的供应商在规定时间内提交最后报价。最后报价是供应商响应文件的有效组成部分。</w:t>
      </w:r>
    </w:p>
    <w:p>
      <w:pPr>
        <w:spacing w:line="360" w:lineRule="exact"/>
        <w:rPr>
          <w:rFonts w:ascii="新宋体" w:hAnsi="新宋体" w:eastAsia="新宋体"/>
          <w:sz w:val="24"/>
          <w:szCs w:val="24"/>
        </w:rPr>
      </w:pPr>
      <w:r>
        <w:rPr>
          <w:rFonts w:ascii="新宋体" w:hAnsi="新宋体" w:eastAsia="新宋体" w:cs="新宋体"/>
          <w:sz w:val="24"/>
          <w:szCs w:val="24"/>
        </w:rPr>
        <w:t xml:space="preserve">    18.3</w:t>
      </w:r>
      <w:r>
        <w:rPr>
          <w:rFonts w:hint="eastAsia" w:ascii="新宋体" w:hAnsi="新宋体" w:eastAsia="新宋体" w:cs="新宋体"/>
          <w:sz w:val="24"/>
          <w:szCs w:val="24"/>
        </w:rPr>
        <w:t>已提交响应文件的供应商，在提交最后报价之前，可以根据磋商情况退出磋商。</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18.4</w:t>
      </w:r>
      <w:r>
        <w:rPr>
          <w:rFonts w:hint="eastAsia" w:ascii="新宋体" w:hAnsi="新宋体" w:eastAsia="新宋体" w:cs="新宋体"/>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19.</w:t>
      </w:r>
      <w:r>
        <w:rPr>
          <w:rFonts w:hint="eastAsia" w:ascii="新宋体" w:hAnsi="新宋体" w:eastAsia="新宋体" w:cs="新宋体"/>
          <w:b/>
          <w:bCs/>
          <w:sz w:val="24"/>
          <w:szCs w:val="24"/>
        </w:rPr>
        <w:t>磋商程序及成交人的确定</w:t>
      </w:r>
    </w:p>
    <w:p>
      <w:pPr>
        <w:spacing w:line="360" w:lineRule="exact"/>
        <w:ind w:firstLine="482" w:firstLineChars="200"/>
        <w:rPr>
          <w:rFonts w:ascii="新宋体" w:hAnsi="新宋体" w:eastAsia="新宋体"/>
          <w:sz w:val="24"/>
          <w:szCs w:val="24"/>
        </w:rPr>
      </w:pPr>
      <w:r>
        <w:rPr>
          <w:rFonts w:ascii="新宋体" w:hAnsi="新宋体" w:eastAsia="新宋体" w:cs="新宋体"/>
          <w:b/>
          <w:bCs/>
          <w:sz w:val="24"/>
          <w:szCs w:val="24"/>
        </w:rPr>
        <w:t>19.1</w:t>
      </w:r>
      <w:r>
        <w:rPr>
          <w:rFonts w:hint="eastAsia" w:ascii="新宋体" w:hAnsi="新宋体" w:eastAsia="新宋体" w:cs="新宋体"/>
          <w:b/>
          <w:bCs/>
          <w:sz w:val="24"/>
          <w:szCs w:val="24"/>
        </w:rPr>
        <w:t>磋商程序</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本次磋商采取两轮磋商方式进行，磋商小组所有成员集中与每一位供应商分别进行磋商。在磋商中，磋商的任何一方不得透露与磋商有关的其他供应商的技术资料、价格和其他信息。</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第一轮磋商：</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1</w:t>
      </w:r>
      <w:r>
        <w:rPr>
          <w:rFonts w:hint="eastAsia" w:ascii="新宋体" w:hAnsi="新宋体" w:eastAsia="新宋体" w:cs="新宋体"/>
          <w:sz w:val="24"/>
          <w:szCs w:val="24"/>
        </w:rPr>
        <w:t>、资格审查：供应商将本项目磋商要求提交的资料及磋商响应文件交磋商小组评审校验，不具备资质和条件的公司将首先被淘汰，不能进入到下一个程序。</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、供应商用</w:t>
      </w:r>
      <w:r>
        <w:rPr>
          <w:rFonts w:ascii="新宋体" w:hAnsi="新宋体" w:eastAsia="新宋体" w:cs="新宋体"/>
          <w:sz w:val="24"/>
          <w:szCs w:val="24"/>
        </w:rPr>
        <w:t>5-10</w:t>
      </w:r>
      <w:r>
        <w:rPr>
          <w:rFonts w:hint="eastAsia" w:ascii="新宋体" w:hAnsi="新宋体" w:eastAsia="新宋体" w:cs="新宋体"/>
          <w:sz w:val="24"/>
          <w:szCs w:val="24"/>
        </w:rPr>
        <w:t>分钟时间就公司情况、工作内容及安排、后期服务等方面进行陈述；磋商小组对可依据供应商的磋商响应文件及采购文件对参与磋商的供应商进行提问或询问，参与磋商的供应商必须如实回答，供应商也可以就相关问题向磋商小组进行询问，但不得提出违反磋商原则的问题。</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3</w:t>
      </w:r>
      <w:r>
        <w:rPr>
          <w:rFonts w:hint="eastAsia" w:ascii="新宋体" w:hAnsi="新宋体" w:eastAsia="新宋体" w:cs="新宋体"/>
          <w:sz w:val="24"/>
          <w:szCs w:val="24"/>
        </w:rPr>
        <w:t>、</w:t>
      </w:r>
      <w:r>
        <w:rPr>
          <w:rFonts w:hint="eastAsia" w:ascii="宋体" w:hAnsi="宋体" w:cs="宋体"/>
          <w:sz w:val="24"/>
          <w:szCs w:val="24"/>
        </w:rPr>
        <w:t>符合性评审</w:t>
      </w:r>
      <w:r>
        <w:rPr>
          <w:rFonts w:hint="eastAsia" w:ascii="新宋体" w:hAnsi="新宋体" w:eastAsia="新宋体" w:cs="新宋体"/>
          <w:sz w:val="24"/>
          <w:szCs w:val="24"/>
        </w:rPr>
        <w:t>：磋商小组应当审查每一份磋商响应文件是否对磋商文件所提出的所有实质性要求和条件作出了响应；未能在实质上响应采购文件的磋商响应文件，其供应商被淘汰，不能进入到下一个程序。</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4</w:t>
      </w:r>
      <w:r>
        <w:rPr>
          <w:rFonts w:hint="eastAsia" w:ascii="新宋体" w:hAnsi="新宋体" w:eastAsia="新宋体" w:cs="新宋体"/>
          <w:sz w:val="24"/>
          <w:szCs w:val="24"/>
        </w:rPr>
        <w:t>、确定参加第二轮磋商的供应商：磋商小组综合磋商情况，确定符合本次磋商项目要求的供应商，进入第二轮磋商。未进入第二轮报磋商的供应商自动退出。</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第二轮磋商：</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第二轮磋商主要是报价，供应商可以维持第一轮的报价不变，也可以对第一轮的报价进行修改，给予最终报价（必须是书面的，且有供应商法人或其授权委托人签名），第二轮报价一经报出，不得更改，并具有法律效力，评分将以最终报价为准。</w:t>
      </w:r>
    </w:p>
    <w:p>
      <w:pPr>
        <w:spacing w:line="360" w:lineRule="exact"/>
        <w:ind w:firstLine="482" w:firstLineChars="200"/>
        <w:rPr>
          <w:rFonts w:ascii="新宋体" w:hAnsi="新宋体" w:eastAsia="新宋体"/>
          <w:b/>
          <w:bCs/>
          <w:sz w:val="24"/>
          <w:szCs w:val="24"/>
        </w:rPr>
      </w:pPr>
      <w:r>
        <w:rPr>
          <w:rFonts w:hint="eastAsia" w:ascii="新宋体" w:hAnsi="新宋体" w:eastAsia="新宋体" w:cs="新宋体"/>
          <w:b/>
          <w:bCs/>
          <w:sz w:val="24"/>
          <w:szCs w:val="24"/>
        </w:rPr>
        <w:t>若业主及评委一致认为第二轮报价不具有竞争性，可以要求供应商进行第三轮报价</w:t>
      </w:r>
      <w:r>
        <w:rPr>
          <w:rFonts w:ascii="新宋体" w:hAnsi="新宋体" w:eastAsia="新宋体" w:cs="新宋体"/>
          <w:b/>
          <w:bCs/>
          <w:sz w:val="24"/>
          <w:szCs w:val="24"/>
        </w:rPr>
        <w:t>(</w:t>
      </w:r>
      <w:r>
        <w:rPr>
          <w:rFonts w:hint="eastAsia" w:ascii="新宋体" w:hAnsi="新宋体" w:eastAsia="新宋体" w:cs="新宋体"/>
          <w:b/>
          <w:bCs/>
          <w:sz w:val="24"/>
          <w:szCs w:val="24"/>
        </w:rPr>
        <w:t>必须是书面的，且有供应商法人或其授权委托人签名，第三轮报价一经报出，不得更改，并具有法律效力，评分将以最终报价为准</w:t>
      </w:r>
      <w:r>
        <w:rPr>
          <w:rFonts w:ascii="新宋体" w:hAnsi="新宋体" w:eastAsia="新宋体" w:cs="新宋体"/>
          <w:b/>
          <w:bCs/>
          <w:sz w:val="24"/>
          <w:szCs w:val="24"/>
        </w:rPr>
        <w:t>)</w:t>
      </w:r>
      <w:r>
        <w:rPr>
          <w:rFonts w:hint="eastAsia" w:ascii="新宋体" w:hAnsi="新宋体" w:eastAsia="新宋体" w:cs="新宋体"/>
          <w:b/>
          <w:bCs/>
          <w:sz w:val="24"/>
          <w:szCs w:val="24"/>
        </w:rPr>
        <w:t>或者重新依法组织招标。</w:t>
      </w: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19.2</w:t>
      </w:r>
      <w:r>
        <w:rPr>
          <w:rFonts w:hint="eastAsia" w:ascii="新宋体" w:hAnsi="新宋体" w:eastAsia="新宋体" w:cs="新宋体"/>
          <w:b/>
          <w:bCs/>
          <w:sz w:val="24"/>
          <w:szCs w:val="24"/>
        </w:rPr>
        <w:t>成交人的确定</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所有参加磋商的供应商都应当按照磋商小组的要求，在规定的时间内，就工作内容及安排、付款方式、价格、后期服务等进行两轮磋商。磋商结束后</w:t>
      </w:r>
      <w:r>
        <w:rPr>
          <w:rFonts w:ascii="新宋体" w:hAnsi="新宋体" w:eastAsia="新宋体" w:cs="新宋体"/>
          <w:sz w:val="24"/>
          <w:szCs w:val="24"/>
        </w:rPr>
        <w:t>,</w:t>
      </w:r>
      <w:r>
        <w:rPr>
          <w:rFonts w:hint="eastAsia" w:ascii="新宋体" w:hAnsi="新宋体" w:eastAsia="新宋体" w:cs="新宋体"/>
          <w:sz w:val="24"/>
          <w:szCs w:val="24"/>
        </w:rPr>
        <w:t>由磋商小组根据最终评分结果向采购人推荐成交候选人名单。</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为了有助于磋商响应文件的审查、评价和比较，磋商小组可以要求参与磋商的供应商澄清其磋商响应文件。有关澄清的内容与答复，应以口头或书面形式进行。磋商会上，若供应商认为磋商小组组成人员中有应回避人员，可当场提出，经核实理由后，应予回避。</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磋商小组对所有通过初步评审满足磋商文件实质性要求的磋商响应文件进行详细评审及评分，未通过初步评审的磋商响应文件不参与详细评审及评分。本次评标采用综合评分法。按照综合评分标准进行评分，进行系统的评审和比较，选定能够最大限度满足磋商文件规定的各项评价标准，最终磋商小组会根据综合评分情况，按照评审得分由高至低顺序推荐</w:t>
      </w:r>
      <w:r>
        <w:rPr>
          <w:rFonts w:ascii="新宋体" w:hAnsi="新宋体" w:eastAsia="新宋体" w:cs="新宋体"/>
          <w:sz w:val="24"/>
          <w:szCs w:val="24"/>
        </w:rPr>
        <w:t>1-3</w:t>
      </w:r>
      <w:r>
        <w:rPr>
          <w:rFonts w:hint="eastAsia" w:ascii="新宋体" w:hAnsi="新宋体" w:eastAsia="新宋体" w:cs="新宋体"/>
          <w:sz w:val="24"/>
          <w:szCs w:val="24"/>
        </w:rPr>
        <w:t>名成交候选人。</w:t>
      </w:r>
    </w:p>
    <w:p>
      <w:pPr>
        <w:spacing w:line="360" w:lineRule="exact"/>
        <w:ind w:firstLine="482" w:firstLineChars="200"/>
        <w:rPr>
          <w:rFonts w:ascii="新宋体" w:hAnsi="新宋体" w:eastAsia="新宋体" w:cs="新宋体"/>
          <w:b/>
          <w:bCs/>
          <w:sz w:val="24"/>
          <w:szCs w:val="24"/>
        </w:rPr>
      </w:pPr>
    </w:p>
    <w:p>
      <w:pPr>
        <w:spacing w:line="360" w:lineRule="exact"/>
        <w:ind w:firstLine="482" w:firstLineChars="200"/>
        <w:rPr>
          <w:rFonts w:ascii="新宋体" w:hAnsi="新宋体" w:eastAsia="新宋体" w:cs="新宋体"/>
          <w:b/>
          <w:bCs/>
          <w:sz w:val="24"/>
          <w:szCs w:val="24"/>
        </w:rPr>
      </w:pPr>
    </w:p>
    <w:p>
      <w:pPr>
        <w:spacing w:line="360" w:lineRule="exact"/>
        <w:ind w:firstLine="482" w:firstLineChars="200"/>
        <w:rPr>
          <w:rFonts w:ascii="新宋体" w:hAnsi="新宋体" w:eastAsia="新宋体" w:cs="新宋体"/>
          <w:b/>
          <w:bCs/>
          <w:sz w:val="24"/>
          <w:szCs w:val="24"/>
        </w:rPr>
      </w:pPr>
    </w:p>
    <w:p>
      <w:pPr>
        <w:spacing w:line="360" w:lineRule="exact"/>
        <w:ind w:firstLine="482" w:firstLineChars="200"/>
        <w:rPr>
          <w:rFonts w:ascii="新宋体" w:hAnsi="新宋体" w:eastAsia="新宋体" w:cs="新宋体"/>
          <w:b/>
          <w:bCs/>
          <w:sz w:val="24"/>
          <w:szCs w:val="24"/>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 xml:space="preserve"> 19.3</w:t>
      </w:r>
      <w:r>
        <w:rPr>
          <w:rFonts w:hint="eastAsia" w:ascii="新宋体" w:hAnsi="新宋体" w:eastAsia="新宋体" w:cs="新宋体"/>
          <w:b/>
          <w:bCs/>
          <w:sz w:val="24"/>
          <w:szCs w:val="24"/>
        </w:rPr>
        <w:t>详细性评审评分标准</w:t>
      </w:r>
    </w:p>
    <w:p>
      <w:pPr>
        <w:pStyle w:val="29"/>
        <w:ind w:firstLine="31680"/>
        <w:rPr>
          <w:rFonts w:ascii="新宋体" w:hAnsi="新宋体" w:eastAsia="新宋体" w:cs="新宋体"/>
          <w:b/>
          <w:bCs/>
          <w:sz w:val="24"/>
          <w:szCs w:val="24"/>
        </w:rPr>
      </w:pPr>
      <w:r>
        <w:rPr>
          <w:rFonts w:hint="eastAsia" w:ascii="新宋体" w:hAnsi="新宋体" w:eastAsia="新宋体" w:cs="新宋体"/>
          <w:sz w:val="24"/>
          <w:szCs w:val="24"/>
        </w:rPr>
        <w:t>项目评审过程中，各供应商的最终得分为磋商小组评委所评定分数的算术平均值。</w:t>
      </w:r>
    </w:p>
    <w:p>
      <w:pPr>
        <w:spacing w:line="360" w:lineRule="exact"/>
        <w:ind w:firstLine="480" w:firstLineChars="200"/>
      </w:pPr>
      <w:r>
        <w:rPr>
          <w:rFonts w:hint="eastAsia" w:ascii="新宋体" w:hAnsi="新宋体" w:eastAsia="新宋体" w:cs="新宋体"/>
          <w:sz w:val="24"/>
          <w:szCs w:val="24"/>
        </w:rPr>
        <w:t>本项目分商务评分（</w:t>
      </w:r>
      <w:r>
        <w:rPr>
          <w:rFonts w:ascii="新宋体" w:hAnsi="新宋体" w:eastAsia="新宋体" w:cs="新宋体"/>
          <w:sz w:val="24"/>
          <w:szCs w:val="24"/>
        </w:rPr>
        <w:t>2</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分）、技术评分（</w:t>
      </w:r>
      <w:r>
        <w:rPr>
          <w:rFonts w:ascii="新宋体" w:hAnsi="新宋体" w:eastAsia="新宋体" w:cs="新宋体"/>
          <w:sz w:val="24"/>
          <w:szCs w:val="24"/>
        </w:rPr>
        <w:t>4</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分）、报价评分（</w:t>
      </w:r>
      <w:r>
        <w:rPr>
          <w:rFonts w:ascii="新宋体" w:hAnsi="新宋体" w:eastAsia="新宋体" w:cs="新宋体"/>
          <w:sz w:val="24"/>
          <w:szCs w:val="24"/>
        </w:rPr>
        <w:t>30</w:t>
      </w:r>
      <w:r>
        <w:rPr>
          <w:rFonts w:hint="eastAsia" w:ascii="新宋体" w:hAnsi="新宋体" w:eastAsia="新宋体" w:cs="新宋体"/>
          <w:sz w:val="24"/>
          <w:szCs w:val="24"/>
        </w:rPr>
        <w:t>分）、共计</w:t>
      </w:r>
      <w:r>
        <w:rPr>
          <w:rFonts w:ascii="新宋体" w:hAnsi="新宋体" w:eastAsia="新宋体" w:cs="新宋体"/>
          <w:sz w:val="24"/>
          <w:szCs w:val="24"/>
        </w:rPr>
        <w:t>100</w:t>
      </w:r>
      <w:r>
        <w:rPr>
          <w:rFonts w:hint="eastAsia" w:ascii="新宋体" w:hAnsi="新宋体" w:eastAsia="新宋体" w:cs="新宋体"/>
          <w:sz w:val="24"/>
          <w:szCs w:val="24"/>
        </w:rPr>
        <w:t>分。</w:t>
      </w:r>
    </w:p>
    <w:tbl>
      <w:tblPr>
        <w:tblStyle w:val="16"/>
        <w:tblW w:w="9640" w:type="dxa"/>
        <w:jc w:val="center"/>
        <w:tblLayout w:type="fixed"/>
        <w:tblCellMar>
          <w:top w:w="0" w:type="dxa"/>
          <w:left w:w="0" w:type="dxa"/>
          <w:bottom w:w="0" w:type="dxa"/>
          <w:right w:w="0" w:type="dxa"/>
        </w:tblCellMar>
      </w:tblPr>
      <w:tblGrid>
        <w:gridCol w:w="919"/>
        <w:gridCol w:w="777"/>
        <w:gridCol w:w="736"/>
        <w:gridCol w:w="7208"/>
      </w:tblGrid>
      <w:tr>
        <w:tblPrEx>
          <w:tblCellMar>
            <w:top w:w="0" w:type="dxa"/>
            <w:left w:w="0" w:type="dxa"/>
            <w:bottom w:w="0" w:type="dxa"/>
            <w:right w:w="0" w:type="dxa"/>
          </w:tblCellMar>
        </w:tblPrEx>
        <w:trPr>
          <w:trHeight w:val="90" w:hRule="atLeast"/>
          <w:jc w:val="center"/>
        </w:trPr>
        <w:tc>
          <w:tcPr>
            <w:tcW w:w="169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spacing w:line="360" w:lineRule="exact"/>
              <w:jc w:val="center"/>
              <w:rPr>
                <w:rFonts w:ascii="宋体"/>
                <w:sz w:val="24"/>
                <w:szCs w:val="24"/>
              </w:rPr>
            </w:pPr>
            <w:r>
              <w:rPr>
                <w:rFonts w:hint="eastAsia" w:ascii="宋体" w:hAnsi="宋体" w:cs="宋体"/>
                <w:sz w:val="24"/>
                <w:szCs w:val="24"/>
              </w:rPr>
              <w:t>项目名称</w:t>
            </w:r>
          </w:p>
        </w:tc>
        <w:tc>
          <w:tcPr>
            <w:tcW w:w="736" w:type="dxa"/>
            <w:tcBorders>
              <w:top w:val="single" w:color="auto" w:sz="8" w:space="0"/>
              <w:left w:val="nil"/>
              <w:bottom w:val="single" w:color="auto" w:sz="8" w:space="0"/>
              <w:right w:val="single" w:color="auto" w:sz="8" w:space="0"/>
            </w:tcBorders>
            <w:shd w:val="clear" w:color="auto" w:fill="FFFFFF"/>
            <w:vAlign w:val="center"/>
          </w:tcPr>
          <w:p>
            <w:pPr>
              <w:spacing w:line="360" w:lineRule="exact"/>
              <w:jc w:val="center"/>
              <w:rPr>
                <w:rFonts w:ascii="宋体"/>
                <w:sz w:val="24"/>
                <w:szCs w:val="24"/>
              </w:rPr>
            </w:pPr>
            <w:r>
              <w:rPr>
                <w:rFonts w:hint="eastAsia" w:ascii="宋体" w:hAnsi="宋体" w:cs="宋体"/>
                <w:sz w:val="24"/>
                <w:szCs w:val="24"/>
              </w:rPr>
              <w:t>得分</w:t>
            </w:r>
          </w:p>
        </w:tc>
        <w:tc>
          <w:tcPr>
            <w:tcW w:w="7208" w:type="dxa"/>
            <w:tcBorders>
              <w:top w:val="single" w:color="auto" w:sz="8" w:space="0"/>
              <w:left w:val="nil"/>
              <w:bottom w:val="single" w:color="auto" w:sz="8" w:space="0"/>
              <w:right w:val="single" w:color="auto" w:sz="8" w:space="0"/>
            </w:tcBorders>
            <w:shd w:val="clear" w:color="auto" w:fill="FFFFFF"/>
            <w:vAlign w:val="center"/>
          </w:tcPr>
          <w:p>
            <w:pPr>
              <w:spacing w:line="360" w:lineRule="exact"/>
              <w:jc w:val="center"/>
              <w:rPr>
                <w:rFonts w:ascii="宋体"/>
                <w:sz w:val="24"/>
                <w:szCs w:val="24"/>
              </w:rPr>
            </w:pPr>
            <w:r>
              <w:rPr>
                <w:rFonts w:hint="eastAsia" w:ascii="宋体" w:hAnsi="宋体" w:cs="宋体"/>
                <w:sz w:val="24"/>
                <w:szCs w:val="24"/>
              </w:rPr>
              <w:t>评标要点及说明</w:t>
            </w:r>
          </w:p>
        </w:tc>
      </w:tr>
      <w:tr>
        <w:tblPrEx>
          <w:tblCellMar>
            <w:top w:w="0" w:type="dxa"/>
            <w:left w:w="0" w:type="dxa"/>
            <w:bottom w:w="0" w:type="dxa"/>
            <w:right w:w="0" w:type="dxa"/>
          </w:tblCellMar>
        </w:tblPrEx>
        <w:trPr>
          <w:trHeight w:val="1367" w:hRule="atLeast"/>
          <w:jc w:val="center"/>
        </w:trPr>
        <w:tc>
          <w:tcPr>
            <w:tcW w:w="919" w:type="dxa"/>
            <w:tcBorders>
              <w:top w:val="nil"/>
              <w:left w:val="single" w:color="auto" w:sz="8" w:space="0"/>
              <w:bottom w:val="single" w:color="auto" w:sz="8" w:space="0"/>
              <w:right w:val="single" w:color="auto" w:sz="8" w:space="0"/>
            </w:tcBorders>
            <w:shd w:val="clear" w:color="auto" w:fill="FFFFFF"/>
            <w:vAlign w:val="center"/>
          </w:tcPr>
          <w:p>
            <w:pPr>
              <w:spacing w:line="360" w:lineRule="exact"/>
              <w:rPr>
                <w:rFonts w:ascii="宋体"/>
                <w:sz w:val="24"/>
                <w:szCs w:val="24"/>
              </w:rPr>
            </w:pPr>
            <w:r>
              <w:rPr>
                <w:rFonts w:hint="eastAsia" w:ascii="宋体" w:hAnsi="宋体" w:cs="宋体"/>
                <w:sz w:val="24"/>
                <w:szCs w:val="24"/>
              </w:rPr>
              <w:t>价格评分</w:t>
            </w:r>
          </w:p>
          <w:p>
            <w:pPr>
              <w:spacing w:line="360" w:lineRule="exact"/>
              <w:rPr>
                <w:rFonts w:ascii="宋体"/>
                <w:sz w:val="24"/>
                <w:szCs w:val="24"/>
              </w:rPr>
            </w:pP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分）</w:t>
            </w:r>
          </w:p>
        </w:tc>
        <w:tc>
          <w:tcPr>
            <w:tcW w:w="777" w:type="dxa"/>
            <w:tcBorders>
              <w:top w:val="nil"/>
              <w:left w:val="nil"/>
              <w:bottom w:val="single" w:color="auto" w:sz="4" w:space="0"/>
              <w:right w:val="single" w:color="auto" w:sz="8" w:space="0"/>
            </w:tcBorders>
            <w:shd w:val="clear" w:color="auto" w:fill="FFFFFF"/>
            <w:vAlign w:val="center"/>
          </w:tcPr>
          <w:p>
            <w:pPr>
              <w:spacing w:line="360" w:lineRule="exact"/>
              <w:jc w:val="center"/>
              <w:rPr>
                <w:rFonts w:ascii="宋体"/>
                <w:sz w:val="24"/>
                <w:szCs w:val="24"/>
              </w:rPr>
            </w:pPr>
            <w:r>
              <w:rPr>
                <w:rFonts w:hint="eastAsia" w:ascii="宋体" w:hAnsi="宋体" w:cs="宋体"/>
                <w:sz w:val="24"/>
                <w:szCs w:val="24"/>
              </w:rPr>
              <w:t>投标</w:t>
            </w:r>
          </w:p>
          <w:p>
            <w:pPr>
              <w:spacing w:line="360" w:lineRule="exact"/>
              <w:jc w:val="center"/>
              <w:rPr>
                <w:rFonts w:ascii="宋体"/>
                <w:sz w:val="24"/>
                <w:szCs w:val="24"/>
              </w:rPr>
            </w:pPr>
            <w:r>
              <w:rPr>
                <w:rFonts w:hint="eastAsia" w:ascii="宋体" w:hAnsi="宋体" w:cs="宋体"/>
                <w:sz w:val="24"/>
                <w:szCs w:val="24"/>
              </w:rPr>
              <w:t>报价</w:t>
            </w:r>
          </w:p>
        </w:tc>
        <w:tc>
          <w:tcPr>
            <w:tcW w:w="736" w:type="dxa"/>
            <w:tcBorders>
              <w:top w:val="nil"/>
              <w:left w:val="nil"/>
              <w:bottom w:val="single" w:color="auto" w:sz="4" w:space="0"/>
              <w:right w:val="single" w:color="auto" w:sz="8" w:space="0"/>
            </w:tcBorders>
            <w:shd w:val="clear" w:color="auto" w:fill="FFFFFF"/>
            <w:vAlign w:val="center"/>
          </w:tcPr>
          <w:p>
            <w:pPr>
              <w:spacing w:line="360" w:lineRule="exact"/>
              <w:jc w:val="center"/>
              <w:rPr>
                <w:rFonts w:ascii="宋体"/>
                <w:sz w:val="24"/>
                <w:szCs w:val="24"/>
              </w:rPr>
            </w:pPr>
            <w:r>
              <w:rPr>
                <w:rFonts w:ascii="宋体" w:hAnsi="宋体" w:cs="宋体"/>
                <w:sz w:val="24"/>
                <w:szCs w:val="24"/>
              </w:rPr>
              <w:t>30</w:t>
            </w:r>
            <w:r>
              <w:rPr>
                <w:rFonts w:hint="eastAsia" w:ascii="宋体" w:hAnsi="宋体" w:cs="宋体"/>
                <w:sz w:val="24"/>
                <w:szCs w:val="24"/>
              </w:rPr>
              <w:t>分</w:t>
            </w:r>
          </w:p>
        </w:tc>
        <w:tc>
          <w:tcPr>
            <w:tcW w:w="7208" w:type="dxa"/>
            <w:tcBorders>
              <w:top w:val="nil"/>
              <w:left w:val="nil"/>
              <w:bottom w:val="single" w:color="auto" w:sz="4" w:space="0"/>
              <w:right w:val="single" w:color="auto" w:sz="8" w:space="0"/>
            </w:tcBorders>
            <w:shd w:val="clear" w:color="auto" w:fill="FFFFFF"/>
            <w:vAlign w:val="center"/>
          </w:tcPr>
          <w:p>
            <w:pPr>
              <w:adjustRightInd w:val="0"/>
              <w:snapToGrid w:val="0"/>
              <w:ind w:right="105" w:rightChars="50"/>
              <w:jc w:val="left"/>
              <w:rPr>
                <w:rFonts w:ascii="宋体"/>
                <w:sz w:val="24"/>
                <w:szCs w:val="24"/>
              </w:rPr>
            </w:pPr>
            <w:r>
              <w:rPr>
                <w:rFonts w:hint="eastAsia" w:ascii="宋体" w:hAnsi="宋体" w:cs="宋体"/>
                <w:sz w:val="24"/>
                <w:szCs w:val="24"/>
              </w:rPr>
              <w:t>价磋商小组只对资格和符合性审查合格的响应文件进行价格评议，报价得分采用低价优先法计算，即满足磋商文件要求且最后报价最低的供应商的报价为磋商基准价，其报价得分为满分。其他供应商的价格分统一按照下列公式计算：</w:t>
            </w:r>
          </w:p>
          <w:p>
            <w:pPr>
              <w:adjustRightInd w:val="0"/>
              <w:snapToGrid w:val="0"/>
              <w:ind w:right="105" w:rightChars="50"/>
              <w:jc w:val="left"/>
              <w:rPr>
                <w:rFonts w:hint="default" w:ascii="宋体" w:eastAsia="宋体"/>
                <w:sz w:val="24"/>
                <w:szCs w:val="24"/>
                <w:lang w:val="en-US" w:eastAsia="zh-CN"/>
              </w:rPr>
            </w:pPr>
            <w:r>
              <w:rPr>
                <w:rFonts w:hint="eastAsia" w:ascii="宋体" w:hAnsi="宋体" w:cs="宋体"/>
                <w:sz w:val="24"/>
                <w:szCs w:val="24"/>
              </w:rPr>
              <w:t>磋商报价得分＝</w:t>
            </w:r>
            <w:r>
              <w:rPr>
                <w:rFonts w:ascii="宋体" w:hAnsi="宋体" w:cs="宋体"/>
                <w:sz w:val="24"/>
                <w:szCs w:val="24"/>
              </w:rPr>
              <w:t>(</w:t>
            </w:r>
            <w:r>
              <w:rPr>
                <w:rFonts w:hint="eastAsia" w:ascii="宋体" w:hAnsi="宋体" w:cs="宋体"/>
                <w:sz w:val="24"/>
                <w:szCs w:val="24"/>
              </w:rPr>
              <w:t>磋商基准价／最后磋商报价</w:t>
            </w:r>
            <w:r>
              <w:rPr>
                <w:rFonts w:ascii="宋体" w:hAnsi="宋体" w:cs="宋体"/>
                <w:sz w:val="24"/>
                <w:szCs w:val="24"/>
              </w:rPr>
              <w:t>)</w:t>
            </w:r>
            <w:r>
              <w:rPr>
                <w:rFonts w:hint="eastAsia" w:ascii="宋体" w:hAnsi="宋体" w:cs="宋体"/>
                <w:sz w:val="24"/>
                <w:szCs w:val="24"/>
              </w:rPr>
              <w:t>×</w:t>
            </w:r>
            <w:r>
              <w:rPr>
                <w:rFonts w:hint="eastAsia" w:ascii="宋体" w:hAnsi="宋体" w:cs="宋体"/>
                <w:sz w:val="24"/>
                <w:szCs w:val="24"/>
                <w:lang w:val="en-US" w:eastAsia="zh-CN"/>
              </w:rPr>
              <w:t>30</w:t>
            </w:r>
          </w:p>
        </w:tc>
      </w:tr>
      <w:tr>
        <w:tblPrEx>
          <w:tblCellMar>
            <w:top w:w="0" w:type="dxa"/>
            <w:left w:w="0" w:type="dxa"/>
            <w:bottom w:w="0" w:type="dxa"/>
            <w:right w:w="0" w:type="dxa"/>
          </w:tblCellMar>
        </w:tblPrEx>
        <w:trPr>
          <w:trHeight w:val="733" w:hRule="atLeast"/>
          <w:jc w:val="center"/>
        </w:trPr>
        <w:tc>
          <w:tcPr>
            <w:tcW w:w="919" w:type="dxa"/>
            <w:vMerge w:val="restart"/>
            <w:tcBorders>
              <w:top w:val="nil"/>
              <w:left w:val="single" w:color="auto" w:sz="8" w:space="0"/>
              <w:right w:val="single" w:color="auto" w:sz="4" w:space="0"/>
            </w:tcBorders>
            <w:shd w:val="clear" w:color="auto" w:fill="FFFFFF"/>
            <w:vAlign w:val="center"/>
          </w:tcPr>
          <w:p>
            <w:pPr>
              <w:spacing w:line="360" w:lineRule="exact"/>
              <w:rPr>
                <w:rFonts w:ascii="宋体"/>
                <w:sz w:val="24"/>
                <w:szCs w:val="24"/>
              </w:rPr>
            </w:pPr>
            <w:r>
              <w:rPr>
                <w:rFonts w:hint="eastAsia" w:ascii="宋体" w:hAnsi="宋体" w:cs="宋体"/>
                <w:sz w:val="24"/>
                <w:szCs w:val="24"/>
              </w:rPr>
              <w:t>商务部分（</w:t>
            </w:r>
            <w:r>
              <w:rPr>
                <w:rFonts w:hint="eastAsia" w:ascii="宋体" w:hAnsi="宋体" w:cs="宋体"/>
                <w:sz w:val="24"/>
                <w:szCs w:val="24"/>
                <w:lang w:val="en-US" w:eastAsia="zh-CN"/>
              </w:rPr>
              <w:t>27</w:t>
            </w:r>
            <w:r>
              <w:rPr>
                <w:rFonts w:hint="eastAsia" w:ascii="宋体" w:hAnsi="宋体" w:cs="宋体"/>
                <w:sz w:val="24"/>
                <w:szCs w:val="24"/>
              </w:rPr>
              <w:t>分）</w:t>
            </w:r>
          </w:p>
        </w:tc>
        <w:tc>
          <w:tcPr>
            <w:tcW w:w="777"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cs="宋体"/>
                <w:sz w:val="24"/>
                <w:szCs w:val="24"/>
              </w:rPr>
            </w:pPr>
            <w:r>
              <w:rPr>
                <w:rFonts w:hint="eastAsia"/>
                <w:sz w:val="24"/>
              </w:rPr>
              <w:t>投标文件制作</w:t>
            </w:r>
          </w:p>
        </w:tc>
        <w:tc>
          <w:tcPr>
            <w:tcW w:w="736" w:type="dxa"/>
            <w:tcBorders>
              <w:top w:val="single" w:color="auto" w:sz="4" w:space="0"/>
              <w:left w:val="nil"/>
              <w:bottom w:val="single" w:color="auto" w:sz="4" w:space="0"/>
              <w:right w:val="single" w:color="auto" w:sz="8" w:space="0"/>
            </w:tcBorders>
            <w:shd w:val="clear" w:color="auto" w:fill="FFFFFF"/>
            <w:vAlign w:val="center"/>
          </w:tcPr>
          <w:p>
            <w:pPr>
              <w:adjustRightInd w:val="0"/>
              <w:snapToGrid w:val="0"/>
              <w:ind w:right="105" w:rightChars="50"/>
              <w:jc w:val="center"/>
              <w:rPr>
                <w:rFonts w:ascii="宋体" w:cs="宋体"/>
                <w:sz w:val="24"/>
                <w:szCs w:val="24"/>
              </w:rPr>
            </w:pPr>
            <w:r>
              <w:rPr>
                <w:rFonts w:ascii="宋体" w:hAnsi="宋体" w:cs="宋体"/>
                <w:sz w:val="24"/>
                <w:szCs w:val="24"/>
              </w:rPr>
              <w:t>1</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ind w:right="105" w:rightChars="50"/>
              <w:jc w:val="left"/>
              <w:rPr>
                <w:rFonts w:ascii="宋体"/>
                <w:sz w:val="24"/>
                <w:szCs w:val="24"/>
              </w:rPr>
            </w:pPr>
            <w:r>
              <w:rPr>
                <w:rFonts w:hint="eastAsia"/>
                <w:sz w:val="24"/>
              </w:rPr>
              <w:t>按照投标文件制作的规范性、完整性等具体情况，相比较较好的得</w:t>
            </w:r>
            <w:r>
              <w:rPr>
                <w:sz w:val="24"/>
              </w:rPr>
              <w:t xml:space="preserve"> 1 </w:t>
            </w:r>
            <w:r>
              <w:rPr>
                <w:rFonts w:hint="eastAsia"/>
                <w:sz w:val="24"/>
              </w:rPr>
              <w:t>分、一般的得</w:t>
            </w:r>
            <w:r>
              <w:rPr>
                <w:sz w:val="24"/>
              </w:rPr>
              <w:t xml:space="preserve"> 0.5 </w:t>
            </w:r>
            <w:r>
              <w:rPr>
                <w:rFonts w:hint="eastAsia"/>
                <w:sz w:val="24"/>
              </w:rPr>
              <w:t>分、较差的不得分。</w:t>
            </w:r>
          </w:p>
        </w:tc>
      </w:tr>
      <w:tr>
        <w:tblPrEx>
          <w:tblCellMar>
            <w:top w:w="0" w:type="dxa"/>
            <w:left w:w="0" w:type="dxa"/>
            <w:bottom w:w="0" w:type="dxa"/>
            <w:right w:w="0" w:type="dxa"/>
          </w:tblCellMar>
        </w:tblPrEx>
        <w:trPr>
          <w:trHeight w:val="1056"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cs="宋体"/>
                <w:sz w:val="24"/>
                <w:szCs w:val="24"/>
              </w:rPr>
            </w:pPr>
            <w:r>
              <w:rPr>
                <w:rFonts w:hint="eastAsia" w:ascii="宋体" w:hAnsi="宋体" w:cs="宋体"/>
                <w:sz w:val="24"/>
                <w:szCs w:val="24"/>
              </w:rPr>
              <w:t>项目</w:t>
            </w:r>
          </w:p>
          <w:p>
            <w:pPr>
              <w:jc w:val="center"/>
              <w:rPr>
                <w:rFonts w:ascii="宋体"/>
                <w:sz w:val="24"/>
                <w:szCs w:val="24"/>
              </w:rPr>
            </w:pPr>
            <w:r>
              <w:rPr>
                <w:rFonts w:hint="eastAsia" w:ascii="宋体" w:hAnsi="宋体" w:cs="宋体"/>
                <w:sz w:val="24"/>
                <w:szCs w:val="24"/>
              </w:rPr>
              <w:t>业绩</w:t>
            </w:r>
          </w:p>
        </w:tc>
        <w:tc>
          <w:tcPr>
            <w:tcW w:w="736" w:type="dxa"/>
            <w:tcBorders>
              <w:top w:val="single" w:color="auto" w:sz="4" w:space="0"/>
              <w:left w:val="nil"/>
              <w:bottom w:val="single" w:color="auto" w:sz="4" w:space="0"/>
              <w:right w:val="single" w:color="auto" w:sz="8" w:space="0"/>
            </w:tcBorders>
            <w:shd w:val="clear" w:color="auto" w:fill="FFFFFF"/>
            <w:vAlign w:val="center"/>
          </w:tcPr>
          <w:p>
            <w:pPr>
              <w:adjustRightInd w:val="0"/>
              <w:snapToGrid w:val="0"/>
              <w:ind w:right="105" w:rightChars="50"/>
              <w:jc w:val="center"/>
              <w:rPr>
                <w:rFonts w:ascii="宋体"/>
                <w:sz w:val="24"/>
                <w:szCs w:val="24"/>
              </w:rPr>
            </w:pPr>
            <w:r>
              <w:rPr>
                <w:rFonts w:hint="eastAsia" w:ascii="宋体" w:hAnsi="宋体" w:cs="宋体"/>
                <w:sz w:val="24"/>
                <w:szCs w:val="24"/>
                <w:lang w:val="en-US" w:eastAsia="zh-CN"/>
              </w:rPr>
              <w:t>3</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4" w:space="0"/>
            </w:tcBorders>
            <w:shd w:val="clear" w:color="auto" w:fill="FFFFFF"/>
            <w:vAlign w:val="center"/>
          </w:tcPr>
          <w:p>
            <w:pPr>
              <w:numPr>
                <w:ilvl w:val="0"/>
                <w:numId w:val="0"/>
              </w:numPr>
              <w:adjustRightInd w:val="0"/>
              <w:snapToGrid w:val="0"/>
              <w:ind w:right="105" w:rightChars="50"/>
              <w:jc w:val="left"/>
              <w:rPr>
                <w:rFonts w:ascii="宋体"/>
                <w:sz w:val="24"/>
                <w:szCs w:val="24"/>
              </w:rPr>
            </w:pPr>
            <w:r>
              <w:rPr>
                <w:rFonts w:hint="eastAsia" w:hAnsi="宋体"/>
                <w:sz w:val="24"/>
                <w:szCs w:val="24"/>
              </w:rPr>
              <w:t>供应</w:t>
            </w:r>
            <w:r>
              <w:rPr>
                <w:rFonts w:hint="eastAsia" w:hAnsi="宋体"/>
                <w:color w:val="FF0000"/>
                <w:sz w:val="24"/>
                <w:szCs w:val="24"/>
              </w:rPr>
              <w:t>商自</w:t>
            </w:r>
            <w:r>
              <w:rPr>
                <w:rFonts w:hAnsi="宋体"/>
                <w:color w:val="FF0000"/>
                <w:sz w:val="24"/>
                <w:szCs w:val="24"/>
              </w:rPr>
              <w:t>201</w:t>
            </w:r>
            <w:r>
              <w:rPr>
                <w:rFonts w:hint="eastAsia" w:hAnsi="宋体"/>
                <w:color w:val="FF0000"/>
                <w:sz w:val="24"/>
                <w:szCs w:val="24"/>
                <w:lang w:val="en-US" w:eastAsia="zh-CN"/>
              </w:rPr>
              <w:t>8</w:t>
            </w:r>
            <w:r>
              <w:rPr>
                <w:rFonts w:hint="eastAsia" w:hAnsi="宋体"/>
                <w:color w:val="FF0000"/>
                <w:sz w:val="24"/>
                <w:szCs w:val="24"/>
              </w:rPr>
              <w:t>年</w:t>
            </w:r>
            <w:r>
              <w:rPr>
                <w:rFonts w:hAnsi="宋体"/>
                <w:color w:val="FF0000"/>
                <w:sz w:val="24"/>
                <w:szCs w:val="24"/>
              </w:rPr>
              <w:t>1</w:t>
            </w:r>
            <w:r>
              <w:rPr>
                <w:rFonts w:hint="eastAsia" w:hAnsi="宋体"/>
                <w:color w:val="FF0000"/>
                <w:sz w:val="24"/>
                <w:szCs w:val="24"/>
              </w:rPr>
              <w:t>月</w:t>
            </w:r>
            <w:r>
              <w:rPr>
                <w:rFonts w:hAnsi="宋体"/>
                <w:color w:val="FF0000"/>
                <w:sz w:val="24"/>
                <w:szCs w:val="24"/>
              </w:rPr>
              <w:t>1</w:t>
            </w:r>
            <w:r>
              <w:rPr>
                <w:rFonts w:hint="eastAsia" w:hAnsi="宋体"/>
                <w:color w:val="FF0000"/>
                <w:sz w:val="24"/>
                <w:szCs w:val="24"/>
              </w:rPr>
              <w:t>日以来，</w:t>
            </w:r>
            <w:r>
              <w:rPr>
                <w:rFonts w:hint="eastAsia" w:hAnsi="宋体"/>
                <w:sz w:val="24"/>
                <w:szCs w:val="24"/>
              </w:rPr>
              <w:t>以合同签订日期为准，提供同类产品合同</w:t>
            </w:r>
            <w:r>
              <w:rPr>
                <w:rFonts w:hint="eastAsia" w:hAnsi="宋体"/>
                <w:sz w:val="24"/>
                <w:szCs w:val="24"/>
                <w:highlight w:val="none"/>
              </w:rPr>
              <w:t>，</w:t>
            </w:r>
            <w:r>
              <w:rPr>
                <w:rFonts w:hint="eastAsia" w:hAnsi="宋体"/>
                <w:sz w:val="24"/>
                <w:szCs w:val="24"/>
              </w:rPr>
              <w:t>每提供一个得</w:t>
            </w:r>
            <w:r>
              <w:rPr>
                <w:rFonts w:hAnsi="宋体"/>
                <w:sz w:val="24"/>
                <w:szCs w:val="24"/>
              </w:rPr>
              <w:t>1</w:t>
            </w:r>
            <w:r>
              <w:rPr>
                <w:rFonts w:hint="eastAsia" w:hAnsi="宋体"/>
                <w:sz w:val="24"/>
                <w:szCs w:val="24"/>
              </w:rPr>
              <w:t>分，本项最高得</w:t>
            </w:r>
            <w:r>
              <w:rPr>
                <w:rFonts w:hint="eastAsia" w:hAnsi="宋体"/>
                <w:sz w:val="24"/>
                <w:szCs w:val="24"/>
                <w:lang w:val="en-US" w:eastAsia="zh-CN"/>
              </w:rPr>
              <w:t>3</w:t>
            </w:r>
            <w:r>
              <w:rPr>
                <w:rFonts w:hint="eastAsia" w:hAnsi="宋体"/>
                <w:sz w:val="24"/>
                <w:szCs w:val="24"/>
              </w:rPr>
              <w:t>分；（需提供成交通知书</w:t>
            </w:r>
            <w:r>
              <w:rPr>
                <w:rFonts w:hint="eastAsia" w:hAnsi="宋体"/>
                <w:sz w:val="24"/>
                <w:szCs w:val="24"/>
                <w:lang w:eastAsia="zh-CN"/>
              </w:rPr>
              <w:t>或</w:t>
            </w:r>
            <w:r>
              <w:rPr>
                <w:rFonts w:hint="eastAsia" w:hAnsi="宋体"/>
                <w:sz w:val="24"/>
                <w:szCs w:val="24"/>
              </w:rPr>
              <w:t>项目合同扫描件并加盖供应商公章）</w:t>
            </w:r>
          </w:p>
        </w:tc>
      </w:tr>
      <w:tr>
        <w:tblPrEx>
          <w:tblCellMar>
            <w:top w:w="0" w:type="dxa"/>
            <w:left w:w="0" w:type="dxa"/>
            <w:bottom w:w="0" w:type="dxa"/>
            <w:right w:w="0" w:type="dxa"/>
          </w:tblCellMar>
        </w:tblPrEx>
        <w:trPr>
          <w:trHeight w:val="3475"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cs="宋体"/>
                <w:sz w:val="24"/>
                <w:szCs w:val="24"/>
              </w:rPr>
            </w:pPr>
            <w:r>
              <w:rPr>
                <w:rFonts w:hint="eastAsia"/>
                <w:sz w:val="24"/>
              </w:rPr>
              <w:t>获得的荣誉</w:t>
            </w:r>
          </w:p>
        </w:tc>
        <w:tc>
          <w:tcPr>
            <w:tcW w:w="736" w:type="dxa"/>
            <w:tcBorders>
              <w:top w:val="single" w:color="auto" w:sz="4" w:space="0"/>
              <w:left w:val="nil"/>
              <w:bottom w:val="single" w:color="auto" w:sz="4" w:space="0"/>
              <w:right w:val="single" w:color="auto" w:sz="8" w:space="0"/>
            </w:tcBorders>
            <w:shd w:val="clear" w:color="auto" w:fill="FFFFFF"/>
            <w:vAlign w:val="center"/>
          </w:tcPr>
          <w:p>
            <w:pPr>
              <w:adjustRightInd w:val="0"/>
              <w:snapToGrid w:val="0"/>
              <w:ind w:right="105" w:rightChars="50"/>
              <w:jc w:val="center"/>
              <w:rPr>
                <w:rFonts w:asci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4" w:space="0"/>
            </w:tcBorders>
            <w:shd w:val="clear" w:color="auto" w:fill="FFFFFF"/>
            <w:vAlign w:val="center"/>
          </w:tcPr>
          <w:p>
            <w:pPr>
              <w:pStyle w:val="43"/>
              <w:spacing w:before="1"/>
              <w:ind w:left="106"/>
              <w:rPr>
                <w:sz w:val="24"/>
              </w:rPr>
            </w:pPr>
            <w:r>
              <w:rPr>
                <w:sz w:val="24"/>
              </w:rPr>
              <w:t>1</w:t>
            </w:r>
            <w:r>
              <w:rPr>
                <w:rFonts w:hint="eastAsia"/>
                <w:sz w:val="24"/>
              </w:rPr>
              <w:t>、</w:t>
            </w:r>
            <w:r>
              <w:rPr>
                <w:rFonts w:hint="eastAsia" w:hAnsi="宋体"/>
                <w:sz w:val="24"/>
                <w:szCs w:val="24"/>
              </w:rPr>
              <w:t>设备生产厂家具有</w:t>
            </w:r>
            <w:r>
              <w:rPr>
                <w:rFonts w:hAnsi="宋体"/>
                <w:sz w:val="24"/>
                <w:szCs w:val="24"/>
              </w:rPr>
              <w:t xml:space="preserve"> ISO9001 </w:t>
            </w:r>
            <w:r>
              <w:rPr>
                <w:rFonts w:hint="eastAsia" w:hAnsi="宋体"/>
                <w:sz w:val="24"/>
                <w:szCs w:val="24"/>
              </w:rPr>
              <w:t>质量管理、</w:t>
            </w:r>
            <w:r>
              <w:rPr>
                <w:rFonts w:hAnsi="宋体"/>
                <w:sz w:val="24"/>
                <w:szCs w:val="24"/>
              </w:rPr>
              <w:t xml:space="preserve">ISO14001 </w:t>
            </w:r>
            <w:r>
              <w:rPr>
                <w:rFonts w:hint="eastAsia" w:hAnsi="宋体"/>
                <w:sz w:val="24"/>
                <w:szCs w:val="24"/>
              </w:rPr>
              <w:t>环境管理、</w:t>
            </w:r>
            <w:r>
              <w:rPr>
                <w:rFonts w:hAnsi="宋体"/>
                <w:sz w:val="24"/>
                <w:szCs w:val="24"/>
              </w:rPr>
              <w:t xml:space="preserve">GB/T28001 </w:t>
            </w:r>
            <w:r>
              <w:rPr>
                <w:rFonts w:hint="eastAsia" w:hAnsi="宋体"/>
                <w:sz w:val="24"/>
                <w:szCs w:val="24"/>
              </w:rPr>
              <w:t>职业健康安全管理体系认证证书，满足三项得</w:t>
            </w:r>
            <w:r>
              <w:rPr>
                <w:rFonts w:hint="eastAsia" w:hAnsi="宋体"/>
                <w:sz w:val="24"/>
                <w:szCs w:val="24"/>
                <w:lang w:val="en-US" w:eastAsia="zh-CN"/>
              </w:rPr>
              <w:t>2</w:t>
            </w:r>
            <w:r>
              <w:rPr>
                <w:rFonts w:hint="eastAsia" w:hAnsi="宋体"/>
                <w:sz w:val="24"/>
                <w:szCs w:val="24"/>
              </w:rPr>
              <w:t>分，不全不得分。</w:t>
            </w:r>
          </w:p>
          <w:p>
            <w:pPr>
              <w:pStyle w:val="43"/>
              <w:spacing w:before="1"/>
              <w:ind w:left="106"/>
              <w:rPr>
                <w:sz w:val="24"/>
              </w:rPr>
            </w:pPr>
            <w:r>
              <w:rPr>
                <w:sz w:val="24"/>
              </w:rPr>
              <w:t>2</w:t>
            </w:r>
            <w:r>
              <w:rPr>
                <w:rFonts w:hint="eastAsia"/>
                <w:sz w:val="24"/>
              </w:rPr>
              <w:t>、</w:t>
            </w:r>
            <w:r>
              <w:rPr>
                <w:rFonts w:hint="eastAsia" w:hAnsi="宋体"/>
                <w:sz w:val="24"/>
                <w:szCs w:val="24"/>
              </w:rPr>
              <w:t>设备生产厂家具</w:t>
            </w:r>
            <w:r>
              <w:rPr>
                <w:rFonts w:hint="eastAsia" w:hAnsi="宋体"/>
                <w:sz w:val="24"/>
                <w:szCs w:val="24"/>
                <w:highlight w:val="none"/>
              </w:rPr>
              <w:t>有</w:t>
            </w:r>
            <w:r>
              <w:rPr>
                <w:rFonts w:hint="eastAsia"/>
                <w:sz w:val="24"/>
                <w:highlight w:val="none"/>
              </w:rPr>
              <w:t>高新技术企业认证</w:t>
            </w:r>
            <w:r>
              <w:rPr>
                <w:rFonts w:hint="eastAsia"/>
                <w:sz w:val="24"/>
              </w:rPr>
              <w:t>证书得</w:t>
            </w:r>
            <w:r>
              <w:rPr>
                <w:sz w:val="24"/>
              </w:rPr>
              <w:t xml:space="preserve"> 1 </w:t>
            </w:r>
            <w:r>
              <w:rPr>
                <w:rFonts w:hint="eastAsia"/>
                <w:sz w:val="24"/>
              </w:rPr>
              <w:t>分；</w:t>
            </w:r>
          </w:p>
          <w:p>
            <w:pPr>
              <w:pStyle w:val="43"/>
              <w:spacing w:before="2"/>
              <w:ind w:left="106"/>
              <w:rPr>
                <w:rFonts w:hint="eastAsia"/>
                <w:sz w:val="24"/>
              </w:rPr>
            </w:pPr>
            <w:r>
              <w:rPr>
                <w:sz w:val="24"/>
              </w:rPr>
              <w:t>3</w:t>
            </w:r>
            <w:r>
              <w:rPr>
                <w:rFonts w:hint="eastAsia"/>
                <w:sz w:val="24"/>
              </w:rPr>
              <w:t>、</w:t>
            </w:r>
            <w:r>
              <w:rPr>
                <w:rFonts w:hint="eastAsia" w:hAnsi="宋体"/>
                <w:sz w:val="24"/>
                <w:szCs w:val="24"/>
              </w:rPr>
              <w:t>设备生产厂家</w:t>
            </w:r>
            <w:r>
              <w:rPr>
                <w:rFonts w:hint="eastAsia" w:hAnsi="宋体"/>
                <w:sz w:val="24"/>
                <w:szCs w:val="24"/>
                <w:highlight w:val="none"/>
              </w:rPr>
              <w:t>具有</w:t>
            </w:r>
            <w:r>
              <w:rPr>
                <w:rFonts w:hint="eastAsia"/>
                <w:sz w:val="24"/>
                <w:highlight w:val="none"/>
              </w:rPr>
              <w:t>知识产权管理体</w:t>
            </w:r>
            <w:r>
              <w:rPr>
                <w:rFonts w:hint="eastAsia"/>
                <w:sz w:val="24"/>
              </w:rPr>
              <w:t>系认证证书得</w:t>
            </w:r>
            <w:r>
              <w:rPr>
                <w:sz w:val="24"/>
              </w:rPr>
              <w:t>1</w:t>
            </w:r>
            <w:r>
              <w:rPr>
                <w:rFonts w:hint="eastAsia"/>
                <w:sz w:val="24"/>
              </w:rPr>
              <w:t>分；</w:t>
            </w:r>
          </w:p>
          <w:p>
            <w:pPr>
              <w:pStyle w:val="43"/>
              <w:spacing w:before="2"/>
              <w:ind w:left="106"/>
              <w:rPr>
                <w:rFonts w:hint="eastAsia"/>
                <w:sz w:val="24"/>
              </w:rPr>
            </w:pPr>
            <w:r>
              <w:rPr>
                <w:rFonts w:hint="eastAsia"/>
                <w:sz w:val="24"/>
                <w:lang w:val="en-US" w:eastAsia="zh-CN"/>
              </w:rPr>
              <w:t>4</w:t>
            </w:r>
            <w:r>
              <w:rPr>
                <w:rFonts w:hint="eastAsia"/>
                <w:sz w:val="24"/>
              </w:rPr>
              <w:t xml:space="preserve">、设备生产厂家具有信息安全管理体系认证证书得 </w:t>
            </w:r>
            <w:r>
              <w:rPr>
                <w:rFonts w:hint="eastAsia"/>
                <w:sz w:val="24"/>
                <w:lang w:val="en-US" w:eastAsia="zh-CN"/>
              </w:rPr>
              <w:t>1</w:t>
            </w:r>
            <w:r>
              <w:rPr>
                <w:rFonts w:hint="eastAsia"/>
                <w:sz w:val="24"/>
              </w:rPr>
              <w:t xml:space="preserve"> 分；</w:t>
            </w:r>
          </w:p>
          <w:p>
            <w:pPr>
              <w:pStyle w:val="43"/>
              <w:spacing w:line="242" w:lineRule="auto"/>
              <w:ind w:left="106" w:right="97"/>
              <w:rPr>
                <w:sz w:val="24"/>
              </w:rPr>
            </w:pPr>
            <w:r>
              <w:rPr>
                <w:rFonts w:hint="eastAsia"/>
                <w:sz w:val="24"/>
                <w:lang w:val="en-US" w:eastAsia="zh-CN"/>
              </w:rPr>
              <w:t>5</w:t>
            </w:r>
            <w:r>
              <w:rPr>
                <w:rFonts w:hint="eastAsia"/>
                <w:sz w:val="24"/>
              </w:rPr>
              <w:t>、</w:t>
            </w:r>
            <w:r>
              <w:rPr>
                <w:rFonts w:hint="eastAsia" w:hAnsi="宋体"/>
                <w:sz w:val="24"/>
                <w:szCs w:val="24"/>
              </w:rPr>
              <w:t>设备生产厂家具有</w:t>
            </w:r>
            <w:r>
              <w:rPr>
                <w:rFonts w:hint="eastAsia"/>
                <w:sz w:val="24"/>
              </w:rPr>
              <w:t>中国</w:t>
            </w:r>
            <w:r>
              <w:rPr>
                <w:rFonts w:hint="eastAsia"/>
                <w:sz w:val="24"/>
                <w:highlight w:val="none"/>
              </w:rPr>
              <w:t>环保产品</w:t>
            </w:r>
            <w:r>
              <w:rPr>
                <w:rFonts w:hint="eastAsia" w:ascii="宋体" w:hAnsi="宋体" w:cs="宋体"/>
                <w:sz w:val="24"/>
                <w:highlight w:val="none"/>
              </w:rPr>
              <w:t>Ⅱ</w:t>
            </w:r>
            <w:r>
              <w:rPr>
                <w:rFonts w:hint="eastAsia"/>
                <w:sz w:val="24"/>
                <w:highlight w:val="none"/>
              </w:rPr>
              <w:t>型认证证</w:t>
            </w:r>
            <w:r>
              <w:rPr>
                <w:rFonts w:hint="eastAsia"/>
                <w:sz w:val="24"/>
              </w:rPr>
              <w:t>书或中国环境标志产品认证证书得</w:t>
            </w:r>
            <w:r>
              <w:rPr>
                <w:sz w:val="24"/>
              </w:rPr>
              <w:t>1</w:t>
            </w:r>
            <w:r>
              <w:rPr>
                <w:rFonts w:hint="eastAsia"/>
                <w:sz w:val="24"/>
              </w:rPr>
              <w:t>分。</w:t>
            </w:r>
          </w:p>
          <w:p>
            <w:pPr>
              <w:pStyle w:val="43"/>
              <w:spacing w:line="242" w:lineRule="auto"/>
              <w:ind w:left="106" w:right="97"/>
              <w:rPr>
                <w:rFonts w:hint="eastAsia"/>
                <w:sz w:val="24"/>
              </w:rPr>
            </w:pPr>
            <w:r>
              <w:rPr>
                <w:rFonts w:hint="eastAsia"/>
                <w:sz w:val="24"/>
                <w:lang w:val="en-US" w:eastAsia="zh-CN"/>
              </w:rPr>
              <w:t>6</w:t>
            </w:r>
            <w:r>
              <w:rPr>
                <w:rFonts w:hint="eastAsia"/>
                <w:sz w:val="24"/>
              </w:rPr>
              <w:t>、</w:t>
            </w:r>
            <w:r>
              <w:rPr>
                <w:rFonts w:hint="eastAsia" w:hAnsi="宋体"/>
                <w:sz w:val="24"/>
                <w:szCs w:val="24"/>
              </w:rPr>
              <w:t>设备</w:t>
            </w:r>
            <w:r>
              <w:rPr>
                <w:rFonts w:hint="eastAsia"/>
                <w:sz w:val="24"/>
              </w:rPr>
              <w:t>生产厂家二次供水设备获得中国节能产品认证的，每提供一个得</w:t>
            </w:r>
            <w:r>
              <w:rPr>
                <w:rFonts w:hint="eastAsia"/>
                <w:sz w:val="24"/>
                <w:lang w:val="en-US" w:eastAsia="zh-CN"/>
              </w:rPr>
              <w:t>0.5</w:t>
            </w:r>
            <w:r>
              <w:rPr>
                <w:rFonts w:hint="eastAsia"/>
                <w:sz w:val="24"/>
              </w:rPr>
              <w:t xml:space="preserve">分，最多得 </w:t>
            </w:r>
            <w:r>
              <w:rPr>
                <w:rFonts w:hint="eastAsia"/>
                <w:sz w:val="24"/>
                <w:lang w:val="en-US" w:eastAsia="zh-CN"/>
              </w:rPr>
              <w:t>1</w:t>
            </w:r>
            <w:r>
              <w:rPr>
                <w:rFonts w:hint="eastAsia"/>
                <w:sz w:val="24"/>
              </w:rPr>
              <w:t xml:space="preserve"> 分。</w:t>
            </w:r>
          </w:p>
          <w:p>
            <w:pPr>
              <w:pStyle w:val="43"/>
              <w:spacing w:before="5" w:line="242" w:lineRule="auto"/>
              <w:ind w:left="106" w:right="97"/>
              <w:rPr>
                <w:sz w:val="24"/>
              </w:rPr>
            </w:pPr>
            <w:r>
              <w:rPr>
                <w:rFonts w:hint="eastAsia" w:hAnsi="宋体"/>
                <w:sz w:val="24"/>
                <w:szCs w:val="24"/>
                <w:lang w:val="en-US" w:eastAsia="zh-CN"/>
              </w:rPr>
              <w:t>7、</w:t>
            </w:r>
            <w:r>
              <w:rPr>
                <w:rFonts w:hint="eastAsia" w:hAnsi="宋体"/>
                <w:sz w:val="24"/>
                <w:szCs w:val="24"/>
              </w:rPr>
              <w:t>设备生产厂家具有</w:t>
            </w:r>
            <w:r>
              <w:rPr>
                <w:rFonts w:hint="eastAsia"/>
                <w:sz w:val="24"/>
              </w:rPr>
              <w:t>中国工程建设标准化协会颁发的绿色建筑节能推荐产品证书</w:t>
            </w:r>
            <w:r>
              <w:rPr>
                <w:rFonts w:hint="eastAsia" w:ascii="宋体" w:hAnsi="宋体" w:cs="宋体"/>
                <w:sz w:val="24"/>
                <w:szCs w:val="24"/>
              </w:rPr>
              <w:t>（智慧标准化泵房）</w:t>
            </w:r>
            <w:r>
              <w:rPr>
                <w:rFonts w:hint="eastAsia"/>
                <w:sz w:val="24"/>
              </w:rPr>
              <w:t>的</w:t>
            </w:r>
            <w:r>
              <w:rPr>
                <w:sz w:val="24"/>
              </w:rPr>
              <w:t xml:space="preserve"> 1 </w:t>
            </w:r>
            <w:r>
              <w:rPr>
                <w:rFonts w:hint="eastAsia"/>
                <w:sz w:val="24"/>
              </w:rPr>
              <w:t>分。</w:t>
            </w:r>
          </w:p>
          <w:p>
            <w:pPr>
              <w:pStyle w:val="43"/>
              <w:spacing w:line="242" w:lineRule="auto"/>
              <w:ind w:left="106" w:right="97"/>
              <w:rPr>
                <w:rFonts w:hint="eastAsia"/>
                <w:sz w:val="24"/>
                <w:highlight w:val="none"/>
              </w:rPr>
            </w:pPr>
            <w:r>
              <w:rPr>
                <w:rFonts w:hint="eastAsia"/>
                <w:sz w:val="24"/>
                <w:lang w:val="en-US" w:eastAsia="zh-CN"/>
              </w:rPr>
              <w:t>8、</w:t>
            </w:r>
            <w:r>
              <w:rPr>
                <w:rFonts w:hint="eastAsia"/>
                <w:color w:val="FF0000"/>
                <w:sz w:val="24"/>
                <w:highlight w:val="none"/>
              </w:rPr>
              <w:t>设备生产厂家获得售后服务认证证书（证书认证范围中须含包二次供水设备、智慧泵房等内容且具有商品售后服务评价红章，附加盖供应商公章的扫描件</w:t>
            </w:r>
            <w:r>
              <w:rPr>
                <w:rFonts w:hint="eastAsia"/>
                <w:color w:val="FF0000"/>
                <w:sz w:val="24"/>
                <w:highlight w:val="none"/>
                <w:lang w:eastAsia="zh-CN"/>
              </w:rPr>
              <w:t>并</w:t>
            </w:r>
            <w:r>
              <w:rPr>
                <w:rFonts w:hint="eastAsia"/>
                <w:color w:val="FF0000"/>
                <w:sz w:val="24"/>
                <w:highlight w:val="none"/>
              </w:rPr>
              <w:t>提供证书原件备查）五星级认证证书得</w:t>
            </w:r>
            <w:r>
              <w:rPr>
                <w:rFonts w:hint="eastAsia"/>
                <w:color w:val="FF0000"/>
                <w:sz w:val="24"/>
                <w:highlight w:val="none"/>
                <w:lang w:val="en-US" w:eastAsia="zh-CN"/>
              </w:rPr>
              <w:t>1</w:t>
            </w:r>
            <w:r>
              <w:rPr>
                <w:rFonts w:hint="eastAsia"/>
                <w:color w:val="FF0000"/>
                <w:sz w:val="24"/>
                <w:highlight w:val="none"/>
              </w:rPr>
              <w:t>分，</w:t>
            </w:r>
            <w:r>
              <w:rPr>
                <w:rFonts w:hint="eastAsia"/>
                <w:color w:val="FF0000"/>
                <w:sz w:val="24"/>
                <w:highlight w:val="none"/>
                <w:lang w:eastAsia="zh-CN"/>
              </w:rPr>
              <w:t>四</w:t>
            </w:r>
            <w:r>
              <w:rPr>
                <w:rFonts w:hint="eastAsia"/>
                <w:color w:val="FF0000"/>
                <w:sz w:val="24"/>
                <w:highlight w:val="none"/>
              </w:rPr>
              <w:t>星级以下不得分。</w:t>
            </w:r>
          </w:p>
          <w:p>
            <w:pPr>
              <w:adjustRightInd w:val="0"/>
              <w:snapToGrid w:val="0"/>
              <w:ind w:right="105" w:rightChars="50"/>
              <w:jc w:val="left"/>
              <w:rPr>
                <w:rFonts w:ascii="宋体"/>
                <w:sz w:val="24"/>
                <w:szCs w:val="24"/>
              </w:rPr>
            </w:pPr>
            <w:r>
              <w:rPr>
                <w:rFonts w:hint="eastAsia"/>
                <w:sz w:val="24"/>
                <w:lang w:eastAsia="zh-CN"/>
              </w:rPr>
              <w:t>（</w:t>
            </w:r>
            <w:r>
              <w:rPr>
                <w:rFonts w:hint="eastAsia"/>
                <w:sz w:val="24"/>
              </w:rPr>
              <w:t>以上证书</w:t>
            </w:r>
            <w:r>
              <w:rPr>
                <w:rFonts w:hint="eastAsia" w:hAnsi="宋体"/>
                <w:sz w:val="24"/>
                <w:szCs w:val="24"/>
              </w:rPr>
              <w:t>附加盖供应商公章的扫描件</w:t>
            </w:r>
            <w:r>
              <w:rPr>
                <w:rFonts w:hint="eastAsia" w:hAnsi="宋体"/>
                <w:sz w:val="24"/>
                <w:szCs w:val="24"/>
                <w:lang w:eastAsia="zh-CN"/>
              </w:rPr>
              <w:t>并</w:t>
            </w:r>
            <w:r>
              <w:rPr>
                <w:rFonts w:hint="eastAsia"/>
                <w:sz w:val="24"/>
              </w:rPr>
              <w:t>提供证书原件备查</w:t>
            </w:r>
            <w:r>
              <w:rPr>
                <w:rFonts w:hint="eastAsia"/>
                <w:sz w:val="24"/>
                <w:lang w:eastAsia="zh-CN"/>
              </w:rPr>
              <w:t>）</w:t>
            </w:r>
          </w:p>
        </w:tc>
      </w:tr>
      <w:tr>
        <w:tblPrEx>
          <w:tblCellMar>
            <w:top w:w="0" w:type="dxa"/>
            <w:left w:w="0" w:type="dxa"/>
            <w:bottom w:w="0" w:type="dxa"/>
            <w:right w:w="0" w:type="dxa"/>
          </w:tblCellMar>
        </w:tblPrEx>
        <w:trPr>
          <w:trHeight w:val="1399"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vMerge w:val="restart"/>
            <w:tcBorders>
              <w:top w:val="single" w:color="auto" w:sz="4" w:space="0"/>
              <w:left w:val="nil"/>
              <w:right w:val="single" w:color="auto" w:sz="8" w:space="0"/>
            </w:tcBorders>
            <w:shd w:val="clear" w:color="auto" w:fill="FFFFFF"/>
            <w:vAlign w:val="center"/>
          </w:tcPr>
          <w:p>
            <w:pPr>
              <w:jc w:val="center"/>
              <w:rPr>
                <w:rFonts w:ascii="宋体"/>
                <w:sz w:val="24"/>
                <w:szCs w:val="24"/>
              </w:rPr>
            </w:pPr>
            <w:r>
              <w:rPr>
                <w:rFonts w:hint="eastAsia" w:ascii="宋体" w:hAnsi="宋体" w:cs="宋体"/>
                <w:sz w:val="24"/>
                <w:szCs w:val="24"/>
              </w:rPr>
              <w:t>售后服务</w:t>
            </w:r>
            <w:r>
              <w:rPr>
                <w:rFonts w:hint="eastAsia" w:ascii="宋体" w:hAnsi="宋体" w:cs="宋体"/>
                <w:sz w:val="24"/>
                <w:szCs w:val="24"/>
                <w:lang w:eastAsia="zh-CN"/>
              </w:rPr>
              <w:t>方案</w:t>
            </w:r>
          </w:p>
        </w:tc>
        <w:tc>
          <w:tcPr>
            <w:tcW w:w="736" w:type="dxa"/>
            <w:vMerge w:val="restart"/>
            <w:tcBorders>
              <w:top w:val="single" w:color="auto" w:sz="4" w:space="0"/>
              <w:left w:val="nil"/>
              <w:right w:val="single" w:color="auto" w:sz="8" w:space="0"/>
            </w:tcBorders>
            <w:shd w:val="clear" w:color="auto" w:fill="FFFFFF"/>
            <w:vAlign w:val="center"/>
          </w:tcPr>
          <w:p>
            <w:pPr>
              <w:spacing w:line="360" w:lineRule="exact"/>
              <w:jc w:val="center"/>
              <w:rPr>
                <w:rFonts w:ascii="宋体"/>
                <w:sz w:val="24"/>
                <w:szCs w:val="24"/>
              </w:rPr>
            </w:pPr>
            <w:r>
              <w:rPr>
                <w:rFonts w:hint="eastAsia" w:ascii="宋体" w:hAnsi="宋体" w:cs="宋体"/>
                <w:sz w:val="24"/>
                <w:szCs w:val="24"/>
                <w:lang w:val="en-US" w:eastAsia="zh-CN"/>
              </w:rPr>
              <w:t>5</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8" w:space="0"/>
            </w:tcBorders>
            <w:shd w:val="clear" w:color="auto" w:fill="FFFFFF"/>
            <w:vAlign w:val="center"/>
          </w:tcPr>
          <w:p>
            <w:pPr>
              <w:widowControl/>
              <w:jc w:val="left"/>
              <w:textAlignment w:val="center"/>
              <w:rPr>
                <w:rFonts w:ascii="宋体"/>
                <w:sz w:val="24"/>
                <w:szCs w:val="24"/>
              </w:rPr>
            </w:pPr>
            <w:r>
              <w:rPr>
                <w:rFonts w:hint="eastAsia" w:ascii="宋体"/>
                <w:sz w:val="24"/>
                <w:szCs w:val="24"/>
              </w:rPr>
              <w:t>根据采购人</w:t>
            </w:r>
            <w:r>
              <w:rPr>
                <w:rFonts w:ascii="宋体"/>
                <w:sz w:val="24"/>
                <w:szCs w:val="24"/>
              </w:rPr>
              <w:t>(</w:t>
            </w:r>
            <w:r>
              <w:rPr>
                <w:rFonts w:hint="eastAsia" w:ascii="宋体"/>
                <w:sz w:val="24"/>
                <w:szCs w:val="24"/>
              </w:rPr>
              <w:t>供水企业</w:t>
            </w:r>
            <w:r>
              <w:rPr>
                <w:rFonts w:ascii="宋体"/>
                <w:sz w:val="24"/>
                <w:szCs w:val="24"/>
              </w:rPr>
              <w:t>)</w:t>
            </w:r>
            <w:r>
              <w:rPr>
                <w:rFonts w:hint="eastAsia" w:ascii="宋体"/>
                <w:sz w:val="24"/>
                <w:szCs w:val="24"/>
              </w:rPr>
              <w:t>提供设备的相关服务特点</w:t>
            </w:r>
            <w:r>
              <w:rPr>
                <w:rFonts w:ascii="宋体"/>
                <w:sz w:val="24"/>
                <w:szCs w:val="24"/>
              </w:rPr>
              <w:t>,</w:t>
            </w:r>
            <w:r>
              <w:rPr>
                <w:rFonts w:hint="eastAsia" w:ascii="宋体"/>
                <w:sz w:val="24"/>
                <w:szCs w:val="24"/>
              </w:rPr>
              <w:t>出具完善的售后服务方案</w:t>
            </w:r>
            <w:r>
              <w:rPr>
                <w:rFonts w:ascii="宋体"/>
                <w:sz w:val="24"/>
                <w:szCs w:val="24"/>
              </w:rPr>
              <w:t>,</w:t>
            </w:r>
            <w:r>
              <w:rPr>
                <w:rFonts w:hint="eastAsia" w:ascii="宋体"/>
                <w:sz w:val="24"/>
                <w:szCs w:val="24"/>
              </w:rPr>
              <w:t>包括售后服务环节中的相关配合及保证措施</w:t>
            </w:r>
            <w:r>
              <w:rPr>
                <w:rFonts w:hint="eastAsia" w:ascii="宋体"/>
                <w:sz w:val="24"/>
                <w:szCs w:val="24"/>
                <w:lang w:eastAsia="zh-CN"/>
              </w:rPr>
              <w:t>，方案</w:t>
            </w:r>
            <w:r>
              <w:rPr>
                <w:rFonts w:hint="eastAsia" w:ascii="宋体"/>
                <w:sz w:val="24"/>
                <w:szCs w:val="24"/>
              </w:rPr>
              <w:t>针对性</w:t>
            </w:r>
            <w:r>
              <w:rPr>
                <w:rFonts w:hint="eastAsia" w:ascii="宋体"/>
                <w:sz w:val="24"/>
                <w:szCs w:val="24"/>
                <w:lang w:eastAsia="zh-CN"/>
              </w:rPr>
              <w:t>强</w:t>
            </w:r>
            <w:r>
              <w:rPr>
                <w:rFonts w:hint="eastAsia" w:ascii="宋体"/>
                <w:sz w:val="24"/>
                <w:szCs w:val="24"/>
              </w:rPr>
              <w:t>、完整性和可行性</w:t>
            </w:r>
            <w:r>
              <w:rPr>
                <w:rFonts w:hint="eastAsia" w:ascii="宋体"/>
                <w:sz w:val="24"/>
                <w:szCs w:val="24"/>
                <w:lang w:eastAsia="zh-CN"/>
              </w:rPr>
              <w:t>高的得</w:t>
            </w:r>
            <w:r>
              <w:rPr>
                <w:rFonts w:hint="eastAsia" w:ascii="宋体"/>
                <w:sz w:val="24"/>
                <w:szCs w:val="24"/>
                <w:lang w:val="en-US" w:eastAsia="zh-CN"/>
              </w:rPr>
              <w:t>3分，</w:t>
            </w:r>
            <w:r>
              <w:rPr>
                <w:rFonts w:hint="eastAsia" w:ascii="宋体"/>
                <w:sz w:val="24"/>
                <w:szCs w:val="24"/>
                <w:lang w:eastAsia="zh-CN"/>
              </w:rPr>
              <w:t>方案针对性一般、完整性和可行性高的得</w:t>
            </w:r>
            <w:r>
              <w:rPr>
                <w:rFonts w:hint="eastAsia" w:ascii="宋体"/>
                <w:sz w:val="24"/>
                <w:szCs w:val="24"/>
                <w:lang w:val="en-US" w:eastAsia="zh-CN"/>
              </w:rPr>
              <w:t>2分，方案针对性、完整性和可行性都一般的得1分，</w:t>
            </w:r>
            <w:r>
              <w:rPr>
                <w:rFonts w:hint="eastAsia" w:ascii="宋体"/>
                <w:sz w:val="24"/>
                <w:szCs w:val="24"/>
              </w:rPr>
              <w:t>无方案或不合理的不得分。</w:t>
            </w:r>
          </w:p>
        </w:tc>
      </w:tr>
      <w:tr>
        <w:tblPrEx>
          <w:tblCellMar>
            <w:top w:w="0" w:type="dxa"/>
            <w:left w:w="0" w:type="dxa"/>
            <w:bottom w:w="0" w:type="dxa"/>
            <w:right w:w="0" w:type="dxa"/>
          </w:tblCellMar>
        </w:tblPrEx>
        <w:trPr>
          <w:trHeight w:val="456"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vMerge w:val="continue"/>
            <w:tcBorders>
              <w:left w:val="nil"/>
              <w:bottom w:val="single" w:color="auto" w:sz="4" w:space="0"/>
              <w:right w:val="single" w:color="auto" w:sz="8" w:space="0"/>
            </w:tcBorders>
            <w:shd w:val="clear" w:color="auto" w:fill="FFFFFF"/>
            <w:vAlign w:val="center"/>
          </w:tcPr>
          <w:p>
            <w:pPr>
              <w:jc w:val="center"/>
              <w:rPr>
                <w:rFonts w:hint="eastAsia" w:ascii="宋体" w:hAnsi="宋体" w:cs="宋体"/>
                <w:sz w:val="24"/>
                <w:szCs w:val="24"/>
              </w:rPr>
            </w:pPr>
          </w:p>
        </w:tc>
        <w:tc>
          <w:tcPr>
            <w:tcW w:w="736" w:type="dxa"/>
            <w:vMerge w:val="continue"/>
            <w:tcBorders>
              <w:left w:val="nil"/>
              <w:bottom w:val="single" w:color="auto" w:sz="4" w:space="0"/>
              <w:right w:val="single" w:color="auto" w:sz="8" w:space="0"/>
            </w:tcBorders>
            <w:shd w:val="clear" w:color="auto" w:fill="FFFFFF"/>
            <w:vAlign w:val="center"/>
          </w:tcPr>
          <w:p>
            <w:pPr>
              <w:spacing w:line="360" w:lineRule="exact"/>
              <w:jc w:val="center"/>
              <w:rPr>
                <w:rFonts w:hint="eastAsia" w:ascii="宋体" w:hAnsi="宋体" w:cs="宋体"/>
                <w:sz w:val="24"/>
                <w:szCs w:val="24"/>
                <w:lang w:val="en-US" w:eastAsia="zh-CN"/>
              </w:rPr>
            </w:pPr>
          </w:p>
        </w:tc>
        <w:tc>
          <w:tcPr>
            <w:tcW w:w="7208" w:type="dxa"/>
            <w:tcBorders>
              <w:top w:val="single" w:color="auto" w:sz="4" w:space="0"/>
              <w:left w:val="nil"/>
              <w:bottom w:val="single" w:color="auto" w:sz="4" w:space="0"/>
              <w:right w:val="single" w:color="auto" w:sz="8" w:space="0"/>
            </w:tcBorders>
            <w:shd w:val="clear" w:color="auto" w:fill="FFFFFF"/>
            <w:vAlign w:val="center"/>
          </w:tcPr>
          <w:p>
            <w:pPr>
              <w:widowControl/>
              <w:jc w:val="left"/>
              <w:textAlignment w:val="center"/>
              <w:rPr>
                <w:rFonts w:hint="eastAsia" w:ascii="宋体"/>
                <w:sz w:val="24"/>
                <w:szCs w:val="24"/>
              </w:rPr>
            </w:pPr>
            <w:r>
              <w:rPr>
                <w:rFonts w:hint="eastAsia" w:ascii="宋体" w:hAnsi="宋体" w:eastAsia="宋体" w:cs="宋体"/>
                <w:color w:val="FF0000"/>
                <w:sz w:val="24"/>
                <w:szCs w:val="24"/>
                <w:lang w:eastAsia="zh-CN"/>
              </w:rPr>
              <w:t>投标人必须在宜昌具有固定的售后服务机构（提供房产证或房屋租赁合同、联系人、联系方式及地址）</w:t>
            </w:r>
            <w:r>
              <w:rPr>
                <w:rFonts w:hint="eastAsia" w:ascii="宋体" w:hAnsi="宋体" w:cs="宋体"/>
                <w:color w:val="FF0000"/>
                <w:sz w:val="24"/>
                <w:szCs w:val="24"/>
                <w:lang w:eastAsia="zh-CN"/>
              </w:rPr>
              <w:t>得</w:t>
            </w:r>
            <w:r>
              <w:rPr>
                <w:rFonts w:hint="eastAsia" w:ascii="宋体" w:hAnsi="宋体" w:cs="宋体"/>
                <w:color w:val="FF0000"/>
                <w:sz w:val="24"/>
                <w:szCs w:val="24"/>
                <w:lang w:val="en-US" w:eastAsia="zh-CN"/>
              </w:rPr>
              <w:t>2分</w:t>
            </w:r>
          </w:p>
        </w:tc>
      </w:tr>
      <w:tr>
        <w:tblPrEx>
          <w:tblCellMar>
            <w:top w:w="0" w:type="dxa"/>
            <w:left w:w="0" w:type="dxa"/>
            <w:bottom w:w="0" w:type="dxa"/>
            <w:right w:w="0" w:type="dxa"/>
          </w:tblCellMar>
        </w:tblPrEx>
        <w:trPr>
          <w:trHeight w:val="2563"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nil"/>
              <w:bottom w:val="single" w:color="auto" w:sz="4" w:space="0"/>
              <w:right w:val="single" w:color="auto" w:sz="8" w:space="0"/>
            </w:tcBorders>
            <w:shd w:val="clear" w:color="auto" w:fill="FFFFFF"/>
          </w:tcPr>
          <w:p>
            <w:pPr>
              <w:jc w:val="center"/>
              <w:rPr>
                <w:rFonts w:hint="eastAsia" w:ascii="Times New Roman" w:hAnsi="Times New Roman" w:eastAsia="宋体" w:cs="Times New Roman"/>
                <w:kern w:val="2"/>
                <w:sz w:val="24"/>
                <w:szCs w:val="21"/>
                <w:lang w:val="en-US" w:eastAsia="zh-CN" w:bidi="ar-SA"/>
              </w:rPr>
            </w:pPr>
          </w:p>
          <w:p>
            <w:pPr>
              <w:jc w:val="center"/>
              <w:rPr>
                <w:rFonts w:hint="eastAsia" w:ascii="Times New Roman" w:hAnsi="Times New Roman" w:eastAsia="宋体" w:cs="Times New Roman"/>
                <w:kern w:val="2"/>
                <w:sz w:val="24"/>
                <w:szCs w:val="21"/>
                <w:lang w:val="en-US" w:eastAsia="zh-CN" w:bidi="ar-SA"/>
              </w:rPr>
            </w:pPr>
          </w:p>
          <w:p>
            <w:pPr>
              <w:jc w:val="center"/>
              <w:rPr>
                <w:rFonts w:hint="eastAsia" w:ascii="Times New Roman" w:hAnsi="Times New Roman" w:eastAsia="宋体" w:cs="Times New Roman"/>
                <w:kern w:val="2"/>
                <w:sz w:val="24"/>
                <w:szCs w:val="21"/>
                <w:lang w:val="en-US" w:eastAsia="zh-CN" w:bidi="ar-SA"/>
              </w:rPr>
            </w:pPr>
          </w:p>
          <w:p>
            <w:pPr>
              <w:jc w:val="center"/>
              <w:rPr>
                <w:rFonts w:hint="eastAsia" w:ascii="Times New Roman" w:hAnsi="Times New Roman" w:eastAsia="宋体" w:cs="Times New Roman"/>
                <w:kern w:val="2"/>
                <w:sz w:val="24"/>
                <w:szCs w:val="21"/>
                <w:lang w:val="en-US" w:eastAsia="zh-CN" w:bidi="ar-SA"/>
              </w:rPr>
            </w:pPr>
          </w:p>
          <w:p>
            <w:pPr>
              <w:jc w:val="center"/>
              <w:rPr>
                <w:rFonts w:hint="eastAsia" w:ascii="Times New Roman" w:hAnsi="Times New Roman" w:eastAsia="宋体" w:cs="Times New Roman"/>
                <w:kern w:val="2"/>
                <w:sz w:val="24"/>
                <w:szCs w:val="21"/>
                <w:lang w:val="en-US" w:eastAsia="zh-CN" w:bidi="ar-SA"/>
              </w:rPr>
            </w:pPr>
          </w:p>
          <w:p>
            <w:pPr>
              <w:jc w:val="center"/>
              <w:rPr>
                <w:rFonts w:hint="eastAsia" w:ascii="Times New Roman" w:hAnsi="Times New Roman" w:eastAsia="宋体" w:cs="Times New Roman"/>
                <w:kern w:val="2"/>
                <w:sz w:val="24"/>
                <w:szCs w:val="21"/>
                <w:lang w:val="en-US" w:eastAsia="zh-CN" w:bidi="ar-SA"/>
              </w:rPr>
            </w:pPr>
            <w:r>
              <w:rPr>
                <w:rFonts w:hint="eastAsia" w:ascii="Times New Roman" w:hAnsi="Times New Roman" w:eastAsia="宋体" w:cs="Times New Roman"/>
                <w:kern w:val="2"/>
                <w:sz w:val="24"/>
                <w:szCs w:val="21"/>
                <w:lang w:val="en-US" w:eastAsia="zh-CN" w:bidi="ar-SA"/>
              </w:rPr>
              <w:t>知识产权</w:t>
            </w:r>
          </w:p>
        </w:tc>
        <w:tc>
          <w:tcPr>
            <w:tcW w:w="736" w:type="dxa"/>
            <w:tcBorders>
              <w:top w:val="single" w:color="auto" w:sz="4" w:space="0"/>
              <w:left w:val="nil"/>
              <w:bottom w:val="single" w:color="auto" w:sz="4" w:space="0"/>
              <w:right w:val="single" w:color="auto" w:sz="8" w:space="0"/>
            </w:tcBorders>
            <w:shd w:val="clear" w:color="auto" w:fill="FFFFFF"/>
            <w:vAlign w:val="center"/>
          </w:tcPr>
          <w:p>
            <w:pPr>
              <w:spacing w:line="420" w:lineRule="exact"/>
              <w:jc w:val="center"/>
              <w:rPr>
                <w:rFonts w:ascii="宋体" w:cs="宋体"/>
                <w:sz w:val="24"/>
                <w:szCs w:val="24"/>
              </w:rPr>
            </w:pPr>
            <w:r>
              <w:rPr>
                <w:rFonts w:ascii="宋体" w:hAnsi="宋体" w:cs="宋体"/>
                <w:sz w:val="24"/>
                <w:szCs w:val="24"/>
              </w:rPr>
              <w:t>6</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8" w:space="0"/>
            </w:tcBorders>
            <w:shd w:val="clear" w:color="auto" w:fill="FFFFFF"/>
          </w:tcPr>
          <w:p>
            <w:pPr>
              <w:pStyle w:val="43"/>
              <w:spacing w:before="1" w:line="285" w:lineRule="exact"/>
              <w:rPr>
                <w:sz w:val="24"/>
                <w:highlight w:val="none"/>
              </w:rPr>
            </w:pPr>
            <w:r>
              <w:rPr>
                <w:rFonts w:hint="eastAsia"/>
                <w:sz w:val="24"/>
                <w:lang w:eastAsia="zh-CN"/>
              </w:rPr>
              <w:t>1、具有</w:t>
            </w:r>
            <w:r>
              <w:rPr>
                <w:rFonts w:hint="eastAsia"/>
                <w:sz w:val="24"/>
              </w:rPr>
              <w:t>控制系统</w:t>
            </w:r>
            <w:r>
              <w:rPr>
                <w:rFonts w:hint="eastAsia"/>
                <w:sz w:val="24"/>
                <w:lang w:eastAsia="zh-CN"/>
              </w:rPr>
              <w:t>或者供水平台</w:t>
            </w:r>
            <w:r>
              <w:rPr>
                <w:rFonts w:hint="eastAsia"/>
                <w:sz w:val="24"/>
              </w:rPr>
              <w:t>相关软件著作权证书的，有一项 0.5 分，满分得 2 分</w:t>
            </w:r>
            <w:r>
              <w:rPr>
                <w:rFonts w:hint="eastAsia" w:hAnsi="宋体"/>
                <w:sz w:val="24"/>
                <w:szCs w:val="24"/>
                <w:highlight w:val="none"/>
              </w:rPr>
              <w:t>（附加盖供应商公章的扫描件</w:t>
            </w:r>
            <w:r>
              <w:rPr>
                <w:rFonts w:hint="eastAsia" w:hAnsi="宋体"/>
                <w:sz w:val="24"/>
                <w:szCs w:val="24"/>
                <w:highlight w:val="none"/>
                <w:lang w:eastAsia="zh-CN"/>
              </w:rPr>
              <w:t>并</w:t>
            </w:r>
            <w:r>
              <w:rPr>
                <w:rFonts w:hint="eastAsia"/>
                <w:sz w:val="24"/>
                <w:highlight w:val="none"/>
              </w:rPr>
              <w:t>提供证书原件备查）</w:t>
            </w:r>
          </w:p>
          <w:p>
            <w:pPr>
              <w:pStyle w:val="43"/>
              <w:spacing w:before="5"/>
              <w:rPr>
                <w:sz w:val="24"/>
                <w:highlight w:val="none"/>
              </w:rPr>
            </w:pPr>
            <w:r>
              <w:rPr>
                <w:sz w:val="24"/>
                <w:highlight w:val="none"/>
              </w:rPr>
              <w:t>2</w:t>
            </w:r>
            <w:r>
              <w:rPr>
                <w:rFonts w:hint="eastAsia"/>
                <w:sz w:val="24"/>
                <w:highlight w:val="none"/>
              </w:rPr>
              <w:t>、具有成套设备相关专利证书八项及以上的得</w:t>
            </w:r>
            <w:r>
              <w:rPr>
                <w:sz w:val="24"/>
                <w:highlight w:val="none"/>
              </w:rPr>
              <w:t xml:space="preserve"> 2 </w:t>
            </w:r>
            <w:r>
              <w:rPr>
                <w:rFonts w:hint="eastAsia"/>
                <w:sz w:val="24"/>
                <w:highlight w:val="none"/>
              </w:rPr>
              <w:t>分（</w:t>
            </w:r>
            <w:r>
              <w:rPr>
                <w:rFonts w:hint="eastAsia" w:hAnsi="宋体"/>
                <w:sz w:val="24"/>
                <w:szCs w:val="24"/>
                <w:highlight w:val="none"/>
              </w:rPr>
              <w:t>附加盖供应商公章的扫描件</w:t>
            </w:r>
            <w:r>
              <w:rPr>
                <w:rFonts w:hint="eastAsia" w:hAnsi="宋体"/>
                <w:sz w:val="24"/>
                <w:szCs w:val="24"/>
                <w:highlight w:val="none"/>
                <w:lang w:eastAsia="zh-CN"/>
              </w:rPr>
              <w:t>，并</w:t>
            </w:r>
            <w:r>
              <w:rPr>
                <w:rFonts w:hint="eastAsia"/>
                <w:sz w:val="24"/>
                <w:highlight w:val="none"/>
              </w:rPr>
              <w:t>提供证书原件备查）。</w:t>
            </w:r>
          </w:p>
          <w:p>
            <w:pPr>
              <w:pStyle w:val="43"/>
              <w:spacing w:before="5"/>
              <w:rPr>
                <w:spacing w:val="-9"/>
                <w:sz w:val="24"/>
                <w:highlight w:val="none"/>
              </w:rPr>
            </w:pPr>
            <w:r>
              <w:rPr>
                <w:spacing w:val="-1"/>
                <w:sz w:val="24"/>
                <w:highlight w:val="none"/>
              </w:rPr>
              <w:t>3</w:t>
            </w:r>
            <w:r>
              <w:rPr>
                <w:rFonts w:hint="eastAsia"/>
                <w:spacing w:val="-1"/>
                <w:sz w:val="24"/>
                <w:highlight w:val="none"/>
              </w:rPr>
              <w:t>、具有水泵或成套设备检测平台，</w:t>
            </w:r>
            <w:r>
              <w:rPr>
                <w:rFonts w:hint="eastAsia"/>
                <w:spacing w:val="-14"/>
                <w:sz w:val="24"/>
                <w:highlight w:val="none"/>
              </w:rPr>
              <w:t>并达到</w:t>
            </w:r>
            <w:r>
              <w:rPr>
                <w:spacing w:val="-14"/>
                <w:sz w:val="24"/>
                <w:highlight w:val="none"/>
              </w:rPr>
              <w:t xml:space="preserve"> </w:t>
            </w:r>
            <w:r>
              <w:rPr>
                <w:sz w:val="24"/>
                <w:highlight w:val="none"/>
              </w:rPr>
              <w:t>1</w:t>
            </w:r>
            <w:r>
              <w:rPr>
                <w:rFonts w:hint="eastAsia"/>
                <w:spacing w:val="-12"/>
                <w:sz w:val="24"/>
                <w:highlight w:val="none"/>
              </w:rPr>
              <w:t>级精度测试平台的得</w:t>
            </w:r>
            <w:r>
              <w:rPr>
                <w:spacing w:val="-12"/>
                <w:sz w:val="24"/>
                <w:highlight w:val="none"/>
              </w:rPr>
              <w:t xml:space="preserve"> </w:t>
            </w:r>
            <w:r>
              <w:rPr>
                <w:sz w:val="24"/>
                <w:highlight w:val="none"/>
              </w:rPr>
              <w:t>1</w:t>
            </w:r>
            <w:r>
              <w:rPr>
                <w:spacing w:val="-28"/>
                <w:sz w:val="24"/>
                <w:highlight w:val="none"/>
              </w:rPr>
              <w:t xml:space="preserve"> </w:t>
            </w:r>
            <w:r>
              <w:rPr>
                <w:rFonts w:hint="eastAsia"/>
                <w:spacing w:val="-28"/>
                <w:sz w:val="24"/>
                <w:highlight w:val="none"/>
              </w:rPr>
              <w:t>分</w:t>
            </w:r>
            <w:r>
              <w:rPr>
                <w:rFonts w:hint="eastAsia"/>
                <w:sz w:val="24"/>
                <w:highlight w:val="none"/>
              </w:rPr>
              <w:t>（</w:t>
            </w:r>
            <w:r>
              <w:rPr>
                <w:rFonts w:hint="eastAsia"/>
                <w:spacing w:val="-9"/>
                <w:sz w:val="24"/>
                <w:highlight w:val="none"/>
              </w:rPr>
              <w:t>提供具备</w:t>
            </w:r>
            <w:r>
              <w:rPr>
                <w:spacing w:val="-9"/>
                <w:sz w:val="24"/>
                <w:highlight w:val="none"/>
              </w:rPr>
              <w:t xml:space="preserve"> CMA </w:t>
            </w:r>
            <w:r>
              <w:rPr>
                <w:rFonts w:hint="eastAsia"/>
                <w:spacing w:val="-9"/>
                <w:sz w:val="24"/>
                <w:highlight w:val="none"/>
              </w:rPr>
              <w:t>或</w:t>
            </w:r>
            <w:r>
              <w:rPr>
                <w:spacing w:val="-9"/>
                <w:sz w:val="24"/>
                <w:highlight w:val="none"/>
              </w:rPr>
              <w:t xml:space="preserve"> CNAS </w:t>
            </w:r>
            <w:r>
              <w:rPr>
                <w:rFonts w:hint="eastAsia"/>
                <w:spacing w:val="-9"/>
                <w:sz w:val="24"/>
                <w:highlight w:val="none"/>
              </w:rPr>
              <w:t>标志的检测机构出具的证明文件</w:t>
            </w:r>
            <w:r>
              <w:rPr>
                <w:rFonts w:hint="eastAsia"/>
                <w:sz w:val="24"/>
                <w:highlight w:val="none"/>
              </w:rPr>
              <w:t>原件扫描件加盖公章</w:t>
            </w:r>
            <w:r>
              <w:rPr>
                <w:rFonts w:hint="eastAsia"/>
                <w:sz w:val="24"/>
                <w:highlight w:val="none"/>
                <w:lang w:eastAsia="zh-CN"/>
              </w:rPr>
              <w:t>，并提供原件备查</w:t>
            </w:r>
            <w:r>
              <w:rPr>
                <w:rFonts w:hint="eastAsia"/>
                <w:spacing w:val="-9"/>
                <w:sz w:val="24"/>
                <w:highlight w:val="none"/>
              </w:rPr>
              <w:t>）；</w:t>
            </w:r>
          </w:p>
          <w:p>
            <w:pPr>
              <w:pStyle w:val="43"/>
              <w:spacing w:before="2" w:line="242" w:lineRule="auto"/>
              <w:ind w:left="106" w:right="97"/>
              <w:rPr>
                <w:rFonts w:ascii="宋体"/>
                <w:sz w:val="24"/>
                <w:szCs w:val="24"/>
              </w:rPr>
            </w:pPr>
            <w:r>
              <w:rPr>
                <w:rFonts w:hAnsi="宋体"/>
                <w:sz w:val="24"/>
                <w:szCs w:val="24"/>
              </w:rPr>
              <w:t>4</w:t>
            </w:r>
            <w:r>
              <w:rPr>
                <w:rFonts w:hint="eastAsia" w:hAnsi="宋体"/>
                <w:sz w:val="24"/>
                <w:szCs w:val="24"/>
              </w:rPr>
              <w:t>、</w:t>
            </w:r>
            <w:r>
              <w:rPr>
                <w:rFonts w:hint="eastAsia"/>
                <w:sz w:val="24"/>
              </w:rPr>
              <w:t>提供给自来水公司搭建供水管理平台相关证明文件的得</w:t>
            </w:r>
            <w:r>
              <w:rPr>
                <w:sz w:val="24"/>
              </w:rPr>
              <w:t xml:space="preserve"> 1 </w:t>
            </w:r>
            <w:r>
              <w:rPr>
                <w:rFonts w:hint="eastAsia"/>
                <w:sz w:val="24"/>
              </w:rPr>
              <w:t>分，否则不得分</w:t>
            </w:r>
            <w:r>
              <w:rPr>
                <w:sz w:val="24"/>
              </w:rPr>
              <w:t>(</w:t>
            </w:r>
            <w:r>
              <w:rPr>
                <w:rFonts w:hint="eastAsia"/>
                <w:sz w:val="24"/>
              </w:rPr>
              <w:t>提供中标通知书或者合同的原件扫描件加盖公章</w:t>
            </w:r>
            <w:r>
              <w:rPr>
                <w:rFonts w:hint="eastAsia"/>
                <w:sz w:val="24"/>
                <w:lang w:eastAsia="zh-CN"/>
              </w:rPr>
              <w:t>，并提供原件备查</w:t>
            </w:r>
            <w:r>
              <w:rPr>
                <w:sz w:val="24"/>
              </w:rPr>
              <w:t>)</w:t>
            </w:r>
            <w:r>
              <w:rPr>
                <w:rFonts w:hint="eastAsia"/>
                <w:sz w:val="24"/>
              </w:rPr>
              <w:t>。</w:t>
            </w:r>
          </w:p>
        </w:tc>
      </w:tr>
      <w:tr>
        <w:tblPrEx>
          <w:tblCellMar>
            <w:top w:w="0" w:type="dxa"/>
            <w:left w:w="0" w:type="dxa"/>
            <w:bottom w:w="0" w:type="dxa"/>
            <w:right w:w="0" w:type="dxa"/>
          </w:tblCellMar>
        </w:tblPrEx>
        <w:trPr>
          <w:trHeight w:val="547" w:hRule="atLeast"/>
          <w:jc w:val="center"/>
        </w:trPr>
        <w:tc>
          <w:tcPr>
            <w:tcW w:w="919" w:type="dxa"/>
            <w:vMerge w:val="continue"/>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nil"/>
              <w:right w:val="single" w:color="auto" w:sz="8" w:space="0"/>
            </w:tcBorders>
            <w:shd w:val="clear" w:color="auto" w:fill="FFFFFF"/>
            <w:vAlign w:val="center"/>
          </w:tcPr>
          <w:p>
            <w:pPr>
              <w:spacing w:line="400" w:lineRule="exact"/>
              <w:jc w:val="left"/>
              <w:rPr>
                <w:rFonts w:hint="eastAsia" w:ascii="Times New Roman" w:hAnsi="Times New Roman" w:eastAsia="宋体" w:cs="Times New Roman"/>
                <w:kern w:val="2"/>
                <w:sz w:val="24"/>
                <w:szCs w:val="21"/>
                <w:lang w:val="en-US" w:eastAsia="zh-CN" w:bidi="ar-SA"/>
              </w:rPr>
            </w:pPr>
            <w:r>
              <w:rPr>
                <w:rFonts w:hint="eastAsia" w:ascii="Times New Roman" w:hAnsi="Times New Roman" w:eastAsia="宋体" w:cs="Times New Roman"/>
                <w:kern w:val="2"/>
                <w:sz w:val="24"/>
                <w:szCs w:val="21"/>
                <w:lang w:val="en-US" w:eastAsia="zh-CN" w:bidi="ar-SA"/>
              </w:rPr>
              <w:t>资信能力</w:t>
            </w:r>
          </w:p>
        </w:tc>
        <w:tc>
          <w:tcPr>
            <w:tcW w:w="736" w:type="dxa"/>
            <w:tcBorders>
              <w:top w:val="single" w:color="auto" w:sz="4" w:space="0"/>
              <w:left w:val="nil"/>
              <w:right w:val="single" w:color="auto" w:sz="8" w:space="0"/>
            </w:tcBorders>
            <w:shd w:val="clear" w:color="auto" w:fill="FFFFFF"/>
            <w:vAlign w:val="center"/>
          </w:tcPr>
          <w:p>
            <w:pPr>
              <w:spacing w:line="400" w:lineRule="exact"/>
              <w:jc w:val="center"/>
              <w:rPr>
                <w:rFonts w:ascii="宋体" w:hAnsi="宋体" w:cs="宋体"/>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w:t>
            </w:r>
          </w:p>
        </w:tc>
        <w:tc>
          <w:tcPr>
            <w:tcW w:w="7208" w:type="dxa"/>
            <w:tcBorders>
              <w:top w:val="single" w:color="auto" w:sz="4" w:space="0"/>
              <w:left w:val="nil"/>
              <w:bottom w:val="single" w:color="auto" w:sz="4" w:space="0"/>
              <w:right w:val="single" w:color="auto" w:sz="8" w:space="0"/>
            </w:tcBorders>
            <w:shd w:val="clear" w:color="auto" w:fill="FFFFFF"/>
            <w:vAlign w:val="center"/>
          </w:tcPr>
          <w:p>
            <w:pPr>
              <w:spacing w:line="400" w:lineRule="exact"/>
              <w:jc w:val="left"/>
              <w:rPr>
                <w:rFonts w:hAnsi="宋体"/>
                <w:sz w:val="24"/>
                <w:szCs w:val="24"/>
              </w:rPr>
            </w:pPr>
            <w:r>
              <w:rPr>
                <w:rFonts w:hint="eastAsia" w:ascii="Times New Roman" w:hAnsi="Times New Roman" w:eastAsia="宋体" w:cs="Times New Roman"/>
                <w:color w:val="FF0000"/>
                <w:kern w:val="2"/>
                <w:sz w:val="24"/>
                <w:szCs w:val="21"/>
                <w:lang w:val="en-US" w:eastAsia="zh-CN" w:bidi="ar-SA"/>
              </w:rPr>
              <w:t>投标人具有守合同重信用证书及资信等级证书达到AAA证书得1分</w:t>
            </w:r>
          </w:p>
        </w:tc>
      </w:tr>
      <w:tr>
        <w:tblPrEx>
          <w:tblCellMar>
            <w:top w:w="0" w:type="dxa"/>
            <w:left w:w="0" w:type="dxa"/>
            <w:bottom w:w="0" w:type="dxa"/>
            <w:right w:w="0" w:type="dxa"/>
          </w:tblCellMar>
        </w:tblPrEx>
        <w:trPr>
          <w:trHeight w:val="1145" w:hRule="atLeast"/>
          <w:jc w:val="center"/>
        </w:trPr>
        <w:tc>
          <w:tcPr>
            <w:tcW w:w="919" w:type="dxa"/>
            <w:tcBorders>
              <w:left w:val="single" w:color="auto" w:sz="8"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nil"/>
              <w:right w:val="single" w:color="auto" w:sz="8" w:space="0"/>
            </w:tcBorders>
            <w:shd w:val="clear" w:color="auto" w:fill="FFFFFF"/>
            <w:vAlign w:val="top"/>
          </w:tcPr>
          <w:p>
            <w:pPr>
              <w:rPr>
                <w:rFonts w:hint="eastAsia" w:ascii="Times New Roman" w:hAnsi="Times New Roman" w:eastAsia="宋体" w:cs="Times New Roman"/>
                <w:kern w:val="2"/>
                <w:sz w:val="24"/>
                <w:szCs w:val="21"/>
                <w:lang w:val="en-US" w:eastAsia="zh-CN" w:bidi="ar-SA"/>
              </w:rPr>
            </w:pPr>
          </w:p>
          <w:p>
            <w:pPr>
              <w:rPr>
                <w:rFonts w:hint="eastAsia" w:ascii="Times New Roman" w:hAnsi="Times New Roman" w:eastAsia="宋体" w:cs="Times New Roman"/>
                <w:kern w:val="2"/>
                <w:sz w:val="24"/>
                <w:szCs w:val="21"/>
                <w:lang w:val="en-US" w:eastAsia="zh-CN" w:bidi="ar-SA"/>
              </w:rPr>
            </w:pPr>
            <w:r>
              <w:rPr>
                <w:rFonts w:hint="eastAsia" w:ascii="Times New Roman" w:hAnsi="Times New Roman" w:eastAsia="宋体" w:cs="Times New Roman"/>
                <w:kern w:val="2"/>
                <w:sz w:val="24"/>
                <w:szCs w:val="21"/>
                <w:lang w:val="en-US" w:eastAsia="zh-CN" w:bidi="ar-SA"/>
              </w:rPr>
              <w:t>泵房信息化质量文件</w:t>
            </w:r>
          </w:p>
        </w:tc>
        <w:tc>
          <w:tcPr>
            <w:tcW w:w="736" w:type="dxa"/>
            <w:tcBorders>
              <w:top w:val="single" w:color="auto" w:sz="4" w:space="0"/>
              <w:left w:val="nil"/>
              <w:right w:val="single" w:color="auto" w:sz="8" w:space="0"/>
            </w:tcBorders>
            <w:shd w:val="clear" w:color="auto" w:fill="FFFFFF"/>
            <w:vAlign w:val="center"/>
          </w:tcPr>
          <w:p>
            <w:pPr>
              <w:spacing w:line="420" w:lineRule="exact"/>
              <w:jc w:val="center"/>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分</w:t>
            </w:r>
          </w:p>
        </w:tc>
        <w:tc>
          <w:tcPr>
            <w:tcW w:w="7208" w:type="dxa"/>
            <w:tcBorders>
              <w:top w:val="single" w:color="auto" w:sz="4" w:space="0"/>
              <w:left w:val="nil"/>
              <w:bottom w:val="single" w:color="auto" w:sz="4" w:space="0"/>
              <w:right w:val="single" w:color="auto" w:sz="8" w:space="0"/>
            </w:tcBorders>
            <w:shd w:val="clear" w:color="auto" w:fill="FFFFFF"/>
            <w:vAlign w:val="center"/>
          </w:tcPr>
          <w:p>
            <w:pPr>
              <w:pStyle w:val="43"/>
              <w:spacing w:before="2" w:line="242" w:lineRule="auto"/>
              <w:ind w:right="97" w:rightChars="0"/>
              <w:rPr>
                <w:rFonts w:hAnsi="宋体"/>
                <w:sz w:val="24"/>
                <w:szCs w:val="24"/>
              </w:rPr>
            </w:pPr>
            <w:r>
              <w:rPr>
                <w:rFonts w:hint="eastAsia" w:hAnsi="宋体"/>
                <w:sz w:val="24"/>
                <w:szCs w:val="24"/>
              </w:rPr>
              <w:t>供应商供水管理软件平台需含故障报警系统、设备管理系统、门禁管理系统、故障推送系统、视频监控系统、手机</w:t>
            </w:r>
            <w:r>
              <w:rPr>
                <w:rFonts w:hAnsi="宋体"/>
                <w:sz w:val="24"/>
                <w:szCs w:val="24"/>
              </w:rPr>
              <w:t xml:space="preserve"> APP </w:t>
            </w:r>
            <w:r>
              <w:rPr>
                <w:rFonts w:hint="eastAsia" w:hAnsi="宋体"/>
                <w:sz w:val="24"/>
                <w:szCs w:val="24"/>
              </w:rPr>
              <w:t>功能的技术特点。投标人须逐点证明具有以上功能，提供文字图片、登录网址的得</w:t>
            </w:r>
            <w:r>
              <w:rPr>
                <w:rFonts w:hAnsi="宋体"/>
                <w:sz w:val="24"/>
                <w:szCs w:val="24"/>
              </w:rPr>
              <w:t xml:space="preserve"> </w:t>
            </w:r>
            <w:r>
              <w:rPr>
                <w:rFonts w:hint="eastAsia" w:hAnsi="宋体"/>
                <w:sz w:val="24"/>
                <w:szCs w:val="24"/>
                <w:lang w:val="en-US" w:eastAsia="zh-CN"/>
              </w:rPr>
              <w:t>2</w:t>
            </w:r>
            <w:r>
              <w:rPr>
                <w:rFonts w:hAnsi="宋体"/>
                <w:sz w:val="24"/>
                <w:szCs w:val="24"/>
              </w:rPr>
              <w:t xml:space="preserve"> </w:t>
            </w:r>
            <w:r>
              <w:rPr>
                <w:rFonts w:hint="eastAsia" w:hAnsi="宋体"/>
                <w:sz w:val="24"/>
                <w:szCs w:val="24"/>
              </w:rPr>
              <w:t>分，不能提供登录网址的不得分；</w:t>
            </w:r>
          </w:p>
        </w:tc>
      </w:tr>
      <w:tr>
        <w:tblPrEx>
          <w:tblCellMar>
            <w:top w:w="0" w:type="dxa"/>
            <w:left w:w="0" w:type="dxa"/>
            <w:bottom w:w="0" w:type="dxa"/>
            <w:right w:w="0" w:type="dxa"/>
          </w:tblCellMar>
        </w:tblPrEx>
        <w:trPr>
          <w:trHeight w:val="2857" w:hRule="atLeast"/>
          <w:jc w:val="center"/>
        </w:trPr>
        <w:tc>
          <w:tcPr>
            <w:tcW w:w="919" w:type="dxa"/>
            <w:vMerge w:val="restart"/>
            <w:tcBorders>
              <w:top w:val="single" w:color="auto" w:sz="4" w:space="0"/>
              <w:left w:val="single" w:color="auto" w:sz="4" w:space="0"/>
              <w:right w:val="single" w:color="auto" w:sz="4" w:space="0"/>
            </w:tcBorders>
            <w:shd w:val="clear" w:color="auto" w:fill="FFFFFF"/>
            <w:vAlign w:val="center"/>
          </w:tcPr>
          <w:p>
            <w:pPr>
              <w:spacing w:line="360" w:lineRule="exact"/>
              <w:rPr>
                <w:rFonts w:ascii="宋体"/>
                <w:sz w:val="24"/>
                <w:szCs w:val="24"/>
              </w:rPr>
            </w:pPr>
            <w:r>
              <w:rPr>
                <w:rFonts w:hint="eastAsia" w:ascii="宋体" w:hAnsi="宋体" w:cs="宋体"/>
                <w:sz w:val="24"/>
                <w:szCs w:val="24"/>
              </w:rPr>
              <w:t>技术部分（</w:t>
            </w:r>
            <w:r>
              <w:rPr>
                <w:rFonts w:ascii="宋体" w:hAnsi="宋体" w:cs="宋体"/>
                <w:sz w:val="24"/>
                <w:szCs w:val="24"/>
              </w:rPr>
              <w:t>4</w:t>
            </w:r>
            <w:r>
              <w:rPr>
                <w:rFonts w:hint="eastAsia" w:ascii="宋体" w:hAnsi="宋体" w:cs="宋体"/>
                <w:sz w:val="24"/>
                <w:szCs w:val="24"/>
                <w:lang w:val="en-US" w:eastAsia="zh-CN"/>
              </w:rPr>
              <w:t>3</w:t>
            </w:r>
            <w:r>
              <w:rPr>
                <w:rFonts w:hint="eastAsia" w:ascii="宋体" w:hAnsi="宋体" w:cs="宋体"/>
                <w:sz w:val="24"/>
                <w:szCs w:val="24"/>
              </w:rPr>
              <w:t>分）</w:t>
            </w:r>
          </w:p>
          <w:p>
            <w:pPr>
              <w:spacing w:line="360" w:lineRule="exact"/>
              <w:rPr>
                <w:rFonts w:ascii="宋体"/>
                <w:sz w:val="24"/>
                <w:szCs w:val="24"/>
              </w:rPr>
            </w:pPr>
          </w:p>
          <w:p>
            <w:pPr>
              <w:spacing w:line="360" w:lineRule="exact"/>
            </w:pPr>
          </w:p>
          <w:p>
            <w:pPr>
              <w:pStyle w:val="4"/>
            </w:pPr>
          </w:p>
        </w:tc>
        <w:tc>
          <w:tcPr>
            <w:tcW w:w="777" w:type="dxa"/>
            <w:tcBorders>
              <w:top w:val="single" w:color="auto" w:sz="4" w:space="0"/>
              <w:left w:val="single" w:color="auto" w:sz="4" w:space="0"/>
              <w:bottom w:val="single" w:color="auto" w:sz="4" w:space="0"/>
              <w:right w:val="single" w:color="auto" w:sz="4" w:space="0"/>
            </w:tcBorders>
            <w:shd w:val="clear" w:color="auto" w:fill="FFFFFF"/>
          </w:tcPr>
          <w:p>
            <w:pPr>
              <w:rPr>
                <w:sz w:val="24"/>
              </w:rPr>
            </w:pPr>
          </w:p>
          <w:p>
            <w:pPr>
              <w:rPr>
                <w:rFonts w:ascii="宋体"/>
                <w:sz w:val="24"/>
                <w:szCs w:val="24"/>
              </w:rPr>
            </w:pPr>
            <w:r>
              <w:rPr>
                <w:rFonts w:hint="eastAsia"/>
                <w:sz w:val="24"/>
              </w:rPr>
              <w:t>二次加压供水设备质量文件</w:t>
            </w:r>
            <w:r>
              <w:rPr>
                <w:rFonts w:hint="eastAsia" w:ascii="宋体" w:hAnsi="宋体" w:cs="宋体"/>
                <w:sz w:val="24"/>
                <w:szCs w:val="24"/>
              </w:rPr>
              <w:t>技术规格、参数及要求</w:t>
            </w:r>
          </w:p>
        </w:tc>
        <w:tc>
          <w:tcPr>
            <w:tcW w:w="7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exact"/>
              <w:jc w:val="center"/>
              <w:rPr>
                <w:rFonts w:ascii="宋体"/>
                <w:sz w:val="24"/>
                <w:szCs w:val="24"/>
              </w:rPr>
            </w:pPr>
            <w:r>
              <w:rPr>
                <w:rFonts w:ascii="宋体" w:hAnsi="宋体" w:cs="宋体"/>
                <w:sz w:val="24"/>
                <w:szCs w:val="24"/>
              </w:rPr>
              <w:t>27</w:t>
            </w:r>
            <w:r>
              <w:rPr>
                <w:rFonts w:hint="eastAsia" w:ascii="宋体" w:hAnsi="宋体" w:cs="宋体"/>
                <w:sz w:val="24"/>
                <w:szCs w:val="24"/>
              </w:rPr>
              <w:t>分</w:t>
            </w: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textAlignment w:val="center"/>
              <w:rPr>
                <w:rFonts w:ascii="宋体"/>
                <w:sz w:val="24"/>
                <w:szCs w:val="24"/>
              </w:rPr>
            </w:pPr>
            <w:r>
              <w:rPr>
                <w:rFonts w:hint="eastAsia" w:ascii="宋体"/>
                <w:sz w:val="24"/>
                <w:szCs w:val="24"/>
              </w:rPr>
              <w:t>评委将根据供应商提供的所投设备产品性能、技术参数对照竞争性磋商文件中要求的设备技术参数、产品性能等进行评审，优于或完全响应竞争性磋商文件得满分</w:t>
            </w:r>
            <w:r>
              <w:rPr>
                <w:rFonts w:ascii="宋体"/>
                <w:sz w:val="24"/>
                <w:szCs w:val="24"/>
              </w:rPr>
              <w:t xml:space="preserve"> 27</w:t>
            </w:r>
            <w:r>
              <w:rPr>
                <w:rFonts w:hint="eastAsia" w:ascii="宋体"/>
                <w:sz w:val="24"/>
                <w:szCs w:val="24"/>
              </w:rPr>
              <w:t>分；</w:t>
            </w:r>
          </w:p>
          <w:p>
            <w:pPr>
              <w:adjustRightInd w:val="0"/>
              <w:snapToGrid w:val="0"/>
              <w:textAlignment w:val="center"/>
              <w:rPr>
                <w:rFonts w:ascii="宋体"/>
                <w:sz w:val="24"/>
                <w:szCs w:val="24"/>
              </w:rPr>
            </w:pPr>
            <w:r>
              <w:rPr>
                <w:rFonts w:ascii="宋体"/>
                <w:sz w:val="24"/>
                <w:szCs w:val="24"/>
              </w:rPr>
              <w:t>1</w:t>
            </w:r>
            <w:r>
              <w:rPr>
                <w:rFonts w:hint="eastAsia" w:ascii="宋体"/>
                <w:sz w:val="24"/>
                <w:szCs w:val="24"/>
              </w:rPr>
              <w:t>、供应商所投设备产品性能、技术参数负偏离磋商文件中带“★”号技术参数要求的，每有一项不满足扣</w:t>
            </w:r>
            <w:r>
              <w:rPr>
                <w:rFonts w:ascii="宋体"/>
                <w:sz w:val="24"/>
                <w:szCs w:val="24"/>
              </w:rPr>
              <w:t xml:space="preserve"> 2 </w:t>
            </w:r>
            <w:r>
              <w:rPr>
                <w:rFonts w:hint="eastAsia" w:ascii="宋体"/>
                <w:sz w:val="24"/>
                <w:szCs w:val="24"/>
              </w:rPr>
              <w:t>分；</w:t>
            </w:r>
          </w:p>
          <w:p>
            <w:pPr>
              <w:adjustRightInd w:val="0"/>
              <w:snapToGrid w:val="0"/>
              <w:textAlignment w:val="center"/>
              <w:rPr>
                <w:rFonts w:ascii="宋体"/>
                <w:sz w:val="24"/>
                <w:szCs w:val="24"/>
              </w:rPr>
            </w:pPr>
            <w:r>
              <w:rPr>
                <w:rFonts w:ascii="宋体"/>
                <w:sz w:val="24"/>
                <w:szCs w:val="24"/>
              </w:rPr>
              <w:t>2</w:t>
            </w:r>
            <w:r>
              <w:rPr>
                <w:rFonts w:hint="eastAsia" w:ascii="宋体"/>
                <w:sz w:val="24"/>
                <w:szCs w:val="24"/>
              </w:rPr>
              <w:t>、供应商所投设备产品性能、技术参数负偏离磋商文件中一般技术参数要求的，每有一项不满足扣</w:t>
            </w:r>
            <w:r>
              <w:rPr>
                <w:rFonts w:ascii="宋体"/>
                <w:sz w:val="24"/>
                <w:szCs w:val="24"/>
              </w:rPr>
              <w:t xml:space="preserve"> 1 </w:t>
            </w:r>
            <w:r>
              <w:rPr>
                <w:rFonts w:hint="eastAsia" w:ascii="宋体"/>
                <w:sz w:val="24"/>
                <w:szCs w:val="24"/>
              </w:rPr>
              <w:t>分。</w:t>
            </w:r>
          </w:p>
          <w:p>
            <w:pPr>
              <w:adjustRightInd w:val="0"/>
              <w:snapToGrid w:val="0"/>
              <w:textAlignment w:val="center"/>
              <w:rPr>
                <w:rFonts w:ascii="宋体"/>
                <w:sz w:val="24"/>
                <w:szCs w:val="24"/>
              </w:rPr>
            </w:pPr>
            <w:r>
              <w:rPr>
                <w:rFonts w:hint="eastAsia" w:ascii="宋体"/>
                <w:sz w:val="24"/>
                <w:szCs w:val="24"/>
              </w:rPr>
              <w:t>注：本项最多扣至</w:t>
            </w:r>
            <w:r>
              <w:rPr>
                <w:rFonts w:ascii="宋体"/>
                <w:sz w:val="24"/>
                <w:szCs w:val="24"/>
              </w:rPr>
              <w:t xml:space="preserve"> 0 </w:t>
            </w:r>
            <w:r>
              <w:rPr>
                <w:rFonts w:hint="eastAsia" w:ascii="宋体"/>
                <w:sz w:val="24"/>
                <w:szCs w:val="24"/>
              </w:rPr>
              <w:t>分。</w:t>
            </w:r>
          </w:p>
          <w:p>
            <w:pPr>
              <w:adjustRightInd w:val="0"/>
              <w:snapToGrid w:val="0"/>
              <w:textAlignment w:val="center"/>
              <w:rPr>
                <w:rFonts w:ascii="宋体"/>
                <w:sz w:val="24"/>
                <w:szCs w:val="24"/>
              </w:rPr>
            </w:pPr>
            <w:r>
              <w:rPr>
                <w:rFonts w:hint="eastAsia" w:ascii="宋体"/>
                <w:b/>
                <w:bCs/>
                <w:sz w:val="24"/>
                <w:szCs w:val="24"/>
              </w:rPr>
              <w:t>（须提供加盖生产厂家公章的技术参数的证明材料的扫描件）</w:t>
            </w:r>
          </w:p>
        </w:tc>
      </w:tr>
      <w:tr>
        <w:tblPrEx>
          <w:tblCellMar>
            <w:top w:w="0" w:type="dxa"/>
            <w:left w:w="0" w:type="dxa"/>
            <w:bottom w:w="0" w:type="dxa"/>
            <w:right w:w="0" w:type="dxa"/>
          </w:tblCellMar>
        </w:tblPrEx>
        <w:trPr>
          <w:trHeight w:val="2531" w:hRule="atLeast"/>
          <w:jc w:val="center"/>
        </w:trPr>
        <w:tc>
          <w:tcPr>
            <w:tcW w:w="919" w:type="dxa"/>
            <w:vMerge w:val="continue"/>
            <w:tcBorders>
              <w:left w:val="single" w:color="auto" w:sz="4" w:space="0"/>
              <w:right w:val="single" w:color="auto" w:sz="4" w:space="0"/>
            </w:tcBorders>
            <w:shd w:val="clear" w:color="auto" w:fill="FFFFFF"/>
            <w:vAlign w:val="center"/>
          </w:tcPr>
          <w:p>
            <w:pPr>
              <w:spacing w:line="360" w:lineRule="exact"/>
              <w:rPr>
                <w:rFonts w:ascii="宋体"/>
                <w:sz w:val="24"/>
                <w:szCs w:val="24"/>
              </w:rPr>
            </w:pPr>
          </w:p>
        </w:tc>
        <w:tc>
          <w:tcPr>
            <w:tcW w:w="777" w:type="dxa"/>
            <w:vMerge w:val="restart"/>
            <w:tcBorders>
              <w:top w:val="single" w:color="auto" w:sz="4" w:space="0"/>
              <w:left w:val="single" w:color="auto" w:sz="4" w:space="0"/>
              <w:right w:val="single" w:color="auto" w:sz="4" w:space="0"/>
            </w:tcBorders>
            <w:shd w:val="clear" w:color="auto" w:fill="FFFFFF"/>
          </w:tcPr>
          <w:p>
            <w:pPr>
              <w:rPr>
                <w:sz w:val="24"/>
              </w:rPr>
            </w:pPr>
          </w:p>
          <w:p>
            <w:pPr>
              <w:rPr>
                <w:sz w:val="24"/>
              </w:rPr>
            </w:pPr>
          </w:p>
          <w:p>
            <w:pPr>
              <w:rPr>
                <w:rFonts w:ascii="宋体"/>
                <w:sz w:val="24"/>
                <w:szCs w:val="24"/>
              </w:rPr>
            </w:pPr>
            <w:r>
              <w:rPr>
                <w:rFonts w:hint="eastAsia"/>
                <w:sz w:val="24"/>
              </w:rPr>
              <w:t>设备认证、加工及质量控制情况</w:t>
            </w:r>
          </w:p>
        </w:tc>
        <w:tc>
          <w:tcPr>
            <w:tcW w:w="736" w:type="dxa"/>
            <w:vMerge w:val="restart"/>
            <w:tcBorders>
              <w:top w:val="single" w:color="auto" w:sz="4" w:space="0"/>
              <w:left w:val="single" w:color="auto" w:sz="4" w:space="0"/>
              <w:right w:val="single" w:color="auto" w:sz="4" w:space="0"/>
            </w:tcBorders>
            <w:shd w:val="clear" w:color="auto" w:fill="FFFFFF"/>
            <w:vAlign w:val="center"/>
          </w:tcPr>
          <w:p>
            <w:pPr>
              <w:spacing w:line="420" w:lineRule="exact"/>
              <w:jc w:val="center"/>
              <w:rPr>
                <w:rFonts w:ascii="宋体"/>
                <w:sz w:val="24"/>
                <w:szCs w:val="24"/>
              </w:rPr>
            </w:pPr>
            <w:r>
              <w:rPr>
                <w:rFonts w:hint="eastAsia" w:ascii="宋体"/>
                <w:sz w:val="24"/>
                <w:szCs w:val="24"/>
                <w:lang w:val="en-US" w:eastAsia="zh-CN"/>
              </w:rPr>
              <w:t>9</w:t>
            </w:r>
            <w:r>
              <w:rPr>
                <w:rFonts w:hint="eastAsia" w:ascii="宋体"/>
                <w:sz w:val="24"/>
                <w:szCs w:val="24"/>
              </w:rPr>
              <w:t>分</w:t>
            </w: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rPr>
                <w:color w:val="FF0000"/>
                <w:sz w:val="24"/>
                <w:highlight w:val="none"/>
              </w:rPr>
            </w:pPr>
            <w:r>
              <w:rPr>
                <w:rFonts w:hint="eastAsia"/>
                <w:color w:val="FF0000"/>
                <w:sz w:val="24"/>
                <w:highlight w:val="none"/>
                <w:lang w:val="en-US" w:eastAsia="zh-CN"/>
              </w:rPr>
              <w:t>1</w:t>
            </w:r>
            <w:r>
              <w:rPr>
                <w:rFonts w:hint="eastAsia"/>
                <w:color w:val="FF0000"/>
                <w:sz w:val="24"/>
                <w:highlight w:val="none"/>
              </w:rPr>
              <w:t>、</w:t>
            </w:r>
            <w:r>
              <w:rPr>
                <w:rFonts w:hint="eastAsia"/>
                <w:color w:val="FF0000"/>
                <w:spacing w:val="-4"/>
                <w:sz w:val="24"/>
                <w:highlight w:val="none"/>
              </w:rPr>
              <w:t>采用激光切割工艺的得</w:t>
            </w:r>
            <w:r>
              <w:rPr>
                <w:color w:val="FF0000"/>
                <w:spacing w:val="-4"/>
                <w:sz w:val="24"/>
                <w:highlight w:val="none"/>
              </w:rPr>
              <w:t xml:space="preserve"> </w:t>
            </w:r>
            <w:r>
              <w:rPr>
                <w:color w:val="FF0000"/>
                <w:sz w:val="24"/>
                <w:highlight w:val="none"/>
              </w:rPr>
              <w:t>1</w:t>
            </w:r>
            <w:r>
              <w:rPr>
                <w:color w:val="FF0000"/>
                <w:spacing w:val="-6"/>
                <w:sz w:val="24"/>
                <w:highlight w:val="none"/>
              </w:rPr>
              <w:t xml:space="preserve"> </w:t>
            </w:r>
            <w:r>
              <w:rPr>
                <w:rFonts w:hint="eastAsia"/>
                <w:color w:val="FF0000"/>
                <w:spacing w:val="-6"/>
                <w:sz w:val="24"/>
                <w:highlight w:val="none"/>
              </w:rPr>
              <w:t>分，采用等离子切割工艺</w:t>
            </w:r>
            <w:r>
              <w:rPr>
                <w:rFonts w:hint="eastAsia"/>
                <w:color w:val="FF0000"/>
                <w:spacing w:val="-12"/>
                <w:sz w:val="24"/>
                <w:highlight w:val="none"/>
              </w:rPr>
              <w:t>的得</w:t>
            </w:r>
            <w:r>
              <w:rPr>
                <w:color w:val="FF0000"/>
                <w:spacing w:val="-12"/>
                <w:sz w:val="24"/>
                <w:highlight w:val="none"/>
              </w:rPr>
              <w:t xml:space="preserve"> </w:t>
            </w:r>
            <w:r>
              <w:rPr>
                <w:color w:val="FF0000"/>
                <w:sz w:val="24"/>
                <w:highlight w:val="none"/>
              </w:rPr>
              <w:t>0.5</w:t>
            </w:r>
            <w:r>
              <w:rPr>
                <w:color w:val="FF0000"/>
                <w:spacing w:val="-19"/>
                <w:sz w:val="24"/>
                <w:highlight w:val="none"/>
              </w:rPr>
              <w:t xml:space="preserve"> </w:t>
            </w:r>
            <w:r>
              <w:rPr>
                <w:rFonts w:hint="eastAsia"/>
                <w:color w:val="FF0000"/>
                <w:spacing w:val="-19"/>
                <w:sz w:val="24"/>
                <w:highlight w:val="none"/>
              </w:rPr>
              <w:t>分</w:t>
            </w:r>
            <w:r>
              <w:rPr>
                <w:rFonts w:hint="eastAsia"/>
                <w:color w:val="FF0000"/>
                <w:sz w:val="24"/>
                <w:highlight w:val="none"/>
              </w:rPr>
              <w:t>；</w:t>
            </w:r>
          </w:p>
          <w:p>
            <w:pPr>
              <w:pStyle w:val="43"/>
              <w:spacing w:before="5"/>
              <w:rPr>
                <w:color w:val="FF0000"/>
                <w:sz w:val="24"/>
                <w:highlight w:val="none"/>
              </w:rPr>
            </w:pPr>
            <w:r>
              <w:rPr>
                <w:rFonts w:hint="eastAsia"/>
                <w:color w:val="FF0000"/>
                <w:sz w:val="24"/>
                <w:highlight w:val="none"/>
                <w:lang w:val="en-US" w:eastAsia="zh-CN"/>
              </w:rPr>
              <w:t>2、</w:t>
            </w:r>
            <w:r>
              <w:rPr>
                <w:rFonts w:hint="eastAsia"/>
                <w:color w:val="FF0000"/>
                <w:sz w:val="24"/>
                <w:highlight w:val="none"/>
              </w:rPr>
              <w:t>采用全自动机器焊接（含机器人焊接）的</w:t>
            </w:r>
            <w:r>
              <w:rPr>
                <w:rFonts w:hint="eastAsia"/>
                <w:color w:val="FF0000"/>
                <w:spacing w:val="-30"/>
                <w:sz w:val="24"/>
                <w:highlight w:val="none"/>
              </w:rPr>
              <w:t>得</w:t>
            </w:r>
            <w:r>
              <w:rPr>
                <w:color w:val="FF0000"/>
                <w:spacing w:val="-30"/>
                <w:sz w:val="24"/>
                <w:highlight w:val="none"/>
              </w:rPr>
              <w:t xml:space="preserve"> </w:t>
            </w:r>
            <w:r>
              <w:rPr>
                <w:color w:val="FF0000"/>
                <w:sz w:val="24"/>
                <w:highlight w:val="none"/>
              </w:rPr>
              <w:t>1</w:t>
            </w:r>
            <w:r>
              <w:rPr>
                <w:color w:val="FF0000"/>
                <w:spacing w:val="-5"/>
                <w:sz w:val="24"/>
                <w:highlight w:val="none"/>
              </w:rPr>
              <w:t xml:space="preserve"> </w:t>
            </w:r>
            <w:r>
              <w:rPr>
                <w:rFonts w:hint="eastAsia"/>
                <w:color w:val="FF0000"/>
                <w:spacing w:val="-5"/>
                <w:sz w:val="24"/>
                <w:highlight w:val="none"/>
              </w:rPr>
              <w:t>分，采用手工氩弧焊的得</w:t>
            </w:r>
            <w:r>
              <w:rPr>
                <w:color w:val="FF0000"/>
                <w:spacing w:val="-5"/>
                <w:sz w:val="24"/>
                <w:highlight w:val="none"/>
              </w:rPr>
              <w:t xml:space="preserve"> </w:t>
            </w:r>
            <w:r>
              <w:rPr>
                <w:rFonts w:hint="eastAsia"/>
                <w:color w:val="FF0000"/>
                <w:sz w:val="24"/>
                <w:highlight w:val="none"/>
              </w:rPr>
              <w:t>0.5 分；</w:t>
            </w:r>
          </w:p>
          <w:p>
            <w:pPr>
              <w:pStyle w:val="43"/>
              <w:spacing w:before="5"/>
              <w:rPr>
                <w:color w:val="FF0000"/>
                <w:spacing w:val="-24"/>
                <w:sz w:val="24"/>
                <w:highlight w:val="none"/>
              </w:rPr>
            </w:pPr>
            <w:r>
              <w:rPr>
                <w:rFonts w:hint="eastAsia"/>
                <w:color w:val="FF0000"/>
                <w:sz w:val="24"/>
                <w:highlight w:val="none"/>
                <w:lang w:val="en-US" w:eastAsia="zh-CN"/>
              </w:rPr>
              <w:t>3、</w:t>
            </w:r>
            <w:r>
              <w:rPr>
                <w:rFonts w:hint="eastAsia"/>
                <w:color w:val="FF0000"/>
                <w:sz w:val="24"/>
                <w:highlight w:val="none"/>
              </w:rPr>
              <w:t>原材料检验设备</w:t>
            </w:r>
            <w:r>
              <w:rPr>
                <w:rFonts w:hint="eastAsia"/>
                <w:color w:val="FF0000"/>
                <w:spacing w:val="-7"/>
                <w:sz w:val="24"/>
                <w:highlight w:val="none"/>
              </w:rPr>
              <w:t>采用光谱分析仪得</w:t>
            </w:r>
            <w:r>
              <w:rPr>
                <w:color w:val="FF0000"/>
                <w:spacing w:val="-7"/>
                <w:sz w:val="24"/>
                <w:highlight w:val="none"/>
              </w:rPr>
              <w:t xml:space="preserve"> </w:t>
            </w:r>
            <w:r>
              <w:rPr>
                <w:color w:val="FF0000"/>
                <w:sz w:val="24"/>
                <w:highlight w:val="none"/>
              </w:rPr>
              <w:t>1</w:t>
            </w:r>
            <w:r>
              <w:rPr>
                <w:color w:val="FF0000"/>
                <w:spacing w:val="-24"/>
                <w:sz w:val="24"/>
                <w:highlight w:val="none"/>
              </w:rPr>
              <w:t xml:space="preserve"> </w:t>
            </w:r>
            <w:r>
              <w:rPr>
                <w:rFonts w:hint="eastAsia"/>
                <w:color w:val="FF0000"/>
                <w:spacing w:val="-24"/>
                <w:sz w:val="24"/>
                <w:highlight w:val="none"/>
              </w:rPr>
              <w:t>分；</w:t>
            </w:r>
          </w:p>
          <w:p>
            <w:pPr>
              <w:pStyle w:val="43"/>
              <w:spacing w:before="2"/>
              <w:ind w:right="-29"/>
              <w:rPr>
                <w:rFonts w:hint="eastAsia"/>
                <w:color w:val="FF0000"/>
                <w:sz w:val="24"/>
                <w:highlight w:val="none"/>
              </w:rPr>
            </w:pPr>
            <w:r>
              <w:rPr>
                <w:rFonts w:hint="eastAsia"/>
                <w:color w:val="FF0000"/>
                <w:spacing w:val="-11"/>
                <w:sz w:val="24"/>
                <w:highlight w:val="none"/>
                <w:lang w:val="en-US" w:eastAsia="zh-CN"/>
              </w:rPr>
              <w:t>4、</w:t>
            </w:r>
            <w:r>
              <w:rPr>
                <w:rFonts w:hint="eastAsia"/>
                <w:color w:val="FF0000"/>
                <w:spacing w:val="-11"/>
                <w:sz w:val="24"/>
                <w:highlight w:val="none"/>
              </w:rPr>
              <w:t>成套设备管道加工检测设备完备且质量控制完善的得</w:t>
            </w:r>
            <w:r>
              <w:rPr>
                <w:color w:val="FF0000"/>
                <w:spacing w:val="-11"/>
                <w:sz w:val="24"/>
                <w:highlight w:val="none"/>
              </w:rPr>
              <w:t xml:space="preserve"> </w:t>
            </w:r>
            <w:r>
              <w:rPr>
                <w:color w:val="FF0000"/>
                <w:sz w:val="24"/>
                <w:highlight w:val="none"/>
              </w:rPr>
              <w:t>2</w:t>
            </w:r>
            <w:r>
              <w:rPr>
                <w:color w:val="FF0000"/>
                <w:spacing w:val="-24"/>
                <w:sz w:val="24"/>
                <w:highlight w:val="none"/>
              </w:rPr>
              <w:t xml:space="preserve"> </w:t>
            </w:r>
            <w:r>
              <w:rPr>
                <w:rFonts w:hint="eastAsia"/>
                <w:color w:val="FF0000"/>
                <w:spacing w:val="-24"/>
                <w:sz w:val="24"/>
                <w:highlight w:val="none"/>
              </w:rPr>
              <w:t>分，</w:t>
            </w:r>
            <w:r>
              <w:rPr>
                <w:rFonts w:hint="eastAsia"/>
                <w:color w:val="FF0000"/>
                <w:sz w:val="24"/>
                <w:highlight w:val="none"/>
              </w:rPr>
              <w:t>否则在大于或等于</w:t>
            </w:r>
            <w:r>
              <w:rPr>
                <w:color w:val="FF0000"/>
                <w:sz w:val="24"/>
                <w:highlight w:val="none"/>
              </w:rPr>
              <w:t xml:space="preserve"> 0 </w:t>
            </w:r>
            <w:r>
              <w:rPr>
                <w:rFonts w:hint="eastAsia"/>
                <w:color w:val="FF0000"/>
                <w:sz w:val="24"/>
                <w:highlight w:val="none"/>
              </w:rPr>
              <w:t>且小于</w:t>
            </w:r>
            <w:r>
              <w:rPr>
                <w:color w:val="FF0000"/>
                <w:sz w:val="24"/>
                <w:highlight w:val="none"/>
              </w:rPr>
              <w:t xml:space="preserve"> 2 </w:t>
            </w:r>
            <w:r>
              <w:rPr>
                <w:rFonts w:hint="eastAsia"/>
                <w:color w:val="FF0000"/>
                <w:sz w:val="24"/>
                <w:highlight w:val="none"/>
              </w:rPr>
              <w:t>分之间得分。</w:t>
            </w:r>
          </w:p>
          <w:p>
            <w:pPr>
              <w:pStyle w:val="43"/>
              <w:spacing w:before="2"/>
              <w:ind w:right="-29"/>
              <w:rPr>
                <w:rFonts w:hint="eastAsia"/>
                <w:color w:val="FF0000"/>
                <w:sz w:val="24"/>
                <w:highlight w:val="none"/>
              </w:rPr>
            </w:pPr>
            <w:r>
              <w:rPr>
                <w:rFonts w:hint="eastAsia"/>
                <w:color w:val="FF0000"/>
                <w:spacing w:val="-5"/>
                <w:sz w:val="24"/>
                <w:highlight w:val="none"/>
                <w:lang w:val="en-US" w:eastAsia="zh-CN"/>
              </w:rPr>
              <w:t>5、</w:t>
            </w:r>
            <w:r>
              <w:rPr>
                <w:color w:val="FF0000"/>
                <w:spacing w:val="-5"/>
                <w:sz w:val="24"/>
                <w:highlight w:val="none"/>
              </w:rPr>
              <w:t>设备所</w:t>
            </w:r>
            <w:r>
              <w:rPr>
                <w:color w:val="FF0000"/>
                <w:spacing w:val="-10"/>
                <w:sz w:val="24"/>
                <w:highlight w:val="none"/>
              </w:rPr>
              <w:t>配气压罐须提供压力容器生产许可证</w:t>
            </w:r>
            <w:r>
              <w:rPr>
                <w:rFonts w:hint="eastAsia"/>
                <w:color w:val="FF0000"/>
                <w:spacing w:val="-10"/>
                <w:sz w:val="24"/>
                <w:highlight w:val="none"/>
              </w:rPr>
              <w:t>，并出具探伤报告的得2分，否则不得分</w:t>
            </w:r>
            <w:r>
              <w:rPr>
                <w:color w:val="FF0000"/>
                <w:sz w:val="24"/>
                <w:highlight w:val="none"/>
              </w:rPr>
              <w:t>（</w:t>
            </w:r>
            <w:r>
              <w:rPr>
                <w:rFonts w:hint="eastAsia"/>
                <w:color w:val="FF0000"/>
                <w:sz w:val="24"/>
                <w:highlight w:val="none"/>
              </w:rPr>
              <w:t>提供扫描</w:t>
            </w:r>
            <w:r>
              <w:rPr>
                <w:color w:val="FF0000"/>
                <w:sz w:val="24"/>
                <w:highlight w:val="none"/>
              </w:rPr>
              <w:t>件加盖供应商公章）</w:t>
            </w:r>
          </w:p>
          <w:p>
            <w:pPr>
              <w:pStyle w:val="43"/>
              <w:spacing w:before="2"/>
              <w:ind w:right="-29"/>
              <w:rPr>
                <w:rFonts w:hint="eastAsia"/>
                <w:sz w:val="24"/>
                <w:highlight w:val="yellow"/>
                <w:lang w:val="en-US" w:eastAsia="zh-CN"/>
              </w:rPr>
            </w:pPr>
            <w:r>
              <w:rPr>
                <w:rFonts w:hint="eastAsia"/>
                <w:sz w:val="24"/>
                <w:highlight w:val="none"/>
                <w:lang w:eastAsia="zh-CN"/>
              </w:rPr>
              <w:t>（提供相应证明材料及照片的原件或扫描件并加盖供应商公章）</w:t>
            </w:r>
          </w:p>
        </w:tc>
      </w:tr>
      <w:tr>
        <w:tblPrEx>
          <w:tblCellMar>
            <w:top w:w="0" w:type="dxa"/>
            <w:left w:w="0" w:type="dxa"/>
            <w:bottom w:w="0" w:type="dxa"/>
            <w:right w:w="0" w:type="dxa"/>
          </w:tblCellMar>
        </w:tblPrEx>
        <w:trPr>
          <w:trHeight w:val="293" w:hRule="atLeast"/>
          <w:jc w:val="center"/>
        </w:trPr>
        <w:tc>
          <w:tcPr>
            <w:tcW w:w="919" w:type="dxa"/>
            <w:vMerge w:val="continue"/>
            <w:tcBorders>
              <w:left w:val="single" w:color="auto" w:sz="4" w:space="0"/>
              <w:right w:val="single" w:color="auto" w:sz="4" w:space="0"/>
            </w:tcBorders>
            <w:shd w:val="clear" w:color="auto" w:fill="FFFFFF"/>
            <w:vAlign w:val="center"/>
          </w:tcPr>
          <w:p>
            <w:pPr>
              <w:spacing w:line="360" w:lineRule="exact"/>
              <w:rPr>
                <w:rFonts w:ascii="宋体"/>
                <w:sz w:val="24"/>
                <w:szCs w:val="24"/>
              </w:rPr>
            </w:pPr>
          </w:p>
        </w:tc>
        <w:tc>
          <w:tcPr>
            <w:tcW w:w="777" w:type="dxa"/>
            <w:vMerge w:val="continue"/>
            <w:tcBorders>
              <w:left w:val="single" w:color="auto" w:sz="4" w:space="0"/>
              <w:bottom w:val="single" w:color="auto" w:sz="4" w:space="0"/>
              <w:right w:val="single" w:color="auto" w:sz="4" w:space="0"/>
            </w:tcBorders>
            <w:shd w:val="clear" w:color="auto" w:fill="FFFFFF"/>
          </w:tcPr>
          <w:p>
            <w:pPr>
              <w:rPr>
                <w:rFonts w:hint="eastAsia"/>
                <w:sz w:val="24"/>
              </w:rPr>
            </w:pPr>
          </w:p>
        </w:tc>
        <w:tc>
          <w:tcPr>
            <w:tcW w:w="736" w:type="dxa"/>
            <w:vMerge w:val="continue"/>
            <w:tcBorders>
              <w:left w:val="single" w:color="auto" w:sz="4" w:space="0"/>
              <w:bottom w:val="single" w:color="auto" w:sz="4" w:space="0"/>
              <w:right w:val="single" w:color="auto" w:sz="4" w:space="0"/>
            </w:tcBorders>
            <w:shd w:val="clear" w:color="auto" w:fill="FFFFFF"/>
            <w:vAlign w:val="center"/>
          </w:tcPr>
          <w:p>
            <w:pPr>
              <w:spacing w:line="420" w:lineRule="exact"/>
              <w:jc w:val="center"/>
              <w:rPr>
                <w:rFonts w:ascii="宋体"/>
                <w:sz w:val="24"/>
                <w:szCs w:val="24"/>
              </w:rPr>
            </w:pP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pacing w:before="2"/>
              <w:ind w:right="-29"/>
              <w:rPr>
                <w:rFonts w:hint="eastAsia"/>
                <w:sz w:val="24"/>
                <w:highlight w:val="yellow"/>
                <w:lang w:eastAsia="zh-CN"/>
              </w:rPr>
            </w:pPr>
            <w:r>
              <w:rPr>
                <w:rFonts w:hint="eastAsia" w:ascii="宋体" w:hAnsi="宋体" w:eastAsia="宋体" w:cs="宋体"/>
                <w:b w:val="0"/>
                <w:bCs/>
                <w:color w:val="FF0000"/>
                <w:sz w:val="24"/>
                <w:szCs w:val="24"/>
              </w:rPr>
              <w:t>水泵及控制柜柜体防护等级达到IP</w:t>
            </w:r>
            <w:r>
              <w:rPr>
                <w:rFonts w:hint="eastAsia" w:ascii="宋体" w:hAnsi="宋体" w:eastAsia="宋体" w:cs="宋体"/>
                <w:b w:val="0"/>
                <w:bCs/>
                <w:color w:val="FF0000"/>
                <w:sz w:val="24"/>
                <w:szCs w:val="24"/>
                <w:lang w:val="en-US" w:eastAsia="zh-CN"/>
              </w:rPr>
              <w:t>55</w:t>
            </w:r>
            <w:r>
              <w:rPr>
                <w:rFonts w:hint="eastAsia" w:ascii="宋体" w:hAnsi="宋体" w:eastAsia="宋体" w:cs="宋体"/>
                <w:b w:val="0"/>
                <w:bCs/>
                <w:color w:val="FF0000"/>
                <w:sz w:val="24"/>
                <w:szCs w:val="24"/>
              </w:rPr>
              <w:t>的得2分，否则不得分；提供市级及以上质检部门出具的质检报告（复印件加盖供应商公章）</w:t>
            </w:r>
          </w:p>
        </w:tc>
      </w:tr>
      <w:tr>
        <w:tblPrEx>
          <w:tblCellMar>
            <w:top w:w="0" w:type="dxa"/>
            <w:left w:w="0" w:type="dxa"/>
            <w:bottom w:w="0" w:type="dxa"/>
            <w:right w:w="0" w:type="dxa"/>
          </w:tblCellMar>
        </w:tblPrEx>
        <w:trPr>
          <w:trHeight w:val="341" w:hRule="atLeast"/>
          <w:jc w:val="center"/>
        </w:trPr>
        <w:tc>
          <w:tcPr>
            <w:tcW w:w="919" w:type="dxa"/>
            <w:vMerge w:val="continue"/>
            <w:tcBorders>
              <w:left w:val="single" w:color="auto" w:sz="4"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single" w:color="auto" w:sz="4" w:space="0"/>
              <w:right w:val="single" w:color="auto" w:sz="4" w:space="0"/>
            </w:tcBorders>
            <w:shd w:val="clear" w:color="auto" w:fill="FFFFFF"/>
            <w:vAlign w:val="center"/>
          </w:tcPr>
          <w:p>
            <w:pPr>
              <w:jc w:val="center"/>
              <w:rPr>
                <w:sz w:val="24"/>
              </w:rPr>
            </w:pPr>
            <w:r>
              <w:rPr>
                <w:sz w:val="24"/>
              </w:rPr>
              <w:t>材质</w:t>
            </w:r>
          </w:p>
          <w:p>
            <w:pPr>
              <w:jc w:val="center"/>
              <w:rPr>
                <w:rFonts w:hint="eastAsia"/>
                <w:sz w:val="24"/>
              </w:rPr>
            </w:pPr>
            <w:r>
              <w:rPr>
                <w:sz w:val="24"/>
              </w:rPr>
              <w:t>要求</w:t>
            </w:r>
          </w:p>
        </w:tc>
        <w:tc>
          <w:tcPr>
            <w:tcW w:w="736" w:type="dxa"/>
            <w:tcBorders>
              <w:top w:val="single" w:color="auto" w:sz="4" w:space="0"/>
              <w:left w:val="single" w:color="auto" w:sz="4" w:space="0"/>
              <w:right w:val="single" w:color="auto" w:sz="4" w:space="0"/>
            </w:tcBorders>
            <w:shd w:val="clear" w:color="auto" w:fill="FFFFFF"/>
            <w:vAlign w:val="center"/>
          </w:tcPr>
          <w:p>
            <w:pPr>
              <w:spacing w:line="420" w:lineRule="exact"/>
              <w:jc w:val="center"/>
              <w:rPr>
                <w:rFonts w:ascii="宋体"/>
                <w:sz w:val="24"/>
                <w:szCs w:val="24"/>
              </w:rPr>
            </w:pPr>
            <w:r>
              <w:rPr>
                <w:rFonts w:hint="eastAsia" w:ascii="宋体" w:hAnsi="宋体" w:cs="宋体"/>
                <w:sz w:val="24"/>
                <w:szCs w:val="24"/>
              </w:rPr>
              <w:t>2分</w:t>
            </w: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b w:val="0"/>
                <w:bCs/>
                <w:color w:val="FF0000"/>
                <w:sz w:val="24"/>
                <w:szCs w:val="24"/>
              </w:rPr>
            </w:pPr>
            <w:r>
              <w:rPr>
                <w:sz w:val="24"/>
              </w:rPr>
              <w:t>罐体和管路等过水部件材质采用 06Cr19Ni10 （ 依据GB/T20878）等级不锈钢或更高牌号的不锈钢材料材质的得 2 分，否则不得分；提供市级及以上质检部门出具的质检报告（</w:t>
            </w:r>
            <w:r>
              <w:rPr>
                <w:rFonts w:hint="eastAsia"/>
                <w:sz w:val="24"/>
              </w:rPr>
              <w:t>提供扫描</w:t>
            </w:r>
            <w:r>
              <w:rPr>
                <w:sz w:val="24"/>
              </w:rPr>
              <w:t>件加盖供应商公章）</w:t>
            </w:r>
          </w:p>
        </w:tc>
      </w:tr>
      <w:tr>
        <w:tblPrEx>
          <w:tblCellMar>
            <w:top w:w="0" w:type="dxa"/>
            <w:left w:w="0" w:type="dxa"/>
            <w:bottom w:w="0" w:type="dxa"/>
            <w:right w:w="0" w:type="dxa"/>
          </w:tblCellMar>
        </w:tblPrEx>
        <w:trPr>
          <w:trHeight w:val="1808" w:hRule="atLeast"/>
          <w:jc w:val="center"/>
        </w:trPr>
        <w:tc>
          <w:tcPr>
            <w:tcW w:w="919" w:type="dxa"/>
            <w:vMerge w:val="continue"/>
            <w:tcBorders>
              <w:left w:val="single" w:color="auto" w:sz="4" w:space="0"/>
              <w:right w:val="single" w:color="auto" w:sz="4" w:space="0"/>
            </w:tcBorders>
            <w:shd w:val="clear" w:color="auto" w:fill="FFFFFF"/>
            <w:vAlign w:val="center"/>
          </w:tcPr>
          <w:p>
            <w:pPr>
              <w:spacing w:line="360" w:lineRule="exact"/>
              <w:rPr>
                <w:rFonts w:ascii="宋体"/>
                <w:sz w:val="24"/>
                <w:szCs w:val="24"/>
              </w:rPr>
            </w:pPr>
          </w:p>
        </w:tc>
        <w:tc>
          <w:tcPr>
            <w:tcW w:w="777" w:type="dxa"/>
            <w:tcBorders>
              <w:top w:val="single" w:color="auto" w:sz="4" w:space="0"/>
              <w:left w:val="single" w:color="auto" w:sz="4" w:space="0"/>
              <w:bottom w:val="single" w:color="auto" w:sz="4" w:space="0"/>
              <w:right w:val="single" w:color="auto" w:sz="4" w:space="0"/>
            </w:tcBorders>
            <w:shd w:val="clear" w:color="auto" w:fill="FFFFFF"/>
          </w:tcPr>
          <w:p>
            <w:pPr>
              <w:rPr>
                <w:sz w:val="24"/>
              </w:rPr>
            </w:pPr>
          </w:p>
          <w:p>
            <w:pPr>
              <w:rPr>
                <w:rFonts w:ascii="宋体"/>
                <w:sz w:val="24"/>
                <w:szCs w:val="24"/>
              </w:rPr>
            </w:pPr>
            <w:r>
              <w:rPr>
                <w:rFonts w:hint="eastAsia"/>
                <w:sz w:val="24"/>
              </w:rPr>
              <w:t>控制系统先进性证明</w:t>
            </w:r>
          </w:p>
        </w:tc>
        <w:tc>
          <w:tcPr>
            <w:tcW w:w="7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20" w:lineRule="exact"/>
              <w:jc w:val="center"/>
              <w:rPr>
                <w:rFonts w:ascii="宋体"/>
                <w:sz w:val="24"/>
                <w:szCs w:val="24"/>
              </w:rPr>
            </w:pPr>
            <w:r>
              <w:rPr>
                <w:rFonts w:ascii="宋体" w:hAnsi="宋体" w:cs="宋体"/>
                <w:sz w:val="24"/>
                <w:szCs w:val="24"/>
              </w:rPr>
              <w:t>2</w:t>
            </w:r>
            <w:r>
              <w:rPr>
                <w:rFonts w:hint="eastAsia" w:ascii="宋体" w:hAnsi="宋体" w:cs="宋体"/>
                <w:sz w:val="24"/>
                <w:szCs w:val="24"/>
              </w:rPr>
              <w:t>分</w:t>
            </w: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ind w:left="7"/>
              <w:rPr>
                <w:rFonts w:hAnsi="宋体"/>
                <w:sz w:val="24"/>
                <w:szCs w:val="24"/>
              </w:rPr>
            </w:pPr>
            <w:r>
              <w:rPr>
                <w:rFonts w:hint="eastAsia"/>
                <w:sz w:val="24"/>
              </w:rPr>
              <w:t>根据各设备生产厂家提供的控制系统的功能、技术特点等，评价其先进性。成套给水设备中控制系统具有</w:t>
            </w:r>
            <w:r>
              <w:rPr>
                <w:rFonts w:hint="eastAsia"/>
                <w:sz w:val="24"/>
                <w:lang w:eastAsia="zh-CN"/>
              </w:rPr>
              <w:t>很高的</w:t>
            </w:r>
            <w:r>
              <w:rPr>
                <w:rFonts w:hint="eastAsia"/>
                <w:sz w:val="24"/>
              </w:rPr>
              <w:t>可操作性和先进性的得</w:t>
            </w:r>
            <w:r>
              <w:rPr>
                <w:sz w:val="24"/>
              </w:rPr>
              <w:t xml:space="preserve"> </w:t>
            </w:r>
            <w:r>
              <w:rPr>
                <w:rFonts w:hint="eastAsia"/>
                <w:sz w:val="24"/>
                <w:lang w:val="en-US" w:eastAsia="zh-CN"/>
              </w:rPr>
              <w:t>2</w:t>
            </w:r>
            <w:r>
              <w:rPr>
                <w:rFonts w:hint="eastAsia"/>
                <w:sz w:val="24"/>
              </w:rPr>
              <w:t>分，可操作性和先进性</w:t>
            </w:r>
            <w:r>
              <w:rPr>
                <w:rFonts w:hint="eastAsia"/>
                <w:sz w:val="24"/>
                <w:lang w:eastAsia="zh-CN"/>
              </w:rPr>
              <w:t>一般得</w:t>
            </w:r>
            <w:r>
              <w:rPr>
                <w:rFonts w:hint="eastAsia"/>
                <w:sz w:val="24"/>
                <w:lang w:val="en-US" w:eastAsia="zh-CN"/>
              </w:rPr>
              <w:t>1分，不具备</w:t>
            </w:r>
            <w:r>
              <w:rPr>
                <w:rFonts w:hint="eastAsia"/>
                <w:sz w:val="24"/>
              </w:rPr>
              <w:t>可操作性和先进性的不得分；（</w:t>
            </w:r>
            <w:r>
              <w:rPr>
                <w:rFonts w:hint="eastAsia"/>
                <w:sz w:val="24"/>
                <w:lang w:eastAsia="zh-CN"/>
              </w:rPr>
              <w:t>须</w:t>
            </w:r>
            <w:r>
              <w:rPr>
                <w:rFonts w:hint="eastAsia"/>
                <w:sz w:val="24"/>
              </w:rPr>
              <w:t>具备全变频功能并提供检验报告的原件或扫描件并加盖供应商公章</w:t>
            </w:r>
            <w:r>
              <w:rPr>
                <w:rFonts w:hint="eastAsia"/>
                <w:sz w:val="24"/>
                <w:lang w:eastAsia="zh-CN"/>
              </w:rPr>
              <w:t>，并提供原件备查</w:t>
            </w:r>
            <w:r>
              <w:rPr>
                <w:rFonts w:hint="eastAsia"/>
                <w:sz w:val="24"/>
              </w:rPr>
              <w:t>）</w:t>
            </w:r>
          </w:p>
        </w:tc>
      </w:tr>
      <w:tr>
        <w:tblPrEx>
          <w:tblCellMar>
            <w:top w:w="0" w:type="dxa"/>
            <w:left w:w="0" w:type="dxa"/>
            <w:bottom w:w="0" w:type="dxa"/>
            <w:right w:w="0" w:type="dxa"/>
          </w:tblCellMar>
        </w:tblPrEx>
        <w:trPr>
          <w:trHeight w:val="900" w:hRule="atLeast"/>
          <w:jc w:val="center"/>
        </w:trPr>
        <w:tc>
          <w:tcPr>
            <w:tcW w:w="919" w:type="dxa"/>
            <w:vMerge w:val="continue"/>
            <w:tcBorders>
              <w:left w:val="single" w:color="auto" w:sz="4" w:space="0"/>
              <w:right w:val="single" w:color="auto" w:sz="4" w:space="0"/>
            </w:tcBorders>
            <w:shd w:val="clear" w:color="auto" w:fill="FFFFFF"/>
            <w:vAlign w:val="center"/>
          </w:tcPr>
          <w:p>
            <w:pPr>
              <w:pStyle w:val="4"/>
            </w:pPr>
          </w:p>
        </w:tc>
        <w:tc>
          <w:tcPr>
            <w:tcW w:w="777" w:type="dxa"/>
            <w:tcBorders>
              <w:top w:val="single" w:color="auto" w:sz="4" w:space="0"/>
              <w:left w:val="single" w:color="auto" w:sz="4" w:space="0"/>
              <w:right w:val="single" w:color="auto" w:sz="4" w:space="0"/>
            </w:tcBorders>
            <w:shd w:val="clear" w:color="auto" w:fill="FFFFFF"/>
          </w:tcPr>
          <w:p>
            <w:pPr>
              <w:rPr>
                <w:sz w:val="24"/>
              </w:rPr>
            </w:pPr>
            <w:r>
              <w:rPr>
                <w:rFonts w:hint="eastAsia"/>
                <w:sz w:val="24"/>
              </w:rPr>
              <w:t>远程监控系统证明</w:t>
            </w:r>
          </w:p>
        </w:tc>
        <w:tc>
          <w:tcPr>
            <w:tcW w:w="736" w:type="dxa"/>
            <w:tcBorders>
              <w:top w:val="single" w:color="auto" w:sz="4" w:space="0"/>
              <w:left w:val="single" w:color="auto" w:sz="4" w:space="0"/>
              <w:right w:val="single" w:color="auto" w:sz="4" w:space="0"/>
            </w:tcBorders>
            <w:shd w:val="clear" w:color="auto" w:fill="FFFFFF"/>
            <w:vAlign w:val="center"/>
          </w:tcPr>
          <w:p>
            <w:pPr>
              <w:spacing w:line="420" w:lineRule="exact"/>
              <w:jc w:val="center"/>
              <w:rPr>
                <w:rFonts w:ascii="宋体" w:cs="宋体"/>
                <w:sz w:val="24"/>
                <w:szCs w:val="24"/>
              </w:rPr>
            </w:pPr>
            <w:r>
              <w:rPr>
                <w:rFonts w:ascii="宋体" w:hAnsi="宋体" w:cs="宋体"/>
                <w:sz w:val="24"/>
                <w:szCs w:val="24"/>
              </w:rPr>
              <w:t>3</w:t>
            </w:r>
            <w:r>
              <w:rPr>
                <w:rFonts w:hint="eastAsia" w:ascii="宋体" w:hAnsi="宋体" w:cs="宋体"/>
                <w:sz w:val="24"/>
                <w:szCs w:val="24"/>
              </w:rPr>
              <w:t>分</w:t>
            </w:r>
          </w:p>
        </w:tc>
        <w:tc>
          <w:tcPr>
            <w:tcW w:w="720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24"/>
              </w:rPr>
            </w:pPr>
            <w:r>
              <w:rPr>
                <w:rFonts w:hint="eastAsia"/>
                <w:sz w:val="24"/>
              </w:rPr>
              <w:t>投标设备的远程监控功能及实施方案，功能及方案操作性</w:t>
            </w:r>
            <w:r>
              <w:rPr>
                <w:rFonts w:hint="eastAsia"/>
                <w:sz w:val="24"/>
                <w:lang w:eastAsia="zh-CN"/>
              </w:rPr>
              <w:t>高</w:t>
            </w:r>
            <w:r>
              <w:rPr>
                <w:rFonts w:hint="eastAsia"/>
                <w:sz w:val="24"/>
              </w:rPr>
              <w:t>、合理可行性</w:t>
            </w:r>
            <w:r>
              <w:rPr>
                <w:rFonts w:hint="eastAsia"/>
                <w:sz w:val="24"/>
                <w:lang w:eastAsia="zh-CN"/>
              </w:rPr>
              <w:t>强</w:t>
            </w:r>
            <w:r>
              <w:rPr>
                <w:rFonts w:hint="eastAsia"/>
                <w:sz w:val="24"/>
              </w:rPr>
              <w:t>的得</w:t>
            </w:r>
            <w:r>
              <w:rPr>
                <w:sz w:val="24"/>
              </w:rPr>
              <w:t xml:space="preserve"> 3</w:t>
            </w:r>
            <w:r>
              <w:rPr>
                <w:spacing w:val="-9"/>
                <w:sz w:val="24"/>
              </w:rPr>
              <w:t xml:space="preserve"> </w:t>
            </w:r>
            <w:r>
              <w:rPr>
                <w:rFonts w:hint="eastAsia"/>
                <w:spacing w:val="-9"/>
                <w:sz w:val="24"/>
              </w:rPr>
              <w:t>分，</w:t>
            </w:r>
            <w:r>
              <w:rPr>
                <w:rFonts w:hint="eastAsia"/>
                <w:sz w:val="24"/>
              </w:rPr>
              <w:t>功能及方案操作性</w:t>
            </w:r>
            <w:r>
              <w:rPr>
                <w:rFonts w:hint="eastAsia"/>
                <w:sz w:val="24"/>
                <w:lang w:eastAsia="zh-CN"/>
              </w:rPr>
              <w:t>较高</w:t>
            </w:r>
            <w:r>
              <w:rPr>
                <w:rFonts w:hint="eastAsia"/>
                <w:sz w:val="24"/>
              </w:rPr>
              <w:t>、合理可行性</w:t>
            </w:r>
            <w:r>
              <w:rPr>
                <w:rFonts w:hint="eastAsia"/>
                <w:sz w:val="24"/>
                <w:lang w:eastAsia="zh-CN"/>
              </w:rPr>
              <w:t>较强</w:t>
            </w:r>
            <w:r>
              <w:rPr>
                <w:rFonts w:hint="eastAsia"/>
                <w:sz w:val="24"/>
              </w:rPr>
              <w:t>的得</w:t>
            </w:r>
            <w:r>
              <w:rPr>
                <w:sz w:val="24"/>
              </w:rPr>
              <w:t xml:space="preserve"> </w:t>
            </w:r>
            <w:r>
              <w:rPr>
                <w:rFonts w:hint="eastAsia"/>
                <w:sz w:val="24"/>
                <w:lang w:val="en-US" w:eastAsia="zh-CN"/>
              </w:rPr>
              <w:t>2</w:t>
            </w:r>
            <w:r>
              <w:rPr>
                <w:rFonts w:hint="eastAsia"/>
                <w:spacing w:val="-9"/>
                <w:sz w:val="24"/>
              </w:rPr>
              <w:t>分</w:t>
            </w:r>
            <w:r>
              <w:rPr>
                <w:rFonts w:hint="eastAsia"/>
                <w:spacing w:val="-9"/>
                <w:sz w:val="24"/>
                <w:lang w:eastAsia="zh-CN"/>
              </w:rPr>
              <w:t>，</w:t>
            </w:r>
            <w:r>
              <w:rPr>
                <w:rFonts w:hint="eastAsia"/>
                <w:sz w:val="24"/>
              </w:rPr>
              <w:t>功能及方案操作性</w:t>
            </w:r>
            <w:r>
              <w:rPr>
                <w:rFonts w:hint="eastAsia"/>
                <w:sz w:val="24"/>
                <w:lang w:eastAsia="zh-CN"/>
              </w:rPr>
              <w:t>一般</w:t>
            </w:r>
            <w:r>
              <w:rPr>
                <w:rFonts w:hint="eastAsia"/>
                <w:sz w:val="24"/>
              </w:rPr>
              <w:t>、合理可行性</w:t>
            </w:r>
            <w:r>
              <w:rPr>
                <w:rFonts w:hint="eastAsia"/>
                <w:sz w:val="24"/>
                <w:lang w:eastAsia="zh-CN"/>
              </w:rPr>
              <w:t>一般</w:t>
            </w:r>
            <w:r>
              <w:rPr>
                <w:rFonts w:hint="eastAsia"/>
                <w:sz w:val="24"/>
              </w:rPr>
              <w:t>的得</w:t>
            </w:r>
            <w:r>
              <w:rPr>
                <w:sz w:val="24"/>
              </w:rPr>
              <w:t xml:space="preserve"> 1</w:t>
            </w:r>
            <w:r>
              <w:rPr>
                <w:rFonts w:hint="eastAsia"/>
                <w:spacing w:val="-9"/>
                <w:sz w:val="24"/>
              </w:rPr>
              <w:t>分</w:t>
            </w:r>
            <w:r>
              <w:rPr>
                <w:rFonts w:hint="eastAsia"/>
                <w:spacing w:val="-9"/>
                <w:sz w:val="24"/>
                <w:lang w:eastAsia="zh-CN"/>
              </w:rPr>
              <w:t>，</w:t>
            </w:r>
            <w:r>
              <w:rPr>
                <w:rFonts w:hint="eastAsia"/>
                <w:spacing w:val="-9"/>
                <w:sz w:val="24"/>
              </w:rPr>
              <w:t>无方案或不合理的</w:t>
            </w:r>
            <w:r>
              <w:rPr>
                <w:rFonts w:hint="eastAsia"/>
                <w:sz w:val="24"/>
              </w:rPr>
              <w:t>不得分。</w:t>
            </w:r>
          </w:p>
        </w:tc>
      </w:tr>
      <w:tr>
        <w:tblPrEx>
          <w:tblCellMar>
            <w:top w:w="0" w:type="dxa"/>
            <w:left w:w="0" w:type="dxa"/>
            <w:bottom w:w="0" w:type="dxa"/>
            <w:right w:w="0" w:type="dxa"/>
          </w:tblCellMar>
        </w:tblPrEx>
        <w:trPr>
          <w:trHeight w:val="411" w:hRule="atLeast"/>
          <w:jc w:val="center"/>
        </w:trPr>
        <w:tc>
          <w:tcPr>
            <w:tcW w:w="96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420" w:lineRule="exact"/>
              <w:ind w:firstLine="482" w:firstLineChars="200"/>
              <w:jc w:val="left"/>
              <w:rPr>
                <w:rFonts w:ascii="宋体" w:cs="宋体"/>
                <w:sz w:val="24"/>
                <w:szCs w:val="24"/>
              </w:rPr>
            </w:pPr>
            <w:r>
              <w:rPr>
                <w:rFonts w:hint="eastAsia" w:ascii="宋体" w:hAnsi="宋体" w:cs="宋体"/>
                <w:b/>
                <w:bCs/>
                <w:sz w:val="24"/>
                <w:szCs w:val="24"/>
              </w:rPr>
              <w:t>说明</w:t>
            </w:r>
            <w:r>
              <w:rPr>
                <w:rFonts w:ascii="宋体" w:hAnsi="宋体" w:cs="宋体"/>
                <w:b/>
                <w:bCs/>
                <w:sz w:val="24"/>
                <w:szCs w:val="24"/>
              </w:rPr>
              <w:t>:</w:t>
            </w:r>
            <w:r>
              <w:rPr>
                <w:rFonts w:hint="eastAsia" w:ascii="宋体" w:hAnsi="宋体" w:cs="宋体"/>
                <w:b/>
                <w:bCs/>
                <w:sz w:val="24"/>
                <w:szCs w:val="24"/>
              </w:rPr>
              <w:t>若供应商技术评审</w:t>
            </w:r>
            <w:r>
              <w:rPr>
                <w:rFonts w:ascii="宋体" w:hAnsi="宋体" w:cs="宋体"/>
                <w:b/>
                <w:bCs/>
                <w:sz w:val="24"/>
                <w:szCs w:val="24"/>
              </w:rPr>
              <w:t>(</w:t>
            </w:r>
            <w:r>
              <w:rPr>
                <w:rFonts w:hint="eastAsia" w:ascii="宋体" w:hAnsi="宋体" w:cs="宋体"/>
                <w:b/>
                <w:bCs/>
                <w:sz w:val="24"/>
                <w:szCs w:val="24"/>
              </w:rPr>
              <w:t>总分</w:t>
            </w:r>
            <w:r>
              <w:rPr>
                <w:rFonts w:ascii="宋体" w:hAnsi="宋体" w:cs="宋体"/>
                <w:b/>
                <w:bCs/>
                <w:sz w:val="24"/>
                <w:szCs w:val="24"/>
              </w:rPr>
              <w:t>4</w:t>
            </w:r>
            <w:r>
              <w:rPr>
                <w:rFonts w:hint="eastAsia" w:ascii="宋体" w:hAnsi="宋体" w:cs="宋体"/>
                <w:b/>
                <w:bCs/>
                <w:sz w:val="24"/>
                <w:szCs w:val="24"/>
                <w:lang w:val="en-US" w:eastAsia="zh-CN"/>
              </w:rPr>
              <w:t>3</w:t>
            </w:r>
            <w:r>
              <w:rPr>
                <w:rFonts w:hint="eastAsia" w:ascii="宋体" w:hAnsi="宋体" w:cs="宋体"/>
                <w:b/>
                <w:bCs/>
                <w:sz w:val="24"/>
                <w:szCs w:val="24"/>
              </w:rPr>
              <w:t>分）得分小于技术评审总分</w:t>
            </w:r>
            <w:r>
              <w:rPr>
                <w:rFonts w:ascii="宋体" w:hAnsi="宋体" w:cs="宋体"/>
                <w:b/>
                <w:bCs/>
                <w:sz w:val="24"/>
                <w:szCs w:val="24"/>
              </w:rPr>
              <w:t>80%</w:t>
            </w:r>
            <w:r>
              <w:rPr>
                <w:rFonts w:hint="eastAsia" w:ascii="宋体" w:hAnsi="宋体" w:cs="宋体"/>
                <w:b/>
                <w:bCs/>
                <w:sz w:val="24"/>
                <w:szCs w:val="24"/>
              </w:rPr>
              <w:t>（即小于</w:t>
            </w:r>
            <w:r>
              <w:rPr>
                <w:rFonts w:hint="eastAsia" w:ascii="宋体" w:hAnsi="宋体" w:cs="宋体"/>
                <w:b/>
                <w:bCs/>
                <w:sz w:val="24"/>
                <w:szCs w:val="24"/>
                <w:lang w:val="en-US" w:eastAsia="zh-CN"/>
              </w:rPr>
              <w:t>34.4</w:t>
            </w:r>
            <w:r>
              <w:rPr>
                <w:rFonts w:hint="eastAsia" w:ascii="宋体" w:hAnsi="宋体" w:cs="宋体"/>
                <w:b/>
                <w:bCs/>
                <w:sz w:val="24"/>
                <w:szCs w:val="24"/>
              </w:rPr>
              <w:t>分）的，其评标总分分值得分为</w:t>
            </w:r>
            <w:r>
              <w:rPr>
                <w:rFonts w:ascii="宋体" w:cs="宋体"/>
                <w:b/>
                <w:bCs/>
                <w:sz w:val="24"/>
                <w:szCs w:val="24"/>
              </w:rPr>
              <w:t>0</w:t>
            </w:r>
            <w:r>
              <w:rPr>
                <w:rFonts w:hint="eastAsia" w:ascii="宋体" w:hAnsi="宋体" w:cs="宋体"/>
                <w:b/>
                <w:bCs/>
                <w:sz w:val="24"/>
                <w:szCs w:val="24"/>
              </w:rPr>
              <w:t>，且其供应商不得参与第二轮或多轮报价。</w:t>
            </w:r>
          </w:p>
        </w:tc>
      </w:tr>
    </w:tbl>
    <w:p>
      <w:pPr>
        <w:spacing w:line="360" w:lineRule="exact"/>
        <w:rPr>
          <w:rFonts w:ascii="新宋体" w:hAnsi="新宋体" w:eastAsia="新宋体"/>
          <w:b/>
          <w:bCs/>
          <w:sz w:val="24"/>
          <w:szCs w:val="24"/>
        </w:rPr>
      </w:pPr>
      <w:r>
        <w:rPr>
          <w:rFonts w:hint="eastAsia" w:ascii="新宋体" w:hAnsi="新宋体" w:eastAsia="新宋体" w:cs="新宋体"/>
          <w:b/>
          <w:bCs/>
          <w:sz w:val="24"/>
          <w:szCs w:val="24"/>
        </w:rPr>
        <w:t>注：</w:t>
      </w:r>
    </w:p>
    <w:p>
      <w:pPr>
        <w:spacing w:line="360" w:lineRule="exact"/>
        <w:ind w:firstLine="484" w:firstLineChars="202"/>
        <w:rPr>
          <w:rFonts w:ascii="新宋体" w:hAnsi="新宋体" w:eastAsia="新宋体"/>
          <w:sz w:val="24"/>
          <w:szCs w:val="24"/>
        </w:rPr>
      </w:pPr>
      <w:r>
        <w:rPr>
          <w:rFonts w:ascii="新宋体" w:hAnsi="新宋体" w:eastAsia="新宋体" w:cs="新宋体"/>
          <w:sz w:val="24"/>
          <w:szCs w:val="24"/>
        </w:rPr>
        <w:t>1</w:t>
      </w:r>
      <w:r>
        <w:rPr>
          <w:rFonts w:hint="eastAsia" w:ascii="新宋体" w:hAnsi="新宋体" w:eastAsia="新宋体" w:cs="新宋体"/>
          <w:sz w:val="24"/>
          <w:szCs w:val="24"/>
        </w:rPr>
        <w:t>、磋商小组按照磋商文件和本办法上述有关规定，对供应商进行评比打分。供应商的最终得分为磋商小组成员所评定分数的算术平均值。</w:t>
      </w:r>
    </w:p>
    <w:p>
      <w:pPr>
        <w:spacing w:line="360" w:lineRule="exact"/>
        <w:ind w:firstLine="484" w:firstLineChars="202"/>
        <w:rPr>
          <w:rFonts w:hint="eastAsia" w:ascii="新宋体" w:hAnsi="新宋体" w:eastAsia="新宋体" w:cs="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、各项统计、评分结果均按四舍五入方法精确到小数点后两位。</w:t>
      </w:r>
    </w:p>
    <w:p>
      <w:pPr>
        <w:spacing w:line="360" w:lineRule="exact"/>
        <w:ind w:firstLine="484" w:firstLineChars="202"/>
        <w:rPr>
          <w:rFonts w:hint="eastAsia" w:eastAsia="新宋体"/>
          <w:lang w:val="en-US" w:eastAsia="zh-CN"/>
        </w:rPr>
      </w:pPr>
      <w:r>
        <w:rPr>
          <w:rFonts w:hint="eastAsia" w:cs="新宋体"/>
          <w:sz w:val="24"/>
          <w:szCs w:val="24"/>
          <w:lang w:val="en-US" w:eastAsia="zh-CN"/>
        </w:rPr>
        <w:t>3、</w:t>
      </w:r>
      <w:r>
        <w:rPr>
          <w:rFonts w:hint="eastAsia"/>
          <w:spacing w:val="-9"/>
          <w:sz w:val="24"/>
        </w:rPr>
        <w:t>投标</w:t>
      </w:r>
      <w:r>
        <w:rPr>
          <w:rFonts w:hint="eastAsia"/>
          <w:spacing w:val="-9"/>
          <w:sz w:val="24"/>
          <w:lang w:eastAsia="zh-CN"/>
        </w:rPr>
        <w:t>响应</w:t>
      </w:r>
      <w:r>
        <w:rPr>
          <w:rFonts w:hint="eastAsia"/>
          <w:spacing w:val="-9"/>
          <w:sz w:val="24"/>
        </w:rPr>
        <w:t>文件中须提供投标人相应设备照片、设备采购合同和</w:t>
      </w:r>
      <w:r>
        <w:rPr>
          <w:rFonts w:hint="eastAsia"/>
          <w:spacing w:val="-7"/>
          <w:sz w:val="24"/>
        </w:rPr>
        <w:t>采购发票扫描件</w:t>
      </w:r>
      <w:r>
        <w:rPr>
          <w:rFonts w:hint="eastAsia"/>
          <w:spacing w:val="-7"/>
          <w:sz w:val="24"/>
          <w:lang w:eastAsia="zh-CN"/>
        </w:rPr>
        <w:t>并加盖供应商公章</w:t>
      </w:r>
      <w:r>
        <w:rPr>
          <w:rFonts w:hint="eastAsia"/>
          <w:spacing w:val="-7"/>
          <w:sz w:val="24"/>
        </w:rPr>
        <w:t>，中标后</w:t>
      </w:r>
      <w:r>
        <w:rPr>
          <w:rFonts w:hint="eastAsia"/>
          <w:spacing w:val="-7"/>
          <w:sz w:val="24"/>
          <w:lang w:eastAsia="zh-CN"/>
        </w:rPr>
        <w:t>采购人</w:t>
      </w:r>
      <w:r>
        <w:rPr>
          <w:rFonts w:hint="eastAsia"/>
          <w:spacing w:val="-7"/>
          <w:sz w:val="24"/>
        </w:rPr>
        <w:t>将对所承诺设备的生产和加</w:t>
      </w:r>
      <w:r>
        <w:rPr>
          <w:rFonts w:hint="eastAsia"/>
          <w:sz w:val="24"/>
        </w:rPr>
        <w:t>工工艺进行现场核验，如有虚假，即取消中标资格。</w:t>
      </w:r>
    </w:p>
    <w:p>
      <w:pPr>
        <w:spacing w:line="360" w:lineRule="exact"/>
        <w:ind w:firstLine="487" w:firstLineChars="202"/>
        <w:rPr>
          <w:rFonts w:ascii="新宋体" w:hAnsi="新宋体" w:eastAsia="新宋体"/>
          <w:b/>
          <w:bCs/>
          <w:sz w:val="24"/>
          <w:szCs w:val="24"/>
        </w:rPr>
      </w:pPr>
      <w:r>
        <w:rPr>
          <w:rFonts w:ascii="新宋体" w:hAnsi="新宋体" w:eastAsia="新宋体" w:cs="新宋体"/>
          <w:b/>
          <w:bCs/>
          <w:sz w:val="24"/>
          <w:szCs w:val="24"/>
        </w:rPr>
        <w:t>20.</w:t>
      </w:r>
      <w:r>
        <w:rPr>
          <w:rFonts w:hint="eastAsia" w:ascii="新宋体" w:hAnsi="新宋体" w:eastAsia="新宋体" w:cs="新宋体"/>
          <w:b/>
          <w:bCs/>
          <w:sz w:val="24"/>
          <w:szCs w:val="24"/>
        </w:rPr>
        <w:t>成交候选供应商及成交供应商的确定</w:t>
      </w:r>
    </w:p>
    <w:p>
      <w:pPr>
        <w:spacing w:line="360" w:lineRule="exact"/>
        <w:ind w:firstLine="460" w:firstLineChars="192"/>
        <w:rPr>
          <w:rFonts w:ascii="新宋体" w:hAnsi="新宋体" w:eastAsia="新宋体"/>
          <w:sz w:val="24"/>
          <w:szCs w:val="24"/>
        </w:rPr>
      </w:pPr>
      <w:r>
        <w:rPr>
          <w:rFonts w:ascii="新宋体" w:hAnsi="新宋体" w:eastAsia="新宋体" w:cs="新宋体"/>
          <w:sz w:val="24"/>
          <w:szCs w:val="24"/>
        </w:rPr>
        <w:t>20.1</w:t>
      </w:r>
      <w:r>
        <w:rPr>
          <w:rFonts w:hint="eastAsia" w:ascii="新宋体" w:hAnsi="新宋体" w:eastAsia="新宋体" w:cs="新宋体"/>
          <w:sz w:val="24"/>
          <w:szCs w:val="24"/>
        </w:rPr>
        <w:t>确定成交供应商的原则、标准及方法。</w:t>
      </w:r>
    </w:p>
    <w:p>
      <w:pPr>
        <w:tabs>
          <w:tab w:val="left" w:pos="420"/>
          <w:tab w:val="left" w:pos="525"/>
          <w:tab w:val="left" w:pos="630"/>
          <w:tab w:val="left" w:pos="735"/>
        </w:tabs>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20.1.1</w:t>
      </w:r>
      <w:r>
        <w:rPr>
          <w:rFonts w:hint="eastAsia" w:ascii="新宋体" w:hAnsi="新宋体" w:eastAsia="新宋体" w:cs="新宋体"/>
          <w:sz w:val="24"/>
          <w:szCs w:val="24"/>
        </w:rPr>
        <w:t>磋商小组应当从质量和服务均能满足采购文件实质性响应要求的供应商中，根据综合评分情况，按照评审得分由高至低顺序推荐</w:t>
      </w:r>
      <w:r>
        <w:rPr>
          <w:rFonts w:ascii="新宋体" w:hAnsi="新宋体" w:eastAsia="新宋体" w:cs="新宋体"/>
          <w:sz w:val="24"/>
          <w:szCs w:val="24"/>
        </w:rPr>
        <w:t>1-3</w:t>
      </w:r>
      <w:r>
        <w:rPr>
          <w:rFonts w:hint="eastAsia" w:ascii="新宋体" w:hAnsi="新宋体" w:eastAsia="新宋体" w:cs="新宋体"/>
          <w:sz w:val="24"/>
          <w:szCs w:val="24"/>
        </w:rPr>
        <w:t>名成交候选供应商，</w:t>
      </w:r>
      <w:r>
        <w:rPr>
          <w:rFonts w:hint="eastAsia" w:ascii="新宋体" w:hAnsi="新宋体" w:eastAsia="新宋体" w:cs="新宋体"/>
          <w:b/>
          <w:bCs/>
          <w:sz w:val="24"/>
          <w:szCs w:val="24"/>
        </w:rPr>
        <w:t>评审得分相同的按照最后有效报价得分由高到低的顺序推荐，评审得分且最后报价得分相同的，按照技术指标优劣顺序推荐</w:t>
      </w:r>
      <w:r>
        <w:rPr>
          <w:rFonts w:hint="eastAsia" w:ascii="新宋体" w:hAnsi="新宋体" w:eastAsia="新宋体" w:cs="新宋体"/>
          <w:sz w:val="24"/>
          <w:szCs w:val="24"/>
        </w:rPr>
        <w:t>，并按照《政府采购竞争性磋商采购方式管理暂行办法》要求推荐成交候选供应商，并编写评审报告。</w:t>
      </w:r>
    </w:p>
    <w:p>
      <w:pPr>
        <w:spacing w:line="360" w:lineRule="exact"/>
        <w:ind w:firstLine="460" w:firstLineChars="192"/>
        <w:rPr>
          <w:rFonts w:ascii="新宋体" w:hAnsi="新宋体" w:eastAsia="新宋体"/>
          <w:sz w:val="24"/>
          <w:szCs w:val="24"/>
        </w:rPr>
      </w:pPr>
      <w:r>
        <w:rPr>
          <w:rFonts w:ascii="新宋体" w:hAnsi="新宋体" w:eastAsia="新宋体" w:cs="新宋体"/>
          <w:sz w:val="24"/>
          <w:szCs w:val="24"/>
        </w:rPr>
        <w:t>20.1.2</w:t>
      </w:r>
      <w:r>
        <w:rPr>
          <w:rFonts w:hint="eastAsia" w:ascii="新宋体" w:hAnsi="新宋体" w:eastAsia="新宋体" w:cs="新宋体"/>
          <w:sz w:val="24"/>
          <w:szCs w:val="24"/>
        </w:rPr>
        <w:t>采购人应当在收到评审报告后</w:t>
      </w:r>
      <w:r>
        <w:rPr>
          <w:rFonts w:ascii="新宋体" w:hAnsi="新宋体" w:eastAsia="新宋体" w:cs="新宋体"/>
          <w:sz w:val="24"/>
          <w:szCs w:val="24"/>
        </w:rPr>
        <w:t>5</w:t>
      </w:r>
      <w:r>
        <w:rPr>
          <w:rFonts w:hint="eastAsia" w:ascii="新宋体" w:hAnsi="新宋体" w:eastAsia="新宋体" w:cs="新宋体"/>
          <w:sz w:val="24"/>
          <w:szCs w:val="24"/>
        </w:rPr>
        <w:t>个工作日内，从评审报告提出的成交候选供应商中，按照排序由高到低的原则确定成交供应商。采购人逾期未确定成交供应商且不提出异议的，视为确定评审报告提出的排序第一的供应商为成交供应商。评审得分且最后报价相同的，按照技术指标优劣顺序推荐。</w:t>
      </w:r>
    </w:p>
    <w:p>
      <w:pPr>
        <w:spacing w:line="360" w:lineRule="exact"/>
        <w:ind w:firstLine="460" w:firstLineChars="192"/>
        <w:rPr>
          <w:rFonts w:ascii="新宋体" w:hAnsi="新宋体" w:eastAsia="新宋体" w:cs="新宋体"/>
          <w:sz w:val="24"/>
          <w:szCs w:val="24"/>
        </w:rPr>
      </w:pPr>
      <w:r>
        <w:rPr>
          <w:rFonts w:ascii="新宋体" w:hAnsi="新宋体" w:eastAsia="新宋体" w:cs="新宋体"/>
          <w:sz w:val="24"/>
          <w:szCs w:val="24"/>
        </w:rPr>
        <w:t xml:space="preserve">20.2 </w:t>
      </w:r>
      <w:r>
        <w:rPr>
          <w:rFonts w:hint="eastAsia" w:ascii="新宋体" w:hAnsi="新宋体" w:eastAsia="新宋体" w:cs="新宋体"/>
          <w:sz w:val="24"/>
          <w:szCs w:val="24"/>
        </w:rPr>
        <w:t>成交结果通知书</w:t>
      </w:r>
      <w:r>
        <w:rPr>
          <w:rFonts w:ascii="新宋体" w:hAnsi="新宋体" w:eastAsia="新宋体" w:cs="新宋体"/>
          <w:sz w:val="24"/>
          <w:szCs w:val="24"/>
        </w:rPr>
        <w:t>:</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20.2.1</w:t>
      </w:r>
      <w:r>
        <w:rPr>
          <w:rFonts w:hint="eastAsia" w:ascii="新宋体" w:hAnsi="新宋体" w:eastAsia="新宋体" w:cs="新宋体"/>
          <w:sz w:val="24"/>
          <w:szCs w:val="24"/>
        </w:rPr>
        <w:t>成交结果发出时，采购人将向成交供应商发出《成交结果通知书》。</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 xml:space="preserve">20.2.2 </w:t>
      </w:r>
      <w:r>
        <w:rPr>
          <w:rFonts w:hint="eastAsia" w:ascii="新宋体" w:hAnsi="新宋体" w:eastAsia="新宋体" w:cs="新宋体"/>
          <w:sz w:val="24"/>
          <w:szCs w:val="24"/>
        </w:rPr>
        <w:t>成交结果通知书是合同的组成部分。</w:t>
      </w:r>
    </w:p>
    <w:p>
      <w:pPr>
        <w:kinsoku w:val="0"/>
        <w:autoSpaceDE w:val="0"/>
        <w:autoSpaceDN w:val="0"/>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20.2.3</w:t>
      </w:r>
      <w:r>
        <w:rPr>
          <w:rFonts w:hint="eastAsia" w:ascii="新宋体" w:hAnsi="新宋体" w:eastAsia="新宋体" w:cs="新宋体"/>
          <w:sz w:val="24"/>
          <w:szCs w:val="24"/>
        </w:rPr>
        <w:t>成交结果将在</w:t>
      </w:r>
      <w:r>
        <w:rPr>
          <w:rFonts w:hint="eastAsia" w:ascii="宋体" w:hAnsi="宋体" w:cs="宋体"/>
          <w:sz w:val="24"/>
          <w:szCs w:val="24"/>
        </w:rPr>
        <w:t>枝江金润源建设投资控股集团有限公司官网（</w:t>
      </w:r>
      <w:r>
        <w:rPr>
          <w:rFonts w:ascii="宋体" w:hAnsi="宋体" w:cs="宋体"/>
          <w:sz w:val="24"/>
          <w:szCs w:val="24"/>
        </w:rPr>
        <w:t xml:space="preserve"> http://www.zjjryjt.cn/</w:t>
      </w:r>
      <w:r>
        <w:rPr>
          <w:rFonts w:hint="eastAsia" w:ascii="宋体" w:hAnsi="宋体" w:cs="宋体"/>
          <w:sz w:val="24"/>
          <w:szCs w:val="24"/>
        </w:rPr>
        <w:t>）</w:t>
      </w:r>
      <w:r>
        <w:rPr>
          <w:rFonts w:hint="eastAsia" w:ascii="新宋体" w:hAnsi="新宋体" w:eastAsia="新宋体" w:cs="新宋体"/>
          <w:sz w:val="24"/>
          <w:szCs w:val="24"/>
        </w:rPr>
        <w:t>“中标公告”进行发布。</w:t>
      </w:r>
    </w:p>
    <w:p>
      <w:pPr>
        <w:spacing w:line="360" w:lineRule="exact"/>
        <w:ind w:firstLine="480" w:firstLineChars="200"/>
        <w:rPr>
          <w:rFonts w:ascii="新宋体" w:hAnsi="新宋体" w:eastAsia="新宋体" w:cs="新宋体"/>
          <w:sz w:val="24"/>
          <w:szCs w:val="24"/>
        </w:rPr>
      </w:pPr>
      <w:r>
        <w:rPr>
          <w:rFonts w:ascii="新宋体" w:hAnsi="新宋体" w:eastAsia="新宋体" w:cs="新宋体"/>
          <w:sz w:val="24"/>
          <w:szCs w:val="24"/>
        </w:rPr>
        <w:t>20.2.4</w:t>
      </w:r>
      <w:r>
        <w:rPr>
          <w:rFonts w:hint="eastAsia" w:ascii="新宋体" w:hAnsi="新宋体" w:eastAsia="新宋体" w:cs="新宋体"/>
          <w:sz w:val="24"/>
          <w:szCs w:val="24"/>
        </w:rPr>
        <w:t>供应商提供虚假资料骗取成交资格的，一经发现，取消本次成交资格、列入不良行为记录；不履行合同和服务承诺的，将给予禁止进入本区域公共资源交易市场的处罚，并将处理结果在公共资源交易平台进行公告。</w:t>
      </w:r>
    </w:p>
    <w:p>
      <w:pPr>
        <w:pStyle w:val="29"/>
        <w:ind w:firstLine="31680"/>
        <w:rPr>
          <w:rFonts w:ascii="新宋体" w:hAnsi="新宋体" w:eastAsia="新宋体" w:cs="新宋体"/>
          <w:kern w:val="2"/>
          <w:sz w:val="24"/>
          <w:szCs w:val="24"/>
        </w:rPr>
      </w:pPr>
      <w:r>
        <w:rPr>
          <w:rFonts w:ascii="新宋体" w:hAnsi="新宋体" w:eastAsia="新宋体" w:cs="新宋体"/>
          <w:kern w:val="2"/>
          <w:sz w:val="24"/>
          <w:szCs w:val="24"/>
        </w:rPr>
        <w:t xml:space="preserve">20.3 </w:t>
      </w:r>
      <w:r>
        <w:rPr>
          <w:rFonts w:hint="eastAsia" w:ascii="新宋体" w:hAnsi="新宋体" w:eastAsia="新宋体" w:cs="新宋体"/>
          <w:kern w:val="2"/>
          <w:sz w:val="24"/>
          <w:szCs w:val="24"/>
        </w:rPr>
        <w:t>履约保证金</w:t>
      </w:r>
    </w:p>
    <w:p>
      <w:pPr>
        <w:spacing w:line="400" w:lineRule="exact"/>
        <w:ind w:firstLine="482"/>
        <w:rPr>
          <w:rFonts w:ascii="新宋体" w:hAnsi="新宋体" w:eastAsia="新宋体" w:cs="新宋体"/>
          <w:sz w:val="24"/>
          <w:szCs w:val="24"/>
        </w:rPr>
      </w:pPr>
      <w:r>
        <w:rPr>
          <w:rFonts w:ascii="新宋体" w:hAnsi="新宋体" w:eastAsia="新宋体" w:cs="新宋体"/>
          <w:sz w:val="24"/>
          <w:szCs w:val="24"/>
        </w:rPr>
        <w:t xml:space="preserve">20.3.1 </w:t>
      </w:r>
      <w:r>
        <w:rPr>
          <w:rFonts w:hint="eastAsia" w:ascii="新宋体" w:hAnsi="新宋体" w:eastAsia="新宋体" w:cs="新宋体"/>
          <w:sz w:val="24"/>
          <w:szCs w:val="24"/>
        </w:rPr>
        <w:t>在签订合同前，成交供应商应按投磋商文件中前附表规定的金额、担保形式或者事先经过采购人书面认可的履约保证金格式向采购人提交履约担保。联合体中标的，其履约保证金由牵头人递交，并应符合磋商文件中前附表的规定。</w:t>
      </w:r>
    </w:p>
    <w:p>
      <w:pPr>
        <w:spacing w:line="400" w:lineRule="exact"/>
        <w:ind w:firstLine="482"/>
        <w:rPr>
          <w:rFonts w:ascii="新宋体" w:hAnsi="新宋体" w:eastAsia="新宋体" w:cs="新宋体"/>
          <w:sz w:val="24"/>
          <w:szCs w:val="24"/>
        </w:rPr>
      </w:pPr>
      <w:r>
        <w:rPr>
          <w:rFonts w:ascii="新宋体" w:hAnsi="新宋体" w:eastAsia="新宋体" w:cs="新宋体"/>
          <w:sz w:val="24"/>
          <w:szCs w:val="24"/>
        </w:rPr>
        <w:t xml:space="preserve">20.3.2 </w:t>
      </w:r>
      <w:r>
        <w:rPr>
          <w:rFonts w:hint="eastAsia" w:ascii="新宋体" w:hAnsi="新宋体" w:eastAsia="新宋体" w:cs="新宋体"/>
          <w:sz w:val="24"/>
          <w:szCs w:val="24"/>
        </w:rPr>
        <w:t>成交供应商不能按本章第</w:t>
      </w:r>
      <w:r>
        <w:rPr>
          <w:rFonts w:ascii="新宋体" w:hAnsi="新宋体" w:eastAsia="新宋体" w:cs="新宋体"/>
          <w:sz w:val="24"/>
          <w:szCs w:val="24"/>
        </w:rPr>
        <w:t xml:space="preserve">20.3.1 </w:t>
      </w:r>
      <w:r>
        <w:rPr>
          <w:rFonts w:hint="eastAsia" w:ascii="新宋体" w:hAnsi="新宋体" w:eastAsia="新宋体" w:cs="新宋体"/>
          <w:sz w:val="24"/>
          <w:szCs w:val="24"/>
        </w:rPr>
        <w:t>项要求提交履约保证金的，视为放弃成交资格。</w:t>
      </w:r>
    </w:p>
    <w:p>
      <w:pPr>
        <w:spacing w:line="360" w:lineRule="exact"/>
        <w:ind w:firstLine="460" w:firstLineChars="191"/>
        <w:outlineLvl w:val="1"/>
        <w:rPr>
          <w:rFonts w:ascii="新宋体" w:hAnsi="新宋体" w:eastAsia="新宋体"/>
          <w:b/>
          <w:bCs/>
          <w:sz w:val="24"/>
          <w:szCs w:val="24"/>
        </w:rPr>
      </w:pPr>
      <w:bookmarkStart w:id="41" w:name="_Toc29182"/>
      <w:r>
        <w:rPr>
          <w:rFonts w:hint="eastAsia" w:ascii="新宋体" w:hAnsi="新宋体" w:eastAsia="新宋体" w:cs="新宋体"/>
          <w:b/>
          <w:bCs/>
          <w:sz w:val="24"/>
          <w:szCs w:val="24"/>
        </w:rPr>
        <w:t>五、合同的签订</w:t>
      </w:r>
      <w:bookmarkEnd w:id="41"/>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21</w:t>
      </w:r>
      <w:r>
        <w:rPr>
          <w:rFonts w:hint="eastAsia" w:ascii="新宋体" w:hAnsi="新宋体" w:eastAsia="新宋体" w:cs="新宋体"/>
          <w:b/>
          <w:bCs/>
          <w:sz w:val="24"/>
          <w:szCs w:val="24"/>
        </w:rPr>
        <w:t>、合同的签订及备案</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21.1</w:t>
      </w:r>
      <w:r>
        <w:rPr>
          <w:rFonts w:hint="eastAsia" w:ascii="新宋体" w:hAnsi="新宋体" w:eastAsia="新宋体" w:cs="新宋体"/>
          <w:sz w:val="24"/>
          <w:szCs w:val="24"/>
        </w:rPr>
        <w:t>成交供应商收到成交结果通知书后，应及时与采购人签订采购合同。</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 xml:space="preserve">21.2 </w:t>
      </w:r>
      <w:r>
        <w:rPr>
          <w:rFonts w:hint="eastAsia" w:ascii="新宋体" w:hAnsi="新宋体" w:eastAsia="新宋体" w:cs="新宋体"/>
          <w:sz w:val="24"/>
          <w:szCs w:val="24"/>
        </w:rPr>
        <w:t>采购人与成交供应商必须按照磋商文件、磋商响应文件的内容和成交供应商的最终报价及最终书面承诺，签订采购合同。不得违背上述原则签订合同，也不得另签背离合同实质性内容的其他协议。</w:t>
      </w:r>
    </w:p>
    <w:p>
      <w:pPr>
        <w:spacing w:line="360" w:lineRule="exact"/>
        <w:ind w:firstLine="458" w:firstLineChars="191"/>
        <w:rPr>
          <w:rFonts w:ascii="新宋体" w:hAnsi="新宋体" w:eastAsia="新宋体"/>
          <w:sz w:val="24"/>
          <w:szCs w:val="24"/>
        </w:rPr>
      </w:pPr>
      <w:r>
        <w:rPr>
          <w:rFonts w:ascii="新宋体" w:hAnsi="新宋体" w:eastAsia="新宋体" w:cs="新宋体"/>
          <w:sz w:val="24"/>
          <w:szCs w:val="24"/>
        </w:rPr>
        <w:t>21.3</w:t>
      </w:r>
      <w:r>
        <w:rPr>
          <w:rFonts w:hint="eastAsia" w:ascii="新宋体" w:hAnsi="新宋体" w:eastAsia="新宋体" w:cs="新宋体"/>
          <w:sz w:val="24"/>
          <w:szCs w:val="24"/>
        </w:rPr>
        <w:t>如果供应商没有按照上述规定签订合同，采购人有权取消其所获得的成交资格。成交供应商因不可抗力或者自身原因提出不能履行合同的，采购人可以与排名第二的成交供应商签订合同，以此类推。</w:t>
      </w:r>
    </w:p>
    <w:p>
      <w:pPr>
        <w:spacing w:line="360" w:lineRule="exact"/>
        <w:ind w:firstLine="458" w:firstLineChars="191"/>
        <w:rPr>
          <w:rFonts w:ascii="新宋体" w:hAnsi="新宋体" w:eastAsia="新宋体" w:cs="新宋体"/>
          <w:sz w:val="24"/>
          <w:szCs w:val="24"/>
        </w:rPr>
      </w:pPr>
      <w:r>
        <w:rPr>
          <w:rFonts w:ascii="新宋体" w:hAnsi="新宋体" w:eastAsia="新宋体" w:cs="新宋体"/>
          <w:sz w:val="24"/>
          <w:szCs w:val="24"/>
        </w:rPr>
        <w:t>21.4</w:t>
      </w:r>
      <w:r>
        <w:rPr>
          <w:rFonts w:hint="eastAsia" w:ascii="新宋体" w:hAnsi="新宋体" w:eastAsia="新宋体" w:cs="新宋体"/>
          <w:sz w:val="24"/>
          <w:szCs w:val="24"/>
        </w:rPr>
        <w:t>成交供应商不得向他人转让成交项目，如果成交供应商在履行合同时发生违约行为，采购人有权终止合同。其履约保证金不予退还，给采购人造成的损失超过履约保证金数额的，成交供应商还应当对超过部分予以赔偿。</w:t>
      </w:r>
    </w:p>
    <w:p>
      <w:pPr>
        <w:spacing w:line="360" w:lineRule="exact"/>
        <w:ind w:firstLine="472" w:firstLineChars="196"/>
        <w:outlineLvl w:val="1"/>
        <w:rPr>
          <w:rFonts w:ascii="新宋体" w:hAnsi="新宋体" w:eastAsia="新宋体"/>
          <w:b/>
          <w:bCs/>
          <w:sz w:val="24"/>
          <w:szCs w:val="24"/>
        </w:rPr>
      </w:pPr>
      <w:bookmarkStart w:id="42" w:name="_Toc16876"/>
      <w:r>
        <w:rPr>
          <w:rFonts w:hint="eastAsia" w:ascii="新宋体" w:hAnsi="新宋体" w:eastAsia="新宋体" w:cs="新宋体"/>
          <w:b/>
          <w:bCs/>
          <w:sz w:val="24"/>
          <w:szCs w:val="24"/>
        </w:rPr>
        <w:t>六、其他说明</w:t>
      </w:r>
      <w:bookmarkEnd w:id="42"/>
    </w:p>
    <w:p>
      <w:pPr>
        <w:spacing w:line="360" w:lineRule="exact"/>
        <w:ind w:firstLine="458" w:firstLineChars="191"/>
        <w:rPr>
          <w:rFonts w:ascii="新宋体" w:hAnsi="新宋体" w:eastAsia="新宋体"/>
          <w:sz w:val="24"/>
          <w:szCs w:val="24"/>
        </w:rPr>
      </w:pPr>
      <w:r>
        <w:rPr>
          <w:rFonts w:hint="eastAsia" w:ascii="新宋体" w:hAnsi="新宋体" w:eastAsia="新宋体" w:cs="新宋体"/>
          <w:sz w:val="24"/>
          <w:szCs w:val="24"/>
        </w:rPr>
        <w:t>成交供应商拒绝签订合同的，采购人可以按照《公共资源交易竞争性磋商采购方式管理暂行办法》第二十八条第二款规定的原则确定其他供应商作为成交供应商并签订合同，也可以重新开展采购活动。拒绝签订合同的成交供应商不得参加对该项目重新开展的采购活动。</w:t>
      </w:r>
    </w:p>
    <w:p>
      <w:pPr>
        <w:spacing w:line="360" w:lineRule="exact"/>
        <w:ind w:firstLine="460" w:firstLineChars="191"/>
        <w:rPr>
          <w:rFonts w:ascii="新宋体" w:hAnsi="新宋体" w:eastAsia="新宋体"/>
          <w:b/>
          <w:bCs/>
          <w:sz w:val="24"/>
          <w:szCs w:val="24"/>
        </w:rPr>
      </w:pPr>
      <w:r>
        <w:rPr>
          <w:rFonts w:ascii="新宋体" w:hAnsi="新宋体" w:eastAsia="新宋体" w:cs="新宋体"/>
          <w:b/>
          <w:bCs/>
          <w:sz w:val="24"/>
          <w:szCs w:val="24"/>
        </w:rPr>
        <w:t>22.</w:t>
      </w:r>
      <w:r>
        <w:rPr>
          <w:rFonts w:hint="eastAsia" w:ascii="新宋体" w:hAnsi="新宋体" w:eastAsia="新宋体" w:cs="新宋体"/>
          <w:b/>
          <w:bCs/>
          <w:sz w:val="24"/>
          <w:szCs w:val="24"/>
        </w:rPr>
        <w:t>争议的解决</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 xml:space="preserve">22.1 </w:t>
      </w:r>
      <w:r>
        <w:rPr>
          <w:rFonts w:hint="eastAsia" w:ascii="新宋体" w:hAnsi="新宋体" w:eastAsia="新宋体" w:cs="新宋体"/>
          <w:sz w:val="24"/>
          <w:szCs w:val="24"/>
        </w:rPr>
        <w:t>成交供应商和采购人在执行合同期间发生纠纷，应按以下方式解决：</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22.1.1</w:t>
      </w:r>
      <w:r>
        <w:rPr>
          <w:rFonts w:hint="eastAsia" w:ascii="新宋体" w:hAnsi="新宋体" w:eastAsia="新宋体" w:cs="新宋体"/>
          <w:sz w:val="24"/>
          <w:szCs w:val="24"/>
        </w:rPr>
        <w:t>双方应友好协商，解决争议；</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22.1.2</w:t>
      </w:r>
      <w:r>
        <w:rPr>
          <w:rFonts w:hint="eastAsia" w:ascii="新宋体" w:hAnsi="新宋体" w:eastAsia="新宋体" w:cs="新宋体"/>
          <w:sz w:val="24"/>
          <w:szCs w:val="24"/>
        </w:rPr>
        <w:t>向当地仲裁机构提出仲裁申请；</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22.1.3</w:t>
      </w:r>
      <w:r>
        <w:rPr>
          <w:rFonts w:hint="eastAsia" w:ascii="新宋体" w:hAnsi="新宋体" w:eastAsia="新宋体" w:cs="新宋体"/>
          <w:sz w:val="24"/>
          <w:szCs w:val="24"/>
        </w:rPr>
        <w:t>向当地人民法院提起诉讼。</w:t>
      </w: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 xml:space="preserve">23. </w:t>
      </w:r>
      <w:r>
        <w:rPr>
          <w:rFonts w:hint="eastAsia" w:ascii="新宋体" w:hAnsi="新宋体" w:eastAsia="新宋体" w:cs="新宋体"/>
          <w:b/>
          <w:bCs/>
          <w:sz w:val="24"/>
          <w:szCs w:val="24"/>
        </w:rPr>
        <w:t>保密及其他注意事项</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23.1</w:t>
      </w:r>
      <w:r>
        <w:rPr>
          <w:rFonts w:hint="eastAsia" w:ascii="新宋体" w:hAnsi="新宋体" w:eastAsia="新宋体" w:cs="新宋体"/>
          <w:sz w:val="24"/>
          <w:szCs w:val="24"/>
        </w:rPr>
        <w:t>在开标、磋商、评审期间，供应商不得向磋商小组询问磋商情况，不得进行旨在影响磋商结果的活动。</w:t>
      </w:r>
    </w:p>
    <w:p>
      <w:pPr>
        <w:pStyle w:val="34"/>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23.2</w:t>
      </w:r>
      <w:r>
        <w:rPr>
          <w:rFonts w:hint="eastAsia" w:ascii="新宋体" w:hAnsi="新宋体" w:eastAsia="新宋体" w:cs="新宋体"/>
          <w:sz w:val="24"/>
          <w:szCs w:val="24"/>
        </w:rPr>
        <w:t>为保证磋商的公正性，在磋商过程中，磋商小组不得与供应商私下交换意见。</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23.3</w:t>
      </w:r>
      <w:r>
        <w:rPr>
          <w:rFonts w:hint="eastAsia" w:ascii="新宋体" w:hAnsi="新宋体" w:eastAsia="新宋体" w:cs="新宋体"/>
          <w:sz w:val="24"/>
          <w:szCs w:val="24"/>
        </w:rPr>
        <w:t>本次磋商采购活动结束之后，采购人对参加磋商供应商提交的磋商文件及相关资料一律不予退还。</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23.4</w:t>
      </w:r>
      <w:r>
        <w:rPr>
          <w:rFonts w:hint="eastAsia" w:ascii="新宋体" w:hAnsi="新宋体" w:eastAsia="新宋体" w:cs="新宋体"/>
          <w:sz w:val="24"/>
          <w:szCs w:val="24"/>
        </w:rPr>
        <w:t>磋商小组的工作人员，不得将磋商的有关情况向他人透露。</w:t>
      </w:r>
    </w:p>
    <w:p>
      <w:pPr>
        <w:spacing w:line="360" w:lineRule="exact"/>
        <w:ind w:firstLine="482" w:firstLineChars="200"/>
        <w:rPr>
          <w:rFonts w:ascii="新宋体" w:hAnsi="新宋体" w:eastAsia="新宋体"/>
          <w:b/>
          <w:bCs/>
          <w:sz w:val="24"/>
          <w:szCs w:val="24"/>
        </w:rPr>
      </w:pPr>
      <w:r>
        <w:rPr>
          <w:rFonts w:ascii="新宋体" w:hAnsi="新宋体" w:eastAsia="新宋体" w:cs="新宋体"/>
          <w:b/>
          <w:bCs/>
          <w:sz w:val="24"/>
          <w:szCs w:val="24"/>
        </w:rPr>
        <w:t xml:space="preserve">24. </w:t>
      </w:r>
      <w:r>
        <w:rPr>
          <w:rFonts w:hint="eastAsia" w:ascii="新宋体" w:hAnsi="新宋体" w:eastAsia="新宋体" w:cs="新宋体"/>
          <w:b/>
          <w:bCs/>
          <w:sz w:val="24"/>
          <w:szCs w:val="24"/>
        </w:rPr>
        <w:t>询问与质疑</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24.1</w:t>
      </w:r>
      <w:r>
        <w:rPr>
          <w:rFonts w:hint="eastAsia" w:ascii="新宋体" w:hAnsi="新宋体" w:eastAsia="新宋体" w:cs="新宋体"/>
          <w:sz w:val="24"/>
          <w:szCs w:val="24"/>
        </w:rPr>
        <w:t>如果供应商对采购结果有异议的，应当在采购结果公示期间以书面形式先向采购人或采购代理机构提出质疑。质疑文件须经磋商供应商法人代表签字并加盖单位行政公章。</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24.2</w:t>
      </w:r>
      <w:r>
        <w:rPr>
          <w:rFonts w:hint="eastAsia" w:ascii="新宋体" w:hAnsi="新宋体" w:eastAsia="新宋体" w:cs="新宋体"/>
          <w:sz w:val="24"/>
          <w:szCs w:val="24"/>
        </w:rPr>
        <w:t>质疑供应商对采购人、采购代理机构的答复不满意或者采购人、采购代理机构未在规定的时间内作出答复的，可以在答复期满后十五个工作日内向公共资源交易监督管理部门投诉。</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24.3</w:t>
      </w:r>
      <w:r>
        <w:rPr>
          <w:rFonts w:hint="eastAsia" w:ascii="新宋体" w:hAnsi="新宋体" w:eastAsia="新宋体" w:cs="新宋体"/>
          <w:sz w:val="24"/>
          <w:szCs w:val="24"/>
        </w:rPr>
        <w:t>投诉人投诉时，应当提交投诉书，投诉书包括下列主要内容：</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24.3.1</w:t>
      </w:r>
      <w:r>
        <w:rPr>
          <w:rFonts w:hint="eastAsia" w:ascii="新宋体" w:hAnsi="新宋体" w:eastAsia="新宋体" w:cs="新宋体"/>
          <w:sz w:val="24"/>
          <w:szCs w:val="24"/>
        </w:rPr>
        <w:t>投诉人和被投诉人的名称、地址、电话；</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24.3.2</w:t>
      </w:r>
      <w:r>
        <w:rPr>
          <w:rFonts w:hint="eastAsia" w:ascii="新宋体" w:hAnsi="新宋体" w:eastAsia="新宋体" w:cs="新宋体"/>
          <w:sz w:val="24"/>
          <w:szCs w:val="24"/>
        </w:rPr>
        <w:t>具体的投诉事项及事实依据；</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24.3.3</w:t>
      </w:r>
      <w:r>
        <w:rPr>
          <w:rFonts w:hint="eastAsia" w:ascii="新宋体" w:hAnsi="新宋体" w:eastAsia="新宋体" w:cs="新宋体"/>
          <w:sz w:val="24"/>
          <w:szCs w:val="24"/>
        </w:rPr>
        <w:t>质疑内容和质疑答复情况及相关证明材料；</w:t>
      </w:r>
    </w:p>
    <w:p>
      <w:pPr>
        <w:spacing w:line="360" w:lineRule="exact"/>
        <w:ind w:firstLine="480" w:firstLineChars="200"/>
        <w:rPr>
          <w:rFonts w:ascii="新宋体" w:hAnsi="新宋体" w:eastAsia="新宋体"/>
          <w:sz w:val="24"/>
          <w:szCs w:val="24"/>
        </w:rPr>
      </w:pPr>
      <w:r>
        <w:rPr>
          <w:rFonts w:ascii="新宋体" w:hAnsi="新宋体" w:eastAsia="新宋体" w:cs="新宋体"/>
          <w:sz w:val="24"/>
          <w:szCs w:val="24"/>
        </w:rPr>
        <w:t>24.3.4</w:t>
      </w:r>
      <w:r>
        <w:rPr>
          <w:rFonts w:hint="eastAsia" w:ascii="新宋体" w:hAnsi="新宋体" w:eastAsia="新宋体" w:cs="新宋体"/>
          <w:sz w:val="24"/>
          <w:szCs w:val="24"/>
        </w:rPr>
        <w:t>提起投诉的日期。</w:t>
      </w:r>
    </w:p>
    <w:p>
      <w:pPr>
        <w:spacing w:line="360" w:lineRule="exact"/>
        <w:ind w:firstLine="480" w:firstLineChars="200"/>
        <w:rPr>
          <w:rFonts w:ascii="新宋体" w:hAnsi="新宋体" w:eastAsia="新宋体"/>
          <w:sz w:val="24"/>
          <w:szCs w:val="24"/>
        </w:rPr>
      </w:pPr>
      <w:r>
        <w:rPr>
          <w:rFonts w:hint="eastAsia" w:ascii="新宋体" w:hAnsi="新宋体" w:eastAsia="新宋体" w:cs="新宋体"/>
          <w:sz w:val="24"/>
          <w:szCs w:val="24"/>
        </w:rPr>
        <w:t>投诉书应当署名。投诉人为法人或者其他组织的，应当由法定代表人或者主要负责人签字并加盖单位行政公章。</w:t>
      </w:r>
    </w:p>
    <w:p>
      <w:pPr>
        <w:spacing w:line="360" w:lineRule="exact"/>
        <w:ind w:firstLine="480" w:firstLineChars="200"/>
        <w:rPr>
          <w:rFonts w:ascii="宋体"/>
          <w:kern w:val="1"/>
          <w:sz w:val="44"/>
          <w:szCs w:val="44"/>
        </w:rPr>
      </w:pPr>
      <w:r>
        <w:rPr>
          <w:rFonts w:ascii="新宋体" w:hAnsi="新宋体" w:eastAsia="新宋体" w:cs="新宋体"/>
          <w:sz w:val="24"/>
          <w:szCs w:val="24"/>
        </w:rPr>
        <w:t>24.4</w:t>
      </w:r>
      <w:r>
        <w:rPr>
          <w:rFonts w:hint="eastAsia" w:ascii="新宋体" w:hAnsi="新宋体" w:eastAsia="新宋体" w:cs="新宋体"/>
          <w:sz w:val="24"/>
          <w:szCs w:val="24"/>
        </w:rPr>
        <w:t>供应商如需质疑或投诉。应当按照法律规定的先质疑、后投诉的程序进行，并不得虚假恶意投诉。否则，监管机构将依据公共资源交易的有关规定，将其列入不良行为记录名单，并依法予以处罚。</w:t>
      </w:r>
      <w:bookmarkStart w:id="43" w:name="_Toc6578158"/>
      <w:bookmarkStart w:id="44" w:name="_Toc522097483"/>
    </w:p>
    <w:p>
      <w:pPr>
        <w:pStyle w:val="3"/>
        <w:jc w:val="both"/>
        <w:rPr>
          <w:rFonts w:ascii="宋体" w:hAnsi="宋体" w:eastAsia="宋体" w:cs="Times New Roman"/>
          <w:kern w:val="1"/>
          <w:sz w:val="44"/>
          <w:szCs w:val="44"/>
        </w:rPr>
      </w:pPr>
    </w:p>
    <w:p>
      <w:pPr>
        <w:rPr>
          <w:rFonts w:ascii="宋体"/>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2"/>
        <w:rPr>
          <w:rFonts w:ascii="宋体" w:hAnsi="宋体" w:eastAsia="宋体" w:cs="Times New Roman"/>
          <w:kern w:val="1"/>
          <w:sz w:val="44"/>
          <w:szCs w:val="44"/>
        </w:rPr>
      </w:pPr>
    </w:p>
    <w:p>
      <w:pPr>
        <w:pStyle w:val="3"/>
        <w:rPr>
          <w:rFonts w:cs="Times New Roman"/>
        </w:rPr>
      </w:pPr>
      <w:bookmarkStart w:id="45" w:name="_Toc9874"/>
      <w:r>
        <w:rPr>
          <w:rFonts w:hint="eastAsia" w:ascii="宋体" w:hAnsi="宋体" w:eastAsia="宋体" w:cs="宋体"/>
          <w:kern w:val="1"/>
          <w:sz w:val="44"/>
          <w:szCs w:val="44"/>
        </w:rPr>
        <w:t>第三章</w:t>
      </w:r>
      <w:bookmarkEnd w:id="43"/>
      <w:bookmarkEnd w:id="44"/>
      <w:r>
        <w:rPr>
          <w:rFonts w:hint="eastAsia" w:ascii="宋体" w:hAnsi="宋体" w:eastAsia="宋体" w:cs="宋体"/>
          <w:kern w:val="1"/>
          <w:sz w:val="44"/>
          <w:szCs w:val="44"/>
        </w:rPr>
        <w:t>采购需求</w:t>
      </w:r>
      <w:bookmarkEnd w:id="45"/>
    </w:p>
    <w:p>
      <w:pPr>
        <w:spacing w:line="360" w:lineRule="exact"/>
        <w:jc w:val="left"/>
        <w:rPr>
          <w:rFonts w:ascii="宋体" w:cs="宋体"/>
          <w:b/>
          <w:bCs/>
          <w:sz w:val="24"/>
          <w:szCs w:val="24"/>
        </w:rPr>
      </w:pPr>
      <w:r>
        <w:rPr>
          <w:rFonts w:hint="eastAsia" w:ascii="宋体" w:hAnsi="宋体" w:cs="宋体"/>
          <w:b/>
          <w:bCs/>
          <w:sz w:val="24"/>
          <w:szCs w:val="24"/>
        </w:rPr>
        <w:t>一、采购内容</w:t>
      </w:r>
    </w:p>
    <w:p>
      <w:pPr>
        <w:spacing w:line="3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sz w:val="24"/>
          <w:szCs w:val="24"/>
          <w:lang w:eastAsia="zh-CN"/>
        </w:rPr>
        <w:t>一品江山二次加压设备采购</w:t>
      </w:r>
      <w:r>
        <w:rPr>
          <w:rFonts w:hint="eastAsia" w:ascii="宋体" w:hAnsi="宋体" w:cs="宋体"/>
          <w:sz w:val="24"/>
          <w:szCs w:val="24"/>
        </w:rPr>
        <w:t>。</w:t>
      </w:r>
    </w:p>
    <w:p>
      <w:pPr>
        <w:spacing w:line="360" w:lineRule="exact"/>
        <w:ind w:firstLine="480" w:firstLineChars="200"/>
        <w:jc w:val="left"/>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、项目编号：</w:t>
      </w:r>
      <w:r>
        <w:rPr>
          <w:rFonts w:hint="eastAsia" w:ascii="宋体" w:hAnsi="宋体" w:cs="宋体"/>
          <w:sz w:val="24"/>
          <w:szCs w:val="24"/>
          <w:lang w:eastAsia="zh-CN"/>
        </w:rPr>
        <w:t>Zjjry2020-Z087</w:t>
      </w:r>
    </w:p>
    <w:p>
      <w:pPr>
        <w:spacing w:line="360" w:lineRule="exact"/>
        <w:ind w:firstLine="480" w:firstLineChars="200"/>
        <w:jc w:val="left"/>
        <w:rPr>
          <w:rFonts w:ascii="宋体" w:cs="宋体"/>
          <w:sz w:val="24"/>
          <w:szCs w:val="24"/>
        </w:rPr>
      </w:pPr>
      <w:r>
        <w:rPr>
          <w:rFonts w:ascii="宋体" w:hAnsi="宋体" w:cs="宋体"/>
          <w:sz w:val="24"/>
          <w:szCs w:val="24"/>
        </w:rPr>
        <w:t>3</w:t>
      </w:r>
      <w:r>
        <w:rPr>
          <w:rFonts w:hint="eastAsia" w:ascii="宋体" w:hAnsi="宋体" w:cs="宋体"/>
          <w:sz w:val="24"/>
          <w:szCs w:val="24"/>
        </w:rPr>
        <w:t>、项目地点：采购人指定地点。</w:t>
      </w:r>
    </w:p>
    <w:p>
      <w:pPr>
        <w:pStyle w:val="2"/>
        <w:kinsoku w:val="0"/>
        <w:overflowPunct w:val="0"/>
        <w:autoSpaceDE w:val="0"/>
        <w:autoSpaceDN w:val="0"/>
        <w:adjustRightInd w:val="0"/>
        <w:snapToGrid w:val="0"/>
        <w:ind w:firstLine="480" w:firstLineChars="200"/>
        <w:rPr>
          <w:rFonts w:ascii="宋体" w:eastAsia="宋体" w:cs="宋体"/>
        </w:rPr>
      </w:pPr>
      <w:r>
        <w:rPr>
          <w:rFonts w:ascii="宋体" w:hAnsi="宋体" w:cs="宋体"/>
        </w:rPr>
        <w:t>4</w:t>
      </w:r>
      <w:r>
        <w:rPr>
          <w:rFonts w:hint="eastAsia" w:ascii="宋体" w:hAnsi="宋体" w:cs="宋体"/>
        </w:rPr>
        <w:t>、采购内容：</w:t>
      </w:r>
      <w:r>
        <w:rPr>
          <w:rFonts w:hint="eastAsia" w:ascii="宋体" w:eastAsia="宋体"/>
        </w:rPr>
        <w:t>根据</w:t>
      </w:r>
      <w:r>
        <w:rPr>
          <w:rFonts w:hint="eastAsia" w:ascii="宋体" w:eastAsia="宋体"/>
          <w:lang w:eastAsia="zh-CN"/>
        </w:rPr>
        <w:t>一品江山</w:t>
      </w:r>
      <w:r>
        <w:rPr>
          <w:rFonts w:hint="eastAsia" w:ascii="宋体" w:eastAsia="宋体"/>
        </w:rPr>
        <w:t>小区项目施工进度要求，现需各采购</w:t>
      </w:r>
      <w:r>
        <w:rPr>
          <w:rFonts w:ascii="宋体" w:eastAsia="宋体"/>
        </w:rPr>
        <w:t xml:space="preserve"> 2 </w:t>
      </w:r>
      <w:r>
        <w:rPr>
          <w:rFonts w:hint="eastAsia" w:ascii="宋体" w:eastAsia="宋体"/>
        </w:rPr>
        <w:t>套无负压供水设备含标准化泵房。（详见采购需求）</w:t>
      </w:r>
    </w:p>
    <w:p>
      <w:pPr>
        <w:pStyle w:val="2"/>
        <w:kinsoku w:val="0"/>
        <w:overflowPunct w:val="0"/>
        <w:autoSpaceDE w:val="0"/>
        <w:autoSpaceDN w:val="0"/>
        <w:adjustRightInd w:val="0"/>
        <w:snapToGrid w:val="0"/>
        <w:ind w:firstLine="480" w:firstLineChars="200"/>
        <w:rPr>
          <w:rFonts w:ascii="宋体" w:eastAsia="宋体" w:cs="宋体"/>
        </w:rPr>
      </w:pPr>
      <w:r>
        <w:rPr>
          <w:rFonts w:ascii="宋体" w:hAnsi="宋体" w:cs="宋体"/>
        </w:rPr>
        <w:t>5</w:t>
      </w:r>
      <w:r>
        <w:rPr>
          <w:rFonts w:hint="eastAsia" w:ascii="宋体" w:hAnsi="宋体" w:cs="宋体"/>
        </w:rPr>
        <w:t>、交货时间：</w:t>
      </w:r>
      <w:r>
        <w:rPr>
          <w:rFonts w:hint="eastAsia" w:ascii="宋体" w:hAnsi="宋体" w:cs="宋体"/>
          <w:lang w:val="zh-CN"/>
        </w:rPr>
        <w:t>自合同签订之日起</w:t>
      </w:r>
      <w:r>
        <w:rPr>
          <w:rFonts w:ascii="宋体" w:hAnsi="宋体" w:cs="宋体"/>
          <w:lang w:val="zh-CN"/>
        </w:rPr>
        <w:t>25</w:t>
      </w:r>
      <w:r>
        <w:rPr>
          <w:rFonts w:hint="eastAsia" w:ascii="宋体" w:hAnsi="宋体" w:cs="宋体"/>
          <w:lang w:val="zh-CN"/>
        </w:rPr>
        <w:t>日历天</w:t>
      </w:r>
      <w:r>
        <w:rPr>
          <w:rFonts w:hint="eastAsia" w:ascii="宋体" w:hAnsi="宋体" w:cs="宋体"/>
        </w:rPr>
        <w:t>。</w:t>
      </w:r>
    </w:p>
    <w:p>
      <w:pPr>
        <w:pStyle w:val="2"/>
        <w:kinsoku w:val="0"/>
        <w:overflowPunct w:val="0"/>
        <w:autoSpaceDE w:val="0"/>
        <w:autoSpaceDN w:val="0"/>
        <w:adjustRightInd w:val="0"/>
        <w:snapToGrid w:val="0"/>
        <w:ind w:firstLine="480" w:firstLineChars="200"/>
        <w:rPr>
          <w:rFonts w:ascii="宋体"/>
        </w:rPr>
      </w:pPr>
      <w:r>
        <w:rPr>
          <w:rFonts w:ascii="宋体" w:hAnsi="宋体" w:cs="宋体"/>
        </w:rPr>
        <w:t>6</w:t>
      </w:r>
      <w:r>
        <w:rPr>
          <w:rFonts w:hint="eastAsia" w:ascii="宋体" w:hAnsi="宋体" w:cs="宋体"/>
        </w:rPr>
        <w:t>、服务期限：以质保期为准，质保期内</w:t>
      </w:r>
      <w:r>
        <w:rPr>
          <w:rFonts w:hint="eastAsia" w:ascii="宋体" w:hAnsi="宋体" w:cs="宋体"/>
          <w:kern w:val="1"/>
        </w:rPr>
        <w:t>的设备如出现故障或者损坏，供应商应根据质保标准为采购人提供置换或者修复服务。</w:t>
      </w:r>
    </w:p>
    <w:p>
      <w:pPr>
        <w:spacing w:line="360" w:lineRule="exact"/>
        <w:ind w:firstLine="480" w:firstLineChars="200"/>
        <w:rPr>
          <w:rFonts w:ascii="宋体"/>
          <w:color w:val="auto"/>
          <w:sz w:val="24"/>
          <w:szCs w:val="24"/>
        </w:rPr>
      </w:pPr>
      <w:r>
        <w:rPr>
          <w:rFonts w:ascii="宋体" w:hAnsi="宋体" w:cs="宋体"/>
          <w:sz w:val="24"/>
          <w:szCs w:val="24"/>
        </w:rPr>
        <w:t>7</w:t>
      </w:r>
      <w:r>
        <w:rPr>
          <w:rFonts w:hint="eastAsia" w:ascii="宋体" w:hAnsi="宋体" w:cs="宋体"/>
          <w:sz w:val="24"/>
          <w:szCs w:val="24"/>
        </w:rPr>
        <w:t>、质量要求：达到国家现行有关技术规范、标准及规程要求，满足采购人要求的质量目标</w:t>
      </w:r>
      <w:r>
        <w:rPr>
          <w:rFonts w:hint="eastAsia" w:ascii="宋体" w:hAnsi="宋体" w:cs="宋体"/>
          <w:kern w:val="1"/>
          <w:sz w:val="24"/>
          <w:szCs w:val="24"/>
        </w:rPr>
        <w:t>。</w:t>
      </w:r>
    </w:p>
    <w:p>
      <w:pPr>
        <w:spacing w:line="360" w:lineRule="exact"/>
        <w:ind w:right="-57" w:firstLine="480" w:firstLineChars="200"/>
        <w:rPr>
          <w:rFonts w:hint="eastAsia" w:ascii="宋体" w:eastAsia="宋体" w:cs="宋体"/>
          <w:color w:val="auto"/>
          <w:kern w:val="1"/>
          <w:sz w:val="24"/>
          <w:szCs w:val="24"/>
          <w:lang w:eastAsia="zh-CN"/>
        </w:rPr>
      </w:pPr>
      <w:r>
        <w:rPr>
          <w:rFonts w:ascii="宋体" w:hAnsi="宋体" w:cs="宋体"/>
          <w:color w:val="auto"/>
          <w:sz w:val="24"/>
          <w:szCs w:val="24"/>
        </w:rPr>
        <w:t>8</w:t>
      </w:r>
      <w:r>
        <w:rPr>
          <w:rFonts w:hint="eastAsia" w:ascii="宋体" w:hAnsi="宋体" w:cs="宋体"/>
          <w:color w:val="auto"/>
          <w:sz w:val="24"/>
          <w:szCs w:val="24"/>
        </w:rPr>
        <w:t>、本项目最高磋商限价为：</w:t>
      </w:r>
      <w:r>
        <w:rPr>
          <w:rFonts w:hint="eastAsia" w:ascii="宋体" w:hAnsi="新宋体" w:cs="新宋体"/>
          <w:color w:val="auto"/>
          <w:sz w:val="24"/>
          <w:szCs w:val="24"/>
          <w:lang w:eastAsia="zh-CN"/>
        </w:rPr>
        <w:t>120万元。</w:t>
      </w:r>
    </w:p>
    <w:p>
      <w:pPr>
        <w:pStyle w:val="32"/>
        <w:spacing w:line="400" w:lineRule="exact"/>
        <w:ind w:firstLine="31680"/>
        <w:jc w:val="left"/>
        <w:rPr>
          <w:rFonts w:eastAsia="宋体" w:cs="Times New Roman"/>
          <w:sz w:val="24"/>
          <w:szCs w:val="24"/>
        </w:rPr>
      </w:pPr>
      <w:r>
        <w:rPr>
          <w:rFonts w:eastAsia="宋体"/>
          <w:sz w:val="24"/>
          <w:szCs w:val="24"/>
        </w:rPr>
        <w:t>9</w:t>
      </w:r>
      <w:r>
        <w:rPr>
          <w:rFonts w:hint="eastAsia" w:eastAsia="宋体"/>
          <w:sz w:val="24"/>
          <w:szCs w:val="24"/>
        </w:rPr>
        <w:t>、售后服务承诺：成交供应商在项目验收合格并运行稳定后，如出现设备、系统故障等问题，必须根据甲方要求，在规定时间内到场进行维护维修，若成交供应商不服从甲方要求，则甲方有权终止合同，余款不予支付（供应商制作响应文件时应对此条作出承诺，否则视为未实质性响应磋商文件要求）。</w:t>
      </w:r>
    </w:p>
    <w:p>
      <w:pPr>
        <w:pStyle w:val="32"/>
        <w:spacing w:line="400" w:lineRule="exact"/>
        <w:ind w:firstLine="31680"/>
        <w:jc w:val="left"/>
        <w:rPr>
          <w:rFonts w:eastAsia="宋体" w:cs="Times New Roman"/>
          <w:sz w:val="24"/>
          <w:szCs w:val="24"/>
        </w:rPr>
      </w:pPr>
      <w:r>
        <w:rPr>
          <w:rFonts w:eastAsia="宋体"/>
          <w:sz w:val="24"/>
          <w:szCs w:val="24"/>
        </w:rPr>
        <w:t>11</w:t>
      </w:r>
      <w:r>
        <w:rPr>
          <w:rFonts w:hint="eastAsia" w:eastAsia="宋体"/>
          <w:sz w:val="24"/>
          <w:szCs w:val="24"/>
        </w:rPr>
        <w:t>、</w:t>
      </w:r>
      <w:r>
        <w:rPr>
          <w:rFonts w:hint="eastAsia" w:eastAsia="宋体"/>
          <w:b/>
          <w:bCs/>
          <w:sz w:val="24"/>
          <w:szCs w:val="24"/>
        </w:rPr>
        <w:t>付款方式：货到安装调试完毕验收后付至合同总价的60％，试运行六个月无故障后再付至合同总价的95％（若出重大故障，以故障修复之日为计算起始日，再试运行六个月后付至合同总价的95%），留剩余5％作为质保金至质保期满后一次性付清。结算时须提供合法合规的增值税专票。（上述付款方式采用现金或银行保兑（商业汇票）方式付款，以上未付款项均不计利息。）</w:t>
      </w:r>
    </w:p>
    <w:p>
      <w:pPr>
        <w:pStyle w:val="32"/>
        <w:spacing w:line="400" w:lineRule="exact"/>
        <w:ind w:firstLine="31680"/>
        <w:jc w:val="left"/>
        <w:rPr>
          <w:rFonts w:eastAsia="宋体" w:cs="Times New Roman"/>
          <w:sz w:val="24"/>
          <w:szCs w:val="24"/>
        </w:rPr>
      </w:pPr>
      <w:r>
        <w:rPr>
          <w:rFonts w:eastAsia="宋体"/>
          <w:sz w:val="24"/>
          <w:szCs w:val="24"/>
        </w:rPr>
        <w:t>12</w:t>
      </w:r>
      <w:r>
        <w:rPr>
          <w:rFonts w:hint="eastAsia" w:eastAsia="宋体"/>
          <w:sz w:val="24"/>
          <w:szCs w:val="24"/>
        </w:rPr>
        <w:t>其他要求</w:t>
      </w:r>
    </w:p>
    <w:p>
      <w:pPr>
        <w:pStyle w:val="32"/>
        <w:spacing w:line="400" w:lineRule="exact"/>
        <w:ind w:firstLine="31680"/>
        <w:jc w:val="left"/>
        <w:outlineLvl w:val="1"/>
        <w:rPr>
          <w:rFonts w:eastAsia="宋体" w:cs="Times New Roman"/>
          <w:sz w:val="24"/>
          <w:szCs w:val="24"/>
        </w:rPr>
      </w:pPr>
      <w:bookmarkStart w:id="46" w:name="_Toc4480"/>
      <w:bookmarkStart w:id="47" w:name="_Toc21745"/>
      <w:r>
        <w:rPr>
          <w:rFonts w:eastAsia="宋体"/>
          <w:sz w:val="24"/>
          <w:szCs w:val="24"/>
        </w:rPr>
        <w:t>12.1</w:t>
      </w:r>
      <w:r>
        <w:rPr>
          <w:rFonts w:hint="eastAsia" w:eastAsia="宋体"/>
          <w:sz w:val="24"/>
          <w:szCs w:val="24"/>
        </w:rPr>
        <w:t>质保要求</w:t>
      </w:r>
      <w:bookmarkEnd w:id="46"/>
      <w:bookmarkEnd w:id="47"/>
    </w:p>
    <w:p>
      <w:pPr>
        <w:pStyle w:val="32"/>
        <w:spacing w:line="400" w:lineRule="exact"/>
        <w:ind w:firstLine="31680"/>
        <w:jc w:val="left"/>
        <w:rPr>
          <w:rFonts w:eastAsia="宋体" w:cs="Times New Roman"/>
          <w:sz w:val="24"/>
          <w:szCs w:val="24"/>
        </w:rPr>
      </w:pPr>
      <w:r>
        <w:rPr>
          <w:rFonts w:hint="eastAsia" w:eastAsia="宋体"/>
          <w:sz w:val="24"/>
          <w:szCs w:val="24"/>
        </w:rPr>
        <w:t>项目竣工验收合格后进入项目免费质量保证期；质保期自项目竣工验收合格之日开始计算，质保期要求在投标文件中明确。</w:t>
      </w:r>
    </w:p>
    <w:p>
      <w:pPr>
        <w:pStyle w:val="32"/>
        <w:spacing w:line="400" w:lineRule="exact"/>
        <w:ind w:firstLine="31680"/>
        <w:jc w:val="left"/>
        <w:outlineLvl w:val="1"/>
        <w:rPr>
          <w:rFonts w:eastAsia="宋体" w:cs="Times New Roman"/>
          <w:sz w:val="24"/>
          <w:szCs w:val="24"/>
        </w:rPr>
      </w:pPr>
      <w:bookmarkStart w:id="48" w:name="_Toc16846"/>
      <w:bookmarkStart w:id="49" w:name="_Toc900"/>
      <w:r>
        <w:rPr>
          <w:rFonts w:eastAsia="宋体"/>
          <w:sz w:val="24"/>
          <w:szCs w:val="24"/>
        </w:rPr>
        <w:t>12.2</w:t>
      </w:r>
      <w:r>
        <w:rPr>
          <w:rFonts w:hint="eastAsia" w:eastAsia="宋体"/>
          <w:sz w:val="24"/>
          <w:szCs w:val="24"/>
        </w:rPr>
        <w:t>技术支持与售后服务要求</w:t>
      </w:r>
      <w:bookmarkEnd w:id="48"/>
      <w:bookmarkEnd w:id="49"/>
    </w:p>
    <w:p>
      <w:pPr>
        <w:pStyle w:val="32"/>
        <w:spacing w:line="400" w:lineRule="exact"/>
        <w:ind w:firstLine="31680"/>
        <w:jc w:val="left"/>
        <w:rPr>
          <w:rFonts w:eastAsia="宋体" w:cs="Times New Roman"/>
          <w:sz w:val="24"/>
          <w:szCs w:val="24"/>
        </w:rPr>
      </w:pPr>
      <w:r>
        <w:rPr>
          <w:rFonts w:hint="eastAsia" w:eastAsia="宋体"/>
          <w:sz w:val="24"/>
          <w:szCs w:val="24"/>
        </w:rPr>
        <w:t>（</w:t>
      </w:r>
      <w:r>
        <w:rPr>
          <w:rFonts w:eastAsia="宋体"/>
          <w:sz w:val="24"/>
          <w:szCs w:val="24"/>
        </w:rPr>
        <w:t>1</w:t>
      </w:r>
      <w:r>
        <w:rPr>
          <w:rFonts w:hint="eastAsia" w:eastAsia="宋体"/>
          <w:sz w:val="24"/>
          <w:szCs w:val="24"/>
        </w:rPr>
        <w:t>）成交供应商须注重提高技术服务专业化程度和系统工程质量，并关注本项目售后服务质量，保障系统安全、可靠、高效地运行。</w:t>
      </w:r>
    </w:p>
    <w:p>
      <w:pPr>
        <w:pStyle w:val="32"/>
        <w:spacing w:line="400" w:lineRule="exact"/>
        <w:ind w:firstLine="31680"/>
        <w:jc w:val="left"/>
        <w:rPr>
          <w:rFonts w:eastAsia="宋体" w:cs="Times New Roman"/>
          <w:sz w:val="24"/>
          <w:szCs w:val="24"/>
        </w:rPr>
      </w:pPr>
      <w:r>
        <w:rPr>
          <w:rFonts w:hint="eastAsia" w:eastAsia="宋体"/>
          <w:sz w:val="24"/>
          <w:szCs w:val="24"/>
        </w:rPr>
        <w:t>（</w:t>
      </w:r>
      <w:r>
        <w:rPr>
          <w:rFonts w:eastAsia="宋体"/>
          <w:sz w:val="24"/>
          <w:szCs w:val="24"/>
        </w:rPr>
        <w:t>2</w:t>
      </w:r>
      <w:r>
        <w:rPr>
          <w:rFonts w:hint="eastAsia" w:eastAsia="宋体"/>
          <w:sz w:val="24"/>
          <w:szCs w:val="24"/>
        </w:rPr>
        <w:t>）成交供应商必须向业主单位承诺技术支持。为今后系统中主要设备、软件和通信网络的功能扩充提供一年的免费技术支持（包括现场支持），供应商应详细阐述免费技术支持的内容与范围。</w:t>
      </w:r>
    </w:p>
    <w:p>
      <w:pPr>
        <w:pStyle w:val="32"/>
        <w:spacing w:line="400" w:lineRule="exact"/>
        <w:ind w:firstLine="31680"/>
        <w:jc w:val="left"/>
        <w:rPr>
          <w:rFonts w:eastAsia="宋体" w:cs="Times New Roman"/>
          <w:sz w:val="24"/>
          <w:szCs w:val="24"/>
        </w:rPr>
      </w:pPr>
      <w:r>
        <w:rPr>
          <w:rFonts w:hint="eastAsia" w:eastAsia="宋体"/>
          <w:sz w:val="24"/>
          <w:szCs w:val="24"/>
        </w:rPr>
        <w:t>（</w:t>
      </w:r>
      <w:r>
        <w:rPr>
          <w:rFonts w:eastAsia="宋体"/>
          <w:sz w:val="24"/>
          <w:szCs w:val="24"/>
        </w:rPr>
        <w:t>3</w:t>
      </w:r>
      <w:r>
        <w:rPr>
          <w:rFonts w:hint="eastAsia" w:eastAsia="宋体"/>
          <w:sz w:val="24"/>
          <w:szCs w:val="24"/>
        </w:rPr>
        <w:t>）在质保期内，成交供应商负责对其所提供的设备进行维修，不再收取任何费用，包括设备的更换、修理和应用软件均享受免费升级服务等均不收取任何费用。</w:t>
      </w:r>
    </w:p>
    <w:p>
      <w:pPr>
        <w:pStyle w:val="32"/>
        <w:spacing w:line="400" w:lineRule="exact"/>
        <w:ind w:firstLine="31680"/>
        <w:jc w:val="left"/>
        <w:rPr>
          <w:rFonts w:hint="eastAsia" w:eastAsia="宋体"/>
          <w:sz w:val="24"/>
          <w:szCs w:val="24"/>
        </w:rPr>
      </w:pPr>
      <w:r>
        <w:rPr>
          <w:rFonts w:hint="eastAsia" w:eastAsia="宋体"/>
          <w:sz w:val="24"/>
          <w:szCs w:val="24"/>
        </w:rPr>
        <w:t>（</w:t>
      </w:r>
      <w:r>
        <w:rPr>
          <w:rFonts w:eastAsia="宋体"/>
          <w:sz w:val="24"/>
          <w:szCs w:val="24"/>
        </w:rPr>
        <w:t>4</w:t>
      </w:r>
      <w:r>
        <w:rPr>
          <w:rFonts w:hint="eastAsia" w:eastAsia="宋体"/>
          <w:sz w:val="24"/>
          <w:szCs w:val="24"/>
        </w:rPr>
        <w:t>）提供</w:t>
      </w:r>
      <w:r>
        <w:rPr>
          <w:rFonts w:eastAsia="宋体"/>
          <w:sz w:val="24"/>
          <w:szCs w:val="24"/>
        </w:rPr>
        <w:t>24</w:t>
      </w:r>
      <w:r>
        <w:rPr>
          <w:rFonts w:hint="eastAsia" w:eastAsia="宋体"/>
          <w:sz w:val="24"/>
          <w:szCs w:val="24"/>
        </w:rPr>
        <w:t>小时热线服务和支持服务；项目要求即时响应，</w:t>
      </w:r>
      <w:r>
        <w:rPr>
          <w:rFonts w:eastAsia="宋体"/>
          <w:sz w:val="24"/>
          <w:szCs w:val="24"/>
        </w:rPr>
        <w:t>1</w:t>
      </w:r>
      <w:r>
        <w:rPr>
          <w:rFonts w:hint="eastAsia" w:eastAsia="宋体"/>
          <w:sz w:val="24"/>
          <w:szCs w:val="24"/>
        </w:rPr>
        <w:t>小时内到达，</w:t>
      </w:r>
      <w:r>
        <w:rPr>
          <w:rFonts w:eastAsia="宋体"/>
          <w:sz w:val="24"/>
          <w:szCs w:val="24"/>
        </w:rPr>
        <w:t>2</w:t>
      </w:r>
      <w:r>
        <w:rPr>
          <w:rFonts w:hint="eastAsia" w:eastAsia="宋体"/>
          <w:sz w:val="24"/>
          <w:szCs w:val="24"/>
        </w:rPr>
        <w:t>小时内修复，</w:t>
      </w:r>
      <w:r>
        <w:rPr>
          <w:rFonts w:eastAsia="宋体"/>
          <w:sz w:val="24"/>
          <w:szCs w:val="24"/>
        </w:rPr>
        <w:t>12</w:t>
      </w:r>
      <w:r>
        <w:rPr>
          <w:rFonts w:hint="eastAsia" w:eastAsia="宋体"/>
          <w:sz w:val="24"/>
          <w:szCs w:val="24"/>
        </w:rPr>
        <w:t>小时内不能修复必须提供备用设备。在质保期内，出现任何质量问题，免费维修；质保期外的维修成本不得高于市场价格。</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w:t>
      </w:r>
      <w:r>
        <w:rPr>
          <w:rFonts w:hint="eastAsia" w:eastAsia="宋体"/>
          <w:color w:val="auto"/>
          <w:sz w:val="24"/>
          <w:szCs w:val="24"/>
          <w:lang w:val="en-US" w:eastAsia="zh-CN"/>
        </w:rPr>
        <w:t>5</w:t>
      </w:r>
      <w:r>
        <w:rPr>
          <w:rFonts w:hint="eastAsia" w:eastAsia="宋体"/>
          <w:color w:val="auto"/>
          <w:sz w:val="24"/>
          <w:szCs w:val="24"/>
          <w:lang w:eastAsia="zh-CN"/>
        </w:rPr>
        <w:t>）若成交供应商提供的货物的某一项或多项技术参数无法满足采购人要求，影响货物的正常使用，无论采购人是否在招标文件中明确要求，成交供应商都必须无条件进行补救，并赔偿采购人因此造成的全部损失。</w:t>
      </w:r>
    </w:p>
    <w:p>
      <w:pPr>
        <w:pStyle w:val="32"/>
        <w:spacing w:line="400" w:lineRule="exact"/>
        <w:ind w:firstLine="31680"/>
        <w:jc w:val="left"/>
        <w:outlineLvl w:val="1"/>
        <w:rPr>
          <w:rFonts w:eastAsia="宋体" w:cs="Times New Roman"/>
          <w:color w:val="auto"/>
          <w:sz w:val="24"/>
          <w:szCs w:val="24"/>
        </w:rPr>
      </w:pPr>
      <w:bookmarkStart w:id="50" w:name="_Toc2651"/>
      <w:bookmarkStart w:id="51" w:name="_Toc23742"/>
      <w:r>
        <w:rPr>
          <w:rFonts w:eastAsia="宋体"/>
          <w:color w:val="auto"/>
          <w:sz w:val="24"/>
          <w:szCs w:val="24"/>
        </w:rPr>
        <w:t>12.3</w:t>
      </w:r>
      <w:r>
        <w:rPr>
          <w:rFonts w:hint="eastAsia" w:eastAsia="宋体"/>
          <w:color w:val="auto"/>
          <w:sz w:val="24"/>
          <w:szCs w:val="24"/>
        </w:rPr>
        <w:t>安全责任要求</w:t>
      </w:r>
      <w:bookmarkEnd w:id="50"/>
      <w:bookmarkEnd w:id="51"/>
    </w:p>
    <w:p>
      <w:pPr>
        <w:pStyle w:val="32"/>
        <w:spacing w:line="400" w:lineRule="exact"/>
        <w:ind w:firstLine="31680"/>
        <w:jc w:val="left"/>
        <w:rPr>
          <w:rFonts w:eastAsia="宋体" w:cs="Times New Roman"/>
          <w:color w:val="auto"/>
          <w:sz w:val="24"/>
          <w:szCs w:val="24"/>
        </w:rPr>
      </w:pPr>
      <w:r>
        <w:rPr>
          <w:rFonts w:hint="eastAsia" w:eastAsia="宋体"/>
          <w:color w:val="auto"/>
          <w:sz w:val="24"/>
          <w:szCs w:val="24"/>
        </w:rPr>
        <w:t>（</w:t>
      </w:r>
      <w:r>
        <w:rPr>
          <w:rFonts w:eastAsia="宋体"/>
          <w:color w:val="auto"/>
          <w:sz w:val="24"/>
          <w:szCs w:val="24"/>
        </w:rPr>
        <w:t>1</w:t>
      </w:r>
      <w:r>
        <w:rPr>
          <w:rFonts w:hint="eastAsia" w:eastAsia="宋体"/>
          <w:color w:val="auto"/>
          <w:sz w:val="24"/>
          <w:szCs w:val="24"/>
        </w:rPr>
        <w:t>）成交供应商应严格按安全操作规程进行生产、运输和作业。不遵守安全操作规程所产生的一切损失和不良后果，由成交供应商自行承担。</w:t>
      </w:r>
    </w:p>
    <w:p>
      <w:pPr>
        <w:pStyle w:val="32"/>
        <w:spacing w:line="400" w:lineRule="exact"/>
        <w:ind w:firstLine="31680"/>
        <w:jc w:val="left"/>
        <w:rPr>
          <w:rFonts w:eastAsia="宋体" w:cs="Times New Roman"/>
          <w:color w:val="auto"/>
          <w:sz w:val="24"/>
          <w:szCs w:val="24"/>
        </w:rPr>
      </w:pPr>
      <w:r>
        <w:rPr>
          <w:rFonts w:hint="eastAsia" w:eastAsia="宋体"/>
          <w:color w:val="auto"/>
          <w:sz w:val="24"/>
          <w:szCs w:val="24"/>
        </w:rPr>
        <w:t>（</w:t>
      </w:r>
      <w:r>
        <w:rPr>
          <w:rFonts w:eastAsia="宋体"/>
          <w:color w:val="auto"/>
          <w:sz w:val="24"/>
          <w:szCs w:val="24"/>
        </w:rPr>
        <w:t>2</w:t>
      </w:r>
      <w:r>
        <w:rPr>
          <w:rFonts w:hint="eastAsia" w:eastAsia="宋体"/>
          <w:color w:val="auto"/>
          <w:sz w:val="24"/>
          <w:szCs w:val="24"/>
        </w:rPr>
        <w:t>）试运行期内，由于成交供应商日常维护管理不善，造成的安全生产责任事故，由成交供应商自行承担。</w:t>
      </w:r>
    </w:p>
    <w:p>
      <w:pPr>
        <w:pStyle w:val="32"/>
        <w:spacing w:line="400" w:lineRule="exact"/>
        <w:ind w:firstLine="31680"/>
        <w:jc w:val="left"/>
        <w:rPr>
          <w:rFonts w:eastAsia="宋体" w:cs="Times New Roman"/>
          <w:color w:val="auto"/>
          <w:sz w:val="24"/>
          <w:szCs w:val="24"/>
        </w:rPr>
      </w:pPr>
      <w:r>
        <w:rPr>
          <w:rFonts w:eastAsia="宋体"/>
          <w:color w:val="auto"/>
          <w:sz w:val="24"/>
          <w:szCs w:val="24"/>
        </w:rPr>
        <w:t>13</w:t>
      </w:r>
      <w:r>
        <w:rPr>
          <w:rFonts w:hint="eastAsia" w:eastAsia="宋体"/>
          <w:color w:val="auto"/>
          <w:sz w:val="24"/>
          <w:szCs w:val="24"/>
        </w:rPr>
        <w:t>、备品、备件及易损件要求</w:t>
      </w:r>
    </w:p>
    <w:p>
      <w:pPr>
        <w:pStyle w:val="32"/>
        <w:spacing w:line="400" w:lineRule="exact"/>
        <w:ind w:firstLine="31680"/>
        <w:jc w:val="left"/>
        <w:rPr>
          <w:rFonts w:eastAsia="宋体" w:cs="Times New Roman"/>
          <w:color w:val="auto"/>
          <w:sz w:val="24"/>
          <w:szCs w:val="24"/>
        </w:rPr>
      </w:pPr>
      <w:r>
        <w:rPr>
          <w:rFonts w:hint="eastAsia" w:eastAsia="宋体"/>
          <w:color w:val="auto"/>
          <w:sz w:val="24"/>
          <w:szCs w:val="24"/>
        </w:rPr>
        <w:t>（</w:t>
      </w:r>
      <w:r>
        <w:rPr>
          <w:rFonts w:eastAsia="宋体"/>
          <w:color w:val="auto"/>
          <w:sz w:val="24"/>
          <w:szCs w:val="24"/>
        </w:rPr>
        <w:t>1</w:t>
      </w:r>
      <w:r>
        <w:rPr>
          <w:rFonts w:hint="eastAsia" w:eastAsia="宋体"/>
          <w:color w:val="auto"/>
          <w:sz w:val="24"/>
          <w:szCs w:val="24"/>
        </w:rPr>
        <w:t>）供应商应在磋商响应文件中提供按厂家标准供应的备品备件清单（如有）。</w:t>
      </w:r>
    </w:p>
    <w:p>
      <w:pPr>
        <w:pStyle w:val="32"/>
        <w:spacing w:line="400" w:lineRule="exact"/>
        <w:ind w:firstLine="31680"/>
        <w:jc w:val="left"/>
        <w:rPr>
          <w:rFonts w:hint="eastAsia" w:eastAsia="宋体"/>
          <w:color w:val="auto"/>
          <w:sz w:val="24"/>
          <w:szCs w:val="24"/>
        </w:rPr>
      </w:pPr>
      <w:r>
        <w:rPr>
          <w:rFonts w:hint="eastAsia" w:eastAsia="宋体"/>
          <w:color w:val="auto"/>
          <w:sz w:val="24"/>
          <w:szCs w:val="24"/>
        </w:rPr>
        <w:t>（</w:t>
      </w:r>
      <w:r>
        <w:rPr>
          <w:rFonts w:eastAsia="宋体"/>
          <w:color w:val="auto"/>
          <w:sz w:val="24"/>
          <w:szCs w:val="24"/>
        </w:rPr>
        <w:t>2</w:t>
      </w:r>
      <w:r>
        <w:rPr>
          <w:rFonts w:hint="eastAsia" w:eastAsia="宋体"/>
          <w:color w:val="auto"/>
          <w:sz w:val="24"/>
          <w:szCs w:val="24"/>
        </w:rPr>
        <w:t>）供应商应在磋商响应文件中提供易损件清单及其不变价格。</w:t>
      </w:r>
    </w:p>
    <w:p>
      <w:pPr>
        <w:pStyle w:val="32"/>
        <w:spacing w:line="400" w:lineRule="exact"/>
        <w:ind w:firstLine="31680"/>
        <w:jc w:val="left"/>
        <w:rPr>
          <w:rFonts w:hint="eastAsia" w:eastAsia="宋体"/>
          <w:color w:val="auto"/>
          <w:sz w:val="24"/>
          <w:szCs w:val="24"/>
          <w:lang w:val="en-US" w:eastAsia="zh-CN"/>
        </w:rPr>
      </w:pPr>
      <w:r>
        <w:rPr>
          <w:rFonts w:hint="eastAsia" w:eastAsia="宋体"/>
          <w:color w:val="auto"/>
          <w:sz w:val="24"/>
          <w:szCs w:val="24"/>
          <w:lang w:val="en-US" w:eastAsia="zh-CN"/>
        </w:rPr>
        <w:t>14、追偿措施</w:t>
      </w:r>
    </w:p>
    <w:p>
      <w:pPr>
        <w:pStyle w:val="32"/>
        <w:spacing w:line="400" w:lineRule="exact"/>
        <w:ind w:firstLine="31680"/>
        <w:jc w:val="left"/>
        <w:rPr>
          <w:rFonts w:hint="eastAsia" w:eastAsia="宋体"/>
          <w:color w:val="auto"/>
          <w:sz w:val="24"/>
          <w:szCs w:val="24"/>
          <w:lang w:val="en-US" w:eastAsia="zh-CN"/>
        </w:rPr>
      </w:pPr>
      <w:r>
        <w:rPr>
          <w:rFonts w:hint="eastAsia" w:eastAsia="宋体"/>
          <w:color w:val="auto"/>
          <w:sz w:val="24"/>
          <w:szCs w:val="24"/>
          <w:lang w:val="en-US" w:eastAsia="zh-CN"/>
        </w:rPr>
        <w:t>（1）时间事故</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①供货延期</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如卖方无正当理由而拖延交货或安装工期，采购人将从合同价款中扣除误期赔偿费而不影响合同项下的其他补救方法，赔偿费按 2000 元/天计收，直至交货并安装交付为止。误期赔偿费的最高限额不超过合同价的百分之五（5%）。一旦达到误期赔偿费的最高限额，采购人可考虑终止合同。</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在履行合同过程中，如果成交供应商遇到可能妨碍按时交货和提供服务的情况时，应及时以书面形式将拖延的事实、可能拖延的期限和理由通知采购人。采购人在收到通知后，要尽快对情况进行评价，若非成交供应商造成的损失，双方另行协商，酌情延长交货时间。</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②维修延期</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rPr>
        <w:t>在规定时间内</w:t>
      </w:r>
      <w:r>
        <w:rPr>
          <w:rFonts w:hint="eastAsia" w:eastAsia="宋体"/>
          <w:color w:val="auto"/>
          <w:sz w:val="24"/>
          <w:szCs w:val="24"/>
          <w:lang w:eastAsia="zh-CN"/>
        </w:rPr>
        <w:t>未</w:t>
      </w:r>
      <w:r>
        <w:rPr>
          <w:rFonts w:hint="eastAsia" w:eastAsia="宋体"/>
          <w:color w:val="auto"/>
          <w:sz w:val="24"/>
          <w:szCs w:val="24"/>
        </w:rPr>
        <w:t>到场进行维护维修，若成交供应商不服从甲方要求，则甲方有权终止合同，余款不予支付</w:t>
      </w:r>
      <w:r>
        <w:rPr>
          <w:rFonts w:hint="eastAsia" w:eastAsia="宋体"/>
          <w:color w:val="auto"/>
          <w:sz w:val="24"/>
          <w:szCs w:val="24"/>
          <w:lang w:eastAsia="zh-CN"/>
        </w:rPr>
        <w:t>。</w:t>
      </w:r>
    </w:p>
    <w:p>
      <w:pPr>
        <w:pStyle w:val="32"/>
        <w:spacing w:line="400" w:lineRule="exact"/>
        <w:ind w:firstLine="31680"/>
        <w:jc w:val="left"/>
        <w:rPr>
          <w:rFonts w:hint="eastAsia" w:eastAsia="宋体"/>
          <w:color w:val="auto"/>
          <w:sz w:val="24"/>
          <w:szCs w:val="24"/>
          <w:lang w:eastAsia="zh-CN"/>
        </w:rPr>
      </w:pPr>
      <w:r>
        <w:rPr>
          <w:rFonts w:hint="eastAsia" w:eastAsia="宋体"/>
          <w:color w:val="auto"/>
          <w:sz w:val="24"/>
          <w:szCs w:val="24"/>
          <w:lang w:eastAsia="zh-CN"/>
        </w:rPr>
        <w:t>③保养延期</w:t>
      </w:r>
    </w:p>
    <w:p>
      <w:pPr>
        <w:pStyle w:val="32"/>
        <w:spacing w:line="400" w:lineRule="exact"/>
        <w:ind w:firstLine="31680"/>
        <w:jc w:val="left"/>
        <w:rPr>
          <w:rFonts w:hint="default" w:eastAsia="宋体"/>
          <w:color w:val="auto"/>
          <w:sz w:val="24"/>
          <w:szCs w:val="24"/>
          <w:lang w:val="en-US" w:eastAsia="zh-CN"/>
        </w:rPr>
      </w:pPr>
      <w:r>
        <w:rPr>
          <w:rFonts w:hint="eastAsia" w:eastAsia="宋体"/>
          <w:color w:val="auto"/>
          <w:sz w:val="24"/>
          <w:szCs w:val="24"/>
          <w:lang w:eastAsia="zh-CN"/>
        </w:rPr>
        <w:t>质保期内未能即时响应项目要求，超出承诺响应时间，采购人有权按质保金的</w:t>
      </w:r>
      <w:r>
        <w:rPr>
          <w:rFonts w:hint="eastAsia" w:eastAsia="宋体"/>
          <w:color w:val="auto"/>
          <w:sz w:val="24"/>
          <w:szCs w:val="24"/>
          <w:lang w:val="en-US" w:eastAsia="zh-CN"/>
        </w:rPr>
        <w:t>5%扣除。</w:t>
      </w:r>
    </w:p>
    <w:p>
      <w:pPr>
        <w:pStyle w:val="32"/>
        <w:spacing w:line="400" w:lineRule="exact"/>
        <w:ind w:firstLine="31680"/>
        <w:jc w:val="left"/>
        <w:rPr>
          <w:rFonts w:hint="eastAsia" w:eastAsia="宋体"/>
          <w:color w:val="auto"/>
          <w:sz w:val="24"/>
          <w:szCs w:val="24"/>
          <w:lang w:val="en-US" w:eastAsia="zh-CN"/>
        </w:rPr>
      </w:pPr>
      <w:r>
        <w:rPr>
          <w:rFonts w:hint="eastAsia" w:eastAsia="宋体"/>
          <w:color w:val="auto"/>
          <w:sz w:val="24"/>
          <w:szCs w:val="24"/>
          <w:lang w:eastAsia="zh-CN"/>
        </w:rPr>
        <w:t>（</w:t>
      </w:r>
      <w:r>
        <w:rPr>
          <w:rFonts w:hint="eastAsia" w:eastAsia="宋体"/>
          <w:color w:val="auto"/>
          <w:sz w:val="24"/>
          <w:szCs w:val="24"/>
          <w:lang w:val="en-US" w:eastAsia="zh-CN"/>
        </w:rPr>
        <w:t>2</w:t>
      </w:r>
      <w:r>
        <w:rPr>
          <w:rFonts w:hint="eastAsia" w:eastAsia="宋体"/>
          <w:color w:val="auto"/>
          <w:sz w:val="24"/>
          <w:szCs w:val="24"/>
          <w:lang w:eastAsia="zh-CN"/>
        </w:rPr>
        <w:t>）质量事故</w:t>
      </w:r>
    </w:p>
    <w:p>
      <w:pPr>
        <w:pStyle w:val="32"/>
        <w:spacing w:line="400" w:lineRule="exact"/>
        <w:jc w:val="left"/>
        <w:rPr>
          <w:rFonts w:hint="eastAsia" w:eastAsia="宋体"/>
          <w:color w:val="auto"/>
          <w:sz w:val="24"/>
          <w:szCs w:val="24"/>
          <w:lang w:val="en-US" w:eastAsia="zh-CN"/>
        </w:rPr>
      </w:pPr>
      <w:r>
        <w:rPr>
          <w:rFonts w:hint="eastAsia" w:eastAsia="宋体"/>
          <w:color w:val="auto"/>
          <w:sz w:val="24"/>
          <w:szCs w:val="24"/>
          <w:lang w:val="en-US" w:eastAsia="zh-CN"/>
        </w:rPr>
        <w:t>①供货期内</w:t>
      </w:r>
    </w:p>
    <w:p>
      <w:pPr>
        <w:pStyle w:val="32"/>
        <w:spacing w:line="400" w:lineRule="exact"/>
        <w:jc w:val="left"/>
        <w:rPr>
          <w:rFonts w:hint="eastAsia" w:eastAsia="宋体"/>
          <w:color w:val="auto"/>
          <w:sz w:val="24"/>
          <w:szCs w:val="24"/>
          <w:lang w:val="en-US" w:eastAsia="zh-CN"/>
        </w:rPr>
      </w:pPr>
      <w:r>
        <w:rPr>
          <w:rFonts w:hint="eastAsia" w:eastAsia="宋体"/>
          <w:color w:val="auto"/>
          <w:sz w:val="24"/>
          <w:szCs w:val="24"/>
          <w:lang w:val="en-US" w:eastAsia="zh-CN"/>
        </w:rPr>
        <w:t>由于货物设备缺陷造成财产损害的，</w:t>
      </w:r>
      <w:r>
        <w:rPr>
          <w:rFonts w:hint="eastAsia" w:eastAsia="宋体"/>
          <w:color w:val="auto"/>
          <w:sz w:val="24"/>
          <w:szCs w:val="24"/>
          <w:lang w:eastAsia="zh-CN"/>
        </w:rPr>
        <w:t>采购人将从合同价款中扣除赔偿费而不影响合同项下的其他补救方法，赔偿费具体金额按实际造成损害的两倍进行赔偿，并依法追究相关责任</w:t>
      </w:r>
      <w:r>
        <w:rPr>
          <w:rFonts w:hint="eastAsia" w:eastAsia="宋体"/>
          <w:color w:val="auto"/>
          <w:sz w:val="24"/>
          <w:szCs w:val="24"/>
          <w:lang w:val="en-US" w:eastAsia="zh-CN"/>
        </w:rPr>
        <w:t>。</w:t>
      </w:r>
    </w:p>
    <w:p>
      <w:pPr>
        <w:pStyle w:val="32"/>
        <w:spacing w:line="400" w:lineRule="exact"/>
        <w:jc w:val="left"/>
        <w:rPr>
          <w:rFonts w:hint="eastAsia" w:eastAsia="宋体"/>
          <w:color w:val="auto"/>
          <w:sz w:val="24"/>
          <w:szCs w:val="24"/>
          <w:lang w:val="en-US" w:eastAsia="zh-CN"/>
        </w:rPr>
      </w:pPr>
      <w:r>
        <w:rPr>
          <w:rFonts w:hint="eastAsia" w:eastAsia="宋体"/>
          <w:color w:val="auto"/>
          <w:sz w:val="24"/>
          <w:szCs w:val="24"/>
          <w:lang w:val="en-US" w:eastAsia="zh-CN"/>
        </w:rPr>
        <w:t>②供货期外</w:t>
      </w:r>
    </w:p>
    <w:p>
      <w:pPr>
        <w:pStyle w:val="32"/>
        <w:spacing w:line="400" w:lineRule="exact"/>
        <w:jc w:val="left"/>
        <w:rPr>
          <w:rFonts w:hint="eastAsia" w:eastAsia="宋体"/>
          <w:color w:val="auto"/>
          <w:sz w:val="24"/>
          <w:szCs w:val="24"/>
          <w:lang w:val="en-US" w:eastAsia="zh-CN"/>
        </w:rPr>
      </w:pPr>
      <w:r>
        <w:rPr>
          <w:rFonts w:hint="eastAsia" w:eastAsia="宋体"/>
          <w:color w:val="auto"/>
          <w:sz w:val="24"/>
          <w:szCs w:val="24"/>
          <w:lang w:val="en-US" w:eastAsia="zh-CN"/>
        </w:rPr>
        <w:t>由于货物设备缺陷造成财产损害的，采购人有权向成交供应商或者生产厂家按照货物价值及造成的损失进行两倍赔偿,</w:t>
      </w:r>
      <w:r>
        <w:rPr>
          <w:rFonts w:hint="eastAsia" w:eastAsia="宋体"/>
          <w:color w:val="auto"/>
          <w:sz w:val="24"/>
          <w:szCs w:val="24"/>
          <w:lang w:eastAsia="zh-CN"/>
        </w:rPr>
        <w:t>并依法追究相关责任</w:t>
      </w:r>
      <w:r>
        <w:rPr>
          <w:rFonts w:hint="eastAsia" w:eastAsia="宋体"/>
          <w:color w:val="auto"/>
          <w:sz w:val="24"/>
          <w:szCs w:val="24"/>
          <w:lang w:val="en-US" w:eastAsia="zh-CN"/>
        </w:rPr>
        <w:t>。</w:t>
      </w:r>
    </w:p>
    <w:p>
      <w:pPr>
        <w:pStyle w:val="32"/>
        <w:numPr>
          <w:ilvl w:val="0"/>
          <w:numId w:val="3"/>
        </w:numPr>
        <w:spacing w:line="400" w:lineRule="exact"/>
        <w:ind w:firstLine="0" w:firstLineChars="0"/>
        <w:jc w:val="left"/>
        <w:rPr>
          <w:rFonts w:eastAsia="宋体"/>
          <w:b/>
          <w:bCs/>
          <w:color w:val="auto"/>
          <w:kern w:val="1"/>
          <w:sz w:val="24"/>
          <w:szCs w:val="24"/>
        </w:rPr>
      </w:pPr>
      <w:bookmarkStart w:id="52" w:name="_Toc2785_WPSOffice_Level1"/>
      <w:r>
        <w:rPr>
          <w:rFonts w:hint="eastAsia" w:eastAsia="宋体"/>
          <w:b/>
          <w:bCs/>
          <w:color w:val="auto"/>
          <w:kern w:val="1"/>
          <w:sz w:val="24"/>
          <w:szCs w:val="24"/>
        </w:rPr>
        <w:t>设备详细技术规格要求</w:t>
      </w:r>
      <w:bookmarkEnd w:id="52"/>
    </w:p>
    <w:tbl>
      <w:tblPr>
        <w:tblStyle w:val="16"/>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020"/>
        <w:gridCol w:w="2505"/>
        <w:gridCol w:w="840"/>
        <w:gridCol w:w="241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4"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项目名称</w:t>
            </w:r>
          </w:p>
        </w:tc>
        <w:tc>
          <w:tcPr>
            <w:tcW w:w="1020"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序号</w:t>
            </w:r>
          </w:p>
        </w:tc>
        <w:tc>
          <w:tcPr>
            <w:tcW w:w="2505"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规格参数</w:t>
            </w:r>
          </w:p>
        </w:tc>
        <w:tc>
          <w:tcPr>
            <w:tcW w:w="840"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数量（套）</w:t>
            </w:r>
          </w:p>
        </w:tc>
        <w:tc>
          <w:tcPr>
            <w:tcW w:w="2411"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选配标准化泵房</w:t>
            </w:r>
          </w:p>
        </w:tc>
        <w:tc>
          <w:tcPr>
            <w:tcW w:w="1324" w:type="dxa"/>
            <w:vAlign w:val="center"/>
          </w:tcPr>
          <w:p>
            <w:pPr>
              <w:pStyle w:val="32"/>
              <w:spacing w:line="400" w:lineRule="exact"/>
              <w:ind w:firstLine="0" w:firstLineChars="0"/>
              <w:jc w:val="center"/>
              <w:rPr>
                <w:rFonts w:eastAsia="宋体"/>
                <w:b/>
                <w:bCs/>
                <w:kern w:val="1"/>
                <w:sz w:val="24"/>
                <w:szCs w:val="24"/>
              </w:rPr>
            </w:pPr>
            <w:r>
              <w:rPr>
                <w:rFonts w:hint="eastAsia" w:eastAsia="宋体"/>
                <w:b/>
                <w:bCs/>
                <w:kern w:val="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restart"/>
            <w:vAlign w:val="center"/>
          </w:tcPr>
          <w:p>
            <w:pPr>
              <w:pStyle w:val="32"/>
              <w:spacing w:line="400" w:lineRule="exact"/>
              <w:ind w:firstLine="0" w:firstLineChars="0"/>
              <w:jc w:val="center"/>
              <w:rPr>
                <w:rFonts w:hint="eastAsia" w:eastAsia="宋体"/>
                <w:kern w:val="1"/>
                <w:sz w:val="24"/>
                <w:szCs w:val="24"/>
                <w:lang w:eastAsia="zh-CN"/>
              </w:rPr>
            </w:pPr>
            <w:r>
              <w:rPr>
                <w:rFonts w:hint="eastAsia" w:eastAsia="宋体"/>
                <w:kern w:val="1"/>
                <w:sz w:val="24"/>
                <w:szCs w:val="24"/>
                <w:lang w:eastAsia="zh-CN"/>
              </w:rPr>
              <w:t>一品江山二次加压设备采购</w:t>
            </w:r>
          </w:p>
        </w:tc>
        <w:tc>
          <w:tcPr>
            <w:tcW w:w="1020" w:type="dxa"/>
            <w:vMerge w:val="restart"/>
            <w:vAlign w:val="center"/>
          </w:tcPr>
          <w:p>
            <w:pPr>
              <w:pStyle w:val="32"/>
              <w:spacing w:line="400" w:lineRule="exact"/>
              <w:ind w:firstLine="0" w:firstLineChars="0"/>
              <w:jc w:val="center"/>
              <w:rPr>
                <w:rFonts w:eastAsia="宋体"/>
                <w:kern w:val="1"/>
                <w:sz w:val="24"/>
                <w:szCs w:val="24"/>
              </w:rPr>
            </w:pPr>
            <w:r>
              <w:rPr>
                <w:rFonts w:eastAsia="宋体"/>
                <w:kern w:val="1"/>
                <w:sz w:val="24"/>
                <w:szCs w:val="24"/>
              </w:rPr>
              <w:t>1</w:t>
            </w:r>
          </w:p>
        </w:tc>
        <w:tc>
          <w:tcPr>
            <w:tcW w:w="2505" w:type="dxa"/>
            <w:vMerge w:val="restart"/>
            <w:vAlign w:val="center"/>
          </w:tcPr>
          <w:p>
            <w:pPr>
              <w:pStyle w:val="32"/>
              <w:spacing w:line="400" w:lineRule="exact"/>
              <w:ind w:firstLine="0" w:firstLineChars="0"/>
              <w:jc w:val="center"/>
              <w:rPr>
                <w:rFonts w:eastAsia="宋体"/>
                <w:kern w:val="1"/>
                <w:sz w:val="24"/>
                <w:szCs w:val="24"/>
              </w:rPr>
            </w:pPr>
            <w:r>
              <w:rPr>
                <w:rFonts w:hint="eastAsia" w:ascii="仿宋" w:hAnsi="仿宋" w:eastAsia="仿宋" w:cs="仿宋"/>
                <w:b/>
                <w:bCs/>
                <w:lang w:eastAsia="zh-CN"/>
              </w:rPr>
              <w:t>加压中区：</w:t>
            </w:r>
            <w:r>
              <w:rPr>
                <w:rFonts w:hint="eastAsia" w:ascii="仿宋" w:hAnsi="仿宋" w:eastAsia="仿宋" w:cs="仿宋"/>
                <w:b/>
                <w:bCs/>
                <w:lang w:val="en-US" w:eastAsia="zh-CN"/>
              </w:rPr>
              <w:t>126</w:t>
            </w:r>
            <w:r>
              <w:rPr>
                <w:rFonts w:ascii="仿宋" w:hAnsi="仿宋" w:eastAsia="仿宋" w:cs="仿宋"/>
                <w:b/>
                <w:bCs/>
              </w:rPr>
              <w:t>m</w:t>
            </w:r>
            <w:r>
              <w:rPr>
                <w:rFonts w:ascii="仿宋" w:hAnsi="仿宋" w:eastAsia="仿宋" w:cs="仿宋"/>
                <w:b/>
                <w:bCs/>
                <w:vertAlign w:val="superscript"/>
              </w:rPr>
              <w:t>3</w:t>
            </w:r>
            <w:r>
              <w:rPr>
                <w:rFonts w:ascii="仿宋" w:hAnsi="仿宋" w:eastAsia="仿宋" w:cs="仿宋"/>
                <w:b/>
                <w:bCs/>
              </w:rPr>
              <w:t>/h</w:t>
            </w:r>
            <w:r>
              <w:rPr>
                <w:rFonts w:hint="eastAsia" w:ascii="仿宋" w:hAnsi="仿宋" w:eastAsia="仿宋" w:cs="仿宋"/>
                <w:b/>
                <w:bCs/>
              </w:rPr>
              <w:t>，</w:t>
            </w:r>
            <w:r>
              <w:rPr>
                <w:rFonts w:ascii="仿宋" w:hAnsi="仿宋" w:eastAsia="仿宋" w:cs="仿宋"/>
                <w:b/>
                <w:bCs/>
              </w:rPr>
              <w:t>75m</w:t>
            </w:r>
            <w:r>
              <w:rPr>
                <w:rFonts w:hint="eastAsia" w:ascii="仿宋" w:hAnsi="仿宋" w:eastAsia="仿宋" w:cs="仿宋"/>
                <w:b/>
                <w:bCs/>
              </w:rPr>
              <w:t>，</w:t>
            </w:r>
            <w:r>
              <w:rPr>
                <w:rFonts w:hint="eastAsia" w:ascii="仿宋" w:hAnsi="仿宋" w:eastAsia="仿宋" w:cs="仿宋"/>
                <w:b/>
                <w:bCs/>
                <w:kern w:val="0"/>
              </w:rPr>
              <w:t>水泵</w:t>
            </w:r>
            <w:r>
              <w:rPr>
                <w:rFonts w:ascii="仿宋" w:hAnsi="仿宋" w:eastAsia="仿宋" w:cs="仿宋"/>
                <w:b/>
                <w:bCs/>
                <w:kern w:val="0"/>
              </w:rPr>
              <w:t>4</w:t>
            </w:r>
            <w:r>
              <w:rPr>
                <w:rFonts w:hint="eastAsia" w:ascii="仿宋" w:hAnsi="仿宋" w:eastAsia="仿宋" w:cs="仿宋"/>
                <w:b/>
                <w:bCs/>
                <w:kern w:val="0"/>
              </w:rPr>
              <w:t>台，</w:t>
            </w:r>
            <w:r>
              <w:rPr>
                <w:rFonts w:hint="eastAsia" w:ascii="仿宋" w:hAnsi="仿宋" w:eastAsia="仿宋" w:cs="仿宋"/>
                <w:b/>
                <w:bCs/>
              </w:rPr>
              <w:t>全变频，</w:t>
            </w:r>
            <w:r>
              <w:rPr>
                <w:rFonts w:hint="eastAsia" w:ascii="仿宋" w:hAnsi="仿宋" w:eastAsia="仿宋" w:cs="仿宋"/>
                <w:b/>
                <w:bCs/>
                <w:kern w:val="0"/>
              </w:rPr>
              <w:t>三用一备</w:t>
            </w:r>
          </w:p>
        </w:tc>
        <w:tc>
          <w:tcPr>
            <w:tcW w:w="840" w:type="dxa"/>
            <w:vMerge w:val="restart"/>
            <w:vAlign w:val="center"/>
          </w:tcPr>
          <w:p>
            <w:pPr>
              <w:pStyle w:val="32"/>
              <w:spacing w:line="400" w:lineRule="exact"/>
              <w:ind w:firstLine="0" w:firstLineChars="0"/>
              <w:jc w:val="center"/>
              <w:rPr>
                <w:rFonts w:eastAsia="宋体"/>
                <w:kern w:val="1"/>
                <w:sz w:val="24"/>
                <w:szCs w:val="24"/>
              </w:rPr>
            </w:pPr>
            <w:r>
              <w:rPr>
                <w:rFonts w:eastAsia="宋体"/>
                <w:kern w:val="1"/>
                <w:sz w:val="24"/>
                <w:szCs w:val="24"/>
              </w:rPr>
              <w:t>1</w:t>
            </w: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视频安防系统</w:t>
            </w:r>
          </w:p>
        </w:tc>
        <w:tc>
          <w:tcPr>
            <w:tcW w:w="1324" w:type="dxa"/>
            <w:vMerge w:val="restart"/>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全变频，</w:t>
            </w:r>
          </w:p>
          <w:p>
            <w:pPr>
              <w:pStyle w:val="32"/>
              <w:spacing w:line="400" w:lineRule="exact"/>
              <w:ind w:firstLine="0" w:firstLineChars="0"/>
              <w:jc w:val="center"/>
              <w:rPr>
                <w:rFonts w:eastAsia="宋体"/>
                <w:kern w:val="1"/>
                <w:sz w:val="24"/>
                <w:szCs w:val="24"/>
              </w:rPr>
            </w:pPr>
            <w:r>
              <w:rPr>
                <w:rFonts w:hint="eastAsia" w:eastAsia="宋体"/>
                <w:kern w:val="1"/>
                <w:sz w:val="24"/>
                <w:szCs w:val="24"/>
              </w:rPr>
              <w:t>三用一备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门禁消防系统</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数据采集传送系统</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泵房装修</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restart"/>
            <w:vAlign w:val="center"/>
          </w:tcPr>
          <w:p>
            <w:pPr>
              <w:pStyle w:val="32"/>
              <w:spacing w:line="400" w:lineRule="exact"/>
              <w:ind w:firstLine="0" w:firstLineChars="0"/>
              <w:jc w:val="center"/>
              <w:rPr>
                <w:rFonts w:eastAsia="宋体"/>
                <w:kern w:val="1"/>
                <w:sz w:val="24"/>
                <w:szCs w:val="24"/>
              </w:rPr>
            </w:pPr>
            <w:r>
              <w:rPr>
                <w:rFonts w:eastAsia="宋体"/>
                <w:kern w:val="1"/>
                <w:sz w:val="24"/>
                <w:szCs w:val="24"/>
              </w:rPr>
              <w:t>2</w:t>
            </w:r>
          </w:p>
        </w:tc>
        <w:tc>
          <w:tcPr>
            <w:tcW w:w="2505" w:type="dxa"/>
            <w:vMerge w:val="restart"/>
            <w:vAlign w:val="center"/>
          </w:tcPr>
          <w:p>
            <w:pPr>
              <w:pStyle w:val="32"/>
              <w:spacing w:line="400" w:lineRule="exact"/>
              <w:ind w:firstLine="0" w:firstLineChars="0"/>
              <w:jc w:val="center"/>
              <w:rPr>
                <w:rFonts w:eastAsia="宋体"/>
                <w:kern w:val="1"/>
                <w:sz w:val="24"/>
                <w:szCs w:val="24"/>
              </w:rPr>
            </w:pPr>
            <w:r>
              <w:rPr>
                <w:rFonts w:hint="eastAsia" w:ascii="仿宋" w:hAnsi="仿宋" w:eastAsia="仿宋" w:cs="仿宋"/>
                <w:b/>
                <w:bCs/>
                <w:lang w:eastAsia="zh-CN"/>
              </w:rPr>
              <w:t>加压高区：</w:t>
            </w:r>
            <w:r>
              <w:rPr>
                <w:rFonts w:hint="eastAsia" w:ascii="仿宋" w:hAnsi="仿宋" w:eastAsia="仿宋" w:cs="仿宋"/>
                <w:b/>
                <w:bCs/>
                <w:lang w:val="en-US" w:eastAsia="zh-CN"/>
              </w:rPr>
              <w:t>88</w:t>
            </w:r>
            <w:r>
              <w:rPr>
                <w:rFonts w:ascii="仿宋" w:hAnsi="仿宋" w:eastAsia="仿宋" w:cs="仿宋"/>
                <w:b/>
                <w:bCs/>
              </w:rPr>
              <w:t>m</w:t>
            </w:r>
            <w:r>
              <w:rPr>
                <w:rFonts w:ascii="仿宋" w:hAnsi="仿宋" w:eastAsia="仿宋" w:cs="仿宋"/>
                <w:b/>
                <w:bCs/>
                <w:vertAlign w:val="superscript"/>
              </w:rPr>
              <w:t>3</w:t>
            </w:r>
            <w:r>
              <w:rPr>
                <w:rFonts w:ascii="仿宋" w:hAnsi="仿宋" w:eastAsia="仿宋" w:cs="仿宋"/>
                <w:b/>
                <w:bCs/>
              </w:rPr>
              <w:t>/h</w:t>
            </w:r>
            <w:r>
              <w:rPr>
                <w:rFonts w:hint="eastAsia" w:ascii="仿宋" w:hAnsi="仿宋" w:eastAsia="仿宋" w:cs="仿宋"/>
                <w:b/>
                <w:bCs/>
              </w:rPr>
              <w:t>，</w:t>
            </w:r>
            <w:r>
              <w:rPr>
                <w:rFonts w:ascii="仿宋" w:hAnsi="仿宋" w:eastAsia="仿宋" w:cs="仿宋"/>
                <w:b/>
                <w:bCs/>
              </w:rPr>
              <w:t>120m</w:t>
            </w:r>
            <w:r>
              <w:rPr>
                <w:rFonts w:hint="eastAsia" w:ascii="仿宋" w:hAnsi="仿宋" w:eastAsia="仿宋" w:cs="仿宋"/>
                <w:b/>
                <w:bCs/>
              </w:rPr>
              <w:t>，</w:t>
            </w:r>
            <w:r>
              <w:rPr>
                <w:rFonts w:hint="eastAsia" w:ascii="仿宋" w:hAnsi="仿宋" w:eastAsia="仿宋" w:cs="仿宋"/>
                <w:b/>
                <w:bCs/>
                <w:kern w:val="0"/>
              </w:rPr>
              <w:t>水泵</w:t>
            </w:r>
            <w:r>
              <w:rPr>
                <w:rFonts w:hint="eastAsia" w:ascii="仿宋" w:hAnsi="仿宋" w:eastAsia="仿宋" w:cs="仿宋"/>
                <w:b/>
                <w:bCs/>
                <w:kern w:val="0"/>
                <w:lang w:val="en-US" w:eastAsia="zh-CN"/>
              </w:rPr>
              <w:t>4</w:t>
            </w:r>
            <w:r>
              <w:rPr>
                <w:rFonts w:hint="eastAsia" w:ascii="仿宋" w:hAnsi="仿宋" w:eastAsia="仿宋" w:cs="仿宋"/>
                <w:b/>
                <w:bCs/>
                <w:kern w:val="0"/>
              </w:rPr>
              <w:t>台，</w:t>
            </w:r>
            <w:r>
              <w:rPr>
                <w:rFonts w:hint="eastAsia" w:ascii="仿宋" w:hAnsi="仿宋" w:eastAsia="仿宋" w:cs="仿宋"/>
                <w:b/>
                <w:bCs/>
              </w:rPr>
              <w:t>全变频，</w:t>
            </w:r>
            <w:r>
              <w:rPr>
                <w:rFonts w:hint="eastAsia" w:ascii="仿宋" w:hAnsi="仿宋" w:eastAsia="仿宋" w:cs="仿宋"/>
                <w:b/>
                <w:bCs/>
                <w:kern w:val="0"/>
                <w:lang w:eastAsia="zh-CN"/>
              </w:rPr>
              <w:t>三</w:t>
            </w:r>
            <w:r>
              <w:rPr>
                <w:rFonts w:hint="eastAsia" w:ascii="仿宋" w:hAnsi="仿宋" w:eastAsia="仿宋" w:cs="仿宋"/>
                <w:b/>
                <w:bCs/>
                <w:kern w:val="0"/>
              </w:rPr>
              <w:t>用一备</w:t>
            </w:r>
          </w:p>
        </w:tc>
        <w:tc>
          <w:tcPr>
            <w:tcW w:w="840" w:type="dxa"/>
            <w:vMerge w:val="restart"/>
            <w:vAlign w:val="center"/>
          </w:tcPr>
          <w:p>
            <w:pPr>
              <w:pStyle w:val="32"/>
              <w:spacing w:line="400" w:lineRule="exact"/>
              <w:ind w:firstLine="0" w:firstLineChars="0"/>
              <w:jc w:val="center"/>
              <w:rPr>
                <w:rFonts w:eastAsia="宋体"/>
                <w:kern w:val="1"/>
                <w:sz w:val="24"/>
                <w:szCs w:val="24"/>
              </w:rPr>
            </w:pPr>
            <w:r>
              <w:rPr>
                <w:rFonts w:eastAsia="宋体"/>
                <w:kern w:val="1"/>
                <w:sz w:val="24"/>
                <w:szCs w:val="24"/>
              </w:rPr>
              <w:t>1</w:t>
            </w: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视频安防系统</w:t>
            </w:r>
          </w:p>
        </w:tc>
        <w:tc>
          <w:tcPr>
            <w:tcW w:w="1324" w:type="dxa"/>
            <w:vMerge w:val="restart"/>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全变频，</w:t>
            </w:r>
          </w:p>
          <w:p>
            <w:pPr>
              <w:pStyle w:val="32"/>
              <w:spacing w:line="400" w:lineRule="exact"/>
              <w:ind w:firstLine="0" w:firstLineChars="0"/>
              <w:jc w:val="center"/>
              <w:rPr>
                <w:rFonts w:eastAsia="宋体"/>
                <w:kern w:val="1"/>
                <w:sz w:val="24"/>
                <w:szCs w:val="24"/>
              </w:rPr>
            </w:pPr>
            <w:r>
              <w:rPr>
                <w:rFonts w:hint="eastAsia" w:eastAsia="宋体"/>
                <w:kern w:val="1"/>
                <w:sz w:val="24"/>
                <w:szCs w:val="24"/>
                <w:lang w:eastAsia="zh-CN"/>
              </w:rPr>
              <w:t>三</w:t>
            </w:r>
            <w:r>
              <w:rPr>
                <w:rFonts w:hint="eastAsia" w:eastAsia="宋体"/>
                <w:kern w:val="1"/>
                <w:sz w:val="24"/>
                <w:szCs w:val="24"/>
              </w:rPr>
              <w:t>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门禁消防系统</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数据采集传送系统</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04" w:type="dxa"/>
            <w:vMerge w:val="continue"/>
            <w:vAlign w:val="center"/>
          </w:tcPr>
          <w:p>
            <w:pPr>
              <w:pStyle w:val="32"/>
              <w:spacing w:line="400" w:lineRule="exact"/>
              <w:ind w:firstLine="0" w:firstLineChars="0"/>
              <w:jc w:val="center"/>
              <w:rPr>
                <w:rFonts w:eastAsia="宋体"/>
                <w:kern w:val="1"/>
                <w:sz w:val="24"/>
                <w:szCs w:val="24"/>
              </w:rPr>
            </w:pPr>
          </w:p>
        </w:tc>
        <w:tc>
          <w:tcPr>
            <w:tcW w:w="1020" w:type="dxa"/>
            <w:vMerge w:val="continue"/>
            <w:vAlign w:val="center"/>
          </w:tcPr>
          <w:p>
            <w:pPr>
              <w:pStyle w:val="32"/>
              <w:spacing w:line="400" w:lineRule="exact"/>
              <w:ind w:firstLine="0" w:firstLineChars="0"/>
              <w:jc w:val="center"/>
              <w:rPr>
                <w:rFonts w:eastAsia="宋体"/>
                <w:kern w:val="1"/>
                <w:sz w:val="24"/>
                <w:szCs w:val="24"/>
              </w:rPr>
            </w:pPr>
          </w:p>
        </w:tc>
        <w:tc>
          <w:tcPr>
            <w:tcW w:w="2505" w:type="dxa"/>
            <w:vMerge w:val="continue"/>
            <w:vAlign w:val="center"/>
          </w:tcPr>
          <w:p>
            <w:pPr>
              <w:pStyle w:val="32"/>
              <w:spacing w:line="400" w:lineRule="exact"/>
              <w:ind w:firstLine="0" w:firstLineChars="0"/>
              <w:jc w:val="center"/>
              <w:rPr>
                <w:rFonts w:eastAsia="宋体"/>
                <w:kern w:val="1"/>
                <w:sz w:val="24"/>
                <w:szCs w:val="24"/>
              </w:rPr>
            </w:pPr>
          </w:p>
        </w:tc>
        <w:tc>
          <w:tcPr>
            <w:tcW w:w="840" w:type="dxa"/>
            <w:vMerge w:val="continue"/>
            <w:vAlign w:val="center"/>
          </w:tcPr>
          <w:p>
            <w:pPr>
              <w:pStyle w:val="32"/>
              <w:spacing w:line="400" w:lineRule="exact"/>
              <w:ind w:firstLine="0" w:firstLineChars="0"/>
              <w:jc w:val="center"/>
              <w:rPr>
                <w:rFonts w:eastAsia="宋体"/>
                <w:kern w:val="1"/>
                <w:sz w:val="24"/>
                <w:szCs w:val="24"/>
              </w:rPr>
            </w:pPr>
          </w:p>
        </w:tc>
        <w:tc>
          <w:tcPr>
            <w:tcW w:w="2411" w:type="dxa"/>
            <w:vAlign w:val="center"/>
          </w:tcPr>
          <w:p>
            <w:pPr>
              <w:pStyle w:val="32"/>
              <w:spacing w:line="400" w:lineRule="exact"/>
              <w:ind w:firstLine="0" w:firstLineChars="0"/>
              <w:jc w:val="center"/>
              <w:rPr>
                <w:rFonts w:eastAsia="宋体"/>
                <w:kern w:val="1"/>
                <w:sz w:val="24"/>
                <w:szCs w:val="24"/>
              </w:rPr>
            </w:pPr>
            <w:r>
              <w:rPr>
                <w:rFonts w:hint="eastAsia" w:eastAsia="宋体"/>
                <w:kern w:val="1"/>
                <w:sz w:val="24"/>
                <w:szCs w:val="24"/>
              </w:rPr>
              <w:t>泵房装修</w:t>
            </w:r>
          </w:p>
        </w:tc>
        <w:tc>
          <w:tcPr>
            <w:tcW w:w="1324" w:type="dxa"/>
            <w:vMerge w:val="continue"/>
            <w:vAlign w:val="center"/>
          </w:tcPr>
          <w:p>
            <w:pPr>
              <w:pStyle w:val="32"/>
              <w:spacing w:line="400" w:lineRule="exact"/>
              <w:ind w:firstLine="0" w:firstLineChars="0"/>
              <w:jc w:val="center"/>
              <w:rPr>
                <w:rFonts w:eastAsia="宋体"/>
                <w:kern w:val="1"/>
                <w:sz w:val="24"/>
                <w:szCs w:val="24"/>
              </w:rPr>
            </w:pPr>
          </w:p>
        </w:tc>
      </w:tr>
    </w:tbl>
    <w:p>
      <w:pPr>
        <w:rPr>
          <w:rFonts w:ascii="宋体" w:cs="宋体"/>
          <w:b/>
          <w:bCs/>
          <w:sz w:val="24"/>
          <w:szCs w:val="24"/>
        </w:rPr>
      </w:pPr>
      <w:bookmarkStart w:id="53" w:name="_Toc6578159"/>
      <w:bookmarkStart w:id="54" w:name="_Toc522097484"/>
      <w:bookmarkStart w:id="55" w:name="_Toc465324874"/>
      <w:bookmarkStart w:id="56" w:name="_Toc465325108"/>
      <w:r>
        <w:rPr>
          <w:rFonts w:ascii="宋体" w:hAnsi="宋体" w:cs="宋体"/>
          <w:b/>
          <w:bCs/>
          <w:sz w:val="24"/>
          <w:szCs w:val="24"/>
        </w:rPr>
        <w:t>1</w:t>
      </w:r>
      <w:r>
        <w:rPr>
          <w:rFonts w:hint="eastAsia" w:ascii="宋体" w:hAnsi="宋体" w:cs="宋体"/>
          <w:b/>
          <w:bCs/>
          <w:sz w:val="24"/>
          <w:szCs w:val="24"/>
        </w:rPr>
        <w:t>、中区</w:t>
      </w:r>
      <w:r>
        <w:rPr>
          <w:rFonts w:hint="eastAsia" w:ascii="宋体" w:hAnsi="宋体" w:cs="宋体"/>
          <w:b/>
          <w:bCs/>
          <w:sz w:val="24"/>
          <w:szCs w:val="24"/>
          <w:lang w:val="zh-CN"/>
        </w:rPr>
        <w:t>无负压给水设备</w:t>
      </w:r>
    </w:p>
    <w:tbl>
      <w:tblPr>
        <w:tblStyle w:val="16"/>
        <w:tblpPr w:leftFromText="180" w:rightFromText="180" w:vertAnchor="text" w:horzAnchor="page" w:tblpXSpec="center" w:tblpY="426"/>
        <w:tblOverlap w:val="never"/>
        <w:tblW w:w="93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
        <w:gridCol w:w="696"/>
        <w:gridCol w:w="3014"/>
        <w:gridCol w:w="1186"/>
        <w:gridCol w:w="1442"/>
        <w:gridCol w:w="448"/>
        <w:gridCol w:w="695"/>
        <w:gridCol w:w="1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701" w:type="dxa"/>
            <w:gridSpan w:val="2"/>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序号</w:t>
            </w:r>
          </w:p>
        </w:tc>
        <w:tc>
          <w:tcPr>
            <w:tcW w:w="3014" w:type="dxa"/>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名称</w:t>
            </w:r>
          </w:p>
        </w:tc>
        <w:tc>
          <w:tcPr>
            <w:tcW w:w="1186" w:type="dxa"/>
            <w:tcBorders>
              <w:right w:val="single" w:color="auto" w:sz="4" w:space="0"/>
            </w:tcBorders>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规格型号</w:t>
            </w:r>
          </w:p>
        </w:tc>
        <w:tc>
          <w:tcPr>
            <w:tcW w:w="1442" w:type="dxa"/>
            <w:tcBorders>
              <w:left w:val="single" w:color="auto" w:sz="4" w:space="0"/>
            </w:tcBorders>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性能</w:t>
            </w:r>
          </w:p>
        </w:tc>
        <w:tc>
          <w:tcPr>
            <w:tcW w:w="448" w:type="dxa"/>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单位</w:t>
            </w:r>
          </w:p>
        </w:tc>
        <w:tc>
          <w:tcPr>
            <w:tcW w:w="695" w:type="dxa"/>
            <w:tcBorders>
              <w:right w:val="single" w:color="auto" w:sz="4" w:space="0"/>
            </w:tcBorders>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数量</w:t>
            </w:r>
          </w:p>
        </w:tc>
        <w:tc>
          <w:tcPr>
            <w:tcW w:w="1841" w:type="dxa"/>
            <w:tcBorders>
              <w:left w:val="single" w:color="auto" w:sz="4" w:space="0"/>
            </w:tcBorders>
            <w:shd w:val="pct10" w:color="auto" w:fill="FFFFFF"/>
            <w:vAlign w:val="center"/>
          </w:tcPr>
          <w:p>
            <w:pPr>
              <w:spacing w:line="340" w:lineRule="exact"/>
              <w:jc w:val="center"/>
              <w:rPr>
                <w:rFonts w:ascii="宋体"/>
                <w:color w:val="auto"/>
                <w:sz w:val="24"/>
                <w:szCs w:val="24"/>
              </w:rPr>
            </w:pPr>
            <w:r>
              <w:rPr>
                <w:rFonts w:hint="eastAsia" w:ascii="宋体" w:hAnsi="宋体"/>
                <w:color w:val="auto"/>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701" w:type="dxa"/>
            <w:gridSpan w:val="2"/>
            <w:vAlign w:val="center"/>
          </w:tcPr>
          <w:p>
            <w:pPr>
              <w:spacing w:line="340" w:lineRule="exact"/>
              <w:jc w:val="center"/>
              <w:rPr>
                <w:rFonts w:ascii="宋体"/>
                <w:color w:val="auto"/>
                <w:sz w:val="24"/>
                <w:szCs w:val="24"/>
              </w:rPr>
            </w:pPr>
            <w:r>
              <w:rPr>
                <w:rFonts w:ascii="宋体" w:hAnsi="宋体"/>
                <w:color w:val="auto"/>
                <w:sz w:val="24"/>
                <w:szCs w:val="24"/>
              </w:rPr>
              <w:t>1</w:t>
            </w:r>
          </w:p>
        </w:tc>
        <w:tc>
          <w:tcPr>
            <w:tcW w:w="3014" w:type="dxa"/>
            <w:vAlign w:val="center"/>
          </w:tcPr>
          <w:p>
            <w:pPr>
              <w:spacing w:line="340" w:lineRule="exact"/>
              <w:rPr>
                <w:rFonts w:ascii="宋体"/>
                <w:b/>
                <w:color w:val="auto"/>
                <w:sz w:val="24"/>
                <w:szCs w:val="24"/>
              </w:rPr>
            </w:pPr>
            <w:r>
              <w:rPr>
                <w:rFonts w:hint="eastAsia" w:ascii="宋体" w:hAnsi="宋体"/>
                <w:b/>
                <w:color w:val="auto"/>
                <w:sz w:val="24"/>
                <w:szCs w:val="24"/>
              </w:rPr>
              <w:t>水泵</w:t>
            </w:r>
          </w:p>
        </w:tc>
        <w:tc>
          <w:tcPr>
            <w:tcW w:w="1186" w:type="dxa"/>
            <w:tcBorders>
              <w:right w:val="single" w:color="auto" w:sz="4" w:space="0"/>
            </w:tcBorders>
            <w:vAlign w:val="center"/>
          </w:tcPr>
          <w:p>
            <w:pPr>
              <w:spacing w:line="340" w:lineRule="exact"/>
              <w:rPr>
                <w:rFonts w:ascii="宋体"/>
                <w:b/>
                <w:color w:val="auto"/>
                <w:sz w:val="24"/>
                <w:szCs w:val="24"/>
              </w:rPr>
            </w:pPr>
          </w:p>
        </w:tc>
        <w:tc>
          <w:tcPr>
            <w:tcW w:w="1442" w:type="dxa"/>
            <w:tcBorders>
              <w:left w:val="single" w:color="auto" w:sz="4" w:space="0"/>
            </w:tcBorders>
            <w:vAlign w:val="center"/>
          </w:tcPr>
          <w:p>
            <w:pPr>
              <w:rPr>
                <w:rFonts w:ascii="宋体"/>
                <w:b/>
                <w:color w:val="auto"/>
                <w:sz w:val="24"/>
                <w:szCs w:val="24"/>
              </w:rPr>
            </w:pPr>
          </w:p>
        </w:tc>
        <w:tc>
          <w:tcPr>
            <w:tcW w:w="448" w:type="dxa"/>
            <w:vAlign w:val="center"/>
          </w:tcPr>
          <w:p>
            <w:pPr>
              <w:spacing w:line="340" w:lineRule="exact"/>
              <w:rPr>
                <w:rFonts w:ascii="宋体"/>
                <w:b/>
                <w:color w:val="auto"/>
                <w:sz w:val="24"/>
                <w:szCs w:val="24"/>
              </w:rPr>
            </w:pPr>
            <w:r>
              <w:rPr>
                <w:rFonts w:hint="eastAsia" w:ascii="宋体" w:hAnsi="宋体"/>
                <w:b/>
                <w:color w:val="auto"/>
                <w:sz w:val="24"/>
                <w:szCs w:val="24"/>
              </w:rPr>
              <w:t>台</w:t>
            </w:r>
          </w:p>
        </w:tc>
        <w:tc>
          <w:tcPr>
            <w:tcW w:w="695" w:type="dxa"/>
            <w:tcBorders>
              <w:right w:val="single" w:color="auto" w:sz="4" w:space="0"/>
            </w:tcBorders>
            <w:vAlign w:val="center"/>
          </w:tcPr>
          <w:p>
            <w:pPr>
              <w:spacing w:line="340" w:lineRule="exact"/>
              <w:ind w:firstLine="241" w:firstLineChars="100"/>
              <w:rPr>
                <w:rFonts w:ascii="宋体"/>
                <w:b/>
                <w:color w:val="auto"/>
                <w:sz w:val="24"/>
                <w:szCs w:val="24"/>
              </w:rPr>
            </w:pPr>
            <w:r>
              <w:rPr>
                <w:rFonts w:ascii="宋体" w:hAnsi="宋体"/>
                <w:b/>
                <w:color w:val="auto"/>
                <w:sz w:val="24"/>
                <w:szCs w:val="24"/>
              </w:rPr>
              <w:t>4</w:t>
            </w:r>
          </w:p>
        </w:tc>
        <w:tc>
          <w:tcPr>
            <w:tcW w:w="1841" w:type="dxa"/>
            <w:tcBorders>
              <w:left w:val="single" w:color="auto" w:sz="4" w:space="0"/>
            </w:tcBorders>
            <w:vAlign w:val="center"/>
          </w:tcPr>
          <w:p>
            <w:pPr>
              <w:spacing w:line="340" w:lineRule="exact"/>
              <w:jc w:val="center"/>
              <w:rPr>
                <w:rFonts w:ascii="宋体"/>
                <w:b/>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1" w:type="dxa"/>
            <w:gridSpan w:val="2"/>
            <w:vMerge w:val="restart"/>
            <w:vAlign w:val="center"/>
          </w:tcPr>
          <w:p>
            <w:pPr>
              <w:spacing w:line="340" w:lineRule="exact"/>
              <w:jc w:val="center"/>
              <w:rPr>
                <w:rFonts w:ascii="宋体"/>
                <w:color w:val="auto"/>
                <w:sz w:val="24"/>
                <w:szCs w:val="24"/>
              </w:rPr>
            </w:pPr>
            <w:r>
              <w:rPr>
                <w:rFonts w:ascii="宋体" w:hAnsi="宋体"/>
                <w:color w:val="auto"/>
                <w:sz w:val="24"/>
                <w:szCs w:val="24"/>
              </w:rPr>
              <w:t>2</w:t>
            </w:r>
          </w:p>
        </w:tc>
        <w:tc>
          <w:tcPr>
            <w:tcW w:w="3014" w:type="dxa"/>
            <w:tcBorders>
              <w:bottom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稳流补偿器</w:t>
            </w:r>
          </w:p>
        </w:tc>
        <w:tc>
          <w:tcPr>
            <w:tcW w:w="2628" w:type="dxa"/>
            <w:gridSpan w:val="2"/>
            <w:tcBorders>
              <w:bottom w:val="single" w:color="auto" w:sz="4" w:space="0"/>
            </w:tcBorders>
            <w:vAlign w:val="center"/>
          </w:tcPr>
          <w:p>
            <w:pPr>
              <w:spacing w:line="340" w:lineRule="exact"/>
              <w:rPr>
                <w:rFonts w:ascii="宋体"/>
                <w:color w:val="auto"/>
                <w:sz w:val="24"/>
                <w:szCs w:val="24"/>
              </w:rPr>
            </w:pPr>
          </w:p>
        </w:tc>
        <w:tc>
          <w:tcPr>
            <w:tcW w:w="448" w:type="dxa"/>
            <w:tcBorders>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bottom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701" w:type="dxa"/>
            <w:gridSpan w:val="2"/>
            <w:vMerge w:val="continue"/>
            <w:vAlign w:val="center"/>
          </w:tcPr>
          <w:p>
            <w:pPr>
              <w:spacing w:line="340" w:lineRule="exact"/>
              <w:jc w:val="center"/>
              <w:rPr>
                <w:rFonts w:ascii="宋体"/>
                <w:color w:val="auto"/>
                <w:sz w:val="24"/>
                <w:szCs w:val="24"/>
              </w:rPr>
            </w:pPr>
          </w:p>
        </w:tc>
        <w:tc>
          <w:tcPr>
            <w:tcW w:w="3014" w:type="dxa"/>
            <w:tcBorders>
              <w:top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予压平衡器</w:t>
            </w:r>
          </w:p>
        </w:tc>
        <w:tc>
          <w:tcPr>
            <w:tcW w:w="2628" w:type="dxa"/>
            <w:gridSpan w:val="2"/>
            <w:tcBorders>
              <w:top w:val="single" w:color="auto" w:sz="4" w:space="0"/>
            </w:tcBorders>
            <w:vAlign w:val="center"/>
          </w:tcPr>
          <w:p>
            <w:pPr>
              <w:spacing w:line="340" w:lineRule="exact"/>
              <w:jc w:val="center"/>
              <w:rPr>
                <w:rFonts w:ascii="宋体"/>
                <w:b/>
                <w:color w:val="auto"/>
                <w:sz w:val="24"/>
                <w:szCs w:val="24"/>
              </w:rPr>
            </w:pPr>
            <w:r>
              <w:rPr>
                <w:rFonts w:hint="eastAsia" w:ascii="宋体" w:hAnsi="宋体"/>
                <w:color w:val="auto"/>
                <w:sz w:val="24"/>
                <w:szCs w:val="24"/>
              </w:rPr>
              <w:t>不锈钢材质</w:t>
            </w:r>
            <w:r>
              <w:rPr>
                <w:rFonts w:ascii="宋体" w:hAnsi="宋体"/>
                <w:color w:val="auto"/>
                <w:sz w:val="24"/>
                <w:szCs w:val="24"/>
              </w:rPr>
              <w:t xml:space="preserve">, </w:t>
            </w:r>
            <w:r>
              <w:rPr>
                <w:rFonts w:hint="eastAsia" w:ascii="宋体" w:hAnsi="宋体"/>
                <w:color w:val="auto"/>
                <w:sz w:val="24"/>
                <w:szCs w:val="24"/>
              </w:rPr>
              <w:t>产品内置</w:t>
            </w:r>
          </w:p>
        </w:tc>
        <w:tc>
          <w:tcPr>
            <w:tcW w:w="448" w:type="dxa"/>
            <w:tcBorders>
              <w:top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top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top w:val="single" w:color="auto" w:sz="4" w:space="0"/>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701" w:type="dxa"/>
            <w:gridSpan w:val="2"/>
            <w:vMerge w:val="restart"/>
            <w:vAlign w:val="center"/>
          </w:tcPr>
          <w:p>
            <w:pPr>
              <w:spacing w:line="340" w:lineRule="exact"/>
              <w:jc w:val="center"/>
              <w:rPr>
                <w:rFonts w:ascii="宋体"/>
                <w:color w:val="auto"/>
                <w:sz w:val="24"/>
                <w:szCs w:val="24"/>
              </w:rPr>
            </w:pPr>
            <w:r>
              <w:rPr>
                <w:rFonts w:ascii="宋体" w:hAnsi="宋体"/>
                <w:color w:val="auto"/>
                <w:sz w:val="24"/>
                <w:szCs w:val="24"/>
              </w:rPr>
              <w:t>3</w:t>
            </w:r>
          </w:p>
        </w:tc>
        <w:tc>
          <w:tcPr>
            <w:tcW w:w="3014" w:type="dxa"/>
            <w:vAlign w:val="center"/>
          </w:tcPr>
          <w:p>
            <w:pPr>
              <w:spacing w:line="340" w:lineRule="exact"/>
              <w:rPr>
                <w:rFonts w:ascii="宋体"/>
                <w:color w:val="auto"/>
                <w:sz w:val="24"/>
                <w:szCs w:val="24"/>
              </w:rPr>
            </w:pPr>
            <w:r>
              <w:rPr>
                <w:rFonts w:hint="eastAsia" w:ascii="宋体" w:hAnsi="宋体"/>
                <w:color w:val="auto"/>
                <w:sz w:val="24"/>
                <w:szCs w:val="24"/>
              </w:rPr>
              <w:t>负压消除器（不锈钢材质）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01" w:type="dxa"/>
            <w:gridSpan w:val="2"/>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hint="eastAsia" w:ascii="宋体" w:hAnsi="宋体"/>
                <w:color w:val="auto"/>
                <w:sz w:val="24"/>
                <w:szCs w:val="24"/>
              </w:rPr>
              <w:t>真空负压检测系统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01" w:type="dxa"/>
            <w:gridSpan w:val="2"/>
            <w:vAlign w:val="center"/>
          </w:tcPr>
          <w:p>
            <w:pPr>
              <w:spacing w:line="340" w:lineRule="exact"/>
              <w:jc w:val="center"/>
              <w:rPr>
                <w:rFonts w:ascii="宋体"/>
                <w:color w:val="auto"/>
                <w:sz w:val="24"/>
                <w:szCs w:val="24"/>
              </w:rPr>
            </w:pPr>
            <w:r>
              <w:rPr>
                <w:rFonts w:ascii="宋体" w:hAnsi="宋体"/>
                <w:color w:val="auto"/>
                <w:sz w:val="24"/>
                <w:szCs w:val="24"/>
              </w:rPr>
              <w:t>4</w:t>
            </w:r>
          </w:p>
        </w:tc>
        <w:tc>
          <w:tcPr>
            <w:tcW w:w="3014" w:type="dxa"/>
            <w:vAlign w:val="center"/>
          </w:tcPr>
          <w:p>
            <w:pPr>
              <w:spacing w:line="340" w:lineRule="exact"/>
              <w:rPr>
                <w:rFonts w:ascii="宋体"/>
                <w:color w:val="auto"/>
                <w:sz w:val="24"/>
                <w:szCs w:val="24"/>
              </w:rPr>
            </w:pPr>
            <w:r>
              <w:rPr>
                <w:rFonts w:hint="eastAsia" w:ascii="宋体" w:hAnsi="宋体"/>
                <w:color w:val="auto"/>
                <w:sz w:val="24"/>
                <w:szCs w:val="24"/>
              </w:rPr>
              <w:t>新型斜网直通式过滤器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01" w:type="dxa"/>
            <w:gridSpan w:val="2"/>
            <w:vAlign w:val="center"/>
          </w:tcPr>
          <w:p>
            <w:pPr>
              <w:spacing w:line="340" w:lineRule="exact"/>
              <w:jc w:val="center"/>
              <w:rPr>
                <w:rFonts w:ascii="宋体"/>
                <w:color w:val="auto"/>
                <w:sz w:val="24"/>
                <w:szCs w:val="24"/>
              </w:rPr>
            </w:pPr>
            <w:r>
              <w:rPr>
                <w:rFonts w:ascii="宋体" w:hAnsi="宋体"/>
                <w:color w:val="auto"/>
                <w:sz w:val="24"/>
                <w:szCs w:val="24"/>
              </w:rPr>
              <w:t>5</w:t>
            </w:r>
          </w:p>
        </w:tc>
        <w:tc>
          <w:tcPr>
            <w:tcW w:w="3014" w:type="dxa"/>
            <w:vAlign w:val="center"/>
          </w:tcPr>
          <w:p>
            <w:pPr>
              <w:spacing w:line="340" w:lineRule="exact"/>
              <w:rPr>
                <w:rFonts w:ascii="宋体"/>
                <w:color w:val="auto"/>
                <w:sz w:val="24"/>
                <w:szCs w:val="24"/>
              </w:rPr>
            </w:pPr>
            <w:r>
              <w:rPr>
                <w:rFonts w:hint="eastAsia" w:ascii="宋体" w:hAnsi="宋体"/>
                <w:color w:val="auto"/>
                <w:sz w:val="24"/>
                <w:szCs w:val="24"/>
              </w:rPr>
              <w:t>节能补偿器</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不锈钢材质，产品内置</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4" w:hRule="atLeast"/>
          <w:jc w:val="center"/>
        </w:trPr>
        <w:tc>
          <w:tcPr>
            <w:tcW w:w="696" w:type="dxa"/>
            <w:vMerge w:val="restart"/>
            <w:vAlign w:val="center"/>
          </w:tcPr>
          <w:p>
            <w:pPr>
              <w:spacing w:line="340" w:lineRule="exact"/>
              <w:jc w:val="center"/>
              <w:rPr>
                <w:rFonts w:ascii="宋体"/>
                <w:color w:val="auto"/>
                <w:sz w:val="24"/>
                <w:szCs w:val="24"/>
              </w:rPr>
            </w:pPr>
            <w:r>
              <w:rPr>
                <w:rFonts w:ascii="宋体" w:hAnsi="宋体"/>
                <w:color w:val="auto"/>
                <w:sz w:val="24"/>
                <w:szCs w:val="24"/>
              </w:rPr>
              <w:t>6</w:t>
            </w:r>
          </w:p>
          <w:p>
            <w:pPr>
              <w:spacing w:line="340" w:lineRule="exact"/>
              <w:jc w:val="center"/>
              <w:rPr>
                <w:rFonts w:ascii="宋体"/>
                <w:color w:val="auto"/>
                <w:sz w:val="24"/>
                <w:szCs w:val="24"/>
              </w:rPr>
            </w:pPr>
            <w:r>
              <w:rPr>
                <w:rFonts w:hint="eastAsia" w:ascii="宋体" w:hAnsi="宋体"/>
                <w:color w:val="auto"/>
                <w:sz w:val="24"/>
                <w:szCs w:val="24"/>
              </w:rPr>
              <w:t>控制系统</w:t>
            </w:r>
          </w:p>
        </w:tc>
        <w:tc>
          <w:tcPr>
            <w:tcW w:w="3014" w:type="dxa"/>
            <w:vAlign w:val="center"/>
          </w:tcPr>
          <w:p>
            <w:pPr>
              <w:spacing w:line="340" w:lineRule="exact"/>
              <w:rPr>
                <w:rFonts w:ascii="宋体"/>
                <w:b/>
                <w:color w:val="auto"/>
                <w:sz w:val="24"/>
                <w:szCs w:val="24"/>
              </w:rPr>
            </w:pPr>
            <w:r>
              <w:rPr>
                <w:rFonts w:ascii="宋体" w:hAnsi="宋体"/>
                <w:b/>
                <w:color w:val="auto"/>
                <w:sz w:val="24"/>
                <w:szCs w:val="24"/>
              </w:rPr>
              <w:t>A:</w:t>
            </w:r>
            <w:r>
              <w:rPr>
                <w:rFonts w:hint="eastAsia" w:ascii="宋体" w:hAnsi="宋体"/>
                <w:b/>
                <w:color w:val="auto"/>
                <w:sz w:val="24"/>
                <w:szCs w:val="24"/>
              </w:rPr>
              <w:t>供水专用变频器</w:t>
            </w:r>
          </w:p>
        </w:tc>
        <w:tc>
          <w:tcPr>
            <w:tcW w:w="2628" w:type="dxa"/>
            <w:gridSpan w:val="2"/>
            <w:vAlign w:val="center"/>
          </w:tcPr>
          <w:p>
            <w:pPr>
              <w:spacing w:line="340" w:lineRule="exact"/>
              <w:jc w:val="center"/>
              <w:rPr>
                <w:rFonts w:ascii="宋体"/>
                <w:b/>
                <w:color w:val="auto"/>
                <w:sz w:val="24"/>
                <w:szCs w:val="24"/>
              </w:rPr>
            </w:pPr>
          </w:p>
        </w:tc>
        <w:tc>
          <w:tcPr>
            <w:tcW w:w="448" w:type="dxa"/>
            <w:vAlign w:val="center"/>
          </w:tcPr>
          <w:p>
            <w:pPr>
              <w:spacing w:line="340" w:lineRule="exact"/>
              <w:jc w:val="center"/>
              <w:rPr>
                <w:rFonts w:ascii="宋体"/>
                <w:b/>
                <w:color w:val="auto"/>
                <w:sz w:val="24"/>
                <w:szCs w:val="24"/>
              </w:rPr>
            </w:pPr>
            <w:r>
              <w:rPr>
                <w:rFonts w:hint="eastAsia" w:ascii="宋体" w:hAnsi="宋体"/>
                <w:b/>
                <w:color w:val="auto"/>
                <w:sz w:val="24"/>
                <w:szCs w:val="24"/>
              </w:rPr>
              <w:t>套</w:t>
            </w:r>
          </w:p>
        </w:tc>
        <w:tc>
          <w:tcPr>
            <w:tcW w:w="695" w:type="dxa"/>
            <w:tcBorders>
              <w:right w:val="single" w:color="auto" w:sz="4" w:space="0"/>
            </w:tcBorders>
            <w:vAlign w:val="center"/>
          </w:tcPr>
          <w:p>
            <w:pPr>
              <w:spacing w:line="340" w:lineRule="exact"/>
              <w:jc w:val="center"/>
              <w:rPr>
                <w:rFonts w:ascii="宋体"/>
                <w:b/>
                <w:color w:val="auto"/>
                <w:sz w:val="24"/>
                <w:szCs w:val="24"/>
              </w:rPr>
            </w:pPr>
            <w:r>
              <w:rPr>
                <w:rFonts w:ascii="宋体" w:hAnsi="宋体"/>
                <w:b/>
                <w:color w:val="auto"/>
                <w:sz w:val="24"/>
                <w:szCs w:val="24"/>
              </w:rPr>
              <w:t>4</w:t>
            </w:r>
          </w:p>
        </w:tc>
        <w:tc>
          <w:tcPr>
            <w:tcW w:w="1841" w:type="dxa"/>
            <w:tcBorders>
              <w:left w:val="single" w:color="auto" w:sz="4" w:space="0"/>
            </w:tcBorders>
            <w:vAlign w:val="center"/>
          </w:tcPr>
          <w:p>
            <w:pPr>
              <w:spacing w:line="340" w:lineRule="exact"/>
              <w:jc w:val="center"/>
              <w:rPr>
                <w:rFonts w:ascii="宋体"/>
                <w:b/>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429"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B:</w:t>
            </w:r>
            <w:r>
              <w:rPr>
                <w:rFonts w:hint="eastAsia" w:ascii="宋体" w:hAnsi="宋体"/>
                <w:color w:val="auto"/>
                <w:sz w:val="24"/>
                <w:szCs w:val="24"/>
              </w:rPr>
              <w:t>供水专用智能控制集成系统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人机界面触摸屏</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时控单元</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5"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PLC</w:t>
            </w:r>
            <w:r>
              <w:rPr>
                <w:rFonts w:hint="eastAsia" w:ascii="宋体" w:hAnsi="宋体"/>
                <w:color w:val="auto"/>
                <w:sz w:val="24"/>
                <w:szCs w:val="24"/>
              </w:rPr>
              <w:t>控制器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9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jc w:val="center"/>
              <w:rPr>
                <w:rFonts w:ascii="宋体"/>
                <w:color w:val="auto"/>
                <w:sz w:val="24"/>
                <w:szCs w:val="24"/>
              </w:rPr>
            </w:pPr>
            <w:r>
              <w:rPr>
                <w:rFonts w:hint="eastAsia" w:ascii="宋体" w:hAnsi="宋体"/>
                <w:color w:val="auto"/>
                <w:spacing w:val="-8"/>
                <w:sz w:val="24"/>
                <w:szCs w:val="24"/>
              </w:rPr>
              <w:t>模拟量输入与处理模块</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2"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过热保护系统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01"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过流保护系统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0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超压保护系统</w:t>
            </w:r>
          </w:p>
        </w:tc>
        <w:tc>
          <w:tcPr>
            <w:tcW w:w="2628" w:type="dxa"/>
            <w:gridSpan w:val="2"/>
            <w:vAlign w:val="center"/>
          </w:tcPr>
          <w:p>
            <w:pPr>
              <w:jc w:val="center"/>
              <w:rPr>
                <w:rFonts w:ascii="宋体" w:cs="宋体"/>
                <w:color w:val="auto"/>
                <w:sz w:val="24"/>
                <w:szCs w:val="24"/>
              </w:rPr>
            </w:pPr>
            <w:r>
              <w:rPr>
                <w:rFonts w:hint="eastAsia" w:ascii="宋体" w:hAnsi="宋体"/>
                <w:color w:val="auto"/>
                <w:sz w:val="24"/>
                <w:szCs w:val="24"/>
              </w:rPr>
              <w:t>软件包含</w:t>
            </w:r>
          </w:p>
        </w:tc>
        <w:tc>
          <w:tcPr>
            <w:tcW w:w="448" w:type="dxa"/>
            <w:vAlign w:val="center"/>
          </w:tcPr>
          <w:p>
            <w:pPr>
              <w:jc w:val="center"/>
              <w:rPr>
                <w:rFonts w:ascii="宋体" w:cs="宋体"/>
                <w:color w:val="auto"/>
                <w:sz w:val="24"/>
                <w:szCs w:val="24"/>
              </w:rPr>
            </w:pPr>
            <w:r>
              <w:rPr>
                <w:rFonts w:hint="eastAsia" w:ascii="宋体" w:hAnsi="宋体" w:cs="宋体"/>
                <w:color w:val="auto"/>
                <w:sz w:val="24"/>
                <w:szCs w:val="24"/>
              </w:rPr>
              <w:t>套</w:t>
            </w:r>
          </w:p>
        </w:tc>
        <w:tc>
          <w:tcPr>
            <w:tcW w:w="695" w:type="dxa"/>
            <w:tcBorders>
              <w:right w:val="single" w:color="auto" w:sz="4" w:space="0"/>
            </w:tcBorders>
            <w:vAlign w:val="center"/>
          </w:tcPr>
          <w:p>
            <w:pPr>
              <w:jc w:val="center"/>
              <w:rPr>
                <w:rFonts w:ascii="宋体" w:cs="宋体"/>
                <w:color w:val="auto"/>
                <w:sz w:val="24"/>
                <w:szCs w:val="24"/>
              </w:rPr>
            </w:pPr>
            <w:r>
              <w:rPr>
                <w:rFonts w:ascii="宋体" w:hAnsi="宋体" w:cs="宋体"/>
                <w:color w:val="auto"/>
                <w:sz w:val="24"/>
                <w:szCs w:val="24"/>
              </w:rPr>
              <w:t>1</w:t>
            </w:r>
          </w:p>
        </w:tc>
        <w:tc>
          <w:tcPr>
            <w:tcW w:w="1841" w:type="dxa"/>
            <w:tcBorders>
              <w:left w:val="single" w:color="auto" w:sz="4" w:space="0"/>
            </w:tcBorders>
          </w:tcPr>
          <w:p>
            <w:pPr>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55"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数据采集系统</w:t>
            </w:r>
          </w:p>
        </w:tc>
        <w:tc>
          <w:tcPr>
            <w:tcW w:w="2628" w:type="dxa"/>
            <w:gridSpan w:val="2"/>
            <w:vAlign w:val="center"/>
          </w:tcPr>
          <w:p>
            <w:pPr>
              <w:spacing w:line="340" w:lineRule="exact"/>
              <w:ind w:firstLine="720" w:firstLineChars="300"/>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19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智能数据存储系统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tcPr>
          <w:p>
            <w:pPr>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9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压力补偿系统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93"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压力检测系统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1"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水泵自动定时切换系统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8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故障自动处理系统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94"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C:</w:t>
            </w:r>
            <w:r>
              <w:rPr>
                <w:rFonts w:hint="eastAsia" w:ascii="宋体" w:hAnsi="宋体"/>
                <w:color w:val="auto"/>
                <w:sz w:val="24"/>
                <w:szCs w:val="24"/>
              </w:rPr>
              <w:t>控制开关电源</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1"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D:</w:t>
            </w:r>
            <w:r>
              <w:rPr>
                <w:rFonts w:hint="eastAsia" w:ascii="宋体" w:hAnsi="宋体"/>
                <w:color w:val="auto"/>
                <w:sz w:val="24"/>
                <w:szCs w:val="24"/>
              </w:rPr>
              <w:t>低压电器配电部分</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断路器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57"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交流接触器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8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中间继电器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35"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热继电器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3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电流互感器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3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E:</w:t>
            </w:r>
            <w:r>
              <w:rPr>
                <w:rFonts w:hint="eastAsia" w:ascii="宋体" w:hAnsi="宋体"/>
                <w:color w:val="auto"/>
                <w:sz w:val="24"/>
                <w:szCs w:val="24"/>
              </w:rPr>
              <w:t>双重防雷保护系统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3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F</w:t>
            </w:r>
            <w:r>
              <w:rPr>
                <w:rFonts w:hint="eastAsia" w:ascii="宋体" w:hAnsi="宋体"/>
                <w:color w:val="auto"/>
                <w:sz w:val="24"/>
                <w:szCs w:val="24"/>
              </w:rPr>
              <w:t>：电气隔离系统</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3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G:</w:t>
            </w:r>
            <w:r>
              <w:rPr>
                <w:rFonts w:hint="eastAsia" w:ascii="宋体" w:hAnsi="宋体"/>
                <w:color w:val="auto"/>
                <w:sz w:val="24"/>
                <w:szCs w:val="24"/>
              </w:rPr>
              <w:t>远程监测、视频监控、门禁系统</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数据检测处理模块、通讯接口、中心监控软件</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89"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H:</w:t>
            </w:r>
            <w:r>
              <w:rPr>
                <w:rFonts w:hint="eastAsia" w:ascii="宋体" w:hAnsi="宋体"/>
                <w:color w:val="auto"/>
                <w:sz w:val="24"/>
                <w:szCs w:val="24"/>
              </w:rPr>
              <w:t>控制按钮操作单元</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旋转开关</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指示灯</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9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数字电压表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73"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数字电流表</w:t>
            </w:r>
          </w:p>
        </w:tc>
        <w:tc>
          <w:tcPr>
            <w:tcW w:w="2628" w:type="dxa"/>
            <w:gridSpan w:val="2"/>
            <w:vAlign w:val="center"/>
          </w:tcPr>
          <w:p>
            <w:pPr>
              <w:spacing w:line="340" w:lineRule="exact"/>
              <w:jc w:val="center"/>
              <w:rPr>
                <w:rFonts w:ascii="宋体"/>
                <w:color w:val="auto"/>
                <w:sz w:val="24"/>
                <w:szCs w:val="24"/>
              </w:rPr>
            </w:pP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3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I:</w:t>
            </w:r>
            <w:r>
              <w:rPr>
                <w:rFonts w:hint="eastAsia" w:ascii="宋体" w:hAnsi="宋体"/>
                <w:color w:val="auto"/>
                <w:sz w:val="24"/>
                <w:szCs w:val="24"/>
              </w:rPr>
              <w:t>柜体及附件</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喷塑</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343" w:hRule="atLeast"/>
          <w:jc w:val="center"/>
        </w:trPr>
        <w:tc>
          <w:tcPr>
            <w:tcW w:w="696" w:type="dxa"/>
            <w:vMerge w:val="restart"/>
            <w:vAlign w:val="center"/>
          </w:tcPr>
          <w:p>
            <w:pPr>
              <w:spacing w:line="340" w:lineRule="exact"/>
              <w:rPr>
                <w:rFonts w:ascii="宋体"/>
                <w:color w:val="auto"/>
                <w:sz w:val="24"/>
                <w:szCs w:val="24"/>
              </w:rPr>
            </w:pPr>
            <w:r>
              <w:rPr>
                <w:rFonts w:ascii="宋体" w:hAnsi="宋体"/>
                <w:color w:val="auto"/>
                <w:sz w:val="24"/>
                <w:szCs w:val="24"/>
              </w:rPr>
              <w:t>7</w:t>
            </w:r>
            <w:r>
              <w:rPr>
                <w:rFonts w:hint="eastAsia" w:ascii="宋体" w:hAnsi="宋体"/>
                <w:color w:val="auto"/>
                <w:sz w:val="24"/>
                <w:szCs w:val="24"/>
              </w:rPr>
              <w:t>管</w:t>
            </w:r>
          </w:p>
          <w:p>
            <w:pPr>
              <w:spacing w:line="340" w:lineRule="exact"/>
              <w:rPr>
                <w:rFonts w:ascii="宋体"/>
                <w:color w:val="auto"/>
                <w:sz w:val="24"/>
                <w:szCs w:val="24"/>
              </w:rPr>
            </w:pPr>
            <w:r>
              <w:rPr>
                <w:rFonts w:hint="eastAsia" w:ascii="宋体" w:hAnsi="宋体"/>
                <w:color w:val="auto"/>
                <w:sz w:val="24"/>
                <w:szCs w:val="24"/>
              </w:rPr>
              <w:t>件</w:t>
            </w:r>
          </w:p>
          <w:p>
            <w:pPr>
              <w:spacing w:line="340" w:lineRule="exact"/>
              <w:rPr>
                <w:rFonts w:ascii="宋体"/>
                <w:color w:val="auto"/>
                <w:sz w:val="24"/>
                <w:szCs w:val="24"/>
              </w:rPr>
            </w:pPr>
            <w:r>
              <w:rPr>
                <w:rFonts w:hint="eastAsia" w:ascii="宋体" w:hAnsi="宋体"/>
                <w:color w:val="auto"/>
                <w:sz w:val="24"/>
                <w:szCs w:val="24"/>
              </w:rPr>
              <w:t>阀</w:t>
            </w:r>
          </w:p>
          <w:p>
            <w:pPr>
              <w:spacing w:line="340" w:lineRule="exact"/>
              <w:rPr>
                <w:rFonts w:ascii="宋体"/>
                <w:color w:val="auto"/>
                <w:sz w:val="24"/>
                <w:szCs w:val="24"/>
              </w:rPr>
            </w:pPr>
            <w:r>
              <w:rPr>
                <w:rFonts w:hint="eastAsia" w:ascii="宋体" w:hAnsi="宋体"/>
                <w:color w:val="auto"/>
                <w:sz w:val="24"/>
                <w:szCs w:val="24"/>
              </w:rPr>
              <w:t>门</w:t>
            </w:r>
          </w:p>
        </w:tc>
        <w:tc>
          <w:tcPr>
            <w:tcW w:w="3014" w:type="dxa"/>
            <w:vAlign w:val="center"/>
          </w:tcPr>
          <w:p>
            <w:pPr>
              <w:spacing w:line="340" w:lineRule="exact"/>
              <w:rPr>
                <w:rFonts w:ascii="宋体"/>
                <w:color w:val="auto"/>
                <w:sz w:val="24"/>
                <w:szCs w:val="24"/>
              </w:rPr>
            </w:pPr>
            <w:r>
              <w:rPr>
                <w:rFonts w:ascii="宋体" w:hAnsi="宋体"/>
                <w:color w:val="auto"/>
                <w:sz w:val="24"/>
                <w:szCs w:val="24"/>
              </w:rPr>
              <w:t>A:</w:t>
            </w:r>
            <w:r>
              <w:rPr>
                <w:rFonts w:hint="eastAsia" w:ascii="宋体" w:hAnsi="宋体"/>
                <w:color w:val="auto"/>
                <w:sz w:val="24"/>
                <w:szCs w:val="24"/>
              </w:rPr>
              <w:t>涡轮蝶式闸阀（不锈钢阀芯）</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p>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96"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B:</w:t>
            </w:r>
            <w:r>
              <w:rPr>
                <w:rFonts w:hint="eastAsia" w:ascii="宋体" w:hAnsi="宋体"/>
                <w:color w:val="auto"/>
                <w:sz w:val="24"/>
                <w:szCs w:val="24"/>
              </w:rPr>
              <w:t>蝶式止回阀</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r>
              <w:rPr>
                <w:rFonts w:ascii="宋体" w:hAnsi="宋体"/>
                <w:color w:val="auto"/>
                <w:sz w:val="24"/>
                <w:szCs w:val="24"/>
              </w:rPr>
              <w:t xml:space="preserve"> </w:t>
            </w:r>
          </w:p>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65" w:hRule="atLeast"/>
          <w:jc w:val="center"/>
        </w:trPr>
        <w:tc>
          <w:tcPr>
            <w:tcW w:w="696" w:type="dxa"/>
            <w:vMerge w:val="restart"/>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C: </w:t>
            </w:r>
            <w:r>
              <w:rPr>
                <w:rFonts w:hint="eastAsia" w:ascii="宋体" w:hAnsi="宋体"/>
                <w:color w:val="auto"/>
                <w:sz w:val="24"/>
                <w:szCs w:val="24"/>
              </w:rPr>
              <w:t>配套螺栓</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p>
          <w:p>
            <w:pPr>
              <w:spacing w:line="340" w:lineRule="exact"/>
              <w:jc w:val="center"/>
              <w:rPr>
                <w:rFonts w:ascii="宋体"/>
                <w:color w:val="auto"/>
                <w:sz w:val="24"/>
                <w:szCs w:val="24"/>
              </w:rPr>
            </w:pPr>
            <w:r>
              <w:rPr>
                <w:rFonts w:hint="eastAsia" w:ascii="宋体" w:hAnsi="宋体"/>
                <w:color w:val="auto"/>
                <w:sz w:val="24"/>
                <w:szCs w:val="24"/>
              </w:rPr>
              <w:t>不锈钢材质</w:t>
            </w:r>
            <w:r>
              <w:rPr>
                <w:rFonts w:ascii="宋体" w:hAnsi="宋体"/>
                <w:color w:val="auto"/>
                <w:sz w:val="24"/>
                <w:szCs w:val="24"/>
              </w:rPr>
              <w:t xml:space="preserve"> </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9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D:</w:t>
            </w:r>
            <w:r>
              <w:rPr>
                <w:rFonts w:hint="eastAsia" w:ascii="宋体" w:hAnsi="宋体"/>
                <w:color w:val="auto"/>
                <w:sz w:val="24"/>
                <w:szCs w:val="24"/>
              </w:rPr>
              <w:t>调整管及出水总管</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r>
              <w:rPr>
                <w:rFonts w:ascii="宋体" w:hAnsi="宋体"/>
                <w:color w:val="auto"/>
                <w:sz w:val="24"/>
                <w:szCs w:val="24"/>
              </w:rPr>
              <w:t xml:space="preserve"> </w:t>
            </w:r>
          </w:p>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94"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E:</w:t>
            </w:r>
            <w:r>
              <w:rPr>
                <w:rFonts w:hint="eastAsia" w:ascii="宋体" w:hAnsi="宋体"/>
                <w:color w:val="auto"/>
                <w:sz w:val="24"/>
                <w:szCs w:val="24"/>
              </w:rPr>
              <w:t>减震垫</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90"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F:</w:t>
            </w:r>
            <w:r>
              <w:rPr>
                <w:rFonts w:hint="eastAsia" w:ascii="宋体" w:hAnsi="宋体"/>
                <w:color w:val="auto"/>
                <w:sz w:val="24"/>
                <w:szCs w:val="24"/>
              </w:rPr>
              <w:t>柔性接头</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r>
              <w:rPr>
                <w:rFonts w:ascii="宋体" w:hAnsi="宋体"/>
                <w:color w:val="auto"/>
                <w:sz w:val="24"/>
                <w:szCs w:val="24"/>
              </w:rPr>
              <w:t xml:space="preserve"> </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258"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 xml:space="preserve">G: </w:t>
            </w:r>
            <w:r>
              <w:rPr>
                <w:rFonts w:hint="eastAsia" w:ascii="宋体" w:hAnsi="宋体"/>
                <w:color w:val="auto"/>
                <w:sz w:val="24"/>
                <w:szCs w:val="24"/>
              </w:rPr>
              <w:t>配套法兰、弯头</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r>
              <w:rPr>
                <w:rFonts w:ascii="宋体" w:hAnsi="宋体"/>
                <w:color w:val="auto"/>
                <w:sz w:val="24"/>
                <w:szCs w:val="24"/>
              </w:rPr>
              <w:t xml:space="preserve"> </w:t>
            </w:r>
          </w:p>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404" w:hRule="atLeast"/>
          <w:jc w:val="center"/>
        </w:trPr>
        <w:tc>
          <w:tcPr>
            <w:tcW w:w="696" w:type="dxa"/>
            <w:vMerge w:val="continue"/>
            <w:vAlign w:val="center"/>
          </w:tcPr>
          <w:p>
            <w:pPr>
              <w:spacing w:line="340" w:lineRule="exact"/>
              <w:jc w:val="center"/>
              <w:rPr>
                <w:rFonts w:ascii="宋体"/>
                <w:color w:val="auto"/>
                <w:sz w:val="24"/>
                <w:szCs w:val="24"/>
              </w:rPr>
            </w:pPr>
          </w:p>
        </w:tc>
        <w:tc>
          <w:tcPr>
            <w:tcW w:w="3014" w:type="dxa"/>
            <w:vAlign w:val="center"/>
          </w:tcPr>
          <w:p>
            <w:pPr>
              <w:spacing w:line="340" w:lineRule="exact"/>
              <w:rPr>
                <w:rFonts w:ascii="宋体"/>
                <w:color w:val="auto"/>
                <w:sz w:val="24"/>
                <w:szCs w:val="24"/>
              </w:rPr>
            </w:pPr>
            <w:r>
              <w:rPr>
                <w:rFonts w:ascii="宋体" w:hAnsi="宋体"/>
                <w:color w:val="auto"/>
                <w:sz w:val="24"/>
                <w:szCs w:val="24"/>
              </w:rPr>
              <w:t>H:</w:t>
            </w:r>
            <w:r>
              <w:rPr>
                <w:rFonts w:hint="eastAsia" w:ascii="宋体" w:hAnsi="宋体"/>
                <w:color w:val="auto"/>
                <w:sz w:val="24"/>
                <w:szCs w:val="24"/>
              </w:rPr>
              <w:t>基</w:t>
            </w:r>
            <w:r>
              <w:rPr>
                <w:rFonts w:ascii="宋体" w:hAnsi="宋体"/>
                <w:color w:val="auto"/>
                <w:sz w:val="24"/>
                <w:szCs w:val="24"/>
              </w:rPr>
              <w:t xml:space="preserve">  </w:t>
            </w:r>
            <w:r>
              <w:rPr>
                <w:rFonts w:hint="eastAsia" w:ascii="宋体" w:hAnsi="宋体"/>
                <w:color w:val="auto"/>
                <w:sz w:val="24"/>
                <w:szCs w:val="24"/>
              </w:rPr>
              <w:t>座</w:t>
            </w:r>
          </w:p>
        </w:tc>
        <w:tc>
          <w:tcPr>
            <w:tcW w:w="2628"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p>
        </w:tc>
        <w:tc>
          <w:tcPr>
            <w:tcW w:w="448"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574" w:hRule="atLeast"/>
          <w:jc w:val="center"/>
        </w:trPr>
        <w:tc>
          <w:tcPr>
            <w:tcW w:w="696" w:type="dxa"/>
            <w:tcBorders>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8</w:t>
            </w:r>
          </w:p>
        </w:tc>
        <w:tc>
          <w:tcPr>
            <w:tcW w:w="3014" w:type="dxa"/>
            <w:tcBorders>
              <w:bottom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设备配套仪表</w:t>
            </w:r>
          </w:p>
        </w:tc>
        <w:tc>
          <w:tcPr>
            <w:tcW w:w="2628" w:type="dxa"/>
            <w:gridSpan w:val="2"/>
            <w:tcBorders>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设备整体配套专用</w:t>
            </w:r>
          </w:p>
        </w:tc>
        <w:tc>
          <w:tcPr>
            <w:tcW w:w="448" w:type="dxa"/>
            <w:tcBorders>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left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包含压力表、流量计等设备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401" w:hRule="atLeast"/>
          <w:jc w:val="center"/>
        </w:trPr>
        <w:tc>
          <w:tcPr>
            <w:tcW w:w="696"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9</w:t>
            </w:r>
          </w:p>
        </w:tc>
        <w:tc>
          <w:tcPr>
            <w:tcW w:w="3014" w:type="dxa"/>
            <w:tcBorders>
              <w:top w:val="single" w:color="auto" w:sz="4" w:space="0"/>
              <w:bottom w:val="single" w:color="auto" w:sz="4" w:space="0"/>
            </w:tcBorders>
            <w:vAlign w:val="center"/>
          </w:tcPr>
          <w:p>
            <w:pPr>
              <w:rPr>
                <w:rFonts w:ascii="宋体"/>
                <w:color w:val="auto"/>
                <w:sz w:val="24"/>
                <w:szCs w:val="24"/>
              </w:rPr>
            </w:pPr>
            <w:r>
              <w:rPr>
                <w:rFonts w:hint="eastAsia" w:ascii="宋体" w:hAnsi="宋体"/>
                <w:color w:val="auto"/>
                <w:sz w:val="24"/>
                <w:szCs w:val="24"/>
              </w:rPr>
              <w:t>压力开关</w:t>
            </w:r>
          </w:p>
        </w:tc>
        <w:tc>
          <w:tcPr>
            <w:tcW w:w="2628" w:type="dxa"/>
            <w:gridSpan w:val="2"/>
            <w:tcBorders>
              <w:top w:val="single" w:color="auto" w:sz="4" w:space="0"/>
              <w:bottom w:val="single" w:color="auto" w:sz="4" w:space="0"/>
            </w:tcBorders>
            <w:vAlign w:val="center"/>
          </w:tcPr>
          <w:p>
            <w:pPr>
              <w:jc w:val="center"/>
              <w:rPr>
                <w:rFonts w:ascii="宋体"/>
                <w:color w:val="auto"/>
                <w:sz w:val="24"/>
                <w:szCs w:val="24"/>
              </w:rPr>
            </w:pPr>
          </w:p>
        </w:tc>
        <w:tc>
          <w:tcPr>
            <w:tcW w:w="448"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top w:val="single" w:color="auto" w:sz="4" w:space="0"/>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top w:val="single" w:color="auto" w:sz="4" w:space="0"/>
              <w:left w:val="single" w:color="auto" w:sz="4" w:space="0"/>
              <w:bottom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 w:type="dxa"/>
          <w:trHeight w:val="444" w:hRule="atLeast"/>
          <w:jc w:val="center"/>
        </w:trPr>
        <w:tc>
          <w:tcPr>
            <w:tcW w:w="696"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10</w:t>
            </w:r>
          </w:p>
        </w:tc>
        <w:tc>
          <w:tcPr>
            <w:tcW w:w="3014" w:type="dxa"/>
            <w:tcBorders>
              <w:top w:val="single" w:color="auto" w:sz="4" w:space="0"/>
              <w:bottom w:val="single" w:color="auto" w:sz="4" w:space="0"/>
            </w:tcBorders>
            <w:vAlign w:val="center"/>
          </w:tcPr>
          <w:p>
            <w:pPr>
              <w:rPr>
                <w:rFonts w:ascii="宋体"/>
                <w:color w:val="auto"/>
                <w:sz w:val="24"/>
                <w:szCs w:val="24"/>
              </w:rPr>
            </w:pPr>
            <w:r>
              <w:rPr>
                <w:rFonts w:hint="eastAsia" w:ascii="宋体" w:hAnsi="宋体"/>
                <w:color w:val="auto"/>
                <w:sz w:val="24"/>
                <w:szCs w:val="24"/>
              </w:rPr>
              <w:t>其它辅材</w:t>
            </w:r>
          </w:p>
        </w:tc>
        <w:tc>
          <w:tcPr>
            <w:tcW w:w="2628" w:type="dxa"/>
            <w:gridSpan w:val="2"/>
            <w:tcBorders>
              <w:top w:val="single" w:color="auto" w:sz="4" w:space="0"/>
              <w:bottom w:val="single" w:color="auto" w:sz="4" w:space="0"/>
            </w:tcBorders>
            <w:vAlign w:val="center"/>
          </w:tcPr>
          <w:p>
            <w:pPr>
              <w:rPr>
                <w:rFonts w:ascii="宋体"/>
                <w:color w:val="auto"/>
                <w:sz w:val="24"/>
                <w:szCs w:val="24"/>
              </w:rPr>
            </w:pPr>
          </w:p>
        </w:tc>
        <w:tc>
          <w:tcPr>
            <w:tcW w:w="448"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95" w:type="dxa"/>
            <w:tcBorders>
              <w:top w:val="single" w:color="auto" w:sz="4" w:space="0"/>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41" w:type="dxa"/>
            <w:tcBorders>
              <w:top w:val="single" w:color="auto" w:sz="4" w:space="0"/>
              <w:left w:val="single" w:color="auto" w:sz="4" w:space="0"/>
              <w:bottom w:val="single" w:color="auto" w:sz="4" w:space="0"/>
            </w:tcBorders>
            <w:vAlign w:val="center"/>
          </w:tcPr>
          <w:p>
            <w:pPr>
              <w:spacing w:line="340" w:lineRule="exact"/>
              <w:jc w:val="center"/>
              <w:rPr>
                <w:rFonts w:ascii="宋体"/>
                <w:color w:val="auto"/>
                <w:sz w:val="24"/>
                <w:szCs w:val="24"/>
              </w:rPr>
            </w:pPr>
          </w:p>
        </w:tc>
      </w:tr>
    </w:tbl>
    <w:p>
      <w:pPr>
        <w:rPr>
          <w:rFonts w:ascii="宋体" w:hAnsi="宋体" w:cs="宋体"/>
          <w:b/>
          <w:bCs/>
          <w:color w:val="auto"/>
          <w:sz w:val="24"/>
          <w:szCs w:val="24"/>
        </w:rPr>
      </w:pPr>
    </w:p>
    <w:p>
      <w:pPr>
        <w:pStyle w:val="2"/>
      </w:pPr>
    </w:p>
    <w:p>
      <w:pPr>
        <w:rPr>
          <w:rFonts w:ascii="宋体" w:cs="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、高区</w:t>
      </w:r>
      <w:r>
        <w:rPr>
          <w:rFonts w:hint="eastAsia" w:ascii="宋体" w:hAnsi="宋体" w:cs="宋体"/>
          <w:b/>
          <w:bCs/>
          <w:color w:val="auto"/>
          <w:sz w:val="24"/>
          <w:szCs w:val="24"/>
          <w:lang w:val="zh-CN"/>
        </w:rPr>
        <w:t>无负压给水设备</w:t>
      </w:r>
    </w:p>
    <w:tbl>
      <w:tblPr>
        <w:tblStyle w:val="16"/>
        <w:tblW w:w="93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5"/>
        <w:gridCol w:w="2835"/>
        <w:gridCol w:w="1216"/>
        <w:gridCol w:w="1361"/>
        <w:gridCol w:w="670"/>
        <w:gridCol w:w="668"/>
        <w:gridCol w:w="18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725" w:type="dxa"/>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序号</w:t>
            </w:r>
          </w:p>
        </w:tc>
        <w:tc>
          <w:tcPr>
            <w:tcW w:w="2835" w:type="dxa"/>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名</w:t>
            </w:r>
            <w:r>
              <w:rPr>
                <w:rFonts w:ascii="宋体" w:hAnsi="宋体"/>
                <w:color w:val="auto"/>
                <w:sz w:val="24"/>
                <w:szCs w:val="24"/>
              </w:rPr>
              <w:t xml:space="preserve">    </w:t>
            </w:r>
            <w:r>
              <w:rPr>
                <w:rFonts w:hint="eastAsia" w:ascii="宋体" w:hAnsi="宋体"/>
                <w:color w:val="auto"/>
                <w:sz w:val="24"/>
                <w:szCs w:val="24"/>
              </w:rPr>
              <w:t>称</w:t>
            </w:r>
          </w:p>
        </w:tc>
        <w:tc>
          <w:tcPr>
            <w:tcW w:w="1216" w:type="dxa"/>
            <w:tcBorders>
              <w:right w:val="single" w:color="auto" w:sz="4" w:space="0"/>
            </w:tcBorders>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规格型号</w:t>
            </w:r>
          </w:p>
        </w:tc>
        <w:tc>
          <w:tcPr>
            <w:tcW w:w="1361" w:type="dxa"/>
            <w:tcBorders>
              <w:left w:val="single" w:color="auto" w:sz="4" w:space="0"/>
            </w:tcBorders>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性</w:t>
            </w:r>
            <w:r>
              <w:rPr>
                <w:rFonts w:ascii="宋体" w:hAnsi="宋体"/>
                <w:color w:val="auto"/>
                <w:sz w:val="24"/>
                <w:szCs w:val="24"/>
              </w:rPr>
              <w:t xml:space="preserve">    </w:t>
            </w:r>
            <w:r>
              <w:rPr>
                <w:rFonts w:hint="eastAsia" w:ascii="宋体" w:hAnsi="宋体"/>
                <w:color w:val="auto"/>
                <w:sz w:val="24"/>
                <w:szCs w:val="24"/>
              </w:rPr>
              <w:t>能</w:t>
            </w:r>
          </w:p>
        </w:tc>
        <w:tc>
          <w:tcPr>
            <w:tcW w:w="670" w:type="dxa"/>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单位</w:t>
            </w:r>
          </w:p>
        </w:tc>
        <w:tc>
          <w:tcPr>
            <w:tcW w:w="668" w:type="dxa"/>
            <w:tcBorders>
              <w:right w:val="single" w:color="auto" w:sz="4" w:space="0"/>
            </w:tcBorders>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数量</w:t>
            </w:r>
          </w:p>
        </w:tc>
        <w:tc>
          <w:tcPr>
            <w:tcW w:w="1859" w:type="dxa"/>
            <w:tcBorders>
              <w:left w:val="single" w:color="auto" w:sz="4" w:space="0"/>
            </w:tcBorders>
            <w:shd w:val="pct10" w:color="auto" w:fill="auto"/>
            <w:vAlign w:val="center"/>
          </w:tcPr>
          <w:p>
            <w:pPr>
              <w:spacing w:line="340" w:lineRule="exact"/>
              <w:jc w:val="center"/>
              <w:rPr>
                <w:rFonts w:ascii="宋体"/>
                <w:color w:val="auto"/>
                <w:sz w:val="24"/>
                <w:szCs w:val="24"/>
              </w:rPr>
            </w:pPr>
            <w:r>
              <w:rPr>
                <w:rFonts w:hint="eastAsia" w:ascii="宋体" w:hAnsi="宋体"/>
                <w:color w:val="auto"/>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725" w:type="dxa"/>
            <w:vAlign w:val="center"/>
          </w:tcPr>
          <w:p>
            <w:pPr>
              <w:spacing w:line="340" w:lineRule="exact"/>
              <w:jc w:val="center"/>
              <w:rPr>
                <w:rFonts w:ascii="宋体"/>
                <w:color w:val="auto"/>
                <w:sz w:val="24"/>
                <w:szCs w:val="24"/>
              </w:rPr>
            </w:pPr>
            <w:r>
              <w:rPr>
                <w:rFonts w:ascii="宋体" w:hAnsi="宋体"/>
                <w:color w:val="auto"/>
                <w:sz w:val="24"/>
                <w:szCs w:val="24"/>
              </w:rPr>
              <w:t>1</w:t>
            </w:r>
          </w:p>
        </w:tc>
        <w:tc>
          <w:tcPr>
            <w:tcW w:w="2835" w:type="dxa"/>
            <w:vAlign w:val="center"/>
          </w:tcPr>
          <w:p>
            <w:pPr>
              <w:spacing w:line="340" w:lineRule="exact"/>
              <w:rPr>
                <w:rFonts w:ascii="宋体"/>
                <w:b/>
                <w:color w:val="auto"/>
                <w:sz w:val="24"/>
                <w:szCs w:val="24"/>
              </w:rPr>
            </w:pPr>
            <w:r>
              <w:rPr>
                <w:rFonts w:hint="eastAsia" w:ascii="宋体" w:hAnsi="宋体"/>
                <w:b/>
                <w:color w:val="auto"/>
                <w:sz w:val="24"/>
                <w:szCs w:val="24"/>
              </w:rPr>
              <w:t>水泵</w:t>
            </w:r>
          </w:p>
        </w:tc>
        <w:tc>
          <w:tcPr>
            <w:tcW w:w="1216" w:type="dxa"/>
            <w:tcBorders>
              <w:right w:val="single" w:color="auto" w:sz="4" w:space="0"/>
            </w:tcBorders>
            <w:vAlign w:val="center"/>
          </w:tcPr>
          <w:p>
            <w:pPr>
              <w:spacing w:line="340" w:lineRule="exact"/>
              <w:rPr>
                <w:rFonts w:ascii="宋体"/>
                <w:b/>
                <w:color w:val="auto"/>
                <w:sz w:val="24"/>
                <w:szCs w:val="24"/>
              </w:rPr>
            </w:pPr>
          </w:p>
        </w:tc>
        <w:tc>
          <w:tcPr>
            <w:tcW w:w="1361" w:type="dxa"/>
            <w:tcBorders>
              <w:left w:val="single" w:color="auto" w:sz="4" w:space="0"/>
            </w:tcBorders>
            <w:vAlign w:val="center"/>
          </w:tcPr>
          <w:p/>
          <w:p>
            <w:pPr>
              <w:pStyle w:val="2"/>
            </w:pPr>
          </w:p>
        </w:tc>
        <w:tc>
          <w:tcPr>
            <w:tcW w:w="670" w:type="dxa"/>
            <w:vAlign w:val="center"/>
          </w:tcPr>
          <w:p>
            <w:pPr>
              <w:spacing w:line="340" w:lineRule="exact"/>
              <w:rPr>
                <w:rFonts w:ascii="宋体"/>
                <w:b/>
                <w:color w:val="auto"/>
                <w:sz w:val="24"/>
                <w:szCs w:val="24"/>
              </w:rPr>
            </w:pPr>
            <w:r>
              <w:rPr>
                <w:rFonts w:hint="eastAsia" w:ascii="宋体" w:hAnsi="宋体"/>
                <w:b/>
                <w:color w:val="auto"/>
                <w:sz w:val="24"/>
                <w:szCs w:val="24"/>
              </w:rPr>
              <w:t>台</w:t>
            </w:r>
          </w:p>
        </w:tc>
        <w:tc>
          <w:tcPr>
            <w:tcW w:w="668" w:type="dxa"/>
            <w:tcBorders>
              <w:right w:val="single" w:color="auto" w:sz="4" w:space="0"/>
            </w:tcBorders>
            <w:vAlign w:val="center"/>
          </w:tcPr>
          <w:p>
            <w:pPr>
              <w:spacing w:line="340" w:lineRule="exact"/>
              <w:ind w:firstLine="241" w:firstLineChars="100"/>
              <w:rPr>
                <w:rFonts w:hint="eastAsia" w:ascii="宋体" w:eastAsia="宋体"/>
                <w:b/>
                <w:color w:val="auto"/>
                <w:sz w:val="24"/>
                <w:szCs w:val="24"/>
                <w:lang w:eastAsia="zh-CN"/>
              </w:rPr>
            </w:pPr>
            <w:r>
              <w:rPr>
                <w:rFonts w:hint="eastAsia" w:ascii="宋体" w:hAnsi="宋体"/>
                <w:b/>
                <w:color w:val="auto"/>
                <w:sz w:val="24"/>
                <w:szCs w:val="24"/>
                <w:lang w:val="en-US" w:eastAsia="zh-CN"/>
              </w:rPr>
              <w:t>4</w:t>
            </w:r>
          </w:p>
        </w:tc>
        <w:tc>
          <w:tcPr>
            <w:tcW w:w="1859" w:type="dxa"/>
            <w:tcBorders>
              <w:left w:val="single" w:color="auto" w:sz="4" w:space="0"/>
            </w:tcBorders>
            <w:vAlign w:val="center"/>
          </w:tcPr>
          <w:p>
            <w:pPr>
              <w:spacing w:line="340" w:lineRule="exact"/>
              <w:jc w:val="center"/>
              <w:rPr>
                <w:rFonts w:ascii="宋体"/>
                <w:b/>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725" w:type="dxa"/>
            <w:vMerge w:val="restart"/>
            <w:vAlign w:val="center"/>
          </w:tcPr>
          <w:p>
            <w:pPr>
              <w:spacing w:line="340" w:lineRule="exact"/>
              <w:jc w:val="center"/>
              <w:rPr>
                <w:rFonts w:ascii="宋体"/>
                <w:color w:val="auto"/>
                <w:sz w:val="24"/>
                <w:szCs w:val="24"/>
              </w:rPr>
            </w:pPr>
            <w:r>
              <w:rPr>
                <w:rFonts w:ascii="宋体" w:hAnsi="宋体"/>
                <w:color w:val="auto"/>
                <w:sz w:val="24"/>
                <w:szCs w:val="24"/>
              </w:rPr>
              <w:t>2</w:t>
            </w:r>
          </w:p>
        </w:tc>
        <w:tc>
          <w:tcPr>
            <w:tcW w:w="2835" w:type="dxa"/>
            <w:tcBorders>
              <w:bottom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稳流补偿器</w:t>
            </w:r>
          </w:p>
        </w:tc>
        <w:tc>
          <w:tcPr>
            <w:tcW w:w="2577" w:type="dxa"/>
            <w:gridSpan w:val="2"/>
            <w:tcBorders>
              <w:bottom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不锈钢材质</w:t>
            </w:r>
          </w:p>
        </w:tc>
        <w:tc>
          <w:tcPr>
            <w:tcW w:w="670" w:type="dxa"/>
            <w:tcBorders>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bottom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tcBorders>
              <w:top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予压平衡器</w:t>
            </w:r>
          </w:p>
        </w:tc>
        <w:tc>
          <w:tcPr>
            <w:tcW w:w="2577" w:type="dxa"/>
            <w:gridSpan w:val="2"/>
            <w:tcBorders>
              <w:top w:val="single" w:color="auto" w:sz="4" w:space="0"/>
            </w:tcBorders>
            <w:vAlign w:val="center"/>
          </w:tcPr>
          <w:p>
            <w:pPr>
              <w:spacing w:line="340" w:lineRule="exact"/>
              <w:jc w:val="center"/>
              <w:rPr>
                <w:rFonts w:ascii="宋体"/>
                <w:b/>
                <w:color w:val="auto"/>
                <w:sz w:val="24"/>
                <w:szCs w:val="24"/>
              </w:rPr>
            </w:pPr>
            <w:r>
              <w:rPr>
                <w:rFonts w:hint="eastAsia" w:ascii="宋体" w:hAnsi="宋体"/>
                <w:color w:val="auto"/>
                <w:sz w:val="24"/>
                <w:szCs w:val="24"/>
              </w:rPr>
              <w:t>不锈钢材质</w:t>
            </w:r>
            <w:r>
              <w:rPr>
                <w:rFonts w:ascii="宋体" w:hAnsi="宋体"/>
                <w:color w:val="auto"/>
                <w:sz w:val="24"/>
                <w:szCs w:val="24"/>
              </w:rPr>
              <w:t xml:space="preserve">, </w:t>
            </w:r>
            <w:r>
              <w:rPr>
                <w:rFonts w:hint="eastAsia" w:ascii="宋体" w:hAnsi="宋体"/>
                <w:color w:val="auto"/>
                <w:sz w:val="24"/>
                <w:szCs w:val="24"/>
              </w:rPr>
              <w:t>产品内置</w:t>
            </w:r>
          </w:p>
        </w:tc>
        <w:tc>
          <w:tcPr>
            <w:tcW w:w="670" w:type="dxa"/>
            <w:tcBorders>
              <w:top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top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top w:val="single" w:color="auto" w:sz="4" w:space="0"/>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725" w:type="dxa"/>
            <w:vMerge w:val="restart"/>
            <w:vAlign w:val="center"/>
          </w:tcPr>
          <w:p>
            <w:pPr>
              <w:spacing w:line="340" w:lineRule="exact"/>
              <w:jc w:val="center"/>
              <w:rPr>
                <w:rFonts w:ascii="宋体"/>
                <w:color w:val="auto"/>
                <w:sz w:val="24"/>
                <w:szCs w:val="24"/>
              </w:rPr>
            </w:pPr>
            <w:r>
              <w:rPr>
                <w:rFonts w:ascii="宋体" w:hAnsi="宋体"/>
                <w:color w:val="auto"/>
                <w:sz w:val="24"/>
                <w:szCs w:val="24"/>
              </w:rPr>
              <w:t>3</w:t>
            </w:r>
          </w:p>
        </w:tc>
        <w:tc>
          <w:tcPr>
            <w:tcW w:w="2835" w:type="dxa"/>
            <w:vAlign w:val="center"/>
          </w:tcPr>
          <w:p>
            <w:pPr>
              <w:spacing w:line="340" w:lineRule="exact"/>
              <w:rPr>
                <w:rFonts w:ascii="宋体"/>
                <w:color w:val="auto"/>
                <w:sz w:val="24"/>
                <w:szCs w:val="24"/>
              </w:rPr>
            </w:pPr>
            <w:r>
              <w:rPr>
                <w:rFonts w:hint="eastAsia" w:ascii="宋体" w:hAnsi="宋体"/>
                <w:color w:val="auto"/>
                <w:sz w:val="24"/>
                <w:szCs w:val="24"/>
              </w:rPr>
              <w:t>负压消除器（不锈钢材质）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hint="eastAsia" w:ascii="宋体" w:hAnsi="宋体"/>
                <w:color w:val="auto"/>
                <w:sz w:val="24"/>
                <w:szCs w:val="24"/>
              </w:rPr>
              <w:t>真空负压检测系统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25" w:type="dxa"/>
            <w:vAlign w:val="center"/>
          </w:tcPr>
          <w:p>
            <w:pPr>
              <w:spacing w:line="340" w:lineRule="exact"/>
              <w:jc w:val="center"/>
              <w:rPr>
                <w:rFonts w:ascii="宋体"/>
                <w:color w:val="auto"/>
                <w:sz w:val="24"/>
                <w:szCs w:val="24"/>
              </w:rPr>
            </w:pPr>
            <w:r>
              <w:rPr>
                <w:rFonts w:ascii="宋体" w:hAnsi="宋体"/>
                <w:color w:val="auto"/>
                <w:sz w:val="24"/>
                <w:szCs w:val="24"/>
              </w:rPr>
              <w:t>4</w:t>
            </w:r>
          </w:p>
        </w:tc>
        <w:tc>
          <w:tcPr>
            <w:tcW w:w="2835" w:type="dxa"/>
            <w:vAlign w:val="center"/>
          </w:tcPr>
          <w:p>
            <w:pPr>
              <w:spacing w:line="340" w:lineRule="exact"/>
              <w:rPr>
                <w:rFonts w:ascii="宋体"/>
                <w:color w:val="auto"/>
                <w:sz w:val="24"/>
                <w:szCs w:val="24"/>
              </w:rPr>
            </w:pPr>
            <w:r>
              <w:rPr>
                <w:rFonts w:hint="eastAsia" w:ascii="宋体" w:hAnsi="宋体"/>
                <w:color w:val="auto"/>
                <w:sz w:val="24"/>
                <w:szCs w:val="24"/>
              </w:rPr>
              <w:t>新型斜网直通式过滤器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725" w:type="dxa"/>
            <w:vAlign w:val="center"/>
          </w:tcPr>
          <w:p>
            <w:pPr>
              <w:spacing w:line="340" w:lineRule="exact"/>
              <w:jc w:val="center"/>
              <w:rPr>
                <w:rFonts w:ascii="宋体"/>
                <w:color w:val="auto"/>
                <w:sz w:val="24"/>
                <w:szCs w:val="24"/>
              </w:rPr>
            </w:pPr>
            <w:r>
              <w:rPr>
                <w:rFonts w:ascii="宋体" w:hAnsi="宋体"/>
                <w:color w:val="auto"/>
                <w:sz w:val="24"/>
                <w:szCs w:val="24"/>
              </w:rPr>
              <w:t>5</w:t>
            </w:r>
          </w:p>
        </w:tc>
        <w:tc>
          <w:tcPr>
            <w:tcW w:w="2835" w:type="dxa"/>
            <w:vAlign w:val="center"/>
          </w:tcPr>
          <w:p>
            <w:pPr>
              <w:spacing w:line="340" w:lineRule="exact"/>
              <w:rPr>
                <w:rFonts w:ascii="宋体"/>
                <w:color w:val="auto"/>
                <w:sz w:val="24"/>
                <w:szCs w:val="24"/>
              </w:rPr>
            </w:pPr>
            <w:r>
              <w:rPr>
                <w:rFonts w:hint="eastAsia" w:ascii="宋体" w:hAnsi="宋体"/>
                <w:color w:val="auto"/>
                <w:sz w:val="24"/>
                <w:szCs w:val="24"/>
              </w:rPr>
              <w:t>节能补偿器</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不锈钢材质，产品内置</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4" w:hRule="atLeast"/>
          <w:jc w:val="center"/>
        </w:trPr>
        <w:tc>
          <w:tcPr>
            <w:tcW w:w="725" w:type="dxa"/>
            <w:vMerge w:val="restart"/>
            <w:vAlign w:val="center"/>
          </w:tcPr>
          <w:p>
            <w:pPr>
              <w:spacing w:line="340" w:lineRule="exact"/>
              <w:jc w:val="center"/>
              <w:rPr>
                <w:rFonts w:ascii="宋体"/>
                <w:color w:val="auto"/>
                <w:sz w:val="24"/>
                <w:szCs w:val="24"/>
              </w:rPr>
            </w:pPr>
            <w:r>
              <w:rPr>
                <w:rFonts w:ascii="宋体" w:hAnsi="宋体"/>
                <w:color w:val="auto"/>
                <w:sz w:val="24"/>
                <w:szCs w:val="24"/>
              </w:rPr>
              <w:t>6</w:t>
            </w:r>
          </w:p>
          <w:p>
            <w:pPr>
              <w:spacing w:line="340" w:lineRule="exact"/>
              <w:jc w:val="center"/>
              <w:rPr>
                <w:rFonts w:ascii="宋体"/>
                <w:color w:val="auto"/>
                <w:sz w:val="24"/>
                <w:szCs w:val="24"/>
              </w:rPr>
            </w:pPr>
            <w:r>
              <w:rPr>
                <w:rFonts w:hint="eastAsia" w:ascii="宋体" w:hAnsi="宋体"/>
                <w:color w:val="auto"/>
                <w:sz w:val="24"/>
                <w:szCs w:val="24"/>
              </w:rPr>
              <w:t>控制系统</w:t>
            </w:r>
          </w:p>
        </w:tc>
        <w:tc>
          <w:tcPr>
            <w:tcW w:w="2835" w:type="dxa"/>
            <w:vAlign w:val="center"/>
          </w:tcPr>
          <w:p>
            <w:pPr>
              <w:spacing w:line="340" w:lineRule="exact"/>
              <w:rPr>
                <w:rFonts w:ascii="宋体"/>
                <w:b/>
                <w:color w:val="auto"/>
                <w:sz w:val="24"/>
                <w:szCs w:val="24"/>
              </w:rPr>
            </w:pPr>
            <w:r>
              <w:rPr>
                <w:rFonts w:ascii="宋体" w:hAnsi="宋体"/>
                <w:b/>
                <w:color w:val="auto"/>
                <w:sz w:val="24"/>
                <w:szCs w:val="24"/>
              </w:rPr>
              <w:t>A:</w:t>
            </w:r>
            <w:r>
              <w:rPr>
                <w:rFonts w:hint="eastAsia" w:ascii="宋体" w:hAnsi="宋体"/>
                <w:b/>
                <w:color w:val="auto"/>
                <w:sz w:val="24"/>
                <w:szCs w:val="24"/>
              </w:rPr>
              <w:t>供水专用变频器</w:t>
            </w:r>
          </w:p>
        </w:tc>
        <w:tc>
          <w:tcPr>
            <w:tcW w:w="2577" w:type="dxa"/>
            <w:gridSpan w:val="2"/>
            <w:vAlign w:val="center"/>
          </w:tcPr>
          <w:p>
            <w:pPr>
              <w:spacing w:line="340" w:lineRule="exact"/>
              <w:jc w:val="center"/>
              <w:rPr>
                <w:rFonts w:ascii="宋体"/>
                <w:b/>
                <w:color w:val="auto"/>
                <w:sz w:val="24"/>
                <w:szCs w:val="24"/>
              </w:rPr>
            </w:pPr>
          </w:p>
        </w:tc>
        <w:tc>
          <w:tcPr>
            <w:tcW w:w="670" w:type="dxa"/>
            <w:vAlign w:val="center"/>
          </w:tcPr>
          <w:p>
            <w:pPr>
              <w:spacing w:line="340" w:lineRule="exact"/>
              <w:jc w:val="center"/>
              <w:rPr>
                <w:rFonts w:ascii="宋体"/>
                <w:b/>
                <w:color w:val="auto"/>
                <w:sz w:val="24"/>
                <w:szCs w:val="24"/>
              </w:rPr>
            </w:pPr>
            <w:r>
              <w:rPr>
                <w:rFonts w:hint="eastAsia" w:ascii="宋体" w:hAnsi="宋体"/>
                <w:b/>
                <w:color w:val="auto"/>
                <w:sz w:val="24"/>
                <w:szCs w:val="24"/>
              </w:rPr>
              <w:t>套</w:t>
            </w:r>
          </w:p>
        </w:tc>
        <w:tc>
          <w:tcPr>
            <w:tcW w:w="668" w:type="dxa"/>
            <w:tcBorders>
              <w:right w:val="single" w:color="auto" w:sz="4" w:space="0"/>
            </w:tcBorders>
            <w:vAlign w:val="center"/>
          </w:tcPr>
          <w:p>
            <w:pPr>
              <w:spacing w:line="340" w:lineRule="exact"/>
              <w:jc w:val="center"/>
              <w:rPr>
                <w:rFonts w:hint="eastAsia" w:ascii="宋体" w:eastAsia="宋体"/>
                <w:b/>
                <w:color w:val="auto"/>
                <w:sz w:val="24"/>
                <w:szCs w:val="24"/>
                <w:lang w:eastAsia="zh-CN"/>
              </w:rPr>
            </w:pPr>
            <w:r>
              <w:rPr>
                <w:rFonts w:hint="eastAsia" w:ascii="宋体" w:hAnsi="宋体"/>
                <w:b/>
                <w:color w:val="auto"/>
                <w:sz w:val="24"/>
                <w:szCs w:val="24"/>
                <w:lang w:val="en-US" w:eastAsia="zh-CN"/>
              </w:rPr>
              <w:t>4</w:t>
            </w:r>
          </w:p>
        </w:tc>
        <w:tc>
          <w:tcPr>
            <w:tcW w:w="1859" w:type="dxa"/>
            <w:tcBorders>
              <w:left w:val="single" w:color="auto" w:sz="4" w:space="0"/>
            </w:tcBorders>
            <w:vAlign w:val="center"/>
          </w:tcPr>
          <w:p>
            <w:pPr>
              <w:spacing w:line="340" w:lineRule="exact"/>
              <w:jc w:val="center"/>
              <w:rPr>
                <w:rFonts w:ascii="宋体"/>
                <w:b/>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B:</w:t>
            </w:r>
            <w:r>
              <w:rPr>
                <w:rFonts w:hint="eastAsia" w:ascii="宋体" w:hAnsi="宋体"/>
                <w:color w:val="auto"/>
                <w:sz w:val="24"/>
                <w:szCs w:val="24"/>
              </w:rPr>
              <w:t>供水专用智能控制集成系统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人机界面触摸屏</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时控单元</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PLC</w:t>
            </w:r>
            <w:r>
              <w:rPr>
                <w:rFonts w:hint="eastAsia" w:ascii="宋体" w:hAnsi="宋体"/>
                <w:color w:val="auto"/>
                <w:sz w:val="24"/>
                <w:szCs w:val="24"/>
              </w:rPr>
              <w:t>控制器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jc w:val="center"/>
              <w:rPr>
                <w:rFonts w:ascii="宋体"/>
                <w:color w:val="auto"/>
                <w:sz w:val="24"/>
                <w:szCs w:val="24"/>
              </w:rPr>
            </w:pPr>
            <w:r>
              <w:rPr>
                <w:rFonts w:hint="eastAsia" w:ascii="宋体" w:hAnsi="宋体"/>
                <w:color w:val="auto"/>
                <w:spacing w:val="-8"/>
                <w:sz w:val="24"/>
                <w:szCs w:val="24"/>
              </w:rPr>
              <w:t>模拟量输入与处理模块</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过热保护系统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过流保护系统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超压保护系统</w:t>
            </w:r>
          </w:p>
        </w:tc>
        <w:tc>
          <w:tcPr>
            <w:tcW w:w="2577" w:type="dxa"/>
            <w:gridSpan w:val="2"/>
            <w:vAlign w:val="center"/>
          </w:tcPr>
          <w:p>
            <w:pPr>
              <w:jc w:val="center"/>
              <w:rPr>
                <w:rFonts w:ascii="宋体" w:cs="宋体"/>
                <w:color w:val="auto"/>
                <w:sz w:val="24"/>
                <w:szCs w:val="24"/>
              </w:rPr>
            </w:pPr>
            <w:r>
              <w:rPr>
                <w:rFonts w:hint="eastAsia" w:ascii="宋体" w:hAnsi="宋体"/>
                <w:color w:val="auto"/>
                <w:sz w:val="24"/>
                <w:szCs w:val="24"/>
              </w:rPr>
              <w:t>软件包含</w:t>
            </w:r>
          </w:p>
        </w:tc>
        <w:tc>
          <w:tcPr>
            <w:tcW w:w="670" w:type="dxa"/>
            <w:vAlign w:val="center"/>
          </w:tcPr>
          <w:p>
            <w:pPr>
              <w:jc w:val="center"/>
              <w:rPr>
                <w:rFonts w:ascii="宋体" w:cs="宋体"/>
                <w:color w:val="auto"/>
                <w:sz w:val="24"/>
                <w:szCs w:val="24"/>
              </w:rPr>
            </w:pPr>
            <w:r>
              <w:rPr>
                <w:rFonts w:hint="eastAsia" w:ascii="宋体" w:hAnsi="宋体" w:cs="宋体"/>
                <w:color w:val="auto"/>
                <w:sz w:val="24"/>
                <w:szCs w:val="24"/>
              </w:rPr>
              <w:t>套</w:t>
            </w:r>
          </w:p>
        </w:tc>
        <w:tc>
          <w:tcPr>
            <w:tcW w:w="668" w:type="dxa"/>
            <w:tcBorders>
              <w:right w:val="single" w:color="auto" w:sz="4" w:space="0"/>
            </w:tcBorders>
            <w:vAlign w:val="center"/>
          </w:tcPr>
          <w:p>
            <w:pPr>
              <w:jc w:val="center"/>
              <w:rPr>
                <w:rFonts w:ascii="宋体" w:cs="宋体"/>
                <w:color w:val="auto"/>
                <w:sz w:val="24"/>
                <w:szCs w:val="24"/>
              </w:rPr>
            </w:pPr>
            <w:r>
              <w:rPr>
                <w:rFonts w:ascii="宋体" w:hAnsi="宋体" w:cs="宋体"/>
                <w:color w:val="auto"/>
                <w:sz w:val="24"/>
                <w:szCs w:val="24"/>
              </w:rPr>
              <w:t>1</w:t>
            </w:r>
          </w:p>
        </w:tc>
        <w:tc>
          <w:tcPr>
            <w:tcW w:w="1859" w:type="dxa"/>
            <w:tcBorders>
              <w:left w:val="single" w:color="auto" w:sz="4" w:space="0"/>
            </w:tcBorders>
          </w:tcPr>
          <w:p>
            <w:pPr>
              <w:jc w:val="center"/>
              <w:rPr>
                <w:rFonts w:asci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数据采集系统</w:t>
            </w:r>
          </w:p>
        </w:tc>
        <w:tc>
          <w:tcPr>
            <w:tcW w:w="2577" w:type="dxa"/>
            <w:gridSpan w:val="2"/>
            <w:vAlign w:val="center"/>
          </w:tcPr>
          <w:p>
            <w:pPr>
              <w:spacing w:line="340" w:lineRule="exact"/>
              <w:ind w:firstLine="720" w:firstLineChars="300"/>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智能数据存储系统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tcPr>
          <w:p>
            <w:pPr>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压力补偿系统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压力检测系统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水泵自动定时切换系统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软件包含</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故障自动处理系统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C:</w:t>
            </w:r>
            <w:r>
              <w:rPr>
                <w:rFonts w:hint="eastAsia" w:ascii="宋体" w:hAnsi="宋体"/>
                <w:color w:val="auto"/>
                <w:sz w:val="24"/>
                <w:szCs w:val="24"/>
              </w:rPr>
              <w:t>控制开关电源</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D:</w:t>
            </w:r>
            <w:r>
              <w:rPr>
                <w:rFonts w:hint="eastAsia" w:ascii="宋体" w:hAnsi="宋体"/>
                <w:color w:val="auto"/>
                <w:sz w:val="24"/>
                <w:szCs w:val="24"/>
              </w:rPr>
              <w:t>低压电器配电部分</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断路器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交流接触器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中间继电器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热继电器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电流互感器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E:</w:t>
            </w:r>
            <w:r>
              <w:rPr>
                <w:rFonts w:hint="eastAsia" w:ascii="宋体" w:hAnsi="宋体"/>
                <w:color w:val="auto"/>
                <w:sz w:val="24"/>
                <w:szCs w:val="24"/>
              </w:rPr>
              <w:t>双重防雷保护系统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F</w:t>
            </w:r>
            <w:r>
              <w:rPr>
                <w:rFonts w:hint="eastAsia" w:ascii="宋体" w:hAnsi="宋体"/>
                <w:color w:val="auto"/>
                <w:sz w:val="24"/>
                <w:szCs w:val="24"/>
              </w:rPr>
              <w:t>：电气隔离系统</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G:</w:t>
            </w:r>
            <w:r>
              <w:rPr>
                <w:rFonts w:hint="eastAsia" w:ascii="宋体" w:hAnsi="宋体"/>
                <w:color w:val="auto"/>
                <w:sz w:val="24"/>
                <w:szCs w:val="24"/>
              </w:rPr>
              <w:t>远程监测、视频监控、门禁系统</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数据检测处理模块、通讯接口、中心监控软件</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H:</w:t>
            </w:r>
            <w:r>
              <w:rPr>
                <w:rFonts w:hint="eastAsia" w:ascii="宋体" w:hAnsi="宋体"/>
                <w:color w:val="auto"/>
                <w:sz w:val="24"/>
                <w:szCs w:val="24"/>
              </w:rPr>
              <w:t>控制按钮操作单元</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旋转开关</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指示灯</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数字电压表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ind w:firstLine="240" w:firstLineChars="100"/>
              <w:rPr>
                <w:rFonts w:ascii="宋体"/>
                <w:color w:val="auto"/>
                <w:sz w:val="24"/>
                <w:szCs w:val="24"/>
              </w:rPr>
            </w:pPr>
            <w:r>
              <w:rPr>
                <w:rFonts w:hint="eastAsia" w:ascii="宋体" w:hAnsi="宋体"/>
                <w:color w:val="auto"/>
                <w:sz w:val="24"/>
                <w:szCs w:val="24"/>
              </w:rPr>
              <w:t>数字电流表</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I:</w:t>
            </w:r>
            <w:r>
              <w:rPr>
                <w:rFonts w:hint="eastAsia" w:ascii="宋体" w:hAnsi="宋体"/>
                <w:color w:val="auto"/>
                <w:sz w:val="24"/>
                <w:szCs w:val="24"/>
              </w:rPr>
              <w:t>柜体及附件</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喷塑</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725" w:type="dxa"/>
            <w:vMerge w:val="restart"/>
            <w:vAlign w:val="center"/>
          </w:tcPr>
          <w:p>
            <w:pPr>
              <w:spacing w:line="340" w:lineRule="exact"/>
              <w:jc w:val="center"/>
              <w:rPr>
                <w:rFonts w:ascii="宋体"/>
                <w:color w:val="auto"/>
                <w:sz w:val="24"/>
                <w:szCs w:val="24"/>
              </w:rPr>
            </w:pPr>
            <w:r>
              <w:rPr>
                <w:rFonts w:ascii="宋体" w:hAnsi="宋体"/>
                <w:color w:val="auto"/>
                <w:sz w:val="24"/>
                <w:szCs w:val="24"/>
              </w:rPr>
              <w:t>7</w:t>
            </w:r>
            <w:r>
              <w:rPr>
                <w:rFonts w:hint="eastAsia" w:ascii="宋体" w:hAnsi="宋体"/>
                <w:color w:val="auto"/>
                <w:sz w:val="24"/>
                <w:szCs w:val="24"/>
              </w:rPr>
              <w:t>管</w:t>
            </w:r>
          </w:p>
          <w:p>
            <w:pPr>
              <w:spacing w:line="340" w:lineRule="exact"/>
              <w:jc w:val="center"/>
              <w:rPr>
                <w:rFonts w:ascii="宋体"/>
                <w:color w:val="auto"/>
                <w:sz w:val="24"/>
                <w:szCs w:val="24"/>
              </w:rPr>
            </w:pPr>
          </w:p>
          <w:p>
            <w:pPr>
              <w:spacing w:line="340" w:lineRule="exact"/>
              <w:jc w:val="center"/>
              <w:rPr>
                <w:rFonts w:ascii="宋体"/>
                <w:color w:val="auto"/>
                <w:sz w:val="24"/>
                <w:szCs w:val="24"/>
              </w:rPr>
            </w:pPr>
            <w:r>
              <w:rPr>
                <w:rFonts w:hint="eastAsia" w:ascii="宋体" w:hAnsi="宋体"/>
                <w:color w:val="auto"/>
                <w:sz w:val="24"/>
                <w:szCs w:val="24"/>
              </w:rPr>
              <w:t>件</w:t>
            </w:r>
          </w:p>
          <w:p>
            <w:pPr>
              <w:spacing w:line="340" w:lineRule="exact"/>
              <w:jc w:val="center"/>
              <w:rPr>
                <w:rFonts w:ascii="宋体"/>
                <w:color w:val="auto"/>
                <w:sz w:val="24"/>
                <w:szCs w:val="24"/>
              </w:rPr>
            </w:pPr>
          </w:p>
          <w:p>
            <w:pPr>
              <w:spacing w:line="340" w:lineRule="exact"/>
              <w:jc w:val="center"/>
              <w:rPr>
                <w:rFonts w:ascii="宋体"/>
                <w:color w:val="auto"/>
                <w:sz w:val="24"/>
                <w:szCs w:val="24"/>
              </w:rPr>
            </w:pPr>
            <w:r>
              <w:rPr>
                <w:rFonts w:hint="eastAsia" w:ascii="宋体" w:hAnsi="宋体"/>
                <w:color w:val="auto"/>
                <w:sz w:val="24"/>
                <w:szCs w:val="24"/>
              </w:rPr>
              <w:t>阀</w:t>
            </w:r>
          </w:p>
          <w:p>
            <w:pPr>
              <w:spacing w:line="340" w:lineRule="exact"/>
              <w:jc w:val="center"/>
              <w:rPr>
                <w:rFonts w:ascii="宋体"/>
                <w:color w:val="auto"/>
                <w:sz w:val="24"/>
                <w:szCs w:val="24"/>
              </w:rPr>
            </w:pPr>
          </w:p>
          <w:p>
            <w:pPr>
              <w:spacing w:line="340" w:lineRule="exact"/>
              <w:jc w:val="center"/>
              <w:rPr>
                <w:rFonts w:ascii="宋体"/>
                <w:color w:val="auto"/>
                <w:sz w:val="24"/>
                <w:szCs w:val="24"/>
              </w:rPr>
            </w:pPr>
            <w:r>
              <w:rPr>
                <w:rFonts w:hint="eastAsia" w:ascii="宋体" w:hAnsi="宋体"/>
                <w:color w:val="auto"/>
                <w:sz w:val="24"/>
                <w:szCs w:val="24"/>
              </w:rPr>
              <w:t>门</w:t>
            </w:r>
          </w:p>
        </w:tc>
        <w:tc>
          <w:tcPr>
            <w:tcW w:w="2835" w:type="dxa"/>
            <w:vAlign w:val="center"/>
          </w:tcPr>
          <w:p>
            <w:pPr>
              <w:spacing w:line="340" w:lineRule="exact"/>
              <w:rPr>
                <w:rFonts w:ascii="宋体"/>
                <w:color w:val="auto"/>
                <w:sz w:val="24"/>
                <w:szCs w:val="24"/>
              </w:rPr>
            </w:pPr>
            <w:r>
              <w:rPr>
                <w:rFonts w:ascii="宋体" w:hAnsi="宋体"/>
                <w:color w:val="auto"/>
                <w:sz w:val="24"/>
                <w:szCs w:val="24"/>
              </w:rPr>
              <w:t>A:</w:t>
            </w:r>
            <w:r>
              <w:rPr>
                <w:rFonts w:hint="eastAsia" w:ascii="宋体" w:hAnsi="宋体"/>
                <w:color w:val="auto"/>
                <w:sz w:val="24"/>
                <w:szCs w:val="24"/>
              </w:rPr>
              <w:t>涡轮蝶式闸阀（不锈钢阀芯）</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B:</w:t>
            </w:r>
            <w:r>
              <w:rPr>
                <w:rFonts w:hint="eastAsia" w:ascii="宋体" w:hAnsi="宋体"/>
                <w:color w:val="auto"/>
                <w:sz w:val="24"/>
                <w:szCs w:val="24"/>
              </w:rPr>
              <w:t>蝶式止回阀</w:t>
            </w:r>
          </w:p>
        </w:tc>
        <w:tc>
          <w:tcPr>
            <w:tcW w:w="2577" w:type="dxa"/>
            <w:gridSpan w:val="2"/>
            <w:vAlign w:val="center"/>
          </w:tcPr>
          <w:p>
            <w:pPr>
              <w:spacing w:line="340" w:lineRule="exact"/>
              <w:jc w:val="center"/>
              <w:rPr>
                <w:rFonts w:ascii="宋体"/>
                <w:color w:val="auto"/>
                <w:sz w:val="24"/>
                <w:szCs w:val="24"/>
              </w:rPr>
            </w:pPr>
          </w:p>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C: </w:t>
            </w:r>
            <w:r>
              <w:rPr>
                <w:rFonts w:hint="eastAsia" w:ascii="宋体" w:hAnsi="宋体"/>
                <w:color w:val="auto"/>
                <w:sz w:val="24"/>
                <w:szCs w:val="24"/>
              </w:rPr>
              <w:t>配套螺栓</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不锈钢材质</w:t>
            </w:r>
          </w:p>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D:</w:t>
            </w:r>
            <w:r>
              <w:rPr>
                <w:rFonts w:hint="eastAsia" w:ascii="宋体" w:hAnsi="宋体"/>
                <w:color w:val="auto"/>
                <w:sz w:val="24"/>
                <w:szCs w:val="24"/>
              </w:rPr>
              <w:t>调整管及出水总管</w:t>
            </w:r>
          </w:p>
        </w:tc>
        <w:tc>
          <w:tcPr>
            <w:tcW w:w="2577" w:type="dxa"/>
            <w:gridSpan w:val="2"/>
            <w:vAlign w:val="center"/>
          </w:tcPr>
          <w:p>
            <w:pPr>
              <w:spacing w:line="340" w:lineRule="exact"/>
              <w:jc w:val="center"/>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不锈钢材质</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E:</w:t>
            </w:r>
            <w:r>
              <w:rPr>
                <w:rFonts w:hint="eastAsia" w:ascii="宋体" w:hAnsi="宋体"/>
                <w:color w:val="auto"/>
                <w:sz w:val="24"/>
                <w:szCs w:val="24"/>
              </w:rPr>
              <w:t>减震垫</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F:</w:t>
            </w:r>
            <w:r>
              <w:rPr>
                <w:rFonts w:hint="eastAsia" w:ascii="宋体" w:hAnsi="宋体"/>
                <w:color w:val="auto"/>
                <w:sz w:val="24"/>
                <w:szCs w:val="24"/>
              </w:rPr>
              <w:t>柔性接头</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 xml:space="preserve">G: </w:t>
            </w:r>
            <w:r>
              <w:rPr>
                <w:rFonts w:hint="eastAsia" w:ascii="宋体" w:hAnsi="宋体"/>
                <w:color w:val="auto"/>
                <w:sz w:val="24"/>
                <w:szCs w:val="24"/>
              </w:rPr>
              <w:t>配套法兰、弯头</w:t>
            </w:r>
          </w:p>
        </w:tc>
        <w:tc>
          <w:tcPr>
            <w:tcW w:w="2577" w:type="dxa"/>
            <w:gridSpan w:val="2"/>
            <w:vAlign w:val="center"/>
          </w:tcPr>
          <w:p>
            <w:pPr>
              <w:spacing w:line="340" w:lineRule="exact"/>
              <w:jc w:val="center"/>
              <w:rPr>
                <w:rFonts w:ascii="宋体"/>
                <w:color w:val="auto"/>
                <w:sz w:val="24"/>
                <w:szCs w:val="24"/>
              </w:rPr>
            </w:pPr>
            <w:r>
              <w:rPr>
                <w:rFonts w:hint="eastAsia" w:ascii="宋体" w:hAnsi="宋体"/>
                <w:color w:val="auto"/>
                <w:sz w:val="24"/>
                <w:szCs w:val="24"/>
              </w:rPr>
              <w:t>不锈钢材质</w:t>
            </w: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25" w:type="dxa"/>
            <w:vMerge w:val="continue"/>
            <w:vAlign w:val="center"/>
          </w:tcPr>
          <w:p>
            <w:pPr>
              <w:spacing w:line="340" w:lineRule="exact"/>
              <w:jc w:val="center"/>
              <w:rPr>
                <w:rFonts w:ascii="宋体"/>
                <w:color w:val="auto"/>
                <w:sz w:val="24"/>
                <w:szCs w:val="24"/>
              </w:rPr>
            </w:pPr>
          </w:p>
        </w:tc>
        <w:tc>
          <w:tcPr>
            <w:tcW w:w="2835" w:type="dxa"/>
            <w:vAlign w:val="center"/>
          </w:tcPr>
          <w:p>
            <w:pPr>
              <w:spacing w:line="340" w:lineRule="exact"/>
              <w:rPr>
                <w:rFonts w:ascii="宋体"/>
                <w:color w:val="auto"/>
                <w:sz w:val="24"/>
                <w:szCs w:val="24"/>
              </w:rPr>
            </w:pPr>
            <w:r>
              <w:rPr>
                <w:rFonts w:ascii="宋体" w:hAnsi="宋体"/>
                <w:color w:val="auto"/>
                <w:sz w:val="24"/>
                <w:szCs w:val="24"/>
              </w:rPr>
              <w:t>H:</w:t>
            </w:r>
            <w:r>
              <w:rPr>
                <w:rFonts w:hint="eastAsia" w:ascii="宋体" w:hAnsi="宋体"/>
                <w:color w:val="auto"/>
                <w:sz w:val="24"/>
                <w:szCs w:val="24"/>
              </w:rPr>
              <w:t>基</w:t>
            </w:r>
            <w:r>
              <w:rPr>
                <w:rFonts w:ascii="宋体" w:hAnsi="宋体"/>
                <w:color w:val="auto"/>
                <w:sz w:val="24"/>
                <w:szCs w:val="24"/>
              </w:rPr>
              <w:t xml:space="preserve">  </w:t>
            </w:r>
            <w:r>
              <w:rPr>
                <w:rFonts w:hint="eastAsia" w:ascii="宋体" w:hAnsi="宋体"/>
                <w:color w:val="auto"/>
                <w:sz w:val="24"/>
                <w:szCs w:val="24"/>
              </w:rPr>
              <w:t>座</w:t>
            </w:r>
          </w:p>
        </w:tc>
        <w:tc>
          <w:tcPr>
            <w:tcW w:w="2577" w:type="dxa"/>
            <w:gridSpan w:val="2"/>
            <w:vAlign w:val="center"/>
          </w:tcPr>
          <w:p>
            <w:pPr>
              <w:spacing w:line="340" w:lineRule="exact"/>
              <w:jc w:val="center"/>
              <w:rPr>
                <w:rFonts w:ascii="宋体"/>
                <w:color w:val="auto"/>
                <w:sz w:val="24"/>
                <w:szCs w:val="24"/>
              </w:rPr>
            </w:pPr>
          </w:p>
        </w:tc>
        <w:tc>
          <w:tcPr>
            <w:tcW w:w="670" w:type="dxa"/>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5" w:type="dxa"/>
            <w:tcBorders>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8</w:t>
            </w:r>
          </w:p>
        </w:tc>
        <w:tc>
          <w:tcPr>
            <w:tcW w:w="2835" w:type="dxa"/>
            <w:tcBorders>
              <w:bottom w:val="single" w:color="auto" w:sz="4" w:space="0"/>
            </w:tcBorders>
            <w:vAlign w:val="center"/>
          </w:tcPr>
          <w:p>
            <w:pPr>
              <w:spacing w:line="340" w:lineRule="exact"/>
              <w:rPr>
                <w:rFonts w:ascii="宋体"/>
                <w:color w:val="auto"/>
                <w:sz w:val="24"/>
                <w:szCs w:val="24"/>
              </w:rPr>
            </w:pPr>
            <w:r>
              <w:rPr>
                <w:rFonts w:hint="eastAsia" w:ascii="宋体" w:hAnsi="宋体"/>
                <w:color w:val="auto"/>
                <w:sz w:val="24"/>
                <w:szCs w:val="24"/>
              </w:rPr>
              <w:t>设备配套仪表</w:t>
            </w:r>
          </w:p>
        </w:tc>
        <w:tc>
          <w:tcPr>
            <w:tcW w:w="2577" w:type="dxa"/>
            <w:gridSpan w:val="2"/>
            <w:tcBorders>
              <w:bottom w:val="single" w:color="auto" w:sz="4" w:space="0"/>
            </w:tcBorders>
            <w:vAlign w:val="center"/>
          </w:tcPr>
          <w:p>
            <w:pPr>
              <w:spacing w:line="340" w:lineRule="exact"/>
              <w:jc w:val="center"/>
              <w:rPr>
                <w:rFonts w:ascii="宋体"/>
                <w:color w:val="auto"/>
                <w:sz w:val="24"/>
                <w:szCs w:val="24"/>
              </w:rPr>
            </w:pPr>
          </w:p>
        </w:tc>
        <w:tc>
          <w:tcPr>
            <w:tcW w:w="670" w:type="dxa"/>
            <w:tcBorders>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left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包含压力表、流量计等设备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725"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9</w:t>
            </w:r>
          </w:p>
        </w:tc>
        <w:tc>
          <w:tcPr>
            <w:tcW w:w="2835" w:type="dxa"/>
            <w:tcBorders>
              <w:top w:val="single" w:color="auto" w:sz="4" w:space="0"/>
              <w:bottom w:val="single" w:color="auto" w:sz="4" w:space="0"/>
            </w:tcBorders>
            <w:vAlign w:val="center"/>
          </w:tcPr>
          <w:p>
            <w:pPr>
              <w:rPr>
                <w:rFonts w:ascii="宋体"/>
                <w:color w:val="auto"/>
                <w:sz w:val="24"/>
                <w:szCs w:val="24"/>
              </w:rPr>
            </w:pPr>
            <w:r>
              <w:rPr>
                <w:rFonts w:hint="eastAsia" w:ascii="宋体" w:hAnsi="宋体"/>
                <w:color w:val="auto"/>
                <w:sz w:val="24"/>
                <w:szCs w:val="24"/>
              </w:rPr>
              <w:t>压力开关</w:t>
            </w:r>
          </w:p>
        </w:tc>
        <w:tc>
          <w:tcPr>
            <w:tcW w:w="2577" w:type="dxa"/>
            <w:gridSpan w:val="2"/>
            <w:tcBorders>
              <w:top w:val="single" w:color="auto" w:sz="4" w:space="0"/>
              <w:bottom w:val="single" w:color="auto" w:sz="4" w:space="0"/>
            </w:tcBorders>
            <w:vAlign w:val="center"/>
          </w:tcPr>
          <w:p>
            <w:pPr>
              <w:jc w:val="center"/>
              <w:rPr>
                <w:rFonts w:ascii="宋体"/>
                <w:color w:val="auto"/>
                <w:sz w:val="24"/>
                <w:szCs w:val="24"/>
              </w:rPr>
            </w:pPr>
          </w:p>
        </w:tc>
        <w:tc>
          <w:tcPr>
            <w:tcW w:w="670"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top w:val="single" w:color="auto" w:sz="4" w:space="0"/>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top w:val="single" w:color="auto" w:sz="4" w:space="0"/>
              <w:left w:val="single" w:color="auto" w:sz="4" w:space="0"/>
              <w:bottom w:val="single" w:color="auto" w:sz="4" w:space="0"/>
            </w:tcBorders>
            <w:vAlign w:val="center"/>
          </w:tcPr>
          <w:p>
            <w:pPr>
              <w:spacing w:line="340" w:lineRule="exact"/>
              <w:jc w:val="center"/>
              <w:rPr>
                <w:rFonts w:asci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725"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10</w:t>
            </w:r>
          </w:p>
        </w:tc>
        <w:tc>
          <w:tcPr>
            <w:tcW w:w="2835" w:type="dxa"/>
            <w:tcBorders>
              <w:top w:val="single" w:color="auto" w:sz="4" w:space="0"/>
              <w:bottom w:val="single" w:color="auto" w:sz="4" w:space="0"/>
            </w:tcBorders>
            <w:vAlign w:val="center"/>
          </w:tcPr>
          <w:p>
            <w:pPr>
              <w:rPr>
                <w:rFonts w:ascii="宋体"/>
                <w:color w:val="auto"/>
                <w:sz w:val="24"/>
                <w:szCs w:val="24"/>
              </w:rPr>
            </w:pPr>
            <w:r>
              <w:rPr>
                <w:rFonts w:hint="eastAsia" w:ascii="宋体" w:hAnsi="宋体"/>
                <w:color w:val="auto"/>
                <w:sz w:val="24"/>
                <w:szCs w:val="24"/>
              </w:rPr>
              <w:t>其它辅材</w:t>
            </w:r>
          </w:p>
        </w:tc>
        <w:tc>
          <w:tcPr>
            <w:tcW w:w="2577" w:type="dxa"/>
            <w:gridSpan w:val="2"/>
            <w:tcBorders>
              <w:top w:val="single" w:color="auto" w:sz="4" w:space="0"/>
              <w:bottom w:val="single" w:color="auto" w:sz="4" w:space="0"/>
            </w:tcBorders>
            <w:vAlign w:val="center"/>
          </w:tcPr>
          <w:p>
            <w:pPr>
              <w:rPr>
                <w:rFonts w:ascii="宋体"/>
                <w:color w:val="auto"/>
                <w:sz w:val="24"/>
                <w:szCs w:val="24"/>
              </w:rPr>
            </w:pPr>
          </w:p>
        </w:tc>
        <w:tc>
          <w:tcPr>
            <w:tcW w:w="670" w:type="dxa"/>
            <w:tcBorders>
              <w:top w:val="single" w:color="auto" w:sz="4" w:space="0"/>
              <w:bottom w:val="single" w:color="auto" w:sz="4" w:space="0"/>
            </w:tcBorders>
            <w:vAlign w:val="center"/>
          </w:tcPr>
          <w:p>
            <w:pPr>
              <w:spacing w:line="340" w:lineRule="exact"/>
              <w:jc w:val="center"/>
              <w:rPr>
                <w:rFonts w:ascii="宋体"/>
                <w:color w:val="auto"/>
                <w:sz w:val="24"/>
                <w:szCs w:val="24"/>
              </w:rPr>
            </w:pPr>
            <w:r>
              <w:rPr>
                <w:rFonts w:hint="eastAsia" w:ascii="宋体" w:hAnsi="宋体"/>
                <w:color w:val="auto"/>
                <w:sz w:val="24"/>
                <w:szCs w:val="24"/>
              </w:rPr>
              <w:t>套</w:t>
            </w:r>
          </w:p>
        </w:tc>
        <w:tc>
          <w:tcPr>
            <w:tcW w:w="668" w:type="dxa"/>
            <w:tcBorders>
              <w:top w:val="single" w:color="auto" w:sz="4" w:space="0"/>
              <w:bottom w:val="single" w:color="auto" w:sz="4" w:space="0"/>
              <w:right w:val="single" w:color="auto" w:sz="4" w:space="0"/>
            </w:tcBorders>
            <w:vAlign w:val="center"/>
          </w:tcPr>
          <w:p>
            <w:pPr>
              <w:spacing w:line="340" w:lineRule="exact"/>
              <w:jc w:val="center"/>
              <w:rPr>
                <w:rFonts w:ascii="宋体"/>
                <w:color w:val="auto"/>
                <w:sz w:val="24"/>
                <w:szCs w:val="24"/>
              </w:rPr>
            </w:pPr>
            <w:r>
              <w:rPr>
                <w:rFonts w:ascii="宋体" w:hAnsi="宋体"/>
                <w:color w:val="auto"/>
                <w:sz w:val="24"/>
                <w:szCs w:val="24"/>
              </w:rPr>
              <w:t>1</w:t>
            </w:r>
          </w:p>
        </w:tc>
        <w:tc>
          <w:tcPr>
            <w:tcW w:w="1859" w:type="dxa"/>
            <w:tcBorders>
              <w:top w:val="single" w:color="auto" w:sz="4" w:space="0"/>
              <w:left w:val="single" w:color="auto" w:sz="4" w:space="0"/>
              <w:bottom w:val="single" w:color="auto" w:sz="4" w:space="0"/>
            </w:tcBorders>
            <w:vAlign w:val="center"/>
          </w:tcPr>
          <w:p>
            <w:pPr>
              <w:spacing w:line="340" w:lineRule="exact"/>
              <w:jc w:val="center"/>
              <w:rPr>
                <w:rFonts w:ascii="宋体"/>
                <w:color w:val="auto"/>
                <w:sz w:val="24"/>
                <w:szCs w:val="24"/>
              </w:rPr>
            </w:pPr>
          </w:p>
        </w:tc>
      </w:tr>
    </w:tbl>
    <w:p>
      <w:pPr>
        <w:rPr>
          <w:rFonts w:ascii="宋体" w:hAnsi="宋体" w:cs="宋体"/>
          <w:b/>
          <w:bCs/>
          <w:color w:val="auto"/>
          <w:sz w:val="24"/>
          <w:szCs w:val="24"/>
        </w:rPr>
      </w:pPr>
    </w:p>
    <w:p>
      <w:pPr>
        <w:rPr>
          <w:rFonts w:ascii="宋体" w:cs="宋体"/>
          <w:b/>
          <w:bCs/>
          <w:color w:val="auto"/>
          <w:sz w:val="28"/>
          <w:szCs w:val="28"/>
          <w:lang w:val="zh-CN"/>
        </w:rPr>
      </w:pPr>
      <w:r>
        <w:rPr>
          <w:rFonts w:ascii="宋体" w:hAnsi="宋体" w:cs="宋体"/>
          <w:b/>
          <w:bCs/>
          <w:color w:val="auto"/>
          <w:sz w:val="24"/>
          <w:szCs w:val="24"/>
        </w:rPr>
        <w:t>3</w:t>
      </w:r>
      <w:r>
        <w:rPr>
          <w:rFonts w:hint="eastAsia" w:ascii="宋体" w:hAnsi="宋体" w:cs="宋体"/>
          <w:b/>
          <w:bCs/>
          <w:color w:val="auto"/>
          <w:sz w:val="24"/>
          <w:szCs w:val="24"/>
        </w:rPr>
        <w:t>、</w:t>
      </w:r>
      <w:r>
        <w:rPr>
          <w:rFonts w:hint="eastAsia" w:ascii="宋体" w:hAnsi="宋体" w:cs="宋体"/>
          <w:b/>
          <w:bCs/>
          <w:color w:val="auto"/>
          <w:sz w:val="24"/>
          <w:szCs w:val="24"/>
          <w:lang w:val="zh-CN"/>
        </w:rPr>
        <w:t>智慧化标准泵房清单表</w:t>
      </w:r>
    </w:p>
    <w:tbl>
      <w:tblPr>
        <w:tblStyle w:val="16"/>
        <w:tblW w:w="93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1051"/>
        <w:gridCol w:w="736"/>
        <w:gridCol w:w="1090"/>
        <w:gridCol w:w="2044"/>
        <w:gridCol w:w="945"/>
        <w:gridCol w:w="925"/>
        <w:gridCol w:w="1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695" w:type="dxa"/>
          </w:tcPr>
          <w:p>
            <w:pPr>
              <w:pStyle w:val="43"/>
              <w:spacing w:before="163"/>
              <w:ind w:left="92"/>
              <w:jc w:val="center"/>
              <w:rPr>
                <w:rFonts w:ascii="宋体"/>
                <w:color w:val="auto"/>
                <w:sz w:val="24"/>
                <w:szCs w:val="24"/>
              </w:rPr>
            </w:pPr>
            <w:r>
              <w:rPr>
                <w:rFonts w:hint="eastAsia" w:ascii="宋体" w:hAnsi="宋体"/>
                <w:color w:val="auto"/>
                <w:sz w:val="24"/>
                <w:szCs w:val="24"/>
              </w:rPr>
              <w:t>序号</w:t>
            </w:r>
          </w:p>
        </w:tc>
        <w:tc>
          <w:tcPr>
            <w:tcW w:w="1051" w:type="dxa"/>
          </w:tcPr>
          <w:p>
            <w:pPr>
              <w:pStyle w:val="43"/>
              <w:spacing w:before="163"/>
              <w:ind w:left="45"/>
              <w:jc w:val="center"/>
              <w:rPr>
                <w:rFonts w:ascii="宋体"/>
                <w:color w:val="auto"/>
                <w:sz w:val="24"/>
                <w:szCs w:val="24"/>
              </w:rPr>
            </w:pPr>
            <w:r>
              <w:rPr>
                <w:rFonts w:hint="eastAsia" w:ascii="宋体" w:hAnsi="宋体"/>
                <w:color w:val="auto"/>
                <w:sz w:val="24"/>
                <w:szCs w:val="24"/>
              </w:rPr>
              <w:t>体系名称</w:t>
            </w:r>
          </w:p>
        </w:tc>
        <w:tc>
          <w:tcPr>
            <w:tcW w:w="736" w:type="dxa"/>
          </w:tcPr>
          <w:p>
            <w:pPr>
              <w:pStyle w:val="43"/>
              <w:spacing w:before="163"/>
              <w:ind w:left="115"/>
              <w:jc w:val="center"/>
              <w:rPr>
                <w:rFonts w:ascii="宋体"/>
                <w:color w:val="auto"/>
                <w:sz w:val="24"/>
                <w:szCs w:val="24"/>
              </w:rPr>
            </w:pPr>
            <w:r>
              <w:rPr>
                <w:rFonts w:hint="eastAsia" w:ascii="宋体" w:hAnsi="宋体"/>
                <w:color w:val="auto"/>
                <w:sz w:val="24"/>
                <w:szCs w:val="24"/>
              </w:rPr>
              <w:t>编号</w:t>
            </w:r>
          </w:p>
        </w:tc>
        <w:tc>
          <w:tcPr>
            <w:tcW w:w="1090" w:type="dxa"/>
          </w:tcPr>
          <w:p>
            <w:pPr>
              <w:pStyle w:val="43"/>
              <w:spacing w:before="163"/>
              <w:ind w:left="45"/>
              <w:jc w:val="center"/>
              <w:rPr>
                <w:rFonts w:ascii="宋体"/>
                <w:color w:val="auto"/>
                <w:sz w:val="24"/>
                <w:szCs w:val="24"/>
              </w:rPr>
            </w:pPr>
            <w:r>
              <w:rPr>
                <w:rFonts w:hint="eastAsia" w:ascii="宋体" w:hAnsi="宋体"/>
                <w:color w:val="auto"/>
                <w:sz w:val="24"/>
                <w:szCs w:val="24"/>
              </w:rPr>
              <w:t>系统名称</w:t>
            </w:r>
          </w:p>
        </w:tc>
        <w:tc>
          <w:tcPr>
            <w:tcW w:w="2044" w:type="dxa"/>
          </w:tcPr>
          <w:p>
            <w:pPr>
              <w:pStyle w:val="43"/>
              <w:spacing w:before="163"/>
              <w:ind w:left="94" w:right="82"/>
              <w:jc w:val="center"/>
              <w:rPr>
                <w:rFonts w:ascii="宋体"/>
                <w:color w:val="auto"/>
                <w:sz w:val="24"/>
                <w:szCs w:val="24"/>
              </w:rPr>
            </w:pPr>
            <w:r>
              <w:rPr>
                <w:rFonts w:hint="eastAsia" w:ascii="宋体" w:hAnsi="宋体"/>
                <w:color w:val="auto"/>
                <w:sz w:val="24"/>
                <w:szCs w:val="24"/>
              </w:rPr>
              <w:t>项目名称</w:t>
            </w:r>
          </w:p>
        </w:tc>
        <w:tc>
          <w:tcPr>
            <w:tcW w:w="945" w:type="dxa"/>
          </w:tcPr>
          <w:p>
            <w:pPr>
              <w:pStyle w:val="43"/>
              <w:spacing w:before="163"/>
              <w:ind w:left="194" w:right="185"/>
              <w:jc w:val="center"/>
              <w:rPr>
                <w:rFonts w:ascii="宋体"/>
                <w:color w:val="auto"/>
                <w:sz w:val="24"/>
                <w:szCs w:val="24"/>
              </w:rPr>
            </w:pPr>
            <w:r>
              <w:rPr>
                <w:rFonts w:hint="eastAsia" w:ascii="宋体" w:hAnsi="宋体"/>
                <w:color w:val="auto"/>
                <w:sz w:val="24"/>
                <w:szCs w:val="24"/>
              </w:rPr>
              <w:t>单位</w:t>
            </w:r>
          </w:p>
        </w:tc>
        <w:tc>
          <w:tcPr>
            <w:tcW w:w="925" w:type="dxa"/>
          </w:tcPr>
          <w:p>
            <w:pPr>
              <w:pStyle w:val="43"/>
              <w:spacing w:before="163"/>
              <w:ind w:left="179" w:right="169"/>
              <w:jc w:val="center"/>
              <w:rPr>
                <w:rFonts w:ascii="宋体"/>
                <w:color w:val="auto"/>
                <w:sz w:val="24"/>
                <w:szCs w:val="24"/>
              </w:rPr>
            </w:pPr>
            <w:r>
              <w:rPr>
                <w:rFonts w:hint="eastAsia" w:ascii="宋体" w:hAnsi="宋体"/>
                <w:color w:val="auto"/>
                <w:sz w:val="24"/>
                <w:szCs w:val="24"/>
              </w:rPr>
              <w:t>数量</w:t>
            </w:r>
          </w:p>
        </w:tc>
        <w:tc>
          <w:tcPr>
            <w:tcW w:w="1895" w:type="dxa"/>
          </w:tcPr>
          <w:p>
            <w:pPr>
              <w:pStyle w:val="43"/>
              <w:spacing w:before="163"/>
              <w:ind w:left="192" w:right="181"/>
              <w:jc w:val="center"/>
              <w:rPr>
                <w:rFonts w:ascii="宋体"/>
                <w:color w:val="auto"/>
                <w:sz w:val="24"/>
                <w:szCs w:val="24"/>
              </w:rPr>
            </w:pPr>
            <w:r>
              <w:rPr>
                <w:rFonts w:hint="eastAsia" w:ascii="宋体" w:hAnsi="宋体"/>
                <w:color w:val="auto"/>
                <w:sz w:val="24"/>
                <w:szCs w:val="24"/>
              </w:rPr>
              <w:t>配置说明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spacing w:before="10"/>
              <w:jc w:val="center"/>
              <w:rPr>
                <w:rFonts w:ascii="宋体"/>
                <w:color w:val="auto"/>
                <w:sz w:val="24"/>
                <w:szCs w:val="24"/>
              </w:rPr>
            </w:pPr>
          </w:p>
          <w:p>
            <w:pPr>
              <w:pStyle w:val="43"/>
              <w:ind w:left="11"/>
              <w:jc w:val="center"/>
              <w:rPr>
                <w:rFonts w:ascii="宋体"/>
                <w:color w:val="auto"/>
                <w:sz w:val="24"/>
                <w:szCs w:val="24"/>
              </w:rPr>
            </w:pPr>
            <w:r>
              <w:rPr>
                <w:rFonts w:ascii="宋体" w:hAnsi="宋体"/>
                <w:color w:val="auto"/>
                <w:sz w:val="24"/>
                <w:szCs w:val="24"/>
              </w:rPr>
              <w:t>1</w:t>
            </w:r>
          </w:p>
        </w:tc>
        <w:tc>
          <w:tcPr>
            <w:tcW w:w="1051"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jc w:val="center"/>
              <w:rPr>
                <w:rFonts w:ascii="宋体"/>
                <w:color w:val="auto"/>
                <w:sz w:val="24"/>
                <w:szCs w:val="24"/>
              </w:rPr>
            </w:pPr>
          </w:p>
          <w:p>
            <w:pPr>
              <w:pStyle w:val="43"/>
              <w:spacing w:before="9"/>
              <w:jc w:val="center"/>
              <w:rPr>
                <w:rFonts w:ascii="宋体"/>
                <w:color w:val="auto"/>
                <w:sz w:val="24"/>
                <w:szCs w:val="24"/>
              </w:rPr>
            </w:pPr>
          </w:p>
          <w:p>
            <w:pPr>
              <w:pStyle w:val="43"/>
              <w:spacing w:line="242" w:lineRule="auto"/>
              <w:ind w:left="45" w:right="32"/>
              <w:jc w:val="center"/>
              <w:rPr>
                <w:rFonts w:ascii="宋体"/>
                <w:color w:val="auto"/>
                <w:sz w:val="24"/>
                <w:szCs w:val="24"/>
              </w:rPr>
            </w:pPr>
            <w:r>
              <w:rPr>
                <w:rFonts w:hint="eastAsia" w:ascii="宋体" w:hAnsi="宋体"/>
                <w:color w:val="auto"/>
                <w:sz w:val="24"/>
                <w:szCs w:val="24"/>
              </w:rPr>
              <w:t>安防视频监控体系</w:t>
            </w:r>
          </w:p>
        </w:tc>
        <w:tc>
          <w:tcPr>
            <w:tcW w:w="736" w:type="dxa"/>
            <w:vMerge w:val="restart"/>
          </w:tcPr>
          <w:p>
            <w:pPr>
              <w:pStyle w:val="43"/>
              <w:spacing w:before="2"/>
              <w:jc w:val="center"/>
              <w:rPr>
                <w:rFonts w:ascii="宋体"/>
                <w:color w:val="auto"/>
                <w:sz w:val="24"/>
                <w:szCs w:val="24"/>
              </w:rPr>
            </w:pPr>
          </w:p>
          <w:p>
            <w:pPr>
              <w:pStyle w:val="43"/>
              <w:ind w:left="8"/>
              <w:jc w:val="center"/>
              <w:rPr>
                <w:rFonts w:ascii="宋体"/>
                <w:color w:val="auto"/>
                <w:sz w:val="24"/>
                <w:szCs w:val="24"/>
              </w:rPr>
            </w:pPr>
            <w:r>
              <w:rPr>
                <w:rFonts w:ascii="宋体" w:hAnsi="宋体"/>
                <w:color w:val="auto"/>
                <w:sz w:val="24"/>
                <w:szCs w:val="24"/>
              </w:rPr>
              <w:t>1</w:t>
            </w:r>
          </w:p>
        </w:tc>
        <w:tc>
          <w:tcPr>
            <w:tcW w:w="1090"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spacing w:before="165" w:line="242" w:lineRule="auto"/>
              <w:ind w:left="264" w:right="32" w:hanging="219"/>
              <w:jc w:val="center"/>
              <w:rPr>
                <w:rFonts w:ascii="宋体"/>
                <w:color w:val="auto"/>
                <w:sz w:val="24"/>
                <w:szCs w:val="24"/>
              </w:rPr>
            </w:pPr>
            <w:r>
              <w:rPr>
                <w:rFonts w:hint="eastAsia" w:ascii="宋体" w:hAnsi="宋体"/>
                <w:color w:val="auto"/>
                <w:sz w:val="24"/>
                <w:szCs w:val="24"/>
              </w:rPr>
              <w:t>视频监控系统</w:t>
            </w:r>
          </w:p>
        </w:tc>
        <w:tc>
          <w:tcPr>
            <w:tcW w:w="2044" w:type="dxa"/>
          </w:tcPr>
          <w:p>
            <w:pPr>
              <w:pStyle w:val="43"/>
              <w:spacing w:before="52"/>
              <w:ind w:left="94" w:right="82"/>
              <w:jc w:val="center"/>
              <w:rPr>
                <w:rFonts w:ascii="宋体"/>
                <w:color w:val="auto"/>
                <w:sz w:val="24"/>
                <w:szCs w:val="24"/>
              </w:rPr>
            </w:pPr>
            <w:r>
              <w:rPr>
                <w:rFonts w:hint="eastAsia" w:ascii="宋体" w:hAnsi="宋体"/>
                <w:color w:val="auto"/>
                <w:sz w:val="24"/>
                <w:szCs w:val="24"/>
              </w:rPr>
              <w:t>球机</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个</w:t>
            </w:r>
          </w:p>
        </w:tc>
        <w:tc>
          <w:tcPr>
            <w:tcW w:w="925" w:type="dxa"/>
          </w:tcPr>
          <w:p>
            <w:pPr>
              <w:pStyle w:val="43"/>
              <w:spacing w:before="52"/>
              <w:ind w:left="10"/>
              <w:jc w:val="center"/>
              <w:rPr>
                <w:rFonts w:ascii="宋体"/>
                <w:color w:val="auto"/>
                <w:sz w:val="24"/>
                <w:szCs w:val="24"/>
              </w:rPr>
            </w:pPr>
            <w:r>
              <w:rPr>
                <w:rFonts w:ascii="宋体" w:hAnsi="宋体"/>
                <w:color w:val="auto"/>
                <w:sz w:val="24"/>
                <w:szCs w:val="24"/>
              </w:rPr>
              <w:t>1</w:t>
            </w:r>
          </w:p>
        </w:tc>
        <w:tc>
          <w:tcPr>
            <w:tcW w:w="1895" w:type="dxa"/>
          </w:tcPr>
          <w:p>
            <w:pPr>
              <w:pStyle w:val="43"/>
              <w:spacing w:before="52"/>
              <w:ind w:left="190" w:right="181"/>
              <w:jc w:val="center"/>
              <w:rPr>
                <w:rFonts w:ascii="宋体"/>
                <w:color w:val="auto"/>
                <w:sz w:val="24"/>
                <w:szCs w:val="24"/>
              </w:rPr>
            </w:pPr>
            <w:r>
              <w:rPr>
                <w:rFonts w:hint="eastAsia" w:ascii="宋体" w:hAnsi="宋体"/>
                <w:color w:val="auto"/>
                <w:sz w:val="24"/>
                <w:szCs w:val="24"/>
              </w:rPr>
              <w:t>像素</w:t>
            </w:r>
            <w:r>
              <w:rPr>
                <w:rFonts w:ascii="宋体" w:hAnsi="宋体"/>
                <w:color w:val="auto"/>
                <w:sz w:val="24"/>
                <w:szCs w:val="24"/>
              </w:rPr>
              <w:t xml:space="preserve"> 400 </w:t>
            </w:r>
            <w:r>
              <w:rPr>
                <w:rFonts w:hint="eastAsia" w:ascii="宋体" w:hAnsi="宋体"/>
                <w:color w:val="auto"/>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硬盘录像机</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存储硬盘</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r>
              <w:rPr>
                <w:rFonts w:ascii="宋体" w:hAnsi="宋体"/>
                <w:color w:val="auto"/>
                <w:sz w:val="24"/>
                <w:szCs w:val="24"/>
              </w:rPr>
              <w:t>2T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辅材</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vMerge w:val="restart"/>
          </w:tcPr>
          <w:p>
            <w:pPr>
              <w:pStyle w:val="43"/>
              <w:spacing w:before="52"/>
              <w:ind w:left="9"/>
              <w:jc w:val="center"/>
              <w:rPr>
                <w:rFonts w:ascii="宋体"/>
                <w:color w:val="auto"/>
                <w:sz w:val="24"/>
                <w:szCs w:val="24"/>
              </w:rPr>
            </w:pPr>
          </w:p>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vMerge w:val="restart"/>
          </w:tcPr>
          <w:p>
            <w:pPr>
              <w:jc w:val="center"/>
              <w:rPr>
                <w:rFonts w:ascii="宋体"/>
                <w:color w:val="auto"/>
                <w:sz w:val="24"/>
                <w:szCs w:val="24"/>
              </w:rPr>
            </w:pPr>
            <w:r>
              <w:rPr>
                <w:rFonts w:hint="eastAsia" w:ascii="宋体" w:hAnsi="宋体"/>
                <w:color w:val="auto"/>
                <w:sz w:val="24"/>
                <w:szCs w:val="24"/>
              </w:rPr>
              <w:t>配套摄像机安装的安装支架、电源、电线电缆等辅件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配件</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vMerge w:val="continue"/>
            <w:tcBorders>
              <w:top w:val="nil"/>
            </w:tcBorders>
          </w:tcPr>
          <w:p>
            <w:pPr>
              <w:pStyle w:val="43"/>
              <w:spacing w:before="52"/>
              <w:ind w:left="9"/>
              <w:jc w:val="center"/>
              <w:rPr>
                <w:rFonts w:ascii="宋体"/>
                <w:color w:val="auto"/>
                <w:sz w:val="24"/>
                <w:szCs w:val="24"/>
              </w:rPr>
            </w:pPr>
          </w:p>
        </w:tc>
        <w:tc>
          <w:tcPr>
            <w:tcW w:w="1895" w:type="dxa"/>
            <w:vMerge w:val="continue"/>
            <w:tcBorders>
              <w:top w:val="nil"/>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restart"/>
          </w:tcPr>
          <w:p>
            <w:pPr>
              <w:jc w:val="center"/>
              <w:rPr>
                <w:rFonts w:ascii="宋体"/>
                <w:color w:val="auto"/>
                <w:sz w:val="24"/>
                <w:szCs w:val="24"/>
              </w:rPr>
            </w:pPr>
          </w:p>
          <w:p>
            <w:pPr>
              <w:jc w:val="center"/>
              <w:rPr>
                <w:rFonts w:ascii="宋体"/>
                <w:color w:val="auto"/>
                <w:sz w:val="24"/>
                <w:szCs w:val="24"/>
              </w:rPr>
            </w:pPr>
          </w:p>
          <w:p>
            <w:pPr>
              <w:jc w:val="center"/>
              <w:rPr>
                <w:rFonts w:ascii="宋体"/>
                <w:color w:val="auto"/>
                <w:sz w:val="24"/>
                <w:szCs w:val="24"/>
              </w:rPr>
            </w:pPr>
            <w:r>
              <w:rPr>
                <w:rFonts w:ascii="宋体" w:hAnsi="宋体"/>
                <w:color w:val="auto"/>
                <w:sz w:val="24"/>
                <w:szCs w:val="24"/>
              </w:rPr>
              <w:t>2</w:t>
            </w:r>
          </w:p>
        </w:tc>
        <w:tc>
          <w:tcPr>
            <w:tcW w:w="1090" w:type="dxa"/>
            <w:vMerge w:val="restart"/>
          </w:tcPr>
          <w:p>
            <w:pPr>
              <w:jc w:val="center"/>
              <w:rPr>
                <w:rFonts w:ascii="宋体"/>
                <w:color w:val="auto"/>
                <w:sz w:val="24"/>
                <w:szCs w:val="24"/>
              </w:rPr>
            </w:pPr>
          </w:p>
          <w:p>
            <w:pPr>
              <w:jc w:val="center"/>
              <w:rPr>
                <w:rFonts w:ascii="宋体"/>
                <w:color w:val="auto"/>
                <w:sz w:val="24"/>
                <w:szCs w:val="24"/>
              </w:rPr>
            </w:pPr>
          </w:p>
          <w:p>
            <w:pPr>
              <w:jc w:val="center"/>
              <w:rPr>
                <w:rFonts w:ascii="宋体"/>
                <w:color w:val="auto"/>
                <w:sz w:val="24"/>
                <w:szCs w:val="24"/>
              </w:rPr>
            </w:pPr>
          </w:p>
          <w:p>
            <w:pPr>
              <w:jc w:val="center"/>
              <w:rPr>
                <w:rFonts w:ascii="宋体"/>
                <w:color w:val="auto"/>
                <w:sz w:val="24"/>
                <w:szCs w:val="24"/>
              </w:rPr>
            </w:pPr>
            <w:r>
              <w:rPr>
                <w:rFonts w:hint="eastAsia" w:ascii="宋体" w:hAnsi="宋体"/>
                <w:color w:val="auto"/>
                <w:sz w:val="24"/>
                <w:szCs w:val="24"/>
              </w:rPr>
              <w:t>门禁消防通风系统</w:t>
            </w:r>
          </w:p>
        </w:tc>
        <w:tc>
          <w:tcPr>
            <w:tcW w:w="2044" w:type="dxa"/>
          </w:tcPr>
          <w:p>
            <w:pPr>
              <w:jc w:val="center"/>
              <w:rPr>
                <w:rFonts w:ascii="宋体"/>
                <w:color w:val="auto"/>
                <w:sz w:val="24"/>
                <w:szCs w:val="24"/>
              </w:rPr>
            </w:pPr>
            <w:r>
              <w:rPr>
                <w:rFonts w:hint="eastAsia" w:ascii="宋体" w:hAnsi="宋体"/>
                <w:color w:val="auto"/>
                <w:sz w:val="24"/>
                <w:szCs w:val="24"/>
              </w:rPr>
              <w:t>电子机械锁（断电机械锁止）</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控制器、刷卡器、出门按钮</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工业级排风机</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台</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695" w:type="dxa"/>
            <w:vMerge w:val="continue"/>
            <w:tcBorders>
              <w:top w:val="nil"/>
            </w:tcBorders>
          </w:tcPr>
          <w:p>
            <w:pPr>
              <w:jc w:val="center"/>
              <w:rPr>
                <w:rFonts w:ascii="宋体"/>
                <w:color w:val="auto"/>
                <w:sz w:val="24"/>
                <w:szCs w:val="24"/>
              </w:rPr>
            </w:pPr>
          </w:p>
        </w:tc>
        <w:tc>
          <w:tcPr>
            <w:tcW w:w="1051" w:type="dxa"/>
            <w:vMerge w:val="continue"/>
            <w:tcBorders>
              <w:top w:val="nil"/>
            </w:tcBorders>
          </w:tcPr>
          <w:p>
            <w:pPr>
              <w:jc w:val="center"/>
              <w:rPr>
                <w:rFonts w:ascii="宋体"/>
                <w:color w:val="auto"/>
                <w:sz w:val="24"/>
                <w:szCs w:val="24"/>
              </w:rPr>
            </w:pPr>
          </w:p>
        </w:tc>
        <w:tc>
          <w:tcPr>
            <w:tcW w:w="736" w:type="dxa"/>
            <w:vMerge w:val="continue"/>
            <w:tcBorders>
              <w:top w:val="nil"/>
            </w:tcBorders>
          </w:tcPr>
          <w:p>
            <w:pPr>
              <w:jc w:val="center"/>
              <w:rPr>
                <w:rFonts w:ascii="宋体"/>
                <w:color w:val="auto"/>
                <w:sz w:val="24"/>
                <w:szCs w:val="24"/>
              </w:rPr>
            </w:pPr>
          </w:p>
        </w:tc>
        <w:tc>
          <w:tcPr>
            <w:tcW w:w="1090" w:type="dxa"/>
            <w:vMerge w:val="continue"/>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灭火器</w:t>
            </w:r>
          </w:p>
        </w:tc>
        <w:tc>
          <w:tcPr>
            <w:tcW w:w="945" w:type="dxa"/>
          </w:tcPr>
          <w:p>
            <w:pPr>
              <w:pStyle w:val="43"/>
              <w:spacing w:before="52"/>
              <w:ind w:left="9"/>
              <w:jc w:val="center"/>
              <w:rPr>
                <w:rFonts w:ascii="宋体"/>
                <w:color w:val="auto"/>
                <w:sz w:val="24"/>
                <w:szCs w:val="24"/>
              </w:rPr>
            </w:pPr>
          </w:p>
        </w:tc>
        <w:tc>
          <w:tcPr>
            <w:tcW w:w="925" w:type="dxa"/>
          </w:tcPr>
          <w:p>
            <w:pPr>
              <w:pStyle w:val="43"/>
              <w:spacing w:before="52"/>
              <w:ind w:left="9"/>
              <w:jc w:val="center"/>
              <w:rPr>
                <w:rFonts w:ascii="宋体"/>
                <w:color w:val="auto"/>
                <w:sz w:val="24"/>
                <w:szCs w:val="24"/>
              </w:rPr>
            </w:pPr>
            <w:r>
              <w:rPr>
                <w:rFonts w:ascii="宋体" w:hAnsi="宋体"/>
                <w:color w:val="auto"/>
                <w:sz w:val="24"/>
                <w:szCs w:val="24"/>
              </w:rPr>
              <w:t>2</w:t>
            </w:r>
          </w:p>
        </w:tc>
        <w:tc>
          <w:tcPr>
            <w:tcW w:w="1895" w:type="dxa"/>
          </w:tcPr>
          <w:p>
            <w:pPr>
              <w:jc w:val="center"/>
              <w:rPr>
                <w:rFonts w:ascii="宋体"/>
                <w:color w:val="auto"/>
                <w:sz w:val="24"/>
                <w:szCs w:val="24"/>
              </w:rPr>
            </w:pPr>
            <w:r>
              <w:rPr>
                <w:rFonts w:hint="eastAsia" w:ascii="宋体" w:hAnsi="宋体"/>
                <w:color w:val="auto"/>
                <w:sz w:val="24"/>
                <w:szCs w:val="24"/>
              </w:rPr>
              <w:t>二氧化碳灭火器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695"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spacing w:before="2"/>
              <w:jc w:val="center"/>
              <w:rPr>
                <w:rFonts w:ascii="宋体"/>
                <w:color w:val="auto"/>
                <w:sz w:val="24"/>
                <w:szCs w:val="24"/>
              </w:rPr>
            </w:pPr>
          </w:p>
          <w:p>
            <w:pPr>
              <w:pStyle w:val="43"/>
              <w:ind w:left="11"/>
              <w:jc w:val="center"/>
              <w:rPr>
                <w:rFonts w:ascii="宋体"/>
                <w:color w:val="auto"/>
                <w:sz w:val="24"/>
                <w:szCs w:val="24"/>
              </w:rPr>
            </w:pPr>
          </w:p>
          <w:p>
            <w:pPr>
              <w:pStyle w:val="43"/>
              <w:ind w:left="11"/>
              <w:jc w:val="center"/>
              <w:rPr>
                <w:rFonts w:ascii="宋体"/>
                <w:color w:val="auto"/>
                <w:sz w:val="24"/>
                <w:szCs w:val="24"/>
              </w:rPr>
            </w:pPr>
          </w:p>
          <w:p>
            <w:pPr>
              <w:pStyle w:val="43"/>
              <w:ind w:left="11"/>
              <w:jc w:val="center"/>
              <w:rPr>
                <w:rFonts w:ascii="宋体"/>
                <w:color w:val="auto"/>
                <w:sz w:val="24"/>
                <w:szCs w:val="24"/>
              </w:rPr>
            </w:pPr>
            <w:r>
              <w:rPr>
                <w:rFonts w:ascii="宋体" w:hAnsi="宋体"/>
                <w:color w:val="auto"/>
                <w:sz w:val="24"/>
                <w:szCs w:val="24"/>
              </w:rPr>
              <w:t>2</w:t>
            </w:r>
          </w:p>
        </w:tc>
        <w:tc>
          <w:tcPr>
            <w:tcW w:w="1051" w:type="dxa"/>
            <w:vMerge w:val="restart"/>
          </w:tcPr>
          <w:p>
            <w:pPr>
              <w:pStyle w:val="43"/>
              <w:jc w:val="center"/>
              <w:rPr>
                <w:rFonts w:ascii="宋体"/>
                <w:color w:val="auto"/>
                <w:sz w:val="24"/>
                <w:szCs w:val="24"/>
              </w:rPr>
            </w:pPr>
          </w:p>
          <w:p>
            <w:pPr>
              <w:pStyle w:val="43"/>
              <w:spacing w:before="11"/>
              <w:jc w:val="center"/>
              <w:rPr>
                <w:rFonts w:ascii="宋体"/>
                <w:color w:val="auto"/>
                <w:sz w:val="24"/>
                <w:szCs w:val="24"/>
              </w:rPr>
            </w:pPr>
          </w:p>
          <w:p>
            <w:pPr>
              <w:pStyle w:val="43"/>
              <w:spacing w:line="242" w:lineRule="auto"/>
              <w:ind w:left="45" w:right="32"/>
              <w:jc w:val="center"/>
              <w:rPr>
                <w:rFonts w:ascii="宋体"/>
                <w:color w:val="auto"/>
                <w:sz w:val="24"/>
                <w:szCs w:val="24"/>
              </w:rPr>
            </w:pPr>
          </w:p>
          <w:p>
            <w:pPr>
              <w:pStyle w:val="43"/>
              <w:spacing w:line="242" w:lineRule="auto"/>
              <w:ind w:left="45" w:right="32"/>
              <w:jc w:val="center"/>
              <w:rPr>
                <w:rFonts w:ascii="宋体"/>
                <w:color w:val="auto"/>
                <w:sz w:val="24"/>
                <w:szCs w:val="24"/>
              </w:rPr>
            </w:pPr>
          </w:p>
          <w:p>
            <w:pPr>
              <w:pStyle w:val="43"/>
              <w:spacing w:line="242" w:lineRule="auto"/>
              <w:ind w:left="45" w:right="32"/>
              <w:jc w:val="center"/>
              <w:rPr>
                <w:rFonts w:ascii="宋体"/>
                <w:color w:val="auto"/>
                <w:sz w:val="24"/>
                <w:szCs w:val="24"/>
              </w:rPr>
            </w:pPr>
            <w:r>
              <w:rPr>
                <w:rFonts w:hint="eastAsia" w:ascii="宋体" w:hAnsi="宋体"/>
                <w:color w:val="auto"/>
                <w:sz w:val="24"/>
                <w:szCs w:val="24"/>
              </w:rPr>
              <w:t>数据采集及传输体系</w:t>
            </w:r>
          </w:p>
        </w:tc>
        <w:tc>
          <w:tcPr>
            <w:tcW w:w="736"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ind w:firstLine="240" w:firstLineChars="100"/>
              <w:jc w:val="center"/>
              <w:rPr>
                <w:rFonts w:ascii="宋体"/>
                <w:color w:val="auto"/>
                <w:sz w:val="24"/>
                <w:szCs w:val="24"/>
              </w:rPr>
            </w:pPr>
          </w:p>
          <w:p>
            <w:pPr>
              <w:pStyle w:val="43"/>
              <w:ind w:firstLine="240" w:firstLineChars="100"/>
              <w:jc w:val="center"/>
              <w:rPr>
                <w:rFonts w:ascii="宋体"/>
                <w:color w:val="auto"/>
                <w:sz w:val="24"/>
                <w:szCs w:val="24"/>
              </w:rPr>
            </w:pPr>
          </w:p>
          <w:p>
            <w:pPr>
              <w:pStyle w:val="43"/>
              <w:ind w:firstLine="240" w:firstLineChars="100"/>
              <w:jc w:val="center"/>
              <w:rPr>
                <w:rFonts w:ascii="宋体"/>
                <w:color w:val="auto"/>
                <w:sz w:val="24"/>
                <w:szCs w:val="24"/>
              </w:rPr>
            </w:pPr>
          </w:p>
          <w:p>
            <w:pPr>
              <w:pStyle w:val="43"/>
              <w:ind w:firstLine="240" w:firstLineChars="100"/>
              <w:rPr>
                <w:rFonts w:ascii="宋体"/>
                <w:color w:val="auto"/>
                <w:sz w:val="24"/>
                <w:szCs w:val="24"/>
              </w:rPr>
            </w:pPr>
            <w:r>
              <w:rPr>
                <w:rFonts w:ascii="宋体" w:hAnsi="宋体"/>
                <w:color w:val="auto"/>
                <w:sz w:val="24"/>
                <w:szCs w:val="24"/>
              </w:rPr>
              <w:t>1</w:t>
            </w:r>
          </w:p>
        </w:tc>
        <w:tc>
          <w:tcPr>
            <w:tcW w:w="1090"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spacing w:before="12"/>
              <w:jc w:val="center"/>
              <w:rPr>
                <w:rFonts w:ascii="宋体"/>
                <w:color w:val="auto"/>
                <w:sz w:val="24"/>
                <w:szCs w:val="24"/>
              </w:rPr>
            </w:pPr>
          </w:p>
          <w:p>
            <w:pPr>
              <w:pStyle w:val="43"/>
              <w:spacing w:line="242" w:lineRule="auto"/>
              <w:ind w:left="45" w:right="32"/>
              <w:jc w:val="center"/>
              <w:rPr>
                <w:rFonts w:ascii="宋体"/>
                <w:color w:val="auto"/>
                <w:sz w:val="24"/>
                <w:szCs w:val="24"/>
              </w:rPr>
            </w:pPr>
          </w:p>
          <w:p>
            <w:pPr>
              <w:pStyle w:val="43"/>
              <w:spacing w:line="242" w:lineRule="auto"/>
              <w:ind w:left="45" w:right="32"/>
              <w:jc w:val="center"/>
              <w:rPr>
                <w:rFonts w:ascii="宋体"/>
                <w:color w:val="auto"/>
                <w:sz w:val="24"/>
                <w:szCs w:val="24"/>
              </w:rPr>
            </w:pPr>
            <w:r>
              <w:rPr>
                <w:rFonts w:hint="eastAsia" w:ascii="宋体" w:hAnsi="宋体"/>
                <w:color w:val="auto"/>
                <w:sz w:val="24"/>
                <w:szCs w:val="24"/>
              </w:rPr>
              <w:t>基础网络通信系统</w:t>
            </w:r>
          </w:p>
        </w:tc>
        <w:tc>
          <w:tcPr>
            <w:tcW w:w="2044" w:type="dxa"/>
            <w:vAlign w:val="center"/>
          </w:tcPr>
          <w:p>
            <w:pPr>
              <w:pStyle w:val="43"/>
              <w:spacing w:before="90"/>
              <w:ind w:right="82" w:firstLine="240" w:firstLineChars="100"/>
              <w:rPr>
                <w:rFonts w:ascii="宋体"/>
                <w:color w:val="auto"/>
                <w:sz w:val="24"/>
                <w:szCs w:val="24"/>
              </w:rPr>
            </w:pPr>
            <w:r>
              <w:rPr>
                <w:rFonts w:hint="eastAsia" w:ascii="宋体" w:hAnsi="宋体"/>
                <w:color w:val="auto"/>
                <w:sz w:val="24"/>
                <w:szCs w:val="24"/>
              </w:rPr>
              <w:t>独立控制柜柜体</w:t>
            </w:r>
          </w:p>
        </w:tc>
        <w:tc>
          <w:tcPr>
            <w:tcW w:w="945" w:type="dxa"/>
          </w:tcPr>
          <w:p>
            <w:pPr>
              <w:pStyle w:val="43"/>
              <w:spacing w:before="52"/>
              <w:ind w:left="9"/>
              <w:jc w:val="center"/>
              <w:rPr>
                <w:rFonts w:ascii="宋体"/>
                <w:color w:val="auto"/>
                <w:sz w:val="24"/>
                <w:szCs w:val="24"/>
              </w:rPr>
            </w:pPr>
          </w:p>
          <w:p>
            <w:pPr>
              <w:pStyle w:val="43"/>
              <w:spacing w:before="52"/>
              <w:ind w:left="9"/>
              <w:jc w:val="center"/>
              <w:rPr>
                <w:rFonts w:ascii="宋体"/>
                <w:color w:val="auto"/>
                <w:sz w:val="24"/>
                <w:szCs w:val="24"/>
              </w:rPr>
            </w:pPr>
            <w:r>
              <w:rPr>
                <w:rFonts w:hint="eastAsia" w:ascii="宋体" w:hAnsi="宋体"/>
                <w:color w:val="auto"/>
                <w:sz w:val="24"/>
                <w:szCs w:val="24"/>
              </w:rPr>
              <w:t>台</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pStyle w:val="43"/>
              <w:spacing w:before="90"/>
              <w:ind w:left="94" w:right="82"/>
              <w:jc w:val="center"/>
              <w:rPr>
                <w:rFonts w:ascii="宋体"/>
                <w:color w:val="auto"/>
                <w:sz w:val="24"/>
                <w:szCs w:val="24"/>
              </w:rPr>
            </w:pPr>
            <w:r>
              <w:rPr>
                <w:rFonts w:ascii="宋体" w:hAnsi="宋体"/>
                <w:color w:val="auto"/>
                <w:sz w:val="24"/>
                <w:szCs w:val="24"/>
              </w:rPr>
              <w:t xml:space="preserve">1.5mm </w:t>
            </w:r>
            <w:r>
              <w:rPr>
                <w:rFonts w:hint="eastAsia" w:ascii="宋体" w:hAnsi="宋体"/>
                <w:color w:val="auto"/>
                <w:sz w:val="24"/>
                <w:szCs w:val="24"/>
              </w:rPr>
              <w:t>冷轧板喷涂，尺寸</w:t>
            </w:r>
            <w:r>
              <w:rPr>
                <w:rFonts w:ascii="宋体" w:hAnsi="宋体"/>
                <w:color w:val="auto"/>
                <w:sz w:val="24"/>
                <w:szCs w:val="24"/>
              </w:rPr>
              <w:t>400*700*1700</w:t>
            </w:r>
            <w:r>
              <w:rPr>
                <w:rFonts w:hint="eastAsia" w:ascii="宋体" w:hAnsi="宋体"/>
                <w:color w:val="auto"/>
                <w:sz w:val="24"/>
                <w:szCs w:val="24"/>
              </w:rPr>
              <w:t>，带底座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液晶触摸屏</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台</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Pr>
          <w:p>
            <w:pPr>
              <w:jc w:val="center"/>
              <w:rPr>
                <w:rFonts w:ascii="宋体"/>
                <w:color w:val="auto"/>
                <w:sz w:val="24"/>
                <w:szCs w:val="24"/>
              </w:rPr>
            </w:pPr>
            <w:r>
              <w:rPr>
                <w:rFonts w:ascii="宋体" w:hAnsi="宋体"/>
                <w:color w:val="auto"/>
                <w:sz w:val="24"/>
                <w:szCs w:val="24"/>
              </w:rPr>
              <w:t xml:space="preserve">PLC </w:t>
            </w:r>
            <w:r>
              <w:rPr>
                <w:rFonts w:hint="eastAsia" w:ascii="宋体" w:hAnsi="宋体"/>
                <w:color w:val="auto"/>
                <w:sz w:val="24"/>
                <w:szCs w:val="24"/>
              </w:rPr>
              <w:t>可编程控制器</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台</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交换机</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个</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Pr>
          <w:p>
            <w:pPr>
              <w:jc w:val="center"/>
              <w:rPr>
                <w:rFonts w:ascii="宋体"/>
                <w:color w:val="auto"/>
                <w:sz w:val="24"/>
                <w:szCs w:val="24"/>
              </w:rPr>
            </w:pPr>
            <w:r>
              <w:rPr>
                <w:rFonts w:ascii="宋体" w:hAnsi="宋体"/>
                <w:color w:val="auto"/>
                <w:sz w:val="24"/>
                <w:szCs w:val="24"/>
              </w:rPr>
              <w:t xml:space="preserve">VPN </w:t>
            </w:r>
            <w:r>
              <w:rPr>
                <w:rFonts w:hint="eastAsia" w:ascii="宋体" w:hAnsi="宋体"/>
                <w:color w:val="auto"/>
                <w:sz w:val="24"/>
                <w:szCs w:val="24"/>
              </w:rPr>
              <w:t>路由器</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年</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流量、压力采集</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r>
              <w:rPr>
                <w:rFonts w:hint="eastAsia" w:ascii="宋体" w:hAnsi="宋体"/>
                <w:color w:val="auto"/>
                <w:sz w:val="24"/>
                <w:szCs w:val="24"/>
              </w:rPr>
              <w:t>配备压力表及流量计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95" w:type="dxa"/>
            <w:vMerge w:val="restart"/>
            <w:tcBorders>
              <w:top w:val="nil"/>
            </w:tcBorders>
          </w:tcPr>
          <w:p>
            <w:pPr>
              <w:jc w:val="center"/>
              <w:rPr>
                <w:rFonts w:ascii="宋体"/>
                <w:color w:val="auto"/>
                <w:sz w:val="24"/>
                <w:szCs w:val="24"/>
              </w:rPr>
            </w:pPr>
          </w:p>
        </w:tc>
        <w:tc>
          <w:tcPr>
            <w:tcW w:w="1051" w:type="dxa"/>
            <w:vMerge w:val="restart"/>
            <w:tcBorders>
              <w:top w:val="nil"/>
            </w:tcBorders>
          </w:tcPr>
          <w:p>
            <w:pPr>
              <w:jc w:val="center"/>
              <w:rPr>
                <w:rFonts w:ascii="宋体"/>
                <w:color w:val="auto"/>
                <w:sz w:val="24"/>
                <w:szCs w:val="24"/>
              </w:rPr>
            </w:pPr>
          </w:p>
        </w:tc>
        <w:tc>
          <w:tcPr>
            <w:tcW w:w="736" w:type="dxa"/>
            <w:vMerge w:val="restart"/>
            <w:tcBorders>
              <w:top w:val="nil"/>
            </w:tcBorders>
          </w:tcPr>
          <w:p>
            <w:pPr>
              <w:jc w:val="center"/>
              <w:rPr>
                <w:rFonts w:ascii="宋体"/>
                <w:color w:val="auto"/>
                <w:sz w:val="24"/>
                <w:szCs w:val="24"/>
              </w:rPr>
            </w:pPr>
          </w:p>
        </w:tc>
        <w:tc>
          <w:tcPr>
            <w:tcW w:w="1090" w:type="dxa"/>
            <w:vMerge w:val="restart"/>
            <w:tcBorders>
              <w:top w:val="nil"/>
            </w:tcBorders>
          </w:tcPr>
          <w:p>
            <w:pPr>
              <w:jc w:val="center"/>
              <w:rPr>
                <w:rFonts w:ascii="宋体"/>
                <w:color w:val="auto"/>
                <w:sz w:val="24"/>
                <w:szCs w:val="24"/>
              </w:rPr>
            </w:pPr>
          </w:p>
        </w:tc>
        <w:tc>
          <w:tcPr>
            <w:tcW w:w="2044" w:type="dxa"/>
          </w:tcPr>
          <w:p>
            <w:pPr>
              <w:jc w:val="center"/>
              <w:rPr>
                <w:rFonts w:ascii="宋体"/>
                <w:color w:val="auto"/>
                <w:sz w:val="24"/>
                <w:szCs w:val="24"/>
              </w:rPr>
            </w:pPr>
            <w:r>
              <w:rPr>
                <w:rFonts w:hint="eastAsia" w:ascii="宋体" w:hAnsi="宋体"/>
                <w:color w:val="auto"/>
                <w:sz w:val="24"/>
                <w:szCs w:val="24"/>
              </w:rPr>
              <w:t>基础网络链路</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jc w:val="center"/>
              <w:rPr>
                <w:rFonts w:ascii="宋体"/>
                <w:color w:val="auto"/>
                <w:sz w:val="24"/>
                <w:szCs w:val="24"/>
              </w:rPr>
            </w:pPr>
            <w:r>
              <w:rPr>
                <w:rFonts w:hint="eastAsia" w:ascii="宋体" w:hAnsi="宋体"/>
                <w:color w:val="auto"/>
                <w:sz w:val="24"/>
                <w:szCs w:val="24"/>
              </w:rPr>
              <w:t>电信、移动、联通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695" w:type="dxa"/>
            <w:vMerge w:val="continue"/>
            <w:tcBorders>
              <w:top w:val="nil"/>
              <w:bottom w:val="single" w:color="auto" w:sz="4" w:space="0"/>
            </w:tcBorders>
          </w:tcPr>
          <w:p>
            <w:pPr>
              <w:jc w:val="center"/>
              <w:rPr>
                <w:rFonts w:ascii="宋体"/>
                <w:color w:val="auto"/>
                <w:sz w:val="24"/>
                <w:szCs w:val="24"/>
              </w:rPr>
            </w:pPr>
          </w:p>
        </w:tc>
        <w:tc>
          <w:tcPr>
            <w:tcW w:w="1051" w:type="dxa"/>
            <w:vMerge w:val="continue"/>
            <w:tcBorders>
              <w:top w:val="nil"/>
              <w:bottom w:val="single" w:color="auto" w:sz="4" w:space="0"/>
            </w:tcBorders>
          </w:tcPr>
          <w:p>
            <w:pPr>
              <w:jc w:val="center"/>
              <w:rPr>
                <w:rFonts w:ascii="宋体"/>
                <w:color w:val="auto"/>
                <w:sz w:val="24"/>
                <w:szCs w:val="24"/>
              </w:rPr>
            </w:pPr>
          </w:p>
        </w:tc>
        <w:tc>
          <w:tcPr>
            <w:tcW w:w="736" w:type="dxa"/>
            <w:vMerge w:val="continue"/>
            <w:tcBorders>
              <w:top w:val="nil"/>
              <w:bottom w:val="single" w:color="auto" w:sz="4" w:space="0"/>
            </w:tcBorders>
          </w:tcPr>
          <w:p>
            <w:pPr>
              <w:jc w:val="center"/>
              <w:rPr>
                <w:rFonts w:ascii="宋体"/>
                <w:color w:val="auto"/>
                <w:sz w:val="24"/>
                <w:szCs w:val="24"/>
              </w:rPr>
            </w:pPr>
          </w:p>
        </w:tc>
        <w:tc>
          <w:tcPr>
            <w:tcW w:w="1090" w:type="dxa"/>
            <w:vMerge w:val="continue"/>
            <w:tcBorders>
              <w:top w:val="nil"/>
              <w:bottom w:val="single" w:color="auto" w:sz="4" w:space="0"/>
            </w:tcBorders>
          </w:tcPr>
          <w:p>
            <w:pPr>
              <w:jc w:val="center"/>
              <w:rPr>
                <w:rFonts w:ascii="宋体"/>
                <w:color w:val="auto"/>
                <w:sz w:val="24"/>
                <w:szCs w:val="24"/>
              </w:rPr>
            </w:pPr>
          </w:p>
        </w:tc>
        <w:tc>
          <w:tcPr>
            <w:tcW w:w="2044" w:type="dxa"/>
            <w:tcBorders>
              <w:bottom w:val="single" w:color="auto" w:sz="4" w:space="0"/>
            </w:tcBorders>
          </w:tcPr>
          <w:p>
            <w:pPr>
              <w:jc w:val="center"/>
              <w:rPr>
                <w:rFonts w:ascii="宋体"/>
                <w:color w:val="auto"/>
                <w:sz w:val="24"/>
                <w:szCs w:val="24"/>
              </w:rPr>
            </w:pPr>
            <w:r>
              <w:rPr>
                <w:rFonts w:hint="eastAsia" w:ascii="宋体" w:hAnsi="宋体"/>
                <w:color w:val="auto"/>
                <w:sz w:val="24"/>
                <w:szCs w:val="24"/>
              </w:rPr>
              <w:t>电气元器件</w:t>
            </w:r>
          </w:p>
        </w:tc>
        <w:tc>
          <w:tcPr>
            <w:tcW w:w="945" w:type="dxa"/>
            <w:tcBorders>
              <w:bottom w:val="single" w:color="auto" w:sz="4" w:space="0"/>
            </w:tcBorders>
          </w:tcPr>
          <w:p>
            <w:pPr>
              <w:pStyle w:val="43"/>
              <w:spacing w:before="52"/>
              <w:ind w:left="9"/>
              <w:jc w:val="center"/>
              <w:rPr>
                <w:rFonts w:ascii="宋体"/>
                <w:color w:val="auto"/>
                <w:sz w:val="24"/>
                <w:szCs w:val="24"/>
              </w:rPr>
            </w:pPr>
            <w:r>
              <w:rPr>
                <w:rFonts w:hint="eastAsia" w:ascii="宋体" w:hAnsi="宋体"/>
                <w:color w:val="auto"/>
                <w:sz w:val="24"/>
                <w:szCs w:val="24"/>
              </w:rPr>
              <w:t>套</w:t>
            </w:r>
          </w:p>
        </w:tc>
        <w:tc>
          <w:tcPr>
            <w:tcW w:w="925" w:type="dxa"/>
            <w:tcBorders>
              <w:bottom w:val="single" w:color="auto" w:sz="4" w:space="0"/>
            </w:tcBorders>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Borders>
              <w:bottom w:val="single" w:color="auto" w:sz="4" w:space="0"/>
            </w:tcBorders>
          </w:tcPr>
          <w:p>
            <w:pPr>
              <w:jc w:val="center"/>
              <w:rPr>
                <w:rFonts w:ascii="宋体"/>
                <w:color w:val="auto"/>
                <w:sz w:val="24"/>
                <w:szCs w:val="24"/>
              </w:rPr>
            </w:pPr>
            <w:r>
              <w:rPr>
                <w:rFonts w:hint="eastAsia" w:ascii="宋体" w:hAnsi="宋体"/>
                <w:color w:val="auto"/>
                <w:sz w:val="24"/>
                <w:szCs w:val="24"/>
              </w:rPr>
              <w:t>施耐德为主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695" w:type="dxa"/>
            <w:vMerge w:val="restart"/>
          </w:tcPr>
          <w:p>
            <w:pPr>
              <w:pStyle w:val="43"/>
              <w:jc w:val="center"/>
              <w:rPr>
                <w:rFonts w:ascii="宋体"/>
                <w:color w:val="auto"/>
                <w:sz w:val="24"/>
                <w:szCs w:val="24"/>
              </w:rPr>
            </w:pPr>
          </w:p>
          <w:p>
            <w:pPr>
              <w:pStyle w:val="43"/>
              <w:jc w:val="center"/>
              <w:rPr>
                <w:rFonts w:ascii="宋体"/>
                <w:color w:val="auto"/>
                <w:sz w:val="24"/>
                <w:szCs w:val="24"/>
              </w:rPr>
            </w:pPr>
          </w:p>
          <w:p>
            <w:pPr>
              <w:pStyle w:val="43"/>
              <w:spacing w:before="7"/>
              <w:jc w:val="center"/>
              <w:rPr>
                <w:rFonts w:ascii="宋体"/>
                <w:color w:val="auto"/>
                <w:sz w:val="24"/>
                <w:szCs w:val="24"/>
              </w:rPr>
            </w:pPr>
          </w:p>
          <w:p>
            <w:pPr>
              <w:pStyle w:val="43"/>
              <w:ind w:left="11"/>
              <w:jc w:val="center"/>
              <w:rPr>
                <w:rFonts w:ascii="宋体"/>
                <w:color w:val="auto"/>
                <w:sz w:val="24"/>
                <w:szCs w:val="24"/>
              </w:rPr>
            </w:pPr>
            <w:r>
              <w:rPr>
                <w:rFonts w:ascii="宋体" w:hAnsi="宋体"/>
                <w:color w:val="auto"/>
                <w:sz w:val="24"/>
                <w:szCs w:val="24"/>
              </w:rPr>
              <w:t>3</w:t>
            </w:r>
          </w:p>
        </w:tc>
        <w:tc>
          <w:tcPr>
            <w:tcW w:w="1051" w:type="dxa"/>
            <w:vMerge w:val="restart"/>
            <w:vAlign w:val="center"/>
          </w:tcPr>
          <w:p>
            <w:pPr>
              <w:pStyle w:val="43"/>
              <w:spacing w:line="242" w:lineRule="auto"/>
              <w:ind w:right="32"/>
              <w:jc w:val="center"/>
              <w:rPr>
                <w:rFonts w:ascii="宋体"/>
                <w:color w:val="auto"/>
                <w:sz w:val="24"/>
                <w:szCs w:val="24"/>
              </w:rPr>
            </w:pPr>
            <w:r>
              <w:rPr>
                <w:rFonts w:hint="eastAsia" w:ascii="宋体" w:hAnsi="宋体"/>
                <w:color w:val="auto"/>
                <w:sz w:val="24"/>
                <w:szCs w:val="24"/>
              </w:rPr>
              <w:t>管理维护体系</w:t>
            </w:r>
          </w:p>
        </w:tc>
        <w:tc>
          <w:tcPr>
            <w:tcW w:w="736" w:type="dxa"/>
            <w:vMerge w:val="restart"/>
          </w:tcPr>
          <w:p>
            <w:pPr>
              <w:pStyle w:val="43"/>
              <w:spacing w:before="7"/>
              <w:jc w:val="center"/>
              <w:rPr>
                <w:rFonts w:ascii="宋体"/>
                <w:color w:val="auto"/>
                <w:sz w:val="24"/>
                <w:szCs w:val="24"/>
              </w:rPr>
            </w:pPr>
          </w:p>
          <w:p>
            <w:pPr>
              <w:pStyle w:val="43"/>
              <w:spacing w:before="1"/>
              <w:ind w:left="8"/>
              <w:jc w:val="center"/>
              <w:rPr>
                <w:rFonts w:ascii="宋体"/>
                <w:color w:val="auto"/>
                <w:sz w:val="24"/>
                <w:szCs w:val="24"/>
              </w:rPr>
            </w:pPr>
          </w:p>
          <w:p>
            <w:pPr>
              <w:pStyle w:val="43"/>
              <w:spacing w:before="1"/>
              <w:ind w:left="8"/>
              <w:jc w:val="center"/>
              <w:rPr>
                <w:rFonts w:ascii="宋体"/>
                <w:color w:val="auto"/>
                <w:sz w:val="24"/>
                <w:szCs w:val="24"/>
              </w:rPr>
            </w:pPr>
            <w:r>
              <w:rPr>
                <w:rFonts w:ascii="宋体" w:hAnsi="宋体"/>
                <w:color w:val="auto"/>
                <w:sz w:val="24"/>
                <w:szCs w:val="24"/>
              </w:rPr>
              <w:t>1</w:t>
            </w:r>
          </w:p>
        </w:tc>
        <w:tc>
          <w:tcPr>
            <w:tcW w:w="1090" w:type="dxa"/>
            <w:vMerge w:val="restart"/>
            <w:vAlign w:val="center"/>
          </w:tcPr>
          <w:p>
            <w:pPr>
              <w:pStyle w:val="43"/>
              <w:spacing w:line="242" w:lineRule="auto"/>
              <w:ind w:right="32"/>
              <w:jc w:val="center"/>
              <w:rPr>
                <w:rFonts w:ascii="宋体"/>
                <w:color w:val="auto"/>
                <w:sz w:val="24"/>
                <w:szCs w:val="24"/>
              </w:rPr>
            </w:pPr>
            <w:r>
              <w:rPr>
                <w:rFonts w:hint="eastAsia" w:ascii="宋体" w:hAnsi="宋体"/>
                <w:color w:val="auto"/>
                <w:sz w:val="24"/>
                <w:szCs w:val="24"/>
              </w:rPr>
              <w:t>泵房亮化排水工程</w:t>
            </w:r>
          </w:p>
        </w:tc>
        <w:tc>
          <w:tcPr>
            <w:tcW w:w="2044" w:type="dxa"/>
          </w:tcPr>
          <w:p>
            <w:pPr>
              <w:pStyle w:val="43"/>
              <w:spacing w:before="144"/>
              <w:ind w:left="253" w:right="3" w:hanging="238"/>
              <w:jc w:val="center"/>
              <w:rPr>
                <w:rFonts w:ascii="宋体"/>
                <w:color w:val="auto"/>
                <w:sz w:val="24"/>
                <w:szCs w:val="24"/>
              </w:rPr>
            </w:pPr>
            <w:r>
              <w:rPr>
                <w:rFonts w:hint="eastAsia" w:ascii="宋体" w:hAnsi="宋体"/>
                <w:color w:val="auto"/>
                <w:sz w:val="24"/>
                <w:szCs w:val="24"/>
              </w:rPr>
              <w:t>地面、墙面处理（贴瓷砖</w:t>
            </w:r>
            <w:r>
              <w:rPr>
                <w:rFonts w:ascii="宋体" w:hAnsi="宋体"/>
                <w:color w:val="auto"/>
                <w:sz w:val="24"/>
                <w:szCs w:val="24"/>
              </w:rPr>
              <w:t xml:space="preserve"> 600*600</w:t>
            </w:r>
            <w:r>
              <w:rPr>
                <w:rFonts w:hint="eastAsia" w:ascii="宋体" w:hAnsi="宋体"/>
                <w:color w:val="auto"/>
                <w:sz w:val="24"/>
                <w:szCs w:val="24"/>
              </w:rPr>
              <w:t>）</w:t>
            </w:r>
          </w:p>
        </w:tc>
        <w:tc>
          <w:tcPr>
            <w:tcW w:w="945" w:type="dxa"/>
          </w:tcPr>
          <w:p>
            <w:pPr>
              <w:pStyle w:val="43"/>
              <w:spacing w:before="52"/>
              <w:ind w:left="9"/>
              <w:jc w:val="center"/>
              <w:rPr>
                <w:rFonts w:ascii="宋体"/>
                <w:color w:val="auto"/>
                <w:sz w:val="24"/>
                <w:szCs w:val="24"/>
              </w:rPr>
            </w:pPr>
          </w:p>
          <w:p>
            <w:pPr>
              <w:pStyle w:val="43"/>
              <w:spacing w:before="52"/>
              <w:ind w:left="9"/>
              <w:jc w:val="center"/>
              <w:rPr>
                <w:rFonts w:ascii="宋体"/>
                <w:color w:val="auto"/>
                <w:sz w:val="24"/>
                <w:szCs w:val="24"/>
              </w:rPr>
            </w:pPr>
            <w:r>
              <w:rPr>
                <w:rFonts w:hint="eastAsia" w:ascii="宋体" w:hAnsi="宋体"/>
                <w:color w:val="auto"/>
                <w:sz w:val="24"/>
                <w:szCs w:val="24"/>
              </w:rPr>
              <w:t>项</w:t>
            </w:r>
          </w:p>
        </w:tc>
        <w:tc>
          <w:tcPr>
            <w:tcW w:w="925" w:type="dxa"/>
          </w:tcPr>
          <w:p>
            <w:pPr>
              <w:pStyle w:val="43"/>
              <w:spacing w:before="52"/>
              <w:ind w:left="9"/>
              <w:jc w:val="center"/>
              <w:rPr>
                <w:rFonts w:ascii="宋体"/>
                <w:color w:val="auto"/>
                <w:sz w:val="24"/>
                <w:szCs w:val="24"/>
              </w:rPr>
            </w:pPr>
          </w:p>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Pr>
          <w:p>
            <w:pPr>
              <w:pStyle w:val="43"/>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vAlign w:val="center"/>
          </w:tcPr>
          <w:p>
            <w:pPr>
              <w:jc w:val="center"/>
              <w:rPr>
                <w:rFonts w:ascii="宋体"/>
                <w:color w:val="auto"/>
                <w:sz w:val="24"/>
                <w:szCs w:val="24"/>
              </w:rPr>
            </w:pPr>
            <w:r>
              <w:rPr>
                <w:rFonts w:hint="eastAsia" w:ascii="宋体" w:hAnsi="宋体"/>
                <w:color w:val="auto"/>
                <w:sz w:val="24"/>
                <w:szCs w:val="24"/>
              </w:rPr>
              <w:t>吊顶</w:t>
            </w:r>
          </w:p>
        </w:tc>
        <w:tc>
          <w:tcPr>
            <w:tcW w:w="945" w:type="dxa"/>
          </w:tcPr>
          <w:p>
            <w:pPr>
              <w:pStyle w:val="43"/>
              <w:spacing w:before="52"/>
              <w:ind w:left="9"/>
              <w:jc w:val="center"/>
              <w:rPr>
                <w:rFonts w:ascii="宋体"/>
                <w:color w:val="auto"/>
                <w:sz w:val="24"/>
                <w:szCs w:val="24"/>
              </w:rPr>
            </w:pPr>
            <w:r>
              <w:rPr>
                <w:rFonts w:hint="eastAsia" w:ascii="宋体" w:hAnsi="宋体"/>
                <w:color w:val="auto"/>
                <w:sz w:val="24"/>
                <w:szCs w:val="24"/>
              </w:rPr>
              <w:t>项</w:t>
            </w:r>
          </w:p>
        </w:tc>
        <w:tc>
          <w:tcPr>
            <w:tcW w:w="925" w:type="dxa"/>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vAlign w:val="center"/>
          </w:tcPr>
          <w:p>
            <w:pPr>
              <w:jc w:val="center"/>
              <w:rPr>
                <w:rFonts w:ascii="宋体"/>
                <w:color w:val="auto"/>
                <w:sz w:val="24"/>
                <w:szCs w:val="24"/>
              </w:rPr>
            </w:pPr>
            <w:r>
              <w:rPr>
                <w:rFonts w:hint="eastAsia" w:ascii="宋体" w:hAnsi="宋体"/>
                <w:color w:val="auto"/>
                <w:sz w:val="24"/>
                <w:szCs w:val="24"/>
              </w:rPr>
              <w:t>铝扣板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695" w:type="dxa"/>
            <w:vMerge w:val="continue"/>
          </w:tcPr>
          <w:p>
            <w:pPr>
              <w:jc w:val="center"/>
              <w:rPr>
                <w:rFonts w:ascii="宋体"/>
                <w:color w:val="auto"/>
                <w:sz w:val="24"/>
                <w:szCs w:val="24"/>
              </w:rPr>
            </w:pPr>
          </w:p>
        </w:tc>
        <w:tc>
          <w:tcPr>
            <w:tcW w:w="1051" w:type="dxa"/>
            <w:vMerge w:val="continue"/>
          </w:tcPr>
          <w:p>
            <w:pPr>
              <w:jc w:val="center"/>
              <w:rPr>
                <w:rFonts w:ascii="宋体"/>
                <w:color w:val="auto"/>
                <w:sz w:val="24"/>
                <w:szCs w:val="24"/>
              </w:rPr>
            </w:pPr>
          </w:p>
        </w:tc>
        <w:tc>
          <w:tcPr>
            <w:tcW w:w="736" w:type="dxa"/>
            <w:vMerge w:val="continue"/>
          </w:tcPr>
          <w:p>
            <w:pPr>
              <w:jc w:val="center"/>
              <w:rPr>
                <w:rFonts w:ascii="宋体"/>
                <w:color w:val="auto"/>
                <w:sz w:val="24"/>
                <w:szCs w:val="24"/>
              </w:rPr>
            </w:pPr>
          </w:p>
        </w:tc>
        <w:tc>
          <w:tcPr>
            <w:tcW w:w="1090" w:type="dxa"/>
            <w:vMerge w:val="continue"/>
          </w:tcPr>
          <w:p>
            <w:pPr>
              <w:jc w:val="center"/>
              <w:rPr>
                <w:rFonts w:ascii="宋体"/>
                <w:color w:val="auto"/>
                <w:sz w:val="24"/>
                <w:szCs w:val="24"/>
              </w:rPr>
            </w:pPr>
          </w:p>
        </w:tc>
        <w:tc>
          <w:tcPr>
            <w:tcW w:w="2044" w:type="dxa"/>
            <w:tcBorders>
              <w:bottom w:val="single" w:color="auto" w:sz="4" w:space="0"/>
            </w:tcBorders>
          </w:tcPr>
          <w:p>
            <w:pPr>
              <w:jc w:val="center"/>
              <w:rPr>
                <w:rFonts w:ascii="宋体"/>
                <w:color w:val="auto"/>
                <w:sz w:val="24"/>
                <w:szCs w:val="24"/>
              </w:rPr>
            </w:pPr>
            <w:r>
              <w:rPr>
                <w:rFonts w:hint="eastAsia" w:ascii="宋体" w:hAnsi="宋体"/>
                <w:color w:val="auto"/>
                <w:sz w:val="24"/>
                <w:szCs w:val="24"/>
              </w:rPr>
              <w:t>方块灯</w:t>
            </w:r>
          </w:p>
        </w:tc>
        <w:tc>
          <w:tcPr>
            <w:tcW w:w="945" w:type="dxa"/>
            <w:tcBorders>
              <w:bottom w:val="single" w:color="auto" w:sz="4" w:space="0"/>
            </w:tcBorders>
          </w:tcPr>
          <w:p>
            <w:pPr>
              <w:pStyle w:val="43"/>
              <w:spacing w:before="52"/>
              <w:ind w:left="9"/>
              <w:jc w:val="center"/>
              <w:rPr>
                <w:rFonts w:ascii="宋体"/>
                <w:color w:val="auto"/>
                <w:sz w:val="24"/>
                <w:szCs w:val="24"/>
              </w:rPr>
            </w:pPr>
            <w:r>
              <w:rPr>
                <w:rFonts w:hint="eastAsia" w:ascii="宋体" w:hAnsi="宋体"/>
                <w:color w:val="auto"/>
                <w:sz w:val="24"/>
                <w:szCs w:val="24"/>
              </w:rPr>
              <w:t>项</w:t>
            </w:r>
          </w:p>
        </w:tc>
        <w:tc>
          <w:tcPr>
            <w:tcW w:w="925" w:type="dxa"/>
            <w:tcBorders>
              <w:bottom w:val="single" w:color="auto" w:sz="4" w:space="0"/>
            </w:tcBorders>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Borders>
              <w:bottom w:val="single" w:color="auto" w:sz="4" w:space="0"/>
            </w:tcBorders>
          </w:tcPr>
          <w:p>
            <w:pPr>
              <w:jc w:val="center"/>
              <w:rPr>
                <w:rFonts w:ascii="宋体"/>
                <w:color w:val="auto"/>
                <w:sz w:val="24"/>
                <w:szCs w:val="24"/>
              </w:rPr>
            </w:pPr>
            <w:r>
              <w:rPr>
                <w:rFonts w:ascii="宋体" w:hAnsi="宋体"/>
                <w:color w:val="auto"/>
                <w:sz w:val="24"/>
                <w:szCs w:val="24"/>
              </w:rPr>
              <w:t xml:space="preserve">X906 </w:t>
            </w:r>
            <w:r>
              <w:rPr>
                <w:rFonts w:hint="eastAsia" w:ascii="宋体" w:hAnsi="宋体"/>
                <w:color w:val="auto"/>
                <w:sz w:val="24"/>
                <w:szCs w:val="24"/>
              </w:rPr>
              <w:t>吸顶灯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695" w:type="dxa"/>
            <w:vMerge w:val="continue"/>
            <w:tcBorders>
              <w:bottom w:val="single" w:color="auto" w:sz="4" w:space="0"/>
            </w:tcBorders>
          </w:tcPr>
          <w:p>
            <w:pPr>
              <w:jc w:val="center"/>
              <w:rPr>
                <w:rFonts w:ascii="宋体"/>
                <w:color w:val="auto"/>
                <w:sz w:val="24"/>
                <w:szCs w:val="24"/>
              </w:rPr>
            </w:pPr>
          </w:p>
        </w:tc>
        <w:tc>
          <w:tcPr>
            <w:tcW w:w="1051" w:type="dxa"/>
            <w:vMerge w:val="continue"/>
            <w:tcBorders>
              <w:bottom w:val="single" w:color="auto" w:sz="4" w:space="0"/>
            </w:tcBorders>
          </w:tcPr>
          <w:p>
            <w:pPr>
              <w:jc w:val="center"/>
              <w:rPr>
                <w:rFonts w:ascii="宋体"/>
                <w:color w:val="auto"/>
                <w:sz w:val="24"/>
                <w:szCs w:val="24"/>
              </w:rPr>
            </w:pPr>
          </w:p>
        </w:tc>
        <w:tc>
          <w:tcPr>
            <w:tcW w:w="736" w:type="dxa"/>
            <w:vMerge w:val="continue"/>
            <w:tcBorders>
              <w:bottom w:val="single" w:color="auto" w:sz="4" w:space="0"/>
            </w:tcBorders>
          </w:tcPr>
          <w:p>
            <w:pPr>
              <w:jc w:val="center"/>
              <w:rPr>
                <w:rFonts w:ascii="宋体"/>
                <w:color w:val="auto"/>
                <w:sz w:val="24"/>
                <w:szCs w:val="24"/>
              </w:rPr>
            </w:pPr>
          </w:p>
        </w:tc>
        <w:tc>
          <w:tcPr>
            <w:tcW w:w="1090" w:type="dxa"/>
            <w:vMerge w:val="continue"/>
            <w:tcBorders>
              <w:bottom w:val="single" w:color="auto" w:sz="4" w:space="0"/>
            </w:tcBorders>
          </w:tcPr>
          <w:p>
            <w:pPr>
              <w:jc w:val="center"/>
              <w:rPr>
                <w:rFonts w:ascii="宋体"/>
                <w:color w:val="auto"/>
                <w:sz w:val="24"/>
                <w:szCs w:val="24"/>
              </w:rPr>
            </w:pPr>
          </w:p>
        </w:tc>
        <w:tc>
          <w:tcPr>
            <w:tcW w:w="2044" w:type="dxa"/>
            <w:tcBorders>
              <w:top w:val="single" w:color="auto" w:sz="4" w:space="0"/>
              <w:bottom w:val="single" w:color="auto" w:sz="4" w:space="0"/>
            </w:tcBorders>
          </w:tcPr>
          <w:p>
            <w:pPr>
              <w:jc w:val="center"/>
              <w:rPr>
                <w:rFonts w:ascii="宋体"/>
                <w:color w:val="auto"/>
                <w:sz w:val="24"/>
                <w:szCs w:val="24"/>
              </w:rPr>
            </w:pPr>
            <w:r>
              <w:rPr>
                <w:rFonts w:hint="eastAsia" w:ascii="宋体" w:hAnsi="宋体"/>
                <w:color w:val="auto"/>
                <w:sz w:val="24"/>
                <w:szCs w:val="24"/>
              </w:rPr>
              <w:t>室内防涝排水</w:t>
            </w:r>
          </w:p>
        </w:tc>
        <w:tc>
          <w:tcPr>
            <w:tcW w:w="945" w:type="dxa"/>
            <w:tcBorders>
              <w:top w:val="single" w:color="auto" w:sz="4" w:space="0"/>
              <w:bottom w:val="single" w:color="auto" w:sz="4" w:space="0"/>
            </w:tcBorders>
          </w:tcPr>
          <w:p>
            <w:pPr>
              <w:pStyle w:val="43"/>
              <w:spacing w:before="52"/>
              <w:ind w:left="9"/>
              <w:jc w:val="center"/>
              <w:rPr>
                <w:rFonts w:ascii="宋体"/>
                <w:color w:val="auto"/>
                <w:sz w:val="24"/>
                <w:szCs w:val="24"/>
              </w:rPr>
            </w:pPr>
            <w:r>
              <w:rPr>
                <w:rFonts w:hint="eastAsia" w:ascii="宋体" w:hAnsi="宋体"/>
                <w:color w:val="auto"/>
                <w:sz w:val="24"/>
                <w:szCs w:val="24"/>
              </w:rPr>
              <w:t>项</w:t>
            </w:r>
          </w:p>
        </w:tc>
        <w:tc>
          <w:tcPr>
            <w:tcW w:w="925" w:type="dxa"/>
            <w:tcBorders>
              <w:top w:val="single" w:color="auto" w:sz="4" w:space="0"/>
              <w:bottom w:val="single" w:color="auto" w:sz="4" w:space="0"/>
            </w:tcBorders>
          </w:tcPr>
          <w:p>
            <w:pPr>
              <w:pStyle w:val="43"/>
              <w:spacing w:before="52"/>
              <w:ind w:left="9"/>
              <w:jc w:val="center"/>
              <w:rPr>
                <w:rFonts w:ascii="宋体"/>
                <w:color w:val="auto"/>
                <w:sz w:val="24"/>
                <w:szCs w:val="24"/>
              </w:rPr>
            </w:pPr>
            <w:r>
              <w:rPr>
                <w:rFonts w:ascii="宋体" w:hAnsi="宋体"/>
                <w:color w:val="auto"/>
                <w:sz w:val="24"/>
                <w:szCs w:val="24"/>
              </w:rPr>
              <w:t>1</w:t>
            </w:r>
          </w:p>
        </w:tc>
        <w:tc>
          <w:tcPr>
            <w:tcW w:w="1895" w:type="dxa"/>
            <w:tcBorders>
              <w:top w:val="single" w:color="auto" w:sz="4" w:space="0"/>
              <w:bottom w:val="single" w:color="auto" w:sz="4" w:space="0"/>
              <w:right w:val="single" w:color="auto" w:sz="4" w:space="0"/>
            </w:tcBorders>
          </w:tcPr>
          <w:p>
            <w:pPr>
              <w:jc w:val="center"/>
              <w:rPr>
                <w:rFonts w:ascii="宋体"/>
                <w:color w:val="auto"/>
                <w:sz w:val="24"/>
                <w:szCs w:val="24"/>
              </w:rPr>
            </w:pPr>
          </w:p>
        </w:tc>
      </w:tr>
    </w:tbl>
    <w:p>
      <w:pPr>
        <w:adjustRightInd w:val="0"/>
        <w:snapToGrid w:val="0"/>
        <w:spacing w:line="360" w:lineRule="auto"/>
        <w:jc w:val="left"/>
        <w:rPr>
          <w:rFonts w:hint="eastAsia" w:ascii="宋体" w:hAnsi="宋体" w:cs="宋体"/>
          <w:b/>
          <w:bCs/>
          <w:kern w:val="1"/>
          <w:sz w:val="24"/>
          <w:szCs w:val="24"/>
        </w:rPr>
      </w:pPr>
    </w:p>
    <w:p>
      <w:pPr>
        <w:pStyle w:val="2"/>
        <w:spacing w:after="0" w:line="480" w:lineRule="exact"/>
        <w:ind w:left="111" w:leftChars="53" w:right="102"/>
        <w:rPr>
          <w:rFonts w:hint="eastAsia" w:ascii="宋体" w:hAnsi="宋体" w:cs="宋体"/>
          <w:b/>
          <w:sz w:val="30"/>
          <w:szCs w:val="30"/>
        </w:rPr>
      </w:pPr>
      <w:bookmarkStart w:id="57" w:name="_Toc22639"/>
      <w:r>
        <w:rPr>
          <w:rFonts w:hint="eastAsia" w:ascii="宋体" w:hAnsi="宋体" w:cs="宋体"/>
          <w:b/>
          <w:sz w:val="30"/>
          <w:szCs w:val="30"/>
          <w:lang w:eastAsia="zh-CN"/>
        </w:rPr>
        <w:t>三、</w:t>
      </w:r>
      <w:r>
        <w:rPr>
          <w:rFonts w:hint="eastAsia" w:ascii="宋体" w:hAnsi="宋体" w:cs="宋体"/>
          <w:b/>
          <w:sz w:val="30"/>
          <w:szCs w:val="30"/>
        </w:rPr>
        <w:t>技术标准和要求</w:t>
      </w:r>
    </w:p>
    <w:p>
      <w:pPr>
        <w:pStyle w:val="5"/>
        <w:ind w:left="0" w:leftChars="0" w:firstLine="0" w:firstLineChars="0"/>
        <w:rPr>
          <w:color w:val="auto"/>
          <w:sz w:val="28"/>
          <w:szCs w:val="28"/>
          <w:highlight w:val="none"/>
        </w:rPr>
      </w:pPr>
      <w:bookmarkStart w:id="58" w:name="_Toc2740"/>
      <w:r>
        <w:rPr>
          <w:rFonts w:hint="eastAsia"/>
          <w:color w:val="auto"/>
          <w:sz w:val="28"/>
          <w:szCs w:val="28"/>
          <w:highlight w:val="none"/>
          <w:lang w:val="en-US" w:eastAsia="zh-CN"/>
        </w:rPr>
        <w:t>1.</w:t>
      </w:r>
      <w:r>
        <w:rPr>
          <w:rFonts w:hint="eastAsia"/>
          <w:color w:val="auto"/>
          <w:sz w:val="28"/>
          <w:szCs w:val="28"/>
          <w:highlight w:val="none"/>
        </w:rPr>
        <w:t xml:space="preserve"> 总则</w:t>
      </w:r>
      <w:bookmarkEnd w:id="58"/>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1.1</w:t>
      </w:r>
      <w:r>
        <w:rPr>
          <w:rFonts w:hint="eastAsia" w:ascii="Arial" w:hAnsi="Arial" w:cs="Arial"/>
          <w:color w:val="auto"/>
          <w:sz w:val="24"/>
          <w:highlight w:val="none"/>
        </w:rPr>
        <w:t xml:space="preserve"> </w:t>
      </w:r>
      <w:r>
        <w:rPr>
          <w:rFonts w:ascii="Arial" w:hAnsi="Arial" w:cs="Arial"/>
          <w:color w:val="auto"/>
          <w:sz w:val="24"/>
          <w:highlight w:val="none"/>
        </w:rPr>
        <w:t>本规范规定了二次供水变频给水设备制造要求、型号及规格、技术要求、运行功能、验收规则等。</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1.2</w:t>
      </w:r>
      <w:r>
        <w:rPr>
          <w:rFonts w:hint="eastAsia" w:ascii="Arial" w:hAnsi="Arial" w:cs="Arial"/>
          <w:color w:val="auto"/>
          <w:sz w:val="24"/>
          <w:highlight w:val="none"/>
        </w:rPr>
        <w:t xml:space="preserve"> </w:t>
      </w:r>
      <w:r>
        <w:rPr>
          <w:rFonts w:ascii="Arial" w:hAnsi="Arial" w:cs="Arial"/>
          <w:color w:val="auto"/>
          <w:sz w:val="24"/>
          <w:highlight w:val="none"/>
        </w:rPr>
        <w:t>本规范书中提出的是最低限度的技术要求，并未完全对一切技术细节作出详细规定，也未充分引述有关标准和规范的文条，除应符合本规范要求外，还应提供本规范要求中未描述的，但为保证设备能正常有效运行所需要的详细要求，对于属于设备运行和施工所必需的部件，即使本规范未列出或数目不足，仍需在执行合同时补足。</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1.3</w:t>
      </w:r>
      <w:r>
        <w:rPr>
          <w:rFonts w:hint="eastAsia" w:ascii="Arial" w:hAnsi="Arial" w:cs="Arial"/>
          <w:color w:val="auto"/>
          <w:sz w:val="24"/>
          <w:highlight w:val="none"/>
        </w:rPr>
        <w:t xml:space="preserve"> </w:t>
      </w:r>
      <w:r>
        <w:rPr>
          <w:rFonts w:ascii="Arial" w:hAnsi="Arial" w:cs="Arial"/>
          <w:color w:val="auto"/>
          <w:sz w:val="24"/>
          <w:highlight w:val="none"/>
        </w:rPr>
        <w:t>应保证设备设计、制造、安装、检验、试验符合华人民共和国现行相关国家、行业和地方标准、规范要求，对国家有关安全、环境等强制性标准，必须充分满足其要求。</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1.4</w:t>
      </w:r>
      <w:r>
        <w:rPr>
          <w:rFonts w:hint="eastAsia" w:ascii="Arial" w:hAnsi="Arial" w:cs="Arial"/>
          <w:color w:val="auto"/>
          <w:sz w:val="24"/>
          <w:highlight w:val="none"/>
        </w:rPr>
        <w:t xml:space="preserve"> </w:t>
      </w:r>
      <w:r>
        <w:rPr>
          <w:rFonts w:ascii="Arial" w:hAnsi="Arial" w:cs="Arial"/>
          <w:color w:val="auto"/>
          <w:sz w:val="24"/>
          <w:highlight w:val="none"/>
        </w:rPr>
        <w:t>提供的产品应为成熟产品，其设备及方案应设计先进、结构合理、安全可靠、节能高效、经济适用、操作简单；制造工艺技术先进。质量检测及控制完备，达到规模化、标准化生产的水平。总体技术水平达到当今国内同类产品先进水平。</w:t>
      </w:r>
    </w:p>
    <w:p>
      <w:pPr>
        <w:pStyle w:val="5"/>
        <w:rPr>
          <w:rFonts w:hAnsi="宋体"/>
          <w:color w:val="auto"/>
          <w:sz w:val="28"/>
          <w:szCs w:val="28"/>
          <w:highlight w:val="none"/>
        </w:rPr>
      </w:pPr>
      <w:bookmarkStart w:id="59" w:name="_Toc15215"/>
      <w:r>
        <w:rPr>
          <w:rFonts w:hint="eastAsia" w:hAnsi="宋体"/>
          <w:color w:val="auto"/>
          <w:sz w:val="28"/>
          <w:szCs w:val="28"/>
          <w:highlight w:val="none"/>
        </w:rPr>
        <w:t>2.</w:t>
      </w:r>
      <w:r>
        <w:rPr>
          <w:rFonts w:hint="eastAsia" w:hAnsi="宋体"/>
          <w:color w:val="auto"/>
          <w:sz w:val="28"/>
          <w:szCs w:val="28"/>
          <w:highlight w:val="none"/>
          <w:lang w:val="en-US" w:eastAsia="zh-CN"/>
        </w:rPr>
        <w:t xml:space="preserve"> </w:t>
      </w:r>
      <w:r>
        <w:rPr>
          <w:rFonts w:hint="eastAsia" w:hAnsi="宋体"/>
          <w:color w:val="auto"/>
          <w:sz w:val="28"/>
          <w:szCs w:val="28"/>
          <w:highlight w:val="none"/>
        </w:rPr>
        <w:t>引用标准及规范</w:t>
      </w:r>
      <w:bookmarkEnd w:id="59"/>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引用标准及规范包括但不仅限于下列标准，当各标准存在要求差异时，应按高标准执行。如另有等效或高于引用标准水平的其他国际国内标准，亦可引用。</w:t>
      </w:r>
    </w:p>
    <w:tbl>
      <w:tblPr>
        <w:tblStyle w:val="16"/>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《建筑给水排水设计规范》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《二次供水工程技术规范》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CJJ140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w:t>
            </w:r>
            <w:r>
              <w:rPr>
                <w:rFonts w:hint="eastAsia" w:ascii="Arial" w:hAnsi="Arial" w:cs="Arial"/>
                <w:color w:val="auto"/>
                <w:sz w:val="24"/>
                <w:szCs w:val="24"/>
                <w:highlight w:val="none"/>
                <w:lang w:eastAsia="zh-CN"/>
              </w:rPr>
              <w:t>无负压</w:t>
            </w:r>
            <w:r>
              <w:rPr>
                <w:rFonts w:ascii="Arial" w:hAnsi="Arial" w:cs="Arial"/>
                <w:color w:val="auto"/>
                <w:sz w:val="24"/>
                <w:szCs w:val="24"/>
                <w:highlight w:val="none"/>
              </w:rPr>
              <w:t>供水技术规程》</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CECS221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《罐式</w:t>
            </w:r>
            <w:r>
              <w:rPr>
                <w:rFonts w:hint="eastAsia" w:ascii="Arial" w:hAnsi="Arial" w:cs="Arial"/>
                <w:color w:val="auto"/>
                <w:sz w:val="24"/>
                <w:szCs w:val="24"/>
                <w:highlight w:val="none"/>
                <w:lang w:eastAsia="zh-CN"/>
              </w:rPr>
              <w:t>无负压</w:t>
            </w:r>
            <w:r>
              <w:rPr>
                <w:rFonts w:ascii="Arial" w:hAnsi="Arial" w:cs="Arial"/>
                <w:color w:val="auto"/>
                <w:sz w:val="24"/>
                <w:szCs w:val="24"/>
                <w:highlight w:val="none"/>
              </w:rPr>
              <w:t>供水设备》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 24912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《箱式</w:t>
            </w:r>
            <w:r>
              <w:rPr>
                <w:rFonts w:hint="eastAsia" w:ascii="Arial" w:hAnsi="Arial" w:cs="Arial"/>
                <w:color w:val="auto"/>
                <w:sz w:val="24"/>
                <w:szCs w:val="24"/>
                <w:highlight w:val="none"/>
                <w:lang w:eastAsia="zh-CN"/>
              </w:rPr>
              <w:t>无负压</w:t>
            </w:r>
            <w:r>
              <w:rPr>
                <w:rFonts w:ascii="Arial" w:hAnsi="Arial" w:cs="Arial"/>
                <w:color w:val="auto"/>
                <w:sz w:val="24"/>
                <w:szCs w:val="24"/>
                <w:highlight w:val="none"/>
              </w:rPr>
              <w:t>给水设备》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 24603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《无负压管网增压稳流供水设备》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GB/T26003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《箱式无负压供水设备》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CJ/T302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《直连式加压供水机组》</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CJ/T462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《泵站设计规范》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GB/T50265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《清水离心泵能效限定值及节能评价值》</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GB19762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《中小型三相异步电动机能效限定值及能效等级》</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GB18613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《二次供水设施卫生规范》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GB17501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《生活饮用水输配水设备及防护材料的安全性评价标准》</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GB/T17219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《中小型泵选用及安装》</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02S106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《离心泵技术条件Ⅰ》</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《离心泵技术条件Ⅱ》</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《离心泵技术条件Ⅲ》</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《离心泵效率》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《离心泵 测流泵 轴流泵和旋流泵试验方法》</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《机械密封技术条件》</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JB4127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《泵涂漆技术条件》</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JB/T4297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《水泵验收测试规程》</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CECS118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《压缩机、风机、泵类安装工程施工及验收标准》</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《泵的振动测量与评价方法》</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JB/T8097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《泵的噪声测量与评价方法》</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JB/T8098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《通用用电设备配电设计规范》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 50055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《民用建筑电气设计规范》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JGJ16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《微机控制变频调速给水设备》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CJ/T352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《调速电气传动系统 第2部分：一般要求 低压交流变频电气传动系统额定值的规定》</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GB/T12668.2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《低压成套开关设备和控制设备》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TEC61439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《低压成套开关设备》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《电气控制设备》</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《电能质量 公共电网谐波》</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GBT14549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《旋转电机 定额和性能》</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《液体泵带频率转换器的泵设备保证和兼容性试验》</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EN12483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《法兰和对夹连接弹性密封蝶阀》</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《流体输送用不锈钢焊接钢管》</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GB/T12771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《气焊、焊条电弧焊、气体保护焊和高能束焊的推荐坡口》</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《建筑给水排水及采暖工程施工质量验收规范》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《建筑工程施工质量验收统一标准》</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《建筑电气工程施工质量验收规范》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《电气装置安装工程电缆施工及验收规范》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《电气装置安装工程接地施工及验收规范》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《电气装置安装工程施工及验收规范》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GBJ232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《机械设备安装工程施工及验收通用规范》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《建筑防雷设计规范》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《建筑物电子信息系统防雷技术规范》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GB50343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《电子设备雷击试验方法》</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《城市区域环境噪声标准》</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《民用建筑隔音设计规范》</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GBJ118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《包装、储运图示设计标志》</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《标牌》</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《矩形给水箱》</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12S101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《钢制压力容器》</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0" w:type="dxa"/>
            <w:vAlign w:val="top"/>
          </w:tcPr>
          <w:p>
            <w:pPr>
              <w:rPr>
                <w:rFonts w:ascii="Arial" w:hAnsi="Arial" w:cs="Arial"/>
                <w:color w:val="auto"/>
                <w:sz w:val="24"/>
                <w:szCs w:val="24"/>
                <w:highlight w:val="none"/>
              </w:rPr>
            </w:pPr>
            <w:r>
              <w:rPr>
                <w:rFonts w:ascii="Arial" w:hAnsi="Arial" w:cs="Arial"/>
                <w:color w:val="auto"/>
                <w:sz w:val="24"/>
                <w:szCs w:val="24"/>
                <w:highlight w:val="none"/>
              </w:rPr>
              <w:t>《机电产品包装通用技术条件》</w:t>
            </w:r>
          </w:p>
        </w:tc>
        <w:tc>
          <w:tcPr>
            <w:tcW w:w="2401" w:type="dxa"/>
            <w:vAlign w:val="top"/>
          </w:tcPr>
          <w:p>
            <w:pPr>
              <w:rPr>
                <w:rFonts w:ascii="Arial" w:hAnsi="Arial" w:cs="Arial"/>
                <w:color w:val="auto"/>
                <w:sz w:val="24"/>
                <w:szCs w:val="24"/>
                <w:highlight w:val="none"/>
              </w:rPr>
            </w:pPr>
            <w:r>
              <w:rPr>
                <w:rFonts w:ascii="Arial" w:hAnsi="Arial" w:cs="Arial"/>
                <w:color w:val="auto"/>
                <w:sz w:val="24"/>
                <w:szCs w:val="24"/>
                <w:highlight w:val="none"/>
              </w:rPr>
              <w:t>GB/T13384</w:t>
            </w:r>
          </w:p>
        </w:tc>
      </w:tr>
    </w:tbl>
    <w:p>
      <w:pPr>
        <w:pStyle w:val="4"/>
        <w:spacing w:before="60" w:after="60"/>
        <w:rPr>
          <w:rFonts w:hint="eastAsia" w:cs="Arial"/>
          <w:b/>
          <w:color w:val="auto"/>
          <w:sz w:val="24"/>
          <w:szCs w:val="24"/>
          <w:highlight w:val="none"/>
        </w:rPr>
      </w:pPr>
      <w:bookmarkStart w:id="60" w:name="_Toc11175"/>
      <w:r>
        <w:rPr>
          <w:rFonts w:hint="eastAsia" w:cs="Arial"/>
          <w:b/>
          <w:color w:val="auto"/>
          <w:sz w:val="28"/>
          <w:szCs w:val="28"/>
          <w:highlight w:val="none"/>
        </w:rPr>
        <w:t>3. 技术规范说明</w:t>
      </w:r>
      <w:bookmarkEnd w:id="60"/>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3.1</w:t>
      </w:r>
      <w:r>
        <w:rPr>
          <w:rFonts w:hint="eastAsia" w:ascii="Arial" w:hAnsi="Arial" w:cs="Arial"/>
          <w:color w:val="auto"/>
          <w:sz w:val="24"/>
          <w:highlight w:val="none"/>
        </w:rPr>
        <w:t xml:space="preserve"> </w:t>
      </w:r>
      <w:r>
        <w:rPr>
          <w:rFonts w:ascii="Arial" w:hAnsi="Arial" w:cs="Arial"/>
          <w:color w:val="auto"/>
          <w:sz w:val="24"/>
          <w:highlight w:val="none"/>
        </w:rPr>
        <w:t>本技术规范所提出的技术条件为最基本的技术要求，未对一切技术细节做出规定，也未充分引用有关标准和规范的条文，投标人应保证设备的设计、制造、安装、检验、试验符合中华人民共和国现行相关行业和地方标准、规范要求。</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3.2</w:t>
      </w:r>
      <w:r>
        <w:rPr>
          <w:rFonts w:hint="eastAsia" w:ascii="Arial" w:hAnsi="Arial" w:cs="Arial"/>
          <w:color w:val="auto"/>
          <w:sz w:val="24"/>
          <w:highlight w:val="none"/>
        </w:rPr>
        <w:t xml:space="preserve"> </w:t>
      </w:r>
      <w:r>
        <w:rPr>
          <w:rFonts w:ascii="Arial" w:hAnsi="Arial" w:cs="Arial"/>
          <w:color w:val="auto"/>
          <w:sz w:val="24"/>
          <w:highlight w:val="none"/>
        </w:rPr>
        <w:t>投标人应以本技术规范为基本条件，负责产品的设计，除应符合本技术规范外，还应提供本技术规范中未描述的，但为保证设备能正常有效运行所需要的详细要求。提供满足本技术规范和相关行业和地方标准规范的成熟产品。</w:t>
      </w:r>
    </w:p>
    <w:p>
      <w:pPr>
        <w:spacing w:line="360" w:lineRule="auto"/>
        <w:ind w:firstLine="482" w:firstLineChars="200"/>
        <w:rPr>
          <w:rFonts w:ascii="Arial" w:hAnsi="Arial" w:cs="Arial"/>
          <w:color w:val="auto"/>
          <w:sz w:val="24"/>
          <w:highlight w:val="none"/>
        </w:rPr>
      </w:pPr>
      <w:r>
        <w:rPr>
          <w:rFonts w:ascii="Arial" w:hAnsi="Arial" w:cs="Arial"/>
          <w:b/>
          <w:bCs/>
          <w:color w:val="auto"/>
          <w:sz w:val="24"/>
          <w:highlight w:val="none"/>
        </w:rPr>
        <w:t>3.3</w:t>
      </w:r>
      <w:r>
        <w:rPr>
          <w:rFonts w:hint="eastAsia" w:ascii="Arial" w:hAnsi="Arial" w:cs="Arial"/>
          <w:b/>
          <w:bCs/>
          <w:color w:val="auto"/>
          <w:sz w:val="24"/>
          <w:highlight w:val="none"/>
        </w:rPr>
        <w:t xml:space="preserve"> </w:t>
      </w:r>
      <w:r>
        <w:rPr>
          <w:rFonts w:ascii="Arial" w:hAnsi="Arial" w:cs="Arial"/>
          <w:b/>
          <w:bCs/>
          <w:color w:val="auto"/>
          <w:sz w:val="24"/>
          <w:highlight w:val="none"/>
        </w:rPr>
        <w:t>供水设备应提供详细供货清单，清单中依次说明型号、数量、产地、生产厂家等内容。对于属于整套设备运行和施工所必需的部件，即使在招标要求中未列出或数目不足，仍须在执行合同时补足。给水设备所提出替代的配套产品的技术标准及制造工艺等效或高于本规范要求的，须提供权威的证明，并经招标人技术委员会检验、核实确认</w:t>
      </w:r>
      <w:r>
        <w:rPr>
          <w:rFonts w:ascii="Arial" w:hAnsi="Arial" w:cs="Arial"/>
          <w:color w:val="auto"/>
          <w:sz w:val="24"/>
          <w:highlight w:val="none"/>
        </w:rPr>
        <w:t>。</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3.4</w:t>
      </w:r>
      <w:r>
        <w:rPr>
          <w:rFonts w:hint="eastAsia" w:ascii="Arial" w:hAnsi="Arial" w:cs="Arial"/>
          <w:color w:val="auto"/>
          <w:sz w:val="24"/>
          <w:highlight w:val="none"/>
        </w:rPr>
        <w:t xml:space="preserve"> </w:t>
      </w:r>
      <w:r>
        <w:rPr>
          <w:rFonts w:ascii="Arial" w:hAnsi="Arial" w:cs="Arial"/>
          <w:color w:val="auto"/>
          <w:sz w:val="24"/>
          <w:highlight w:val="none"/>
        </w:rPr>
        <w:t>投标人应对投标内容所涉及的技术专利承担责任，并负责保护招标人的利益不受任何损害。一切由于文字、商标和技术专利侵权引起的法律裁决、诉讼和有关费用均与招标人无关。</w:t>
      </w:r>
    </w:p>
    <w:p>
      <w:pPr>
        <w:pStyle w:val="4"/>
        <w:spacing w:before="60" w:after="60"/>
        <w:rPr>
          <w:rFonts w:hint="eastAsia" w:cs="Arial"/>
          <w:b/>
          <w:color w:val="auto"/>
          <w:sz w:val="28"/>
          <w:szCs w:val="28"/>
          <w:highlight w:val="none"/>
        </w:rPr>
      </w:pPr>
      <w:bookmarkStart w:id="61" w:name="_Toc4501"/>
      <w:r>
        <w:rPr>
          <w:rFonts w:hint="eastAsia" w:cs="Arial"/>
          <w:b/>
          <w:color w:val="auto"/>
          <w:sz w:val="28"/>
          <w:szCs w:val="28"/>
          <w:highlight w:val="none"/>
          <w:lang w:val="en-US" w:eastAsia="zh-CN"/>
        </w:rPr>
        <w:t>4</w:t>
      </w:r>
      <w:r>
        <w:rPr>
          <w:rFonts w:hint="eastAsia" w:cs="Arial"/>
          <w:b/>
          <w:color w:val="auto"/>
          <w:sz w:val="28"/>
          <w:szCs w:val="28"/>
          <w:highlight w:val="none"/>
        </w:rPr>
        <w:t>. 适用范围说明</w:t>
      </w:r>
      <w:bookmarkEnd w:id="61"/>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5.1</w:t>
      </w:r>
      <w:r>
        <w:rPr>
          <w:rFonts w:hint="eastAsia" w:ascii="Arial" w:hAnsi="Arial" w:cs="Arial"/>
          <w:color w:val="auto"/>
          <w:sz w:val="24"/>
          <w:highlight w:val="none"/>
        </w:rPr>
        <w:t xml:space="preserve"> </w:t>
      </w:r>
      <w:r>
        <w:rPr>
          <w:rFonts w:ascii="Arial" w:hAnsi="Arial" w:cs="Arial"/>
          <w:color w:val="auto"/>
          <w:sz w:val="24"/>
          <w:highlight w:val="none"/>
        </w:rPr>
        <w:t>二次供水工程所需要的</w:t>
      </w:r>
      <w:r>
        <w:rPr>
          <w:rFonts w:hint="eastAsia" w:ascii="Arial" w:hAnsi="Arial" w:cs="Arial"/>
          <w:color w:val="auto"/>
          <w:sz w:val="24"/>
          <w:highlight w:val="none"/>
          <w:lang w:eastAsia="zh-CN"/>
        </w:rPr>
        <w:t>无负压</w:t>
      </w:r>
      <w:r>
        <w:rPr>
          <w:rFonts w:ascii="Arial" w:hAnsi="Arial" w:cs="Arial"/>
          <w:color w:val="auto"/>
          <w:sz w:val="24"/>
          <w:highlight w:val="none"/>
        </w:rPr>
        <w:t>给水设备的方案设计、供货、安装、调试及服务。</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5.2</w:t>
      </w:r>
      <w:r>
        <w:rPr>
          <w:rFonts w:hint="eastAsia" w:ascii="Arial" w:hAnsi="Arial" w:cs="Arial"/>
          <w:color w:val="auto"/>
          <w:sz w:val="24"/>
          <w:highlight w:val="none"/>
        </w:rPr>
        <w:t xml:space="preserve"> </w:t>
      </w:r>
      <w:r>
        <w:rPr>
          <w:rFonts w:ascii="Arial" w:hAnsi="Arial" w:cs="Arial"/>
          <w:color w:val="auto"/>
          <w:sz w:val="24"/>
          <w:highlight w:val="none"/>
        </w:rPr>
        <w:t>无负压给水设备的招标范围是指从该设备压力进水阀门（含）至设备机组出水总阀门（含）之间无负压成套供水设备和辅配件，包括：过滤器、水泵机组、变频控制系统、止回阀、水泵入口出口阀门、稳流补偿器、压力传感器、流量计</w:t>
      </w:r>
      <w:r>
        <w:rPr>
          <w:rFonts w:hint="eastAsia" w:ascii="Arial" w:hAnsi="Arial" w:cs="Arial"/>
          <w:color w:val="auto"/>
          <w:sz w:val="24"/>
          <w:highlight w:val="none"/>
          <w:lang w:eastAsia="zh-CN"/>
        </w:rPr>
        <w:t>、</w:t>
      </w:r>
      <w:r>
        <w:rPr>
          <w:rFonts w:ascii="Arial" w:hAnsi="Arial" w:cs="Arial"/>
          <w:color w:val="auto"/>
          <w:sz w:val="24"/>
          <w:highlight w:val="none"/>
        </w:rPr>
        <w:t>电接头压力表、</w:t>
      </w:r>
      <w:r>
        <w:rPr>
          <w:rFonts w:hint="eastAsia" w:ascii="Arial" w:hAnsi="Arial" w:cs="Arial"/>
          <w:color w:val="auto"/>
          <w:sz w:val="24"/>
          <w:highlight w:val="none"/>
        </w:rPr>
        <w:t>远程监控系统</w:t>
      </w:r>
      <w:r>
        <w:rPr>
          <w:rFonts w:ascii="Arial" w:hAnsi="Arial" w:cs="Arial"/>
          <w:color w:val="auto"/>
          <w:sz w:val="24"/>
          <w:highlight w:val="none"/>
        </w:rPr>
        <w:t>、管道和进、出水总管及其它配件、材料等必备的控制设备。</w:t>
      </w:r>
    </w:p>
    <w:p>
      <w:pPr>
        <w:pStyle w:val="4"/>
        <w:keepNext/>
        <w:keepLines/>
        <w:pageBreakBefore w:val="0"/>
        <w:widowControl w:val="0"/>
        <w:kinsoku/>
        <w:wordWrap/>
        <w:overflowPunct/>
        <w:topLinePunct w:val="0"/>
        <w:autoSpaceDE/>
        <w:autoSpaceDN/>
        <w:bidi w:val="0"/>
        <w:adjustRightInd/>
        <w:snapToGrid/>
        <w:spacing w:before="60" w:after="60" w:line="360" w:lineRule="auto"/>
        <w:textAlignment w:val="auto"/>
        <w:rPr>
          <w:rFonts w:ascii="宋体" w:hAnsi="宋体"/>
          <w:color w:val="auto"/>
          <w:sz w:val="28"/>
          <w:szCs w:val="28"/>
          <w:highlight w:val="none"/>
        </w:rPr>
      </w:pPr>
      <w:bookmarkStart w:id="62" w:name="_Toc13286"/>
      <w:r>
        <w:rPr>
          <w:rFonts w:hint="eastAsia"/>
          <w:color w:val="auto"/>
          <w:sz w:val="28"/>
          <w:szCs w:val="28"/>
          <w:highlight w:val="none"/>
          <w:lang w:val="en-US" w:eastAsia="zh-CN"/>
        </w:rPr>
        <w:t>5</w:t>
      </w:r>
      <w:r>
        <w:rPr>
          <w:rFonts w:hint="eastAsia"/>
          <w:color w:val="auto"/>
          <w:sz w:val="28"/>
          <w:szCs w:val="28"/>
          <w:highlight w:val="none"/>
        </w:rPr>
        <w:t>.环境说明（设备在下列条件下应能连续可靠的工作）</w:t>
      </w:r>
      <w:bookmarkEnd w:id="62"/>
    </w:p>
    <w:tbl>
      <w:tblPr>
        <w:tblStyle w:val="1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81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8" w:type="dxa"/>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819" w:type="dxa"/>
          </w:tcPr>
          <w:p>
            <w:pPr>
              <w:spacing w:line="360" w:lineRule="auto"/>
              <w:ind w:firstLine="1920" w:firstLineChars="800"/>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31" w:type="dxa"/>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819" w:type="dxa"/>
          </w:tcPr>
          <w:p>
            <w:pPr>
              <w:spacing w:line="360" w:lineRule="auto"/>
              <w:jc w:val="left"/>
              <w:rPr>
                <w:rFonts w:ascii="Arial" w:hAnsi="Arial" w:cs="Arial"/>
                <w:color w:val="auto"/>
                <w:sz w:val="24"/>
                <w:highlight w:val="none"/>
                <w:vertAlign w:val="baseline"/>
              </w:rPr>
            </w:pPr>
            <w:r>
              <w:rPr>
                <w:rFonts w:ascii="Arial" w:hAnsi="Arial" w:cs="Arial"/>
                <w:color w:val="auto"/>
                <w:sz w:val="24"/>
                <w:highlight w:val="none"/>
              </w:rPr>
              <w:t>工作环境温度</w:t>
            </w:r>
            <w:r>
              <w:rPr>
                <w:rFonts w:hint="eastAsia" w:ascii="Arial" w:hAnsi="Arial" w:cs="Arial"/>
                <w:color w:val="auto"/>
                <w:sz w:val="24"/>
                <w:highlight w:val="none"/>
                <w:lang w:eastAsia="zh-CN"/>
              </w:rPr>
              <w:t>，</w:t>
            </w:r>
            <w:r>
              <w:rPr>
                <w:rFonts w:ascii="Arial" w:hAnsi="Arial" w:cs="Arial"/>
                <w:color w:val="auto"/>
                <w:sz w:val="24"/>
                <w:highlight w:val="none"/>
              </w:rPr>
              <w:t>变频调速给水设备、</w:t>
            </w:r>
            <w:r>
              <w:rPr>
                <w:rFonts w:hint="eastAsia" w:ascii="Arial" w:hAnsi="Arial" w:cs="Arial"/>
                <w:color w:val="auto"/>
                <w:sz w:val="24"/>
                <w:highlight w:val="none"/>
                <w:lang w:eastAsia="zh-CN"/>
              </w:rPr>
              <w:t>无负压</w:t>
            </w:r>
            <w:r>
              <w:rPr>
                <w:rFonts w:ascii="Arial" w:hAnsi="Arial" w:cs="Arial"/>
                <w:color w:val="auto"/>
                <w:sz w:val="24"/>
                <w:highlight w:val="none"/>
              </w:rPr>
              <w:t>给水设备：0℃～45℃，</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819" w:type="dxa"/>
          </w:tcPr>
          <w:p>
            <w:pPr>
              <w:spacing w:line="360" w:lineRule="auto"/>
              <w:jc w:val="left"/>
              <w:rPr>
                <w:rFonts w:ascii="Arial" w:hAnsi="Arial" w:cs="Arial"/>
                <w:color w:val="auto"/>
                <w:sz w:val="24"/>
                <w:highlight w:val="none"/>
              </w:rPr>
            </w:pPr>
            <w:r>
              <w:rPr>
                <w:rFonts w:ascii="Arial" w:hAnsi="Arial" w:cs="Arial"/>
                <w:color w:val="auto"/>
                <w:spacing w:val="-4"/>
                <w:sz w:val="24"/>
                <w:highlight w:val="none"/>
              </w:rPr>
              <w:t>空气相对湿度：＜90%（20℃），无结露（电控部分），室外型可＜95%（20℃）；</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819" w:type="dxa"/>
          </w:tcPr>
          <w:p>
            <w:pPr>
              <w:spacing w:line="360" w:lineRule="auto"/>
              <w:jc w:val="left"/>
              <w:rPr>
                <w:rFonts w:ascii="Arial" w:hAnsi="Arial" w:cs="Arial"/>
                <w:color w:val="auto"/>
                <w:spacing w:val="-4"/>
                <w:sz w:val="24"/>
                <w:highlight w:val="none"/>
              </w:rPr>
            </w:pPr>
            <w:r>
              <w:rPr>
                <w:rFonts w:ascii="Arial" w:hAnsi="Arial" w:cs="Arial"/>
                <w:color w:val="auto"/>
                <w:sz w:val="24"/>
                <w:highlight w:val="none"/>
              </w:rPr>
              <w:t>振动：振动加速度最大不应超过5m/s²，振动频率：10Hz～150Hz。</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819" w:type="dxa"/>
          </w:tcPr>
          <w:p>
            <w:pPr>
              <w:spacing w:line="360" w:lineRule="auto"/>
              <w:jc w:val="left"/>
              <w:rPr>
                <w:rFonts w:hint="eastAsia" w:ascii="Arial" w:hAnsi="Arial" w:cs="Arial"/>
                <w:color w:val="auto"/>
                <w:sz w:val="24"/>
                <w:highlight w:val="none"/>
              </w:rPr>
            </w:pPr>
            <w:r>
              <w:rPr>
                <w:rFonts w:ascii="Arial" w:hAnsi="Arial" w:cs="Arial"/>
                <w:color w:val="auto"/>
                <w:sz w:val="24"/>
                <w:highlight w:val="none"/>
              </w:rPr>
              <w:t>设备倾斜角度：＜5°</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819" w:type="dxa"/>
          </w:tcPr>
          <w:p>
            <w:pPr>
              <w:spacing w:line="360" w:lineRule="auto"/>
              <w:jc w:val="left"/>
              <w:rPr>
                <w:rFonts w:hint="eastAsia" w:ascii="Arial" w:hAnsi="Arial" w:cs="Arial"/>
                <w:color w:val="auto"/>
                <w:sz w:val="24"/>
                <w:highlight w:val="none"/>
              </w:rPr>
            </w:pPr>
            <w:r>
              <w:rPr>
                <w:rFonts w:ascii="Arial" w:hAnsi="Arial" w:cs="Arial"/>
                <w:color w:val="auto"/>
                <w:sz w:val="24"/>
                <w:highlight w:val="none"/>
              </w:rPr>
              <w:t>电源：三相五线制供电；</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819" w:type="dxa"/>
          </w:tcPr>
          <w:p>
            <w:pPr>
              <w:spacing w:line="360" w:lineRule="auto"/>
              <w:jc w:val="left"/>
              <w:rPr>
                <w:rFonts w:ascii="Arial" w:hAnsi="Arial" w:cs="Arial"/>
                <w:color w:val="auto"/>
                <w:sz w:val="24"/>
                <w:highlight w:val="none"/>
              </w:rPr>
            </w:pPr>
            <w:r>
              <w:rPr>
                <w:rFonts w:ascii="Arial" w:hAnsi="Arial" w:cs="Arial"/>
                <w:color w:val="auto"/>
                <w:sz w:val="24"/>
                <w:highlight w:val="none"/>
              </w:rPr>
              <w:t>电压：380×（1±10%）V，相间不平衡率≤3%；</w:t>
            </w:r>
          </w:p>
          <w:p>
            <w:pPr>
              <w:spacing w:line="360" w:lineRule="auto"/>
              <w:jc w:val="left"/>
              <w:rPr>
                <w:rFonts w:ascii="Arial" w:hAnsi="Arial" w:cs="Arial"/>
                <w:color w:val="auto"/>
                <w:sz w:val="24"/>
                <w:highlight w:val="none"/>
              </w:rPr>
            </w:pPr>
            <w:r>
              <w:rPr>
                <w:rFonts w:ascii="Arial" w:hAnsi="Arial" w:cs="Arial"/>
                <w:color w:val="auto"/>
                <w:sz w:val="24"/>
                <w:highlight w:val="none"/>
              </w:rPr>
              <w:t>频率：50×（1±2%）Hz。</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819" w:type="dxa"/>
          </w:tcPr>
          <w:p>
            <w:pPr>
              <w:spacing w:line="360" w:lineRule="auto"/>
              <w:jc w:val="left"/>
              <w:rPr>
                <w:rFonts w:ascii="Arial" w:hAnsi="Arial" w:cs="Arial"/>
                <w:color w:val="auto"/>
                <w:sz w:val="24"/>
                <w:highlight w:val="none"/>
              </w:rPr>
            </w:pPr>
            <w:r>
              <w:rPr>
                <w:rFonts w:ascii="Arial" w:hAnsi="Arial" w:cs="Arial"/>
                <w:color w:val="auto"/>
                <w:sz w:val="24"/>
                <w:highlight w:val="none"/>
              </w:rPr>
              <w:t>设备周围应无导电或爆炸性尘埃、无腐蚀金属或破坏绝缘的气体或蒸汽。</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8</w:t>
            </w:r>
          </w:p>
        </w:tc>
        <w:tc>
          <w:tcPr>
            <w:tcW w:w="7819" w:type="dxa"/>
          </w:tcPr>
          <w:p>
            <w:pPr>
              <w:spacing w:line="360" w:lineRule="auto"/>
              <w:jc w:val="left"/>
              <w:rPr>
                <w:rFonts w:ascii="Arial" w:hAnsi="Arial" w:cs="Arial"/>
                <w:color w:val="auto"/>
                <w:sz w:val="24"/>
                <w:highlight w:val="none"/>
              </w:rPr>
            </w:pPr>
            <w:r>
              <w:rPr>
                <w:rFonts w:ascii="Arial" w:hAnsi="Arial" w:cs="Arial"/>
                <w:color w:val="auto"/>
                <w:sz w:val="24"/>
                <w:highlight w:val="none"/>
              </w:rPr>
              <w:t>海拔高度：≤1000m</w:t>
            </w:r>
            <w:r>
              <w:rPr>
                <w:rFonts w:hint="eastAsia" w:ascii="Arial" w:hAnsi="Arial" w:cs="Arial"/>
                <w:color w:val="auto"/>
                <w:sz w:val="24"/>
                <w:highlight w:val="none"/>
                <w:lang w:eastAsia="zh-CN"/>
              </w:rPr>
              <w:t>，</w:t>
            </w:r>
            <w:r>
              <w:rPr>
                <w:rFonts w:ascii="Arial" w:hAnsi="Arial" w:cs="Arial"/>
                <w:color w:val="auto"/>
                <w:sz w:val="24"/>
                <w:highlight w:val="none"/>
              </w:rPr>
              <w:t>压力范围：0～2.5MPa</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eastAsia"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9</w:t>
            </w:r>
          </w:p>
        </w:tc>
        <w:tc>
          <w:tcPr>
            <w:tcW w:w="7819" w:type="dxa"/>
          </w:tcPr>
          <w:p>
            <w:pPr>
              <w:spacing w:line="360" w:lineRule="auto"/>
              <w:jc w:val="left"/>
              <w:rPr>
                <w:rFonts w:ascii="Arial" w:hAnsi="Arial" w:cs="Arial"/>
                <w:color w:val="auto"/>
                <w:sz w:val="24"/>
                <w:highlight w:val="none"/>
              </w:rPr>
            </w:pPr>
            <w:r>
              <w:rPr>
                <w:rFonts w:ascii="Arial" w:hAnsi="Arial" w:cs="Arial"/>
                <w:color w:val="auto"/>
                <w:spacing w:val="-6"/>
                <w:sz w:val="24"/>
                <w:highlight w:val="none"/>
              </w:rPr>
              <w:t>影响干管压力情况下，</w:t>
            </w:r>
            <w:r>
              <w:rPr>
                <w:rFonts w:hint="eastAsia" w:ascii="Arial" w:hAnsi="Arial" w:cs="Arial"/>
                <w:color w:val="auto"/>
                <w:spacing w:val="-6"/>
                <w:sz w:val="24"/>
                <w:highlight w:val="none"/>
                <w:lang w:eastAsia="zh-CN"/>
              </w:rPr>
              <w:t>无负压</w:t>
            </w:r>
            <w:r>
              <w:rPr>
                <w:rFonts w:ascii="Arial" w:hAnsi="Arial" w:cs="Arial"/>
                <w:color w:val="auto"/>
                <w:spacing w:val="-6"/>
                <w:sz w:val="24"/>
                <w:highlight w:val="none"/>
              </w:rPr>
              <w:t>设备的出水压力调节精度：≤0.01MPa</w:t>
            </w:r>
          </w:p>
        </w:tc>
        <w:tc>
          <w:tcPr>
            <w:tcW w:w="731"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spacing w:line="360" w:lineRule="auto"/>
              <w:jc w:val="center"/>
              <w:rPr>
                <w:rFonts w:hint="default" w:ascii="Arial" w:hAnsi="Arial" w:eastAsia="宋体"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10</w:t>
            </w:r>
          </w:p>
        </w:tc>
        <w:tc>
          <w:tcPr>
            <w:tcW w:w="7819" w:type="dxa"/>
          </w:tcPr>
          <w:p>
            <w:pPr>
              <w:spacing w:line="360" w:lineRule="auto"/>
              <w:jc w:val="left"/>
              <w:rPr>
                <w:rFonts w:ascii="Arial" w:hAnsi="Arial" w:cs="Arial"/>
                <w:color w:val="auto"/>
                <w:sz w:val="24"/>
                <w:highlight w:val="none"/>
              </w:rPr>
            </w:pPr>
            <w:r>
              <w:rPr>
                <w:rFonts w:ascii="Arial" w:hAnsi="Arial" w:cs="Arial"/>
                <w:color w:val="auto"/>
                <w:sz w:val="24"/>
                <w:highlight w:val="none"/>
              </w:rPr>
              <w:t>介质：生活饮用水。介质温度：</w:t>
            </w:r>
            <w:r>
              <w:rPr>
                <w:rFonts w:hint="eastAsia" w:ascii="宋体" w:hAnsi="宋体" w:cs="宋体"/>
                <w:color w:val="auto"/>
                <w:sz w:val="24"/>
                <w:highlight w:val="none"/>
              </w:rPr>
              <w:t>0℃～35℃</w:t>
            </w:r>
            <w:r>
              <w:rPr>
                <w:rFonts w:ascii="Arial" w:hAnsi="Arial" w:cs="Arial"/>
                <w:color w:val="auto"/>
                <w:sz w:val="24"/>
                <w:highlight w:val="none"/>
              </w:rPr>
              <w:t>。</w:t>
            </w:r>
          </w:p>
        </w:tc>
        <w:tc>
          <w:tcPr>
            <w:tcW w:w="731" w:type="dxa"/>
          </w:tcPr>
          <w:p>
            <w:pPr>
              <w:spacing w:line="360" w:lineRule="auto"/>
              <w:jc w:val="center"/>
              <w:rPr>
                <w:rFonts w:ascii="Arial" w:hAnsi="Arial" w:cs="Arial"/>
                <w:color w:val="auto"/>
                <w:sz w:val="24"/>
                <w:highlight w:val="none"/>
                <w:vertAlign w:val="baseline"/>
              </w:rPr>
            </w:pPr>
          </w:p>
        </w:tc>
      </w:tr>
    </w:tbl>
    <w:p>
      <w:pPr>
        <w:pStyle w:val="5"/>
        <w:ind w:left="0" w:leftChars="0" w:firstLine="0" w:firstLineChars="0"/>
        <w:rPr>
          <w:rFonts w:hint="eastAsia" w:ascii="宋体" w:hAnsi="宋体" w:eastAsia="宋体" w:cs="宋体"/>
          <w:color w:val="auto"/>
          <w:sz w:val="28"/>
          <w:szCs w:val="28"/>
          <w:highlight w:val="none"/>
        </w:rPr>
      </w:pPr>
      <w:bookmarkStart w:id="63" w:name="_Toc4560"/>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 xml:space="preserve"> 加压设备材料基本要求</w:t>
      </w:r>
      <w:bookmarkEnd w:id="63"/>
    </w:p>
    <w:tbl>
      <w:tblPr>
        <w:tblStyle w:val="1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777"/>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777" w:type="dxa"/>
          </w:tcPr>
          <w:p>
            <w:pPr>
              <w:spacing w:line="360" w:lineRule="auto"/>
              <w:ind w:firstLine="1920" w:firstLineChars="800"/>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50" w:type="dxa"/>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777" w:type="dxa"/>
          </w:tcPr>
          <w:p>
            <w:pPr>
              <w:spacing w:line="360" w:lineRule="auto"/>
              <w:jc w:val="left"/>
              <w:rPr>
                <w:rFonts w:hint="eastAsia" w:ascii="Arial" w:hAnsi="Arial" w:cs="Arial"/>
                <w:color w:val="auto"/>
                <w:sz w:val="24"/>
                <w:highlight w:val="none"/>
                <w:vertAlign w:val="baseline"/>
                <w:lang w:eastAsia="zh-CN"/>
              </w:rPr>
            </w:pPr>
            <w:r>
              <w:rPr>
                <w:rFonts w:ascii="Arial" w:hAnsi="Arial" w:cs="Arial"/>
                <w:color w:val="auto"/>
                <w:sz w:val="24"/>
                <w:highlight w:val="none"/>
              </w:rPr>
              <w:t>设备应采用使用寿命长，维护要求低的优质材料，并且保证是全新、无缺陷的材料。</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777" w:type="dxa"/>
          </w:tcPr>
          <w:p>
            <w:pPr>
              <w:spacing w:line="360" w:lineRule="auto"/>
              <w:jc w:val="left"/>
              <w:rPr>
                <w:rFonts w:hint="eastAsia" w:ascii="Arial" w:hAnsi="Arial" w:cs="Arial"/>
                <w:color w:val="auto"/>
                <w:sz w:val="24"/>
                <w:highlight w:val="none"/>
                <w:vertAlign w:val="baseline"/>
                <w:lang w:eastAsia="zh-CN"/>
              </w:rPr>
            </w:pPr>
            <w:r>
              <w:rPr>
                <w:rFonts w:ascii="Arial" w:hAnsi="Arial" w:cs="Arial"/>
                <w:color w:val="auto"/>
                <w:sz w:val="24"/>
                <w:highlight w:val="none"/>
              </w:rPr>
              <w:t>机组主要部件（包括水泵叶轮、电机及水泵外壳等）、设备各连接部件、表面、管道以及所配备的附属设备（如稳流补偿器、蝶阀或闸阀、球阀、止回阀、销和栓、轴等），其过流部件等除本规范有特别要求（如功能）外均应采用06Cr19Ni10（依据GB/T20878）等级不锈钢或更高牌号的不锈钢材料，</w:t>
            </w:r>
            <w:r>
              <w:rPr>
                <w:rFonts w:ascii="Arial" w:hAnsi="Arial" w:cs="Arial"/>
                <w:bCs/>
                <w:color w:val="auto"/>
                <w:sz w:val="24"/>
                <w:highlight w:val="none"/>
              </w:rPr>
              <w:t>符合生活饮用水卫生标准，</w:t>
            </w:r>
            <w:r>
              <w:rPr>
                <w:rFonts w:ascii="Arial" w:hAnsi="Arial" w:cs="Arial"/>
                <w:color w:val="auto"/>
                <w:sz w:val="24"/>
                <w:highlight w:val="none"/>
              </w:rPr>
              <w:t>且使用年限不低于30年。</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777" w:type="dxa"/>
          </w:tcPr>
          <w:p>
            <w:pPr>
              <w:spacing w:line="360" w:lineRule="auto"/>
              <w:jc w:val="left"/>
              <w:rPr>
                <w:rFonts w:ascii="Arial" w:hAnsi="Arial" w:cs="Arial"/>
                <w:color w:val="auto"/>
                <w:sz w:val="24"/>
                <w:highlight w:val="none"/>
              </w:rPr>
            </w:pPr>
            <w:r>
              <w:rPr>
                <w:rFonts w:ascii="Arial" w:hAnsi="Arial" w:cs="Arial"/>
                <w:color w:val="auto"/>
                <w:kern w:val="0"/>
                <w:sz w:val="24"/>
                <w:highlight w:val="none"/>
              </w:rPr>
              <w:t>设备各部件表面不应有明显的磕碰伤痕、变形等缺陷，不锈钢部件表面应采用镜面或亚光喷砂、酸洗钝化处理。</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777" w:type="dxa"/>
          </w:tcPr>
          <w:p>
            <w:pPr>
              <w:spacing w:line="360" w:lineRule="auto"/>
              <w:jc w:val="left"/>
              <w:rPr>
                <w:rFonts w:ascii="Arial" w:hAnsi="Arial" w:cs="Arial"/>
                <w:color w:val="auto"/>
                <w:sz w:val="24"/>
                <w:highlight w:val="none"/>
              </w:rPr>
            </w:pPr>
            <w:r>
              <w:rPr>
                <w:rFonts w:ascii="Arial" w:hAnsi="Arial" w:cs="Arial"/>
                <w:color w:val="auto"/>
                <w:sz w:val="24"/>
                <w:highlight w:val="none"/>
              </w:rPr>
              <w:t>设备控制柜体表面应平整，均匀，焊接处应均匀牢固，无明显变形或烧穿等缺陷。表面不应有炫目反光，颜色应均匀一致，不得有裂纹、流痕等现象。</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77" w:type="dxa"/>
          </w:tcPr>
          <w:p>
            <w:pPr>
              <w:spacing w:line="360" w:lineRule="auto"/>
              <w:jc w:val="left"/>
              <w:rPr>
                <w:rFonts w:ascii="Arial" w:hAnsi="Arial" w:cs="Arial"/>
                <w:color w:val="auto"/>
                <w:sz w:val="24"/>
                <w:highlight w:val="none"/>
              </w:rPr>
            </w:pPr>
            <w:r>
              <w:rPr>
                <w:rFonts w:ascii="Arial" w:hAnsi="Arial" w:cs="Arial"/>
                <w:bCs/>
                <w:color w:val="auto"/>
                <w:sz w:val="24"/>
                <w:highlight w:val="none"/>
              </w:rPr>
              <w:t>除部分铸造件和特殊接头外，设备系统过水部件采用06Cr19Ni10或以上等级不锈钢材料。</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777" w:type="dxa"/>
          </w:tcPr>
          <w:p>
            <w:pPr>
              <w:spacing w:line="360" w:lineRule="auto"/>
              <w:jc w:val="left"/>
              <w:rPr>
                <w:rFonts w:ascii="Arial" w:hAnsi="Arial" w:cs="Arial"/>
                <w:color w:val="auto"/>
                <w:sz w:val="24"/>
                <w:highlight w:val="none"/>
              </w:rPr>
            </w:pPr>
            <w:r>
              <w:rPr>
                <w:rFonts w:ascii="Arial" w:hAnsi="Arial" w:cs="Arial"/>
                <w:color w:val="auto"/>
                <w:sz w:val="24"/>
                <w:highlight w:val="none"/>
              </w:rPr>
              <w:t>设备在承受工作压力不低于设备扬程的1.5倍、且不低于0.6MPa压力下，在保持30min静压后，应无渗漏、无变形或损坏等现象。</w:t>
            </w:r>
          </w:p>
        </w:tc>
        <w:tc>
          <w:tcPr>
            <w:tcW w:w="750"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67"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777" w:type="dxa"/>
          </w:tcPr>
          <w:p>
            <w:pPr>
              <w:spacing w:line="360" w:lineRule="auto"/>
              <w:jc w:val="left"/>
              <w:rPr>
                <w:rFonts w:ascii="Arial" w:hAnsi="Arial" w:cs="Arial"/>
                <w:color w:val="auto"/>
                <w:sz w:val="24"/>
                <w:highlight w:val="none"/>
              </w:rPr>
            </w:pPr>
            <w:r>
              <w:rPr>
                <w:rFonts w:ascii="Arial" w:hAnsi="Arial" w:cs="Arial"/>
                <w:bCs/>
                <w:color w:val="auto"/>
                <w:sz w:val="24"/>
                <w:highlight w:val="none"/>
              </w:rPr>
              <w:t>螺栓、螺钉和螺母等紧固件采用不锈钢材质。</w:t>
            </w:r>
          </w:p>
        </w:tc>
        <w:tc>
          <w:tcPr>
            <w:tcW w:w="750" w:type="dxa"/>
          </w:tcPr>
          <w:p>
            <w:pPr>
              <w:spacing w:line="360" w:lineRule="auto"/>
              <w:jc w:val="center"/>
              <w:rPr>
                <w:rFonts w:ascii="Arial" w:hAnsi="Arial" w:cs="Arial"/>
                <w:color w:val="auto"/>
                <w:sz w:val="24"/>
                <w:highlight w:val="none"/>
                <w:vertAlign w:val="baseline"/>
              </w:rPr>
            </w:pPr>
          </w:p>
        </w:tc>
      </w:tr>
    </w:tbl>
    <w:p>
      <w:pPr>
        <w:spacing w:line="360" w:lineRule="auto"/>
        <w:rPr>
          <w:rFonts w:hint="eastAsia" w:ascii="Arial" w:hAnsi="Arial" w:cs="Arial"/>
          <w:b/>
          <w:bCs w:val="0"/>
          <w:color w:val="auto"/>
          <w:sz w:val="24"/>
          <w:szCs w:val="24"/>
          <w:highlight w:val="none"/>
        </w:rPr>
      </w:pPr>
      <w:r>
        <w:rPr>
          <w:rFonts w:hint="eastAsia" w:ascii="Arial" w:hAnsi="Arial" w:cs="Arial"/>
          <w:b/>
          <w:bCs w:val="0"/>
          <w:color w:val="auto"/>
          <w:sz w:val="24"/>
          <w:szCs w:val="24"/>
          <w:highlight w:val="none"/>
        </w:rPr>
        <w:t xml:space="preserve"> </w:t>
      </w:r>
      <w:bookmarkStart w:id="64" w:name="_Toc26117"/>
    </w:p>
    <w:bookmarkEnd w:id="64"/>
    <w:p>
      <w:pPr>
        <w:pStyle w:val="5"/>
        <w:rPr>
          <w:rFonts w:hint="eastAsia" w:ascii="宋体" w:hAnsi="宋体" w:eastAsia="宋体" w:cs="宋体"/>
          <w:b/>
          <w:bCs w:val="0"/>
          <w:color w:val="auto"/>
          <w:kern w:val="0"/>
          <w:sz w:val="28"/>
          <w:szCs w:val="22"/>
          <w:highlight w:val="none"/>
          <w:lang w:val="en-US" w:eastAsia="zh-CN" w:bidi="ar-SA"/>
        </w:rPr>
      </w:pPr>
      <w:bookmarkStart w:id="65" w:name="_Toc13820"/>
      <w:r>
        <w:rPr>
          <w:rFonts w:hint="eastAsia" w:ascii="宋体" w:hAnsi="宋体" w:eastAsia="宋体" w:cs="宋体"/>
          <w:b/>
          <w:bCs w:val="0"/>
          <w:color w:val="auto"/>
          <w:kern w:val="0"/>
          <w:sz w:val="28"/>
          <w:szCs w:val="22"/>
          <w:highlight w:val="none"/>
          <w:lang w:val="en-US" w:eastAsia="zh-CN" w:bidi="ar-SA"/>
        </w:rPr>
        <w:t>7.成套设备技术要求［无负压给水设备］</w:t>
      </w:r>
      <w:bookmarkEnd w:id="65"/>
    </w:p>
    <w:tbl>
      <w:tblPr>
        <w:tblStyle w:val="1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78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781" w:type="dxa"/>
            <w:vAlign w:val="top"/>
          </w:tcPr>
          <w:p>
            <w:pPr>
              <w:spacing w:line="360" w:lineRule="auto"/>
              <w:ind w:firstLine="2880" w:firstLineChars="1200"/>
              <w:jc w:val="both"/>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69" w:type="dxa"/>
            <w:vAlign w:val="top"/>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781" w:type="dxa"/>
          </w:tcPr>
          <w:p>
            <w:pPr>
              <w:tabs>
                <w:tab w:val="left" w:pos="567"/>
                <w:tab w:val="left" w:pos="709"/>
                <w:tab w:val="left" w:pos="993"/>
              </w:tabs>
              <w:spacing w:line="360" w:lineRule="auto"/>
              <w:jc w:val="left"/>
              <w:rPr>
                <w:rFonts w:hint="eastAsia" w:ascii="Arial" w:hAnsi="Arial" w:cs="Arial"/>
                <w:color w:val="auto"/>
                <w:sz w:val="24"/>
                <w:highlight w:val="none"/>
                <w:vertAlign w:val="baseline"/>
                <w:lang w:eastAsia="zh-CN"/>
              </w:rPr>
            </w:pPr>
            <w:r>
              <w:rPr>
                <w:rFonts w:ascii="Arial" w:hAnsi="Arial" w:cs="Arial"/>
                <w:color w:val="auto"/>
                <w:kern w:val="0"/>
                <w:sz w:val="24"/>
                <w:highlight w:val="none"/>
              </w:rPr>
              <w:t>成套设备最大水量输送力（系统流量）和输送高度（系统扬程）必须满足所供用户的设计指标要求，成套设备与外部管网连接采用法兰连接，成套设备的全部零部件均应满足服务用户的设计水量、水压要求，并且成套设备内的管道、阀门、管件等所有涉水机械、器材、设备均应符合国家《生活饮用水卫生监督管理办法》的规定。</w:t>
            </w:r>
          </w:p>
        </w:tc>
        <w:tc>
          <w:tcPr>
            <w:tcW w:w="769"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781" w:type="dxa"/>
          </w:tcPr>
          <w:p>
            <w:pPr>
              <w:tabs>
                <w:tab w:val="left" w:pos="567"/>
                <w:tab w:val="left" w:pos="709"/>
                <w:tab w:val="left" w:pos="993"/>
              </w:tabs>
              <w:spacing w:line="360" w:lineRule="auto"/>
              <w:jc w:val="left"/>
              <w:rPr>
                <w:rFonts w:hint="eastAsia" w:ascii="Arial" w:hAnsi="Arial" w:cs="Arial"/>
                <w:color w:val="auto"/>
                <w:sz w:val="24"/>
                <w:highlight w:val="none"/>
                <w:vertAlign w:val="baseline"/>
                <w:lang w:eastAsia="zh-CN"/>
              </w:rPr>
            </w:pPr>
            <w:r>
              <w:rPr>
                <w:rFonts w:ascii="Arial" w:hAnsi="Arial" w:cs="Arial"/>
                <w:color w:val="auto"/>
                <w:kern w:val="0"/>
                <w:sz w:val="24"/>
                <w:highlight w:val="none"/>
              </w:rPr>
              <w:t>市政管网保护水压：不少于0.15 MPa（满足室外最大消防水压和三层直供水压要求）罐式</w:t>
            </w:r>
            <w:r>
              <w:rPr>
                <w:rFonts w:hint="eastAsia" w:ascii="Arial" w:hAnsi="Arial" w:cs="Arial"/>
                <w:color w:val="auto"/>
                <w:kern w:val="0"/>
                <w:sz w:val="24"/>
                <w:highlight w:val="none"/>
                <w:lang w:eastAsia="zh-CN"/>
              </w:rPr>
              <w:t>无负压</w:t>
            </w:r>
            <w:r>
              <w:rPr>
                <w:rFonts w:ascii="Arial" w:hAnsi="Arial" w:cs="Arial"/>
                <w:color w:val="auto"/>
                <w:kern w:val="0"/>
                <w:sz w:val="24"/>
                <w:highlight w:val="none"/>
              </w:rPr>
              <w:t>给水设备。</w:t>
            </w:r>
            <w:r>
              <w:rPr>
                <w:rFonts w:ascii="Arial" w:hAnsi="Arial" w:cs="Arial"/>
                <w:color w:val="auto"/>
                <w:sz w:val="24"/>
                <w:highlight w:val="none"/>
              </w:rPr>
              <w:t>进口压力控制指标：泵启动时，进口压力的瞬时降低值控制在0.02MPa以内；泵停止时，进口压力的瞬时增加值控制在0.02MPa以内。</w:t>
            </w:r>
          </w:p>
        </w:tc>
        <w:tc>
          <w:tcPr>
            <w:tcW w:w="769"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781" w:type="dxa"/>
          </w:tcPr>
          <w:p>
            <w:pPr>
              <w:tabs>
                <w:tab w:val="left" w:pos="567"/>
                <w:tab w:val="left" w:pos="709"/>
                <w:tab w:val="left" w:pos="993"/>
              </w:tabs>
              <w:spacing w:line="360" w:lineRule="auto"/>
              <w:jc w:val="left"/>
              <w:rPr>
                <w:rFonts w:hint="eastAsia" w:ascii="Arial" w:hAnsi="Arial" w:cs="Arial"/>
                <w:color w:val="auto"/>
                <w:sz w:val="24"/>
                <w:highlight w:val="none"/>
                <w:vertAlign w:val="baseline"/>
                <w:lang w:eastAsia="zh-CN"/>
              </w:rPr>
            </w:pPr>
            <w:r>
              <w:rPr>
                <w:rFonts w:ascii="Arial" w:hAnsi="Arial" w:cs="Arial"/>
                <w:color w:val="auto"/>
                <w:kern w:val="0"/>
                <w:sz w:val="24"/>
                <w:highlight w:val="none"/>
              </w:rPr>
              <w:t>压力调节精度：恒压供水时，压力稳定值的变化不应超过0.01Mpa。</w:t>
            </w:r>
          </w:p>
        </w:tc>
        <w:tc>
          <w:tcPr>
            <w:tcW w:w="769"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781" w:type="dxa"/>
          </w:tcPr>
          <w:p>
            <w:pPr>
              <w:spacing w:line="360" w:lineRule="auto"/>
              <w:jc w:val="left"/>
              <w:rPr>
                <w:rFonts w:hint="eastAsia" w:ascii="Arial" w:hAnsi="Arial" w:cs="Arial"/>
                <w:color w:val="auto"/>
                <w:sz w:val="24"/>
                <w:highlight w:val="none"/>
                <w:vertAlign w:val="baseline"/>
                <w:lang w:eastAsia="zh-CN"/>
              </w:rPr>
            </w:pPr>
            <w:r>
              <w:rPr>
                <w:rFonts w:ascii="Arial" w:hAnsi="Arial" w:cs="Arial"/>
                <w:color w:val="auto"/>
                <w:sz w:val="24"/>
                <w:highlight w:val="none"/>
              </w:rPr>
              <w:t>出口压力控制指标：泵启动及停止时，出口压力瞬时波动控制在目标压力的±5%以内，并应在10s内恢复至目标压力的±0.01MPa以内。泵自动切换时，出口压力瞬时波动控制在目标压力的±20%以内且在0.07MPa以下。</w:t>
            </w:r>
          </w:p>
        </w:tc>
        <w:tc>
          <w:tcPr>
            <w:tcW w:w="769" w:type="dxa"/>
          </w:tcPr>
          <w:p>
            <w:pPr>
              <w:spacing w:line="360" w:lineRule="auto"/>
              <w:jc w:val="center"/>
              <w:rPr>
                <w:rFonts w:ascii="Arial" w:hAnsi="Arial" w:cs="Arial"/>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81" w:type="dxa"/>
          </w:tcPr>
          <w:p>
            <w:pPr>
              <w:spacing w:line="360" w:lineRule="auto"/>
              <w:jc w:val="left"/>
              <w:rPr>
                <w:rFonts w:ascii="Arial" w:hAnsi="Arial" w:cs="Arial"/>
                <w:color w:val="auto"/>
                <w:sz w:val="24"/>
                <w:highlight w:val="none"/>
              </w:rPr>
            </w:pPr>
            <w:r>
              <w:rPr>
                <w:rFonts w:ascii="Arial" w:hAnsi="Arial" w:cs="Arial"/>
                <w:color w:val="auto"/>
                <w:kern w:val="0"/>
                <w:sz w:val="24"/>
                <w:highlight w:val="none"/>
              </w:rPr>
              <w:t>成套设备应考虑整机的供水安全可靠性以及水泵的运行效率，防止水泵出现流量跑位情况。</w:t>
            </w:r>
            <w:r>
              <w:rPr>
                <w:rFonts w:ascii="Arial" w:hAnsi="Arial" w:cs="Arial"/>
                <w:b/>
                <w:bCs/>
                <w:color w:val="auto"/>
                <w:kern w:val="0"/>
                <w:sz w:val="24"/>
                <w:highlight w:val="none"/>
              </w:rPr>
              <w:t>水泵和变频控制必须按一台水泵对应一台变频控制装置的模式配置，不接受一台变频控制装置控制多台水泵的模式</w:t>
            </w:r>
            <w:r>
              <w:rPr>
                <w:rFonts w:hint="eastAsia" w:ascii="Arial" w:hAnsi="Arial" w:cs="Arial"/>
                <w:b/>
                <w:color w:val="auto"/>
                <w:kern w:val="0"/>
                <w:sz w:val="24"/>
                <w:highlight w:val="none"/>
              </w:rPr>
              <w:t>（并提供成套设备CMA认证的检测报告）</w:t>
            </w:r>
          </w:p>
        </w:tc>
        <w:tc>
          <w:tcPr>
            <w:tcW w:w="769" w:type="dxa"/>
          </w:tcPr>
          <w:p>
            <w:pPr>
              <w:spacing w:line="360" w:lineRule="auto"/>
              <w:jc w:val="center"/>
              <w:rPr>
                <w:rFonts w:ascii="Arial" w:hAnsi="Arial" w:cs="Arial"/>
                <w:color w:val="auto"/>
                <w:sz w:val="24"/>
                <w:highlight w:val="none"/>
                <w:vertAlign w:val="baseline"/>
              </w:rPr>
            </w:pPr>
            <w:r>
              <w:rPr>
                <w:rFonts w:hint="eastAsia" w:ascii="Arial" w:hAnsi="Arial" w:cs="Arial"/>
                <w:smallCaps/>
                <w:color w:val="auto"/>
                <w:kern w:val="0"/>
                <w:sz w:val="24"/>
                <w:highlight w:val="none"/>
              </w:rPr>
              <w:t>★</w:t>
            </w:r>
            <w:bookmarkStart w:id="164" w:name="_GoBack"/>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781" w:type="dxa"/>
          </w:tcPr>
          <w:p>
            <w:pPr>
              <w:tabs>
                <w:tab w:val="left" w:pos="567"/>
                <w:tab w:val="left" w:pos="709"/>
                <w:tab w:val="left" w:pos="993"/>
              </w:tabs>
              <w:spacing w:line="360" w:lineRule="auto"/>
              <w:jc w:val="left"/>
              <w:rPr>
                <w:rFonts w:ascii="Arial" w:hAnsi="Arial" w:cs="Arial"/>
                <w:color w:val="auto"/>
                <w:kern w:val="0"/>
                <w:sz w:val="24"/>
                <w:highlight w:val="none"/>
              </w:rPr>
            </w:pPr>
            <w:r>
              <w:rPr>
                <w:rFonts w:ascii="Arial" w:hAnsi="Arial" w:cs="Arial"/>
                <w:color w:val="auto"/>
                <w:kern w:val="0"/>
                <w:sz w:val="24"/>
                <w:highlight w:val="none"/>
              </w:rPr>
              <w:t>整体组装要求</w:t>
            </w:r>
            <w:r>
              <w:rPr>
                <w:rFonts w:hint="eastAsia" w:ascii="Arial" w:hAnsi="Arial" w:cs="Arial"/>
                <w:color w:val="auto"/>
                <w:kern w:val="0"/>
                <w:sz w:val="24"/>
                <w:highlight w:val="none"/>
                <w:lang w:eastAsia="zh-CN"/>
              </w:rPr>
              <w:t>：</w:t>
            </w:r>
            <w:r>
              <w:rPr>
                <w:rFonts w:ascii="Arial" w:hAnsi="Arial" w:cs="Arial"/>
                <w:color w:val="auto"/>
                <w:sz w:val="24"/>
                <w:highlight w:val="none"/>
                <w:shd w:val="clear" w:color="auto" w:fill="FFFFFF"/>
              </w:rPr>
              <w:t>设备整体布局及部件安装位置应合理，且便于操作、调试和维修。配套使用的仪表量程和精度、配套使用的阀门、管件的耐压等级应满足使用要求及相关标准要求，配套使用的产品必须具有产品合格证及相关的质量认证。且各类阀门及其活动部件的动作应灵活、可靠。</w:t>
            </w:r>
          </w:p>
        </w:tc>
        <w:tc>
          <w:tcPr>
            <w:tcW w:w="769" w:type="dxa"/>
          </w:tcPr>
          <w:p>
            <w:pPr>
              <w:spacing w:line="360" w:lineRule="auto"/>
              <w:jc w:val="center"/>
              <w:rPr>
                <w:rFonts w:hint="eastAsia" w:ascii="Arial" w:hAnsi="Arial" w:cs="Arial"/>
                <w:smallCap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781" w:type="dxa"/>
          </w:tcPr>
          <w:p>
            <w:pPr>
              <w:tabs>
                <w:tab w:val="left" w:pos="567"/>
                <w:tab w:val="left" w:pos="709"/>
                <w:tab w:val="left" w:pos="993"/>
              </w:tabs>
              <w:spacing w:line="360" w:lineRule="auto"/>
              <w:jc w:val="left"/>
              <w:rPr>
                <w:rFonts w:ascii="Arial" w:hAnsi="Arial" w:cs="Arial"/>
                <w:color w:val="auto"/>
                <w:kern w:val="0"/>
                <w:sz w:val="24"/>
                <w:highlight w:val="none"/>
              </w:rPr>
            </w:pPr>
            <w:r>
              <w:rPr>
                <w:rFonts w:ascii="Arial" w:hAnsi="Arial" w:cs="Arial"/>
                <w:color w:val="auto"/>
                <w:sz w:val="24"/>
                <w:highlight w:val="none"/>
                <w:shd w:val="clear" w:color="auto" w:fill="FFFFFF"/>
              </w:rPr>
              <w:t>供应商应保证在规范安装情况下，设备运转无异常噪声</w:t>
            </w:r>
            <w:r>
              <w:rPr>
                <w:rFonts w:ascii="Arial" w:hAnsi="Arial" w:cs="Arial"/>
                <w:color w:val="auto"/>
                <w:kern w:val="0"/>
                <w:sz w:val="24"/>
                <w:highlight w:val="none"/>
              </w:rPr>
              <w:t>：最大单台装机功率小于等于2.2KW时，设备运行噪声不超过55dB，最大单台装机功率3～11KW时设备运行噪声不超过65dB ；15kw～30 KW时，设备运行噪声不超过75dB（A）。</w:t>
            </w:r>
          </w:p>
        </w:tc>
        <w:tc>
          <w:tcPr>
            <w:tcW w:w="769" w:type="dxa"/>
          </w:tcPr>
          <w:p>
            <w:pPr>
              <w:spacing w:line="360" w:lineRule="auto"/>
              <w:jc w:val="center"/>
              <w:rPr>
                <w:rFonts w:hint="eastAsia" w:ascii="Arial" w:hAnsi="Arial" w:cs="Arial"/>
                <w:smallCap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8</w:t>
            </w:r>
          </w:p>
        </w:tc>
        <w:tc>
          <w:tcPr>
            <w:tcW w:w="7781" w:type="dxa"/>
          </w:tcPr>
          <w:p>
            <w:pPr>
              <w:tabs>
                <w:tab w:val="left" w:pos="567"/>
                <w:tab w:val="left" w:pos="709"/>
                <w:tab w:val="left" w:pos="993"/>
              </w:tabs>
              <w:spacing w:line="360" w:lineRule="auto"/>
              <w:jc w:val="left"/>
              <w:rPr>
                <w:rFonts w:ascii="Arial" w:hAnsi="Arial" w:cs="Arial"/>
                <w:color w:val="auto"/>
                <w:kern w:val="0"/>
                <w:sz w:val="24"/>
                <w:highlight w:val="none"/>
              </w:rPr>
            </w:pPr>
            <w:r>
              <w:rPr>
                <w:rFonts w:ascii="Arial" w:hAnsi="Arial" w:cs="Arial"/>
                <w:color w:val="auto"/>
                <w:kern w:val="0"/>
                <w:sz w:val="24"/>
                <w:highlight w:val="none"/>
              </w:rPr>
              <w:t>安全防护等级：满足室外使用标准，水泵不低于IP54。</w:t>
            </w:r>
          </w:p>
        </w:tc>
        <w:tc>
          <w:tcPr>
            <w:tcW w:w="769" w:type="dxa"/>
          </w:tcPr>
          <w:p>
            <w:pPr>
              <w:spacing w:line="360" w:lineRule="auto"/>
              <w:jc w:val="center"/>
              <w:rPr>
                <w:rFonts w:hint="eastAsia" w:ascii="Arial" w:hAnsi="Arial" w:cs="Arial"/>
                <w:smallCap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9</w:t>
            </w:r>
          </w:p>
        </w:tc>
        <w:tc>
          <w:tcPr>
            <w:tcW w:w="7781" w:type="dxa"/>
          </w:tcPr>
          <w:p>
            <w:pPr>
              <w:tabs>
                <w:tab w:val="left" w:pos="567"/>
                <w:tab w:val="left" w:pos="709"/>
                <w:tab w:val="left" w:pos="993"/>
              </w:tabs>
              <w:spacing w:line="360" w:lineRule="auto"/>
              <w:jc w:val="left"/>
              <w:rPr>
                <w:rFonts w:ascii="Arial" w:hAnsi="Arial" w:cs="Arial"/>
                <w:color w:val="auto"/>
                <w:kern w:val="0"/>
                <w:sz w:val="24"/>
                <w:highlight w:val="none"/>
              </w:rPr>
            </w:pPr>
            <w:r>
              <w:rPr>
                <w:rFonts w:hint="eastAsia" w:ascii="Arial" w:hAnsi="Arial" w:cs="Arial"/>
                <w:color w:val="auto"/>
                <w:kern w:val="0"/>
                <w:sz w:val="24"/>
                <w:highlight w:val="none"/>
              </w:rPr>
              <w:t>噪声：最大单台装机功率小于等于2.2KW时，设备运行噪声不超过55dB，最大单台装机功率3-11kw时设备运行噪声不超过65dB ；15kw-30 KW时，设备运行噪声不超过75dB（A）。</w:t>
            </w:r>
          </w:p>
        </w:tc>
        <w:tc>
          <w:tcPr>
            <w:tcW w:w="769" w:type="dxa"/>
          </w:tcPr>
          <w:p>
            <w:pPr>
              <w:spacing w:line="360" w:lineRule="auto"/>
              <w:jc w:val="center"/>
              <w:rPr>
                <w:rFonts w:hint="eastAsia" w:ascii="Arial" w:hAnsi="Arial" w:cs="Arial"/>
                <w:smallCap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tcPr>
          <w:p>
            <w:pPr>
              <w:spacing w:line="360" w:lineRule="auto"/>
              <w:jc w:val="center"/>
              <w:rPr>
                <w:rFonts w:hint="eastAsia" w:ascii="Arial" w:hAnsi="Arial" w:cs="Arial"/>
                <w:color w:val="auto"/>
                <w:sz w:val="24"/>
                <w:highlight w:val="none"/>
                <w:vertAlign w:val="baseline"/>
                <w:lang w:val="en-US" w:eastAsia="zh-CN"/>
              </w:rPr>
            </w:pPr>
          </w:p>
        </w:tc>
        <w:tc>
          <w:tcPr>
            <w:tcW w:w="7781" w:type="dxa"/>
          </w:tcPr>
          <w:p>
            <w:pPr>
              <w:tabs>
                <w:tab w:val="left" w:pos="567"/>
                <w:tab w:val="left" w:pos="709"/>
                <w:tab w:val="left" w:pos="993"/>
              </w:tabs>
              <w:spacing w:line="360" w:lineRule="auto"/>
              <w:jc w:val="center"/>
              <w:rPr>
                <w:rFonts w:ascii="Arial" w:hAnsi="Arial" w:cs="Arial"/>
                <w:color w:val="auto"/>
                <w:kern w:val="0"/>
                <w:sz w:val="24"/>
                <w:highlight w:val="none"/>
              </w:rPr>
            </w:pPr>
          </w:p>
        </w:tc>
        <w:tc>
          <w:tcPr>
            <w:tcW w:w="769" w:type="dxa"/>
          </w:tcPr>
          <w:p>
            <w:pPr>
              <w:spacing w:line="360" w:lineRule="auto"/>
              <w:jc w:val="center"/>
              <w:rPr>
                <w:rFonts w:hint="eastAsia" w:ascii="Arial" w:hAnsi="Arial" w:cs="Arial"/>
                <w:smallCaps/>
                <w:color w:val="auto"/>
                <w:kern w:val="0"/>
                <w:sz w:val="24"/>
                <w:highlight w:val="none"/>
              </w:rPr>
            </w:pPr>
          </w:p>
        </w:tc>
      </w:tr>
    </w:tbl>
    <w:p>
      <w:pPr>
        <w:spacing w:line="360" w:lineRule="auto"/>
        <w:rPr>
          <w:rFonts w:hint="eastAsia" w:ascii="Arial" w:hAnsi="Arial" w:cs="Arial"/>
          <w:b/>
          <w:color w:val="auto"/>
          <w:kern w:val="0"/>
          <w:sz w:val="28"/>
          <w:szCs w:val="22"/>
          <w:highlight w:val="none"/>
          <w:lang w:val="en-US" w:eastAsia="zh-CN"/>
        </w:rPr>
      </w:pPr>
    </w:p>
    <w:p>
      <w:pPr>
        <w:spacing w:line="360" w:lineRule="auto"/>
        <w:rPr>
          <w:rFonts w:ascii="Arial" w:hAnsi="Arial" w:cs="Arial"/>
          <w:b/>
          <w:color w:val="auto"/>
          <w:kern w:val="0"/>
          <w:sz w:val="28"/>
          <w:szCs w:val="22"/>
          <w:highlight w:val="none"/>
        </w:rPr>
      </w:pPr>
      <w:r>
        <w:rPr>
          <w:rFonts w:hint="eastAsia" w:ascii="Arial" w:hAnsi="Arial" w:cs="Arial"/>
          <w:b/>
          <w:color w:val="auto"/>
          <w:kern w:val="0"/>
          <w:sz w:val="28"/>
          <w:szCs w:val="22"/>
          <w:highlight w:val="none"/>
          <w:lang w:val="en-US" w:eastAsia="zh-CN"/>
        </w:rPr>
        <w:t>8.</w:t>
      </w:r>
      <w:r>
        <w:rPr>
          <w:rFonts w:ascii="Arial" w:hAnsi="Arial" w:cs="Arial"/>
          <w:b/>
          <w:color w:val="auto"/>
          <w:kern w:val="0"/>
          <w:sz w:val="28"/>
          <w:szCs w:val="22"/>
          <w:highlight w:val="none"/>
        </w:rPr>
        <w:t>成套设备必须具备的功能及模式</w:t>
      </w:r>
    </w:p>
    <w:tbl>
      <w:tblPr>
        <w:tblStyle w:val="1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76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767" w:type="dxa"/>
            <w:vAlign w:val="top"/>
          </w:tcPr>
          <w:p>
            <w:pPr>
              <w:spacing w:line="360" w:lineRule="auto"/>
              <w:ind w:firstLine="2640" w:firstLineChars="1100"/>
              <w:jc w:val="both"/>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87" w:type="dxa"/>
            <w:vAlign w:val="top"/>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767" w:type="dxa"/>
            <w:vAlign w:val="top"/>
          </w:tcPr>
          <w:p>
            <w:pPr>
              <w:spacing w:line="360" w:lineRule="auto"/>
              <w:jc w:val="both"/>
              <w:rPr>
                <w:rFonts w:hint="eastAsia" w:ascii="Arial" w:hAnsi="Arial" w:cs="Arial"/>
                <w:color w:val="auto"/>
                <w:sz w:val="24"/>
                <w:highlight w:val="none"/>
                <w:vertAlign w:val="baseline"/>
                <w:lang w:eastAsia="zh-CN"/>
              </w:rPr>
            </w:pPr>
            <w:r>
              <w:rPr>
                <w:rFonts w:ascii="Arial" w:hAnsi="Arial" w:cs="Arial"/>
                <w:b/>
                <w:color w:val="auto"/>
                <w:kern w:val="0"/>
                <w:sz w:val="24"/>
                <w:highlight w:val="none"/>
              </w:rPr>
              <w:t>水泵效率值及电机能耗等级须符合本规范6.4.4规定；投标人应具备成套水泵机组设备整体性能及本规范6.4.2要求的功能及模式测试装备及出厂检验工序</w:t>
            </w:r>
            <w:r>
              <w:rPr>
                <w:rFonts w:hint="eastAsia" w:ascii="Arial" w:hAnsi="Arial" w:cs="Arial"/>
                <w:b/>
                <w:color w:val="auto"/>
                <w:kern w:val="0"/>
                <w:sz w:val="24"/>
                <w:highlight w:val="none"/>
              </w:rPr>
              <w:t>，成套水泵机组设备应取得省级以上相关的节能产品认证，应出具相关省级以上节能产品认证证书。</w:t>
            </w:r>
          </w:p>
        </w:tc>
        <w:tc>
          <w:tcPr>
            <w:tcW w:w="787" w:type="dxa"/>
            <w:vAlign w:val="top"/>
          </w:tcPr>
          <w:p>
            <w:pPr>
              <w:spacing w:line="360" w:lineRule="auto"/>
              <w:jc w:val="center"/>
              <w:rPr>
                <w:rFonts w:hint="eastAsia" w:ascii="宋体" w:hAnsi="宋体" w:cs="宋体"/>
                <w:color w:val="auto"/>
                <w:sz w:val="24"/>
                <w:highlight w:val="none"/>
              </w:rPr>
            </w:pPr>
          </w:p>
          <w:p>
            <w:pPr>
              <w:spacing w:line="360" w:lineRule="auto"/>
              <w:jc w:val="center"/>
              <w:rPr>
                <w:rFonts w:hint="eastAsia" w:ascii="Arial" w:hAnsi="Arial" w:cs="Arial"/>
                <w:color w:val="auto"/>
                <w:sz w:val="24"/>
                <w:highlight w:val="none"/>
                <w:vertAlign w:val="baseline"/>
                <w:lang w:eastAsia="zh-CN"/>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767" w:type="dxa"/>
            <w:vAlign w:val="top"/>
          </w:tcPr>
          <w:p>
            <w:pPr>
              <w:spacing w:line="360" w:lineRule="auto"/>
              <w:jc w:val="both"/>
              <w:rPr>
                <w:rFonts w:ascii="Arial" w:hAnsi="Arial" w:cs="Arial"/>
                <w:b/>
                <w:color w:val="auto"/>
                <w:kern w:val="0"/>
                <w:sz w:val="24"/>
                <w:highlight w:val="none"/>
              </w:rPr>
            </w:pPr>
            <w:r>
              <w:rPr>
                <w:rFonts w:ascii="Arial" w:hAnsi="Arial" w:cs="Arial"/>
                <w:color w:val="auto"/>
                <w:sz w:val="24"/>
                <w:highlight w:val="none"/>
              </w:rPr>
              <w:t>全自动运行，无人值守，无水停机，来水自动开机，停电后复电自动启动，变频器报警自动复位和自动启动，具有泵组变频调节，成套设备自动、手动和远程控制启停功能，</w:t>
            </w:r>
            <w:r>
              <w:rPr>
                <w:rFonts w:ascii="Arial" w:hAnsi="Arial" w:cs="Arial"/>
                <w:b/>
                <w:bCs/>
                <w:color w:val="auto"/>
                <w:sz w:val="24"/>
                <w:highlight w:val="none"/>
              </w:rPr>
              <w:t>应提供</w:t>
            </w:r>
            <w:r>
              <w:rPr>
                <w:rFonts w:ascii="Arial" w:hAnsi="Arial" w:cs="Arial"/>
                <w:b/>
                <w:color w:val="auto"/>
                <w:sz w:val="24"/>
                <w:highlight w:val="none"/>
              </w:rPr>
              <w:t>变频器报警自动复位功能的说明（</w:t>
            </w:r>
            <w:r>
              <w:rPr>
                <w:rFonts w:hint="eastAsia" w:ascii="Arial" w:hAnsi="Arial" w:cs="Arial"/>
                <w:b/>
                <w:color w:val="auto"/>
                <w:sz w:val="24"/>
                <w:highlight w:val="none"/>
              </w:rPr>
              <w:t>需提供CMA认证的</w:t>
            </w:r>
            <w:r>
              <w:rPr>
                <w:rFonts w:ascii="Arial" w:hAnsi="Arial" w:cs="Arial"/>
                <w:b/>
                <w:color w:val="auto"/>
                <w:sz w:val="24"/>
                <w:highlight w:val="none"/>
              </w:rPr>
              <w:t>检验报告）。</w:t>
            </w:r>
          </w:p>
        </w:tc>
        <w:tc>
          <w:tcPr>
            <w:tcW w:w="787"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767" w:type="dxa"/>
            <w:vAlign w:val="top"/>
          </w:tcPr>
          <w:p>
            <w:pPr>
              <w:spacing w:line="360" w:lineRule="auto"/>
              <w:jc w:val="both"/>
              <w:rPr>
                <w:rFonts w:ascii="Arial" w:hAnsi="Arial" w:cs="Arial"/>
                <w:color w:val="auto"/>
                <w:sz w:val="24"/>
                <w:highlight w:val="none"/>
              </w:rPr>
            </w:pPr>
            <w:r>
              <w:rPr>
                <w:rFonts w:ascii="Arial" w:hAnsi="Arial" w:cs="Arial"/>
                <w:color w:val="auto"/>
                <w:sz w:val="24"/>
                <w:highlight w:val="none"/>
              </w:rPr>
              <w:t>设备自我保护功能：具有对过压、欠压、过流、</w:t>
            </w:r>
            <w:r>
              <w:rPr>
                <w:rFonts w:hint="eastAsia" w:ascii="Arial" w:hAnsi="Arial" w:cs="Arial"/>
                <w:color w:val="auto"/>
                <w:sz w:val="24"/>
                <w:highlight w:val="none"/>
                <w:lang w:eastAsia="zh-CN"/>
              </w:rPr>
              <w:t>短路</w:t>
            </w:r>
            <w:r>
              <w:rPr>
                <w:rFonts w:ascii="Arial" w:hAnsi="Arial" w:cs="Arial"/>
                <w:color w:val="auto"/>
                <w:sz w:val="24"/>
                <w:highlight w:val="none"/>
              </w:rPr>
              <w:t>、缺相等故障进行报警及自动保护功能，对可恢复的故障应能自动、手动或远程控制消除，恢复正常运行，并具备报警记忆功能。</w:t>
            </w:r>
          </w:p>
        </w:tc>
        <w:tc>
          <w:tcPr>
            <w:tcW w:w="787" w:type="dxa"/>
            <w:vAlign w:val="top"/>
          </w:tcPr>
          <w:p>
            <w:pPr>
              <w:spacing w:line="360" w:lineRule="auto"/>
              <w:jc w:val="center"/>
              <w:rPr>
                <w:rFonts w:hint="eastAsia" w:ascii="宋体" w:hAnsi="宋体" w:cs="宋体"/>
                <w:color w:val="auto"/>
                <w:sz w:val="24"/>
                <w:highlight w:val="none"/>
              </w:rPr>
            </w:pPr>
          </w:p>
          <w:p>
            <w:pPr>
              <w:spacing w:line="360" w:lineRule="auto"/>
              <w:jc w:val="center"/>
              <w:rPr>
                <w:rFonts w:hint="eastAsia" w:ascii="Arial" w:hAnsi="Arial" w:cs="Arial"/>
                <w:color w:val="auto"/>
                <w:sz w:val="24"/>
                <w:highlight w:val="none"/>
                <w:vertAlign w:val="baseline"/>
                <w:lang w:eastAsia="zh-CN"/>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767" w:type="dxa"/>
            <w:vAlign w:val="top"/>
          </w:tcPr>
          <w:p>
            <w:pPr>
              <w:spacing w:line="360" w:lineRule="auto"/>
              <w:jc w:val="both"/>
              <w:rPr>
                <w:rFonts w:ascii="Arial" w:hAnsi="Arial" w:cs="Arial"/>
                <w:color w:val="auto"/>
                <w:sz w:val="24"/>
                <w:highlight w:val="none"/>
              </w:rPr>
            </w:pPr>
            <w:r>
              <w:rPr>
                <w:rFonts w:ascii="Arial" w:hAnsi="Arial" w:cs="Arial"/>
                <w:color w:val="auto"/>
                <w:sz w:val="24"/>
                <w:highlight w:val="none"/>
              </w:rPr>
              <w:t>设备泵组轮换功能：设备运行时，工作泵与备用泵应能够自动交替轮换运行。当任一台工作水泵发生故障时，备用水泵应能自动投入运行。工作泵与备用泵能定时轮换运行，自动切换、自动巡检。水泵切换时间与设定时间的偏差不应超过±30s，能够做到先启先停。为避免先启先停导致水泵运行累积时间的不均衡，设备还必须具备强制切换运行时间较少的水泵自动投入运行功能，使每台水泵均匀磨损，延长使用寿命。</w:t>
            </w:r>
            <w:r>
              <w:rPr>
                <w:rFonts w:ascii="Arial" w:hAnsi="Arial" w:cs="Arial"/>
                <w:b/>
                <w:bCs/>
                <w:color w:val="auto"/>
                <w:sz w:val="24"/>
                <w:highlight w:val="none"/>
              </w:rPr>
              <w:t>应提供</w:t>
            </w:r>
            <w:r>
              <w:rPr>
                <w:rFonts w:ascii="Arial" w:hAnsi="Arial" w:cs="Arial"/>
                <w:b/>
                <w:color w:val="auto"/>
                <w:sz w:val="24"/>
                <w:highlight w:val="none"/>
              </w:rPr>
              <w:t>主泵循环切换功能的说明（</w:t>
            </w:r>
            <w:r>
              <w:rPr>
                <w:rFonts w:hint="eastAsia" w:ascii="Arial" w:hAnsi="Arial" w:cs="Arial"/>
                <w:b/>
                <w:color w:val="auto"/>
                <w:sz w:val="24"/>
                <w:highlight w:val="none"/>
              </w:rPr>
              <w:t>需提供CMA认证的</w:t>
            </w:r>
            <w:r>
              <w:rPr>
                <w:rFonts w:ascii="Arial" w:hAnsi="Arial" w:cs="Arial"/>
                <w:b/>
                <w:color w:val="auto"/>
                <w:sz w:val="24"/>
                <w:highlight w:val="none"/>
              </w:rPr>
              <w:t>检验报告）。</w:t>
            </w:r>
          </w:p>
        </w:tc>
        <w:tc>
          <w:tcPr>
            <w:tcW w:w="787" w:type="dxa"/>
            <w:vAlign w:val="top"/>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67" w:type="dxa"/>
            <w:vAlign w:val="top"/>
          </w:tcPr>
          <w:p>
            <w:pPr>
              <w:spacing w:line="360" w:lineRule="auto"/>
              <w:jc w:val="both"/>
              <w:rPr>
                <w:rFonts w:ascii="Arial" w:hAnsi="Arial" w:cs="Arial"/>
                <w:color w:val="auto"/>
                <w:sz w:val="24"/>
                <w:highlight w:val="none"/>
              </w:rPr>
            </w:pPr>
            <w:r>
              <w:rPr>
                <w:rFonts w:ascii="Arial" w:hAnsi="Arial" w:cs="Arial"/>
                <w:color w:val="auto"/>
                <w:kern w:val="0"/>
                <w:sz w:val="24"/>
                <w:highlight w:val="none"/>
              </w:rPr>
              <w:t>成套设备自动运行控制功能：设备启动，第一台水泵变频启动达到额定的频率，但设备出水口压力仍未稳定达到设定值时，变频器启动第二台水泵，依此类推；当压力稳定后，用水需求降低，全部工作水泵将变频降速运行，满足系统水量水压需求，压力稳定后自动进行能耗判别选择合适的水泵运行台数。当用水需求降低到最小极限值时，自动启动小流量保压停机功能。此时，当用户有少量用水需求，将由气压罐优先补偿，气压罐不能满足需求时，水泵再次启动。每台水泵采用一台独立的变频器拖动与控制，每台变频器具备工业通讯接口。</w:t>
            </w:r>
            <w:r>
              <w:rPr>
                <w:rFonts w:ascii="Arial" w:hAnsi="Arial" w:cs="Arial"/>
                <w:b/>
                <w:color w:val="auto"/>
                <w:kern w:val="0"/>
                <w:sz w:val="24"/>
                <w:highlight w:val="none"/>
              </w:rPr>
              <w:t>应详细阐述水泵启动运行正常供水的工艺顺序。</w:t>
            </w:r>
          </w:p>
        </w:tc>
        <w:tc>
          <w:tcPr>
            <w:tcW w:w="787" w:type="dxa"/>
            <w:vAlign w:val="top"/>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767" w:type="dxa"/>
            <w:vAlign w:val="top"/>
          </w:tcPr>
          <w:p>
            <w:pPr>
              <w:snapToGrid w:val="0"/>
              <w:spacing w:line="360" w:lineRule="auto"/>
              <w:rPr>
                <w:rFonts w:ascii="Arial" w:hAnsi="Arial" w:cs="Arial"/>
                <w:color w:val="auto"/>
                <w:sz w:val="24"/>
                <w:highlight w:val="none"/>
              </w:rPr>
            </w:pPr>
            <w:r>
              <w:rPr>
                <w:rFonts w:ascii="Arial" w:hAnsi="Arial" w:cs="Arial"/>
                <w:color w:val="auto"/>
                <w:kern w:val="0"/>
                <w:sz w:val="24"/>
                <w:highlight w:val="none"/>
              </w:rPr>
              <w:t>状态显示：通过中文显示屏可查看当前供水运行压力、设定压力、运行频率、各泵电流、各泵当前耗电量、以及相关参数设定功能界面.</w:t>
            </w:r>
          </w:p>
        </w:tc>
        <w:tc>
          <w:tcPr>
            <w:tcW w:w="787" w:type="dxa"/>
            <w:vAlign w:val="top"/>
          </w:tcPr>
          <w:p>
            <w:pPr>
              <w:spacing w:line="360" w:lineRule="auto"/>
              <w:jc w:val="center"/>
              <w:rPr>
                <w:rFonts w:hint="eastAsia" w:ascii="Arial" w:hAnsi="Arial" w:cs="Arial"/>
                <w:color w:val="auto"/>
                <w:kern w:val="0"/>
                <w:sz w:val="24"/>
                <w:highlight w:val="none"/>
              </w:rPr>
            </w:pPr>
          </w:p>
          <w:p>
            <w:pPr>
              <w:spacing w:line="360" w:lineRule="auto"/>
              <w:jc w:val="center"/>
              <w:rPr>
                <w:rFonts w:hint="eastAsia" w:ascii="宋体" w:hAnsi="宋体" w:cs="宋体"/>
                <w:color w:val="auto"/>
                <w:sz w:val="24"/>
                <w:highlight w:val="none"/>
              </w:rPr>
            </w:pPr>
            <w:r>
              <w:rPr>
                <w:rFonts w:hint="eastAsia" w:ascii="Arial" w:hAnsi="Arial"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767" w:type="dxa"/>
            <w:vAlign w:val="top"/>
          </w:tcPr>
          <w:p>
            <w:pPr>
              <w:spacing w:line="360" w:lineRule="auto"/>
              <w:jc w:val="both"/>
              <w:rPr>
                <w:rFonts w:ascii="Arial" w:hAnsi="Arial" w:cs="Arial"/>
                <w:color w:val="auto"/>
                <w:sz w:val="24"/>
                <w:highlight w:val="none"/>
              </w:rPr>
            </w:pPr>
            <w:r>
              <w:rPr>
                <w:rFonts w:ascii="Arial" w:hAnsi="Arial" w:cs="Arial"/>
                <w:color w:val="auto"/>
                <w:kern w:val="0"/>
                <w:sz w:val="24"/>
                <w:highlight w:val="none"/>
              </w:rPr>
              <w:t>远程监控功能：成套供水设备应提供RS485通讯接口和以太网通讯接口，远传数据支持MODBUS RTU和MODBUS TCP/IP通讯方式，可利用扩展模块通过支持IPSec VPN技术的移动数据通信网络实现</w:t>
            </w:r>
            <w:r>
              <w:rPr>
                <w:rFonts w:ascii="Arial" w:hAnsi="Arial" w:cs="Arial"/>
                <w:bCs/>
                <w:color w:val="auto"/>
                <w:kern w:val="0"/>
                <w:sz w:val="24"/>
                <w:highlight w:val="none"/>
              </w:rPr>
              <w:t>远程监视和控制功能，能</w:t>
            </w:r>
            <w:r>
              <w:rPr>
                <w:rFonts w:hint="eastAsia" w:ascii="Arial" w:hAnsi="Arial" w:cs="Arial"/>
                <w:bCs/>
                <w:color w:val="auto"/>
                <w:kern w:val="0"/>
                <w:sz w:val="24"/>
                <w:highlight w:val="none"/>
                <w:lang w:eastAsia="zh-CN"/>
              </w:rPr>
              <w:t>将安防视频监控系统和门禁系统和</w:t>
            </w:r>
            <w:r>
              <w:rPr>
                <w:rFonts w:ascii="Arial" w:hAnsi="Arial" w:cs="Arial"/>
                <w:bCs/>
                <w:color w:val="auto"/>
                <w:kern w:val="0"/>
                <w:sz w:val="24"/>
                <w:highlight w:val="none"/>
              </w:rPr>
              <w:t>各泵的运行状态、变频器参数、进出水压力、</w:t>
            </w:r>
            <w:r>
              <w:rPr>
                <w:rFonts w:hint="eastAsia" w:ascii="Arial" w:hAnsi="Arial" w:cs="Arial"/>
                <w:bCs/>
                <w:color w:val="auto"/>
                <w:kern w:val="0"/>
                <w:sz w:val="24"/>
                <w:highlight w:val="none"/>
                <w:lang w:eastAsia="zh-CN"/>
              </w:rPr>
              <w:t>流量、</w:t>
            </w:r>
            <w:r>
              <w:rPr>
                <w:rFonts w:ascii="Arial" w:hAnsi="Arial" w:cs="Arial"/>
                <w:bCs/>
                <w:color w:val="auto"/>
                <w:kern w:val="0"/>
                <w:sz w:val="24"/>
                <w:highlight w:val="none"/>
              </w:rPr>
              <w:t>故障报警等信息数据上传到</w:t>
            </w:r>
            <w:r>
              <w:rPr>
                <w:rFonts w:hint="eastAsia" w:ascii="Arial" w:hAnsi="Arial" w:cs="Arial"/>
                <w:color w:val="auto"/>
                <w:kern w:val="0"/>
                <w:sz w:val="24"/>
                <w:highlight w:val="none"/>
                <w:lang w:val="en-US" w:eastAsia="zh-CN"/>
              </w:rPr>
              <w:t>金润源水务公司智慧水务平台（阿里云物联网云平台）</w:t>
            </w:r>
            <w:r>
              <w:rPr>
                <w:rFonts w:ascii="Arial" w:hAnsi="Arial" w:cs="Arial"/>
                <w:bCs/>
                <w:color w:val="auto"/>
                <w:kern w:val="0"/>
                <w:sz w:val="24"/>
                <w:highlight w:val="none"/>
              </w:rPr>
              <w:t>，并能实现设备的远程启停和参数设置</w:t>
            </w:r>
            <w:r>
              <w:rPr>
                <w:rFonts w:hint="eastAsia" w:ascii="Arial" w:hAnsi="Arial" w:cs="Arial"/>
                <w:bCs/>
                <w:color w:val="auto"/>
                <w:kern w:val="0"/>
                <w:sz w:val="24"/>
                <w:highlight w:val="none"/>
                <w:lang w:eastAsia="zh-CN"/>
              </w:rPr>
              <w:t>。</w:t>
            </w:r>
            <w:r>
              <w:rPr>
                <w:rFonts w:ascii="Arial" w:hAnsi="Arial" w:cs="Arial"/>
                <w:color w:val="auto"/>
                <w:kern w:val="0"/>
                <w:sz w:val="24"/>
                <w:highlight w:val="none"/>
              </w:rPr>
              <w:t>数据通信优先考虑</w:t>
            </w:r>
            <w:r>
              <w:rPr>
                <w:rFonts w:hint="eastAsia" w:ascii="Arial" w:hAnsi="Arial" w:cs="Arial"/>
                <w:color w:val="auto"/>
                <w:kern w:val="0"/>
                <w:sz w:val="24"/>
                <w:highlight w:val="none"/>
                <w:lang w:eastAsia="zh-CN"/>
              </w:rPr>
              <w:t>有线宽带网络、</w:t>
            </w:r>
            <w:r>
              <w:rPr>
                <w:rFonts w:ascii="Arial" w:hAnsi="Arial" w:cs="Arial"/>
                <w:color w:val="auto"/>
                <w:kern w:val="0"/>
                <w:sz w:val="24"/>
                <w:highlight w:val="none"/>
              </w:rPr>
              <w:t>4G</w:t>
            </w:r>
            <w:r>
              <w:rPr>
                <w:rFonts w:hint="eastAsia" w:ascii="Arial" w:hAnsi="Arial" w:cs="Arial"/>
                <w:color w:val="auto"/>
                <w:kern w:val="0"/>
                <w:sz w:val="24"/>
                <w:highlight w:val="none"/>
                <w:lang w:eastAsia="zh-CN"/>
              </w:rPr>
              <w:t>或以上</w:t>
            </w:r>
            <w:r>
              <w:rPr>
                <w:rFonts w:ascii="Arial" w:hAnsi="Arial" w:cs="Arial"/>
                <w:color w:val="auto"/>
                <w:kern w:val="0"/>
                <w:sz w:val="24"/>
                <w:highlight w:val="none"/>
              </w:rPr>
              <w:t>移动数据通信网络</w:t>
            </w:r>
            <w:r>
              <w:rPr>
                <w:rFonts w:hint="eastAsia" w:ascii="Arial" w:hAnsi="Arial" w:cs="Arial"/>
                <w:color w:val="auto"/>
                <w:kern w:val="0"/>
                <w:sz w:val="24"/>
                <w:highlight w:val="none"/>
              </w:rPr>
              <w:t>；</w:t>
            </w:r>
            <w:r>
              <w:rPr>
                <w:rFonts w:hint="eastAsia" w:ascii="Arial" w:hAnsi="Arial" w:cs="Arial"/>
                <w:b/>
                <w:bCs/>
                <w:color w:val="auto"/>
                <w:kern w:val="0"/>
                <w:sz w:val="24"/>
                <w:highlight w:val="none"/>
              </w:rPr>
              <w:t>应能现场演示远程监控功能</w:t>
            </w:r>
            <w:r>
              <w:rPr>
                <w:rFonts w:hint="eastAsia" w:ascii="Arial" w:hAnsi="Arial" w:cs="Arial"/>
                <w:color w:val="auto"/>
                <w:kern w:val="0"/>
                <w:sz w:val="24"/>
                <w:highlight w:val="none"/>
              </w:rPr>
              <w:t>。</w:t>
            </w:r>
          </w:p>
        </w:tc>
        <w:tc>
          <w:tcPr>
            <w:tcW w:w="787" w:type="dxa"/>
            <w:vAlign w:val="top"/>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8</w:t>
            </w:r>
          </w:p>
        </w:tc>
        <w:tc>
          <w:tcPr>
            <w:tcW w:w="7767" w:type="dxa"/>
            <w:vAlign w:val="top"/>
          </w:tcPr>
          <w:p>
            <w:pPr>
              <w:tabs>
                <w:tab w:val="left" w:pos="567"/>
                <w:tab w:val="left" w:pos="709"/>
                <w:tab w:val="left" w:pos="993"/>
              </w:tabs>
              <w:spacing w:line="360" w:lineRule="auto"/>
              <w:rPr>
                <w:rFonts w:ascii="Arial" w:hAnsi="Arial" w:cs="Arial"/>
                <w:color w:val="auto"/>
                <w:kern w:val="0"/>
                <w:sz w:val="24"/>
                <w:highlight w:val="none"/>
              </w:rPr>
            </w:pPr>
            <w:r>
              <w:rPr>
                <w:rFonts w:ascii="Arial" w:hAnsi="Arial" w:cs="Arial"/>
                <w:color w:val="auto"/>
                <w:sz w:val="24"/>
                <w:highlight w:val="none"/>
              </w:rPr>
              <w:t>产品应具备变频变压功能，具有四个以上时段的压力设置，并能实现自动运行功能。保证用水高峰时，满足用户供水；用水低谷时，避免不必要的扬程损失，节能降耗。</w:t>
            </w:r>
          </w:p>
        </w:tc>
        <w:tc>
          <w:tcPr>
            <w:tcW w:w="787" w:type="dxa"/>
            <w:vAlign w:val="top"/>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9</w:t>
            </w:r>
          </w:p>
        </w:tc>
        <w:tc>
          <w:tcPr>
            <w:tcW w:w="7767" w:type="dxa"/>
            <w:vAlign w:val="top"/>
          </w:tcPr>
          <w:p>
            <w:pPr>
              <w:spacing w:line="360" w:lineRule="auto"/>
              <w:jc w:val="both"/>
              <w:rPr>
                <w:rFonts w:ascii="Arial" w:hAnsi="Arial" w:cs="Arial"/>
                <w:color w:val="auto"/>
                <w:kern w:val="0"/>
                <w:sz w:val="24"/>
                <w:highlight w:val="none"/>
              </w:rPr>
            </w:pPr>
            <w:r>
              <w:rPr>
                <w:rFonts w:ascii="Arial" w:hAnsi="Arial" w:cs="Arial"/>
                <w:color w:val="auto"/>
                <w:sz w:val="24"/>
                <w:highlight w:val="none"/>
              </w:rPr>
              <w:t>各泵间的变频控制与通讯功能：成套设备一对一配置的变频器，应能与</w:t>
            </w:r>
            <w:r>
              <w:rPr>
                <w:rFonts w:ascii="Arial" w:hAnsi="Arial" w:cs="Arial"/>
                <w:bCs/>
                <w:color w:val="auto"/>
                <w:sz w:val="24"/>
                <w:highlight w:val="none"/>
              </w:rPr>
              <w:t>控制器</w:t>
            </w:r>
            <w:r>
              <w:rPr>
                <w:rFonts w:ascii="Arial" w:hAnsi="Arial" w:cs="Arial"/>
                <w:color w:val="auto"/>
                <w:sz w:val="24"/>
                <w:highlight w:val="none"/>
              </w:rPr>
              <w:t>实现通讯，能通过</w:t>
            </w:r>
            <w:r>
              <w:rPr>
                <w:rFonts w:ascii="Arial" w:hAnsi="Arial" w:cs="Arial"/>
                <w:bCs/>
                <w:color w:val="auto"/>
                <w:sz w:val="24"/>
                <w:highlight w:val="none"/>
              </w:rPr>
              <w:t>控制器</w:t>
            </w:r>
            <w:r>
              <w:rPr>
                <w:rFonts w:ascii="Arial" w:hAnsi="Arial" w:cs="Arial"/>
                <w:color w:val="auto"/>
                <w:sz w:val="24"/>
                <w:highlight w:val="none"/>
              </w:rPr>
              <w:t>实现变频器主从关系，当主变频器发生故障时，下一台变频器应能自动担当主变频器继续自动运行正常供水。</w:t>
            </w:r>
          </w:p>
        </w:tc>
        <w:tc>
          <w:tcPr>
            <w:tcW w:w="787" w:type="dxa"/>
            <w:vAlign w:val="top"/>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Merge w:val="restart"/>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10</w:t>
            </w:r>
          </w:p>
        </w:tc>
        <w:tc>
          <w:tcPr>
            <w:tcW w:w="7767" w:type="dxa"/>
            <w:vAlign w:val="top"/>
          </w:tcPr>
          <w:p>
            <w:pPr>
              <w:spacing w:line="360" w:lineRule="auto"/>
              <w:jc w:val="both"/>
              <w:rPr>
                <w:rFonts w:ascii="Arial" w:hAnsi="Arial" w:cs="Arial"/>
                <w:color w:val="auto"/>
                <w:kern w:val="0"/>
                <w:sz w:val="24"/>
                <w:highlight w:val="none"/>
              </w:rPr>
            </w:pPr>
            <w:r>
              <w:rPr>
                <w:rFonts w:ascii="Arial" w:hAnsi="Arial" w:cs="Arial"/>
                <w:color w:val="auto"/>
                <w:sz w:val="24"/>
                <w:highlight w:val="none"/>
              </w:rPr>
              <w:t>水泵启动失败自动切换功能：发出水泵启动信号后，系统（</w:t>
            </w:r>
            <w:r>
              <w:rPr>
                <w:rFonts w:ascii="Arial" w:hAnsi="Arial" w:cs="Arial"/>
                <w:bCs/>
                <w:color w:val="auto"/>
                <w:sz w:val="24"/>
                <w:highlight w:val="none"/>
              </w:rPr>
              <w:t>控制器</w:t>
            </w:r>
            <w:r>
              <w:rPr>
                <w:rFonts w:ascii="Arial" w:hAnsi="Arial" w:cs="Arial"/>
                <w:color w:val="auto"/>
                <w:sz w:val="24"/>
                <w:highlight w:val="none"/>
              </w:rPr>
              <w:t>)延时检测水泵的工作信号，当到达延时时间仍然检测不到该台水泵的运行信号时，该台水泵被视为启动失败，同时投入相应备用水泵运行，并自动发出启动失败警报。</w:t>
            </w:r>
          </w:p>
        </w:tc>
        <w:tc>
          <w:tcPr>
            <w:tcW w:w="787" w:type="dxa"/>
            <w:vAlign w:val="top"/>
          </w:tcPr>
          <w:p>
            <w:pPr>
              <w:spacing w:line="360" w:lineRule="auto"/>
              <w:jc w:val="center"/>
              <w:rPr>
                <w:rFonts w:hint="eastAsia" w:ascii="Arial" w:hAnsi="Arial" w:cs="Arial"/>
                <w:color w:val="auto"/>
                <w:kern w:val="0"/>
                <w:sz w:val="24"/>
                <w:highlight w:val="none"/>
              </w:rPr>
            </w:pPr>
          </w:p>
          <w:p>
            <w:pPr>
              <w:spacing w:line="360" w:lineRule="auto"/>
              <w:jc w:val="center"/>
              <w:rPr>
                <w:rFonts w:hint="eastAsia" w:ascii="Arial" w:hAnsi="Arial" w:cs="Arial"/>
                <w:color w:val="auto"/>
                <w:kern w:val="0"/>
                <w:sz w:val="24"/>
                <w:highlight w:val="none"/>
              </w:rPr>
            </w:pPr>
          </w:p>
          <w:p>
            <w:pPr>
              <w:spacing w:line="360" w:lineRule="auto"/>
              <w:jc w:val="center"/>
              <w:rPr>
                <w:rFonts w:hint="eastAsia" w:ascii="宋体" w:hAnsi="宋体" w:cs="宋体"/>
                <w:color w:val="auto"/>
                <w:sz w:val="24"/>
                <w:highlight w:val="none"/>
              </w:rPr>
            </w:pPr>
            <w:r>
              <w:rPr>
                <w:rFonts w:hint="eastAsia" w:ascii="Arial" w:hAnsi="Arial"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Merge w:val="continue"/>
            <w:vAlign w:val="top"/>
          </w:tcPr>
          <w:p>
            <w:pPr>
              <w:spacing w:line="360" w:lineRule="auto"/>
              <w:jc w:val="center"/>
              <w:rPr>
                <w:rFonts w:hint="eastAsia" w:ascii="Arial" w:hAnsi="Arial" w:cs="Arial"/>
                <w:color w:val="auto"/>
                <w:sz w:val="24"/>
                <w:highlight w:val="none"/>
                <w:vertAlign w:val="baseline"/>
                <w:lang w:val="en-US" w:eastAsia="zh-CN"/>
              </w:rPr>
            </w:pPr>
          </w:p>
        </w:tc>
        <w:tc>
          <w:tcPr>
            <w:tcW w:w="7767" w:type="dxa"/>
            <w:vAlign w:val="top"/>
          </w:tcPr>
          <w:p>
            <w:pPr>
              <w:spacing w:line="360" w:lineRule="auto"/>
              <w:jc w:val="both"/>
              <w:rPr>
                <w:rFonts w:ascii="Arial" w:hAnsi="Arial" w:cs="Arial"/>
                <w:color w:val="auto"/>
                <w:kern w:val="0"/>
                <w:sz w:val="24"/>
                <w:highlight w:val="none"/>
              </w:rPr>
            </w:pPr>
            <w:r>
              <w:rPr>
                <w:rFonts w:ascii="Arial" w:hAnsi="Arial" w:cs="Arial"/>
                <w:color w:val="auto"/>
                <w:kern w:val="0"/>
                <w:sz w:val="24"/>
                <w:highlight w:val="none"/>
              </w:rPr>
              <w:t>爆管保护功能：当供水设备自动运行时，所有水泵满负荷运行，仍然满足不了供水压力需求，系统（控制器)自动生成并发送供水最大能力报警，同时停止设备运行，减少相应的损失，待管理人员现场确认报警后，方能再次供水。</w:t>
            </w:r>
          </w:p>
        </w:tc>
        <w:tc>
          <w:tcPr>
            <w:tcW w:w="787" w:type="dxa"/>
            <w:vAlign w:val="top"/>
          </w:tcPr>
          <w:p>
            <w:pPr>
              <w:spacing w:line="360" w:lineRule="auto"/>
              <w:jc w:val="both"/>
              <w:rPr>
                <w:rFonts w:hint="eastAsia" w:ascii="Arial" w:hAnsi="Arial" w:cs="Arial"/>
                <w:color w:val="auto"/>
                <w:kern w:val="0"/>
                <w:sz w:val="24"/>
                <w:highlight w:val="none"/>
              </w:rPr>
            </w:pPr>
          </w:p>
          <w:p>
            <w:pPr>
              <w:spacing w:line="360" w:lineRule="auto"/>
              <w:ind w:firstLine="240" w:firstLineChars="100"/>
              <w:jc w:val="both"/>
              <w:rPr>
                <w:rFonts w:hint="eastAsia" w:ascii="Arial" w:hAnsi="Arial" w:cs="Arial"/>
                <w:color w:val="auto"/>
                <w:kern w:val="0"/>
                <w:sz w:val="24"/>
                <w:highlight w:val="none"/>
              </w:rPr>
            </w:pPr>
            <w:r>
              <w:rPr>
                <w:rFonts w:hint="eastAsia" w:ascii="Arial" w:hAnsi="Arial"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11</w:t>
            </w:r>
          </w:p>
        </w:tc>
        <w:tc>
          <w:tcPr>
            <w:tcW w:w="7767" w:type="dxa"/>
            <w:vAlign w:val="top"/>
          </w:tcPr>
          <w:p>
            <w:pPr>
              <w:spacing w:line="360" w:lineRule="auto"/>
              <w:jc w:val="both"/>
              <w:rPr>
                <w:rFonts w:ascii="Arial" w:hAnsi="Arial" w:cs="Arial"/>
                <w:color w:val="auto"/>
                <w:sz w:val="24"/>
                <w:highlight w:val="none"/>
              </w:rPr>
            </w:pPr>
            <w:r>
              <w:rPr>
                <w:rFonts w:ascii="Arial" w:hAnsi="Arial" w:cs="Arial"/>
                <w:color w:val="auto"/>
                <w:kern w:val="0"/>
                <w:sz w:val="24"/>
                <w:highlight w:val="none"/>
              </w:rPr>
              <w:t>自动能量优化功能：当多台水泵低频运行时，系统能自动根据当前流量，计算最优、最节能的水泵运行台数和转速，避免多台水泵并联运行在低效区，确保水泵运行在高效状态</w:t>
            </w:r>
            <w:r>
              <w:rPr>
                <w:rFonts w:ascii="Arial" w:hAnsi="Arial" w:cs="Arial"/>
                <w:bCs/>
                <w:color w:val="auto"/>
                <w:sz w:val="24"/>
                <w:highlight w:val="none"/>
              </w:rPr>
              <w:t>，节约能耗。</w:t>
            </w:r>
          </w:p>
        </w:tc>
        <w:tc>
          <w:tcPr>
            <w:tcW w:w="787" w:type="dxa"/>
            <w:vAlign w:val="top"/>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12</w:t>
            </w:r>
          </w:p>
        </w:tc>
        <w:tc>
          <w:tcPr>
            <w:tcW w:w="7767" w:type="dxa"/>
            <w:vAlign w:val="top"/>
          </w:tcPr>
          <w:p>
            <w:pPr>
              <w:spacing w:line="360" w:lineRule="auto"/>
              <w:jc w:val="both"/>
              <w:rPr>
                <w:rFonts w:ascii="Arial" w:hAnsi="Arial" w:cs="Arial"/>
                <w:color w:val="auto"/>
                <w:kern w:val="0"/>
                <w:sz w:val="24"/>
                <w:highlight w:val="none"/>
              </w:rPr>
            </w:pPr>
            <w:r>
              <w:rPr>
                <w:rFonts w:hint="eastAsia" w:ascii="Arial" w:hAnsi="Arial" w:cs="Arial"/>
                <w:color w:val="auto"/>
                <w:kern w:val="0"/>
                <w:sz w:val="24"/>
                <w:highlight w:val="none"/>
              </w:rPr>
              <w:t>)应急变频供水功能：当系统中央控制器损坏，系统能通自动调节应急供水，完成脱离程序控制，实现系统瘫痪应急供水功能。</w:t>
            </w:r>
          </w:p>
        </w:tc>
        <w:tc>
          <w:tcPr>
            <w:tcW w:w="787" w:type="dxa"/>
            <w:vAlign w:val="top"/>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13</w:t>
            </w:r>
          </w:p>
        </w:tc>
        <w:tc>
          <w:tcPr>
            <w:tcW w:w="7767" w:type="dxa"/>
            <w:vAlign w:val="top"/>
          </w:tcPr>
          <w:p>
            <w:pPr>
              <w:spacing w:line="360" w:lineRule="auto"/>
              <w:jc w:val="both"/>
              <w:rPr>
                <w:rFonts w:hint="eastAsia" w:ascii="Arial" w:hAnsi="Arial" w:cs="Arial"/>
                <w:color w:val="auto"/>
                <w:kern w:val="0"/>
                <w:sz w:val="24"/>
                <w:highlight w:val="none"/>
              </w:rPr>
            </w:pPr>
            <w:r>
              <w:rPr>
                <w:rFonts w:ascii="Arial" w:hAnsi="Arial" w:cs="Arial"/>
                <w:color w:val="auto"/>
                <w:kern w:val="0"/>
                <w:sz w:val="24"/>
                <w:highlight w:val="none"/>
              </w:rPr>
              <w:t>设备应具有超压、瞬间失压保护功能：当设备供水压力超过设定超压压力时，设备可自动停止运行并报警，超压消除后可自动恢复正常运行。当出现泵前常压管道瞬间失压时，设备应做延时判断是否真实失压，避免机组反复启动。低于设备运行最小压力时，设备应自动停机；在压力恢复正常时，设备能自动恢复工作。</w:t>
            </w:r>
          </w:p>
        </w:tc>
        <w:tc>
          <w:tcPr>
            <w:tcW w:w="787" w:type="dxa"/>
            <w:vAlign w:val="top"/>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14</w:t>
            </w:r>
          </w:p>
        </w:tc>
        <w:tc>
          <w:tcPr>
            <w:tcW w:w="7767" w:type="dxa"/>
            <w:vAlign w:val="top"/>
          </w:tcPr>
          <w:p>
            <w:pPr>
              <w:widowControl/>
              <w:spacing w:line="360" w:lineRule="auto"/>
              <w:jc w:val="left"/>
              <w:rPr>
                <w:rFonts w:ascii="Arial" w:hAnsi="Arial" w:cs="Arial"/>
                <w:color w:val="auto"/>
                <w:kern w:val="0"/>
                <w:sz w:val="24"/>
                <w:highlight w:val="none"/>
              </w:rPr>
            </w:pPr>
            <w:r>
              <w:rPr>
                <w:rFonts w:ascii="Arial" w:hAnsi="Arial" w:cs="Arial"/>
                <w:color w:val="auto"/>
                <w:kern w:val="0"/>
                <w:sz w:val="24"/>
                <w:highlight w:val="none"/>
              </w:rPr>
              <w:t>设备应具有连续运行功能：设备在额定供水流量和扬程的条件下，连续运转不少于12小时后，各部件不会产生影响正常运行的故障，且水泵运转无杂音和其他异常现象。</w:t>
            </w:r>
          </w:p>
        </w:tc>
        <w:tc>
          <w:tcPr>
            <w:tcW w:w="787" w:type="dxa"/>
            <w:vAlign w:val="top"/>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15</w:t>
            </w:r>
          </w:p>
        </w:tc>
        <w:tc>
          <w:tcPr>
            <w:tcW w:w="7767" w:type="dxa"/>
            <w:vAlign w:val="top"/>
          </w:tcPr>
          <w:p>
            <w:pPr>
              <w:spacing w:line="360" w:lineRule="auto"/>
              <w:jc w:val="both"/>
              <w:rPr>
                <w:rFonts w:ascii="Arial" w:hAnsi="Arial" w:cs="Arial"/>
                <w:color w:val="auto"/>
                <w:kern w:val="0"/>
                <w:sz w:val="24"/>
                <w:highlight w:val="none"/>
              </w:rPr>
            </w:pPr>
            <w:r>
              <w:rPr>
                <w:rFonts w:hint="eastAsia" w:ascii="Arial" w:hAnsi="Arial" w:cs="Arial"/>
                <w:color w:val="auto"/>
                <w:kern w:val="0"/>
                <w:sz w:val="24"/>
                <w:highlight w:val="none"/>
              </w:rPr>
              <w:t>主副压力传感器互为备用功能：设备具有双传感器互为备用功能，设备中任一只传感器出现异常或故障时，设备能自动启动另一只传感器，实现互为备用，保证设备正常运行，不间断供水。</w:t>
            </w:r>
          </w:p>
        </w:tc>
        <w:tc>
          <w:tcPr>
            <w:tcW w:w="787" w:type="dxa"/>
            <w:vAlign w:val="top"/>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16</w:t>
            </w:r>
          </w:p>
        </w:tc>
        <w:tc>
          <w:tcPr>
            <w:tcW w:w="7767" w:type="dxa"/>
            <w:vAlign w:val="top"/>
          </w:tcPr>
          <w:p>
            <w:pPr>
              <w:spacing w:line="360" w:lineRule="auto"/>
              <w:rPr>
                <w:rFonts w:ascii="Arial" w:hAnsi="Arial" w:cs="Arial"/>
                <w:bCs/>
                <w:color w:val="auto"/>
                <w:sz w:val="24"/>
                <w:highlight w:val="none"/>
              </w:rPr>
            </w:pPr>
            <w:r>
              <w:rPr>
                <w:rFonts w:ascii="Arial" w:hAnsi="Arial" w:cs="Arial"/>
                <w:bCs/>
                <w:color w:val="auto"/>
                <w:sz w:val="24"/>
                <w:highlight w:val="none"/>
              </w:rPr>
              <w:t>水锤防护功能：成套设备应具有良好的防止水锤功能，对水泵及管路具有可靠的水锤防护措施。</w:t>
            </w:r>
          </w:p>
          <w:p>
            <w:pPr>
              <w:spacing w:line="360" w:lineRule="auto"/>
              <w:rPr>
                <w:rFonts w:hint="eastAsia" w:ascii="Arial" w:hAnsi="Arial" w:cs="Arial"/>
                <w:color w:val="auto"/>
                <w:kern w:val="0"/>
                <w:sz w:val="24"/>
                <w:highlight w:val="none"/>
              </w:rPr>
            </w:pPr>
            <w:r>
              <w:rPr>
                <w:rFonts w:ascii="Arial" w:hAnsi="Arial" w:cs="Arial"/>
                <w:b/>
                <w:color w:val="auto"/>
                <w:kern w:val="0"/>
                <w:sz w:val="24"/>
                <w:highlight w:val="none"/>
              </w:rPr>
              <w:t>应详细阐述防水锤工作原理，并提供</w:t>
            </w:r>
            <w:r>
              <w:rPr>
                <w:rFonts w:hint="eastAsia" w:ascii="Arial" w:hAnsi="Arial" w:cs="Arial"/>
                <w:b/>
                <w:color w:val="auto"/>
                <w:sz w:val="24"/>
                <w:highlight w:val="none"/>
              </w:rPr>
              <w:t>CMA认证的</w:t>
            </w:r>
            <w:r>
              <w:rPr>
                <w:rFonts w:ascii="Arial" w:hAnsi="Arial" w:cs="Arial"/>
                <w:b/>
                <w:color w:val="auto"/>
                <w:sz w:val="24"/>
                <w:highlight w:val="none"/>
              </w:rPr>
              <w:t>检验报告</w:t>
            </w:r>
          </w:p>
        </w:tc>
        <w:tc>
          <w:tcPr>
            <w:tcW w:w="787" w:type="dxa"/>
            <w:vAlign w:val="top"/>
          </w:tcPr>
          <w:p>
            <w:pPr>
              <w:spacing w:line="360" w:lineRule="auto"/>
              <w:jc w:val="center"/>
              <w:rPr>
                <w:rFonts w:hint="eastAsia" w:ascii="宋体" w:hAnsi="宋体" w:cs="宋体"/>
                <w:color w:val="auto"/>
                <w:sz w:val="24"/>
                <w:highlight w:val="none"/>
                <w:shd w:val="clear" w:color="auto" w:fill="FFFFFF"/>
              </w:rPr>
            </w:pP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17</w:t>
            </w:r>
          </w:p>
        </w:tc>
        <w:tc>
          <w:tcPr>
            <w:tcW w:w="7767" w:type="dxa"/>
            <w:vAlign w:val="top"/>
          </w:tcPr>
          <w:p>
            <w:pPr>
              <w:spacing w:line="360" w:lineRule="auto"/>
              <w:jc w:val="both"/>
              <w:rPr>
                <w:rFonts w:hint="eastAsia" w:ascii="Arial" w:hAnsi="Arial" w:cs="Arial"/>
                <w:color w:val="auto"/>
                <w:kern w:val="0"/>
                <w:sz w:val="24"/>
                <w:highlight w:val="none"/>
              </w:rPr>
            </w:pPr>
            <w:r>
              <w:rPr>
                <w:rFonts w:ascii="Arial" w:hAnsi="Arial" w:cs="Arial"/>
                <w:color w:val="auto"/>
                <w:sz w:val="24"/>
                <w:highlight w:val="none"/>
                <w:shd w:val="clear" w:color="auto" w:fill="FFFFFF"/>
              </w:rPr>
              <w:t>电压波动适应性：将电源电压分别调到额定电压的90％～110％时，设备应能正常工作。</w:t>
            </w:r>
          </w:p>
        </w:tc>
        <w:tc>
          <w:tcPr>
            <w:tcW w:w="787" w:type="dxa"/>
            <w:vAlign w:val="top"/>
          </w:tcPr>
          <w:p>
            <w:pPr>
              <w:spacing w:line="360" w:lineRule="auto"/>
              <w:jc w:val="center"/>
              <w:rPr>
                <w:rFonts w:hint="eastAsia" w:ascii="宋体" w:hAnsi="宋体"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18</w:t>
            </w:r>
          </w:p>
        </w:tc>
        <w:tc>
          <w:tcPr>
            <w:tcW w:w="7767" w:type="dxa"/>
            <w:vAlign w:val="top"/>
          </w:tcPr>
          <w:p>
            <w:pPr>
              <w:spacing w:line="360" w:lineRule="auto"/>
              <w:rPr>
                <w:rFonts w:ascii="Arial" w:hAnsi="Arial" w:cs="Arial"/>
                <w:color w:val="auto"/>
                <w:sz w:val="24"/>
                <w:highlight w:val="none"/>
                <w:shd w:val="clear" w:color="auto" w:fill="FFFFFF"/>
              </w:rPr>
            </w:pPr>
            <w:r>
              <w:rPr>
                <w:rFonts w:hint="eastAsia" w:ascii="Arial" w:hAnsi="Arial" w:cs="Arial"/>
                <w:color w:val="auto"/>
                <w:sz w:val="24"/>
                <w:highlight w:val="none"/>
                <w:shd w:val="clear" w:color="auto" w:fill="FFFFFF"/>
              </w:rPr>
              <w:t>全变频运行功能：能够自动实现两台或两台以上泵组同时同步全变频运行，可以实现效率的均衡分摊，以起到节能的作用。</w:t>
            </w:r>
            <w:r>
              <w:rPr>
                <w:rFonts w:hint="eastAsia" w:ascii="Arial" w:hAnsi="Arial" w:cs="Arial"/>
                <w:b/>
                <w:color w:val="auto"/>
                <w:sz w:val="24"/>
                <w:highlight w:val="none"/>
                <w:shd w:val="clear" w:color="FFFFFF" w:fill="D9D9D9"/>
              </w:rPr>
              <w:t>应提供全变频运行功能的CMA认证的</w:t>
            </w:r>
            <w:r>
              <w:rPr>
                <w:rFonts w:ascii="Arial" w:hAnsi="Arial" w:cs="Arial"/>
                <w:b/>
                <w:color w:val="auto"/>
                <w:sz w:val="24"/>
                <w:highlight w:val="none"/>
                <w:shd w:val="clear" w:color="FFFFFF" w:fill="D9D9D9"/>
              </w:rPr>
              <w:t>检验报告</w:t>
            </w:r>
            <w:r>
              <w:rPr>
                <w:rFonts w:hint="eastAsia" w:ascii="Arial" w:hAnsi="Arial" w:cs="Arial"/>
                <w:b/>
                <w:color w:val="auto"/>
                <w:sz w:val="24"/>
                <w:highlight w:val="none"/>
                <w:shd w:val="clear" w:color="FFFFFF" w:fill="D9D9D9"/>
              </w:rPr>
              <w:t>。</w:t>
            </w:r>
          </w:p>
        </w:tc>
        <w:tc>
          <w:tcPr>
            <w:tcW w:w="787" w:type="dxa"/>
            <w:vAlign w:val="top"/>
          </w:tcPr>
          <w:p>
            <w:pPr>
              <w:spacing w:line="360" w:lineRule="auto"/>
              <w:jc w:val="center"/>
              <w:rPr>
                <w:rFonts w:hint="eastAsia" w:ascii="宋体" w:hAnsi="宋体" w:cs="宋体"/>
                <w:color w:val="auto"/>
                <w:sz w:val="24"/>
                <w:highlight w:val="none"/>
                <w:shd w:val="clear" w:color="auto" w:fill="FFFFFF"/>
              </w:rPr>
            </w:pPr>
          </w:p>
        </w:tc>
      </w:tr>
    </w:tbl>
    <w:p>
      <w:pPr>
        <w:spacing w:line="360" w:lineRule="auto"/>
        <w:rPr>
          <w:rFonts w:ascii="Arial" w:hAnsi="Arial" w:cs="Arial"/>
          <w:b/>
          <w:color w:val="auto"/>
          <w:sz w:val="24"/>
          <w:highlight w:val="none"/>
          <w:shd w:val="clear" w:color="auto" w:fill="FFFFFF"/>
        </w:rPr>
      </w:pPr>
    </w:p>
    <w:p>
      <w:pPr>
        <w:numPr>
          <w:ilvl w:val="0"/>
          <w:numId w:val="4"/>
        </w:numPr>
        <w:spacing w:line="360" w:lineRule="auto"/>
        <w:rPr>
          <w:rFonts w:ascii="Arial" w:hAnsi="Arial" w:cs="Arial"/>
          <w:b/>
          <w:color w:val="auto"/>
          <w:sz w:val="24"/>
          <w:highlight w:val="none"/>
        </w:rPr>
      </w:pPr>
      <w:r>
        <w:rPr>
          <w:rFonts w:ascii="Arial" w:hAnsi="Arial" w:cs="Arial"/>
          <w:b/>
          <w:color w:val="auto"/>
          <w:sz w:val="24"/>
          <w:highlight w:val="none"/>
        </w:rPr>
        <w:t>控制系统</w:t>
      </w:r>
    </w:p>
    <w:tbl>
      <w:tblPr>
        <w:tblStyle w:val="1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78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781" w:type="dxa"/>
            <w:vAlign w:val="top"/>
          </w:tcPr>
          <w:p>
            <w:pPr>
              <w:spacing w:line="360" w:lineRule="auto"/>
              <w:ind w:firstLine="1920" w:firstLineChars="800"/>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69" w:type="dxa"/>
            <w:vAlign w:val="top"/>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781" w:type="dxa"/>
            <w:vAlign w:val="top"/>
          </w:tcPr>
          <w:p>
            <w:pPr>
              <w:spacing w:line="360" w:lineRule="auto"/>
              <w:rPr>
                <w:rFonts w:hint="eastAsia" w:ascii="Arial" w:hAnsi="Arial" w:cs="Arial"/>
                <w:color w:val="auto"/>
                <w:sz w:val="24"/>
                <w:highlight w:val="none"/>
                <w:vertAlign w:val="baseline"/>
                <w:lang w:eastAsia="zh-CN"/>
              </w:rPr>
            </w:pPr>
            <w:r>
              <w:rPr>
                <w:rFonts w:hint="eastAsia" w:ascii="Arial" w:hAnsi="Arial" w:cs="Arial"/>
                <w:color w:val="auto"/>
                <w:sz w:val="24"/>
                <w:highlight w:val="none"/>
              </w:rPr>
              <w:t>控制系统的制造应符合国家现行标准的规定，一对一全变频设备达到IP54等级（GB/T3047.1）</w:t>
            </w:r>
            <w:r>
              <w:rPr>
                <w:rFonts w:hint="eastAsia" w:ascii="Arial" w:hAnsi="Arial" w:cs="Arial"/>
                <w:color w:val="auto"/>
                <w:sz w:val="24"/>
                <w:highlight w:val="none"/>
                <w:lang w:eastAsia="zh-CN"/>
              </w:rPr>
              <w:t>及以上</w:t>
            </w:r>
            <w:r>
              <w:rPr>
                <w:rFonts w:hint="eastAsia" w:ascii="Arial" w:hAnsi="Arial" w:cs="Arial"/>
                <w:color w:val="auto"/>
                <w:sz w:val="24"/>
                <w:highlight w:val="none"/>
              </w:rPr>
              <w:t>；系统参数设置应能设置管理等级；控制柜须通过国家强制性CCC认证；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781" w:type="dxa"/>
            <w:vAlign w:val="top"/>
          </w:tcPr>
          <w:p>
            <w:pPr>
              <w:spacing w:line="360" w:lineRule="auto"/>
              <w:rPr>
                <w:rFonts w:hint="eastAsia" w:ascii="Arial" w:hAnsi="Arial" w:cs="Arial"/>
                <w:color w:val="auto"/>
                <w:sz w:val="24"/>
                <w:highlight w:val="none"/>
              </w:rPr>
            </w:pPr>
            <w:r>
              <w:rPr>
                <w:rFonts w:hint="eastAsia" w:ascii="Arial" w:hAnsi="Arial" w:cs="Arial"/>
                <w:color w:val="auto"/>
                <w:sz w:val="24"/>
                <w:highlight w:val="none"/>
              </w:rPr>
              <w:t>控制柜门内侧必须贴有电气原理图，采用塑封防水密封。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781" w:type="dxa"/>
            <w:vAlign w:val="top"/>
          </w:tcPr>
          <w:p>
            <w:pPr>
              <w:spacing w:line="360" w:lineRule="auto"/>
              <w:rPr>
                <w:rFonts w:hint="eastAsia" w:ascii="Arial" w:hAnsi="Arial" w:cs="Arial"/>
                <w:color w:val="auto"/>
                <w:sz w:val="24"/>
                <w:highlight w:val="none"/>
              </w:rPr>
            </w:pPr>
            <w:r>
              <w:rPr>
                <w:rFonts w:ascii="Arial" w:hAnsi="Arial" w:cs="Arial"/>
                <w:color w:val="auto"/>
                <w:sz w:val="24"/>
                <w:highlight w:val="none"/>
              </w:rPr>
              <w:t>控制柜面板上需具备中文人机界面，能实时显示出水口压力、电流、变频器工作频率、功率、每台水泵的运行状态、运行时间、故障情况等。可设定设备出水口压力，交替换泵时间、每台水泵投入工作还是维护状态等参数，具有故障报警的声、光显示。</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781" w:type="dxa"/>
            <w:vAlign w:val="top"/>
          </w:tcPr>
          <w:p>
            <w:pPr>
              <w:spacing w:line="360" w:lineRule="auto"/>
              <w:rPr>
                <w:rFonts w:ascii="Arial" w:hAnsi="Arial" w:cs="Arial"/>
                <w:color w:val="auto"/>
                <w:sz w:val="24"/>
                <w:highlight w:val="none"/>
              </w:rPr>
            </w:pPr>
            <w:r>
              <w:rPr>
                <w:rFonts w:hint="eastAsia" w:ascii="Arial" w:hAnsi="Arial" w:cs="Arial"/>
                <w:color w:val="auto"/>
                <w:sz w:val="24"/>
                <w:highlight w:val="none"/>
              </w:rPr>
              <w:t>采用集成式变频控制装置，主变频控制系统应封装于一体，且有可靠的冷却和散热装置。</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81" w:type="dxa"/>
            <w:vAlign w:val="top"/>
          </w:tcPr>
          <w:p>
            <w:pPr>
              <w:spacing w:line="360" w:lineRule="auto"/>
              <w:rPr>
                <w:rFonts w:hint="eastAsia" w:ascii="Arial" w:hAnsi="Arial" w:cs="Arial"/>
                <w:color w:val="auto"/>
                <w:sz w:val="24"/>
                <w:highlight w:val="none"/>
              </w:rPr>
            </w:pPr>
            <w:r>
              <w:rPr>
                <w:rFonts w:ascii="Arial" w:hAnsi="Arial" w:cs="Arial"/>
                <w:color w:val="auto"/>
                <w:sz w:val="24"/>
                <w:highlight w:val="none"/>
              </w:rPr>
              <w:t>控制系统面板上应设有增压水泵启闭状态显示、功能指示标志，其图形及文字要求应符合有关标准规定。</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控制系统防护等级应符合国家现行标准的有关规定（GB4208中IP54以上）</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抗干扰性要求：在距离控制柜1m的距离存在一定负荷的电动设备的干扰时，控制柜应能稳定可靠工作。</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top"/>
          </w:tcPr>
          <w:p>
            <w:pPr>
              <w:spacing w:line="360" w:lineRule="auto"/>
              <w:ind w:firstLine="240" w:firstLineChars="100"/>
              <w:jc w:val="both"/>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控制系统应具有良好的通风性能，必须有为变频器散热的外加强制性风扇进行通风散热</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8</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成套设备应具备在停电后恢复供电时能自动启动、自动调节水泵转速和变频启动的功能</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9</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配电线缆选择应符合国际标准GB50217和GB/T16895.15规定。</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10</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选配变频器的额定电流应与水泵电机的最大电流相符，且不容许电流连续流过值超过变频器的额定电流。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11</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变频器选用应参照：ABB、西门子、三肯、施耐德、丹佛斯等品牌技术标准及制造工艺的产品，或不低于上述要求的产品</w:t>
            </w:r>
            <w:r>
              <w:rPr>
                <w:rFonts w:hint="eastAsia" w:ascii="Arial" w:hAnsi="Arial" w:cs="Arial"/>
                <w:color w:val="auto"/>
                <w:sz w:val="24"/>
                <w:highlight w:val="none"/>
              </w:rPr>
              <w:t>，或原装进口的全数字集成电路的水泵专用变频控制器</w:t>
            </w:r>
            <w:r>
              <w:rPr>
                <w:rFonts w:ascii="Arial" w:hAnsi="Arial" w:cs="Arial"/>
                <w:color w:val="auto"/>
                <w:sz w:val="24"/>
                <w:highlight w:val="none"/>
              </w:rPr>
              <w:t>。</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12</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主控制器选用应参照：</w:t>
            </w:r>
            <w:r>
              <w:rPr>
                <w:rFonts w:hint="eastAsia" w:ascii="Arial" w:hAnsi="Arial" w:cs="Arial"/>
                <w:color w:val="auto"/>
                <w:sz w:val="24"/>
                <w:highlight w:val="none"/>
                <w:lang w:val="en-US" w:eastAsia="zh-CN"/>
              </w:rPr>
              <w:t>ABB、</w:t>
            </w:r>
            <w:r>
              <w:rPr>
                <w:rFonts w:ascii="Arial" w:hAnsi="Arial" w:cs="Arial"/>
                <w:color w:val="auto"/>
                <w:sz w:val="24"/>
                <w:highlight w:val="none"/>
              </w:rPr>
              <w:t>西门子S7</w:t>
            </w:r>
            <w:r>
              <w:rPr>
                <w:rFonts w:hint="eastAsia" w:ascii="Arial" w:hAnsi="Arial" w:cs="Arial"/>
                <w:color w:val="auto"/>
                <w:sz w:val="24"/>
                <w:highlight w:val="none"/>
                <w:lang w:val="en-US" w:eastAsia="zh-CN"/>
              </w:rPr>
              <w:t>2</w:t>
            </w:r>
            <w:r>
              <w:rPr>
                <w:rFonts w:ascii="Arial" w:hAnsi="Arial" w:cs="Arial"/>
                <w:color w:val="auto"/>
                <w:sz w:val="24"/>
                <w:highlight w:val="none"/>
              </w:rPr>
              <w:t>00、施耐德BMXXP34系列、罗克韦尔MicroLogix系列等品牌技术标准及制造工艺的产品，或不低于上述要求的产品</w:t>
            </w:r>
            <w:r>
              <w:rPr>
                <w:rFonts w:hint="eastAsia" w:ascii="Arial" w:hAnsi="Arial" w:cs="Arial"/>
                <w:color w:val="auto"/>
                <w:sz w:val="24"/>
                <w:highlight w:val="none"/>
              </w:rPr>
              <w:t>，或原装进口的全数字集成电路的水泵专用变频控制器</w:t>
            </w:r>
            <w:r>
              <w:rPr>
                <w:rFonts w:ascii="Arial" w:hAnsi="Arial" w:cs="Arial"/>
                <w:color w:val="auto"/>
                <w:sz w:val="24"/>
                <w:highlight w:val="none"/>
              </w:rPr>
              <w:t>。</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13</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各类传感器选用应参照：瑞士Huba、瑞士Keller、美国霍尼韦尔、德国E+h产品、西门子、丹佛斯等品牌技术标准及制造工艺的产品，或不低于上述要求的产品。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14</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接触器、中间继电器、断路器、热接触器选用应参照：施耐德、ABB、LG、西门子等品牌技术标准及制造工艺的产品，或不低于上述要求的产品。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15</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主控制回路连接导线、二次回路连接导线应采用多股铜芯线或实心铜芯线</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bl>
    <w:p>
      <w:pPr>
        <w:spacing w:line="360" w:lineRule="auto"/>
        <w:rPr>
          <w:rFonts w:hint="eastAsia" w:ascii="Arial" w:hAnsi="Arial" w:cs="Arial"/>
          <w:b/>
          <w:color w:val="auto"/>
          <w:sz w:val="24"/>
          <w:highlight w:val="none"/>
          <w:lang w:val="en-US" w:eastAsia="zh-CN"/>
        </w:rPr>
      </w:pPr>
    </w:p>
    <w:p>
      <w:pPr>
        <w:spacing w:line="360" w:lineRule="auto"/>
        <w:rPr>
          <w:rFonts w:hint="eastAsia" w:ascii="Arial" w:hAnsi="Arial" w:eastAsia="宋体" w:cs="Arial"/>
          <w:b/>
          <w:bCs/>
          <w:color w:val="auto"/>
          <w:sz w:val="24"/>
          <w:highlight w:val="none"/>
          <w:lang w:eastAsia="zh-CN"/>
        </w:rPr>
      </w:pPr>
      <w:r>
        <w:rPr>
          <w:rFonts w:hint="eastAsia" w:ascii="Arial" w:hAnsi="Arial" w:cs="Arial"/>
          <w:b/>
          <w:color w:val="auto"/>
          <w:sz w:val="24"/>
          <w:highlight w:val="none"/>
          <w:lang w:val="en-US" w:eastAsia="zh-CN"/>
        </w:rPr>
        <w:t>10.</w:t>
      </w:r>
      <w:r>
        <w:rPr>
          <w:rFonts w:ascii="Arial" w:hAnsi="Arial" w:cs="Arial"/>
          <w:b/>
          <w:bCs/>
          <w:color w:val="auto"/>
          <w:sz w:val="24"/>
          <w:highlight w:val="none"/>
        </w:rPr>
        <w:t>变频水泵机组</w:t>
      </w:r>
      <w:r>
        <w:rPr>
          <w:rFonts w:hint="eastAsia" w:ascii="Arial" w:hAnsi="Arial" w:cs="Arial"/>
          <w:b/>
          <w:bCs/>
          <w:color w:val="auto"/>
          <w:sz w:val="24"/>
          <w:highlight w:val="none"/>
          <w:lang w:eastAsia="zh-CN"/>
        </w:rPr>
        <w:t>及配套辅件</w:t>
      </w:r>
    </w:p>
    <w:tbl>
      <w:tblPr>
        <w:tblStyle w:val="1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78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eastAsia="宋体" w:cs="Arial"/>
                <w:color w:val="auto"/>
                <w:sz w:val="24"/>
                <w:highlight w:val="none"/>
                <w:vertAlign w:val="baseline"/>
                <w:lang w:eastAsia="zh-CN"/>
              </w:rPr>
            </w:pPr>
            <w:r>
              <w:rPr>
                <w:rFonts w:hint="eastAsia" w:ascii="Arial" w:hAnsi="Arial" w:cs="Arial"/>
                <w:color w:val="auto"/>
                <w:sz w:val="24"/>
                <w:highlight w:val="none"/>
                <w:vertAlign w:val="baseline"/>
                <w:lang w:eastAsia="zh-CN"/>
              </w:rPr>
              <w:t>序号</w:t>
            </w:r>
          </w:p>
        </w:tc>
        <w:tc>
          <w:tcPr>
            <w:tcW w:w="7781" w:type="dxa"/>
            <w:vAlign w:val="top"/>
          </w:tcPr>
          <w:p>
            <w:pPr>
              <w:spacing w:line="360" w:lineRule="auto"/>
              <w:ind w:firstLine="1920" w:firstLineChars="800"/>
              <w:jc w:val="both"/>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技术参数要求</w:t>
            </w:r>
          </w:p>
        </w:tc>
        <w:tc>
          <w:tcPr>
            <w:tcW w:w="769" w:type="dxa"/>
            <w:vAlign w:val="top"/>
          </w:tcPr>
          <w:p>
            <w:pPr>
              <w:spacing w:line="360" w:lineRule="auto"/>
              <w:jc w:val="center"/>
              <w:rPr>
                <w:rFonts w:ascii="Arial" w:hAnsi="Arial" w:cs="Arial"/>
                <w:color w:val="auto"/>
                <w:sz w:val="24"/>
                <w:highlight w:val="none"/>
                <w:vertAlign w:val="baseline"/>
              </w:rPr>
            </w:pPr>
            <w:r>
              <w:rPr>
                <w:rFonts w:hint="eastAsia" w:ascii="Arial" w:hAnsi="Arial" w:cs="Arial"/>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w:t>
            </w:r>
          </w:p>
        </w:tc>
        <w:tc>
          <w:tcPr>
            <w:tcW w:w="7781" w:type="dxa"/>
            <w:vAlign w:val="top"/>
          </w:tcPr>
          <w:p>
            <w:pPr>
              <w:spacing w:line="360" w:lineRule="auto"/>
              <w:rPr>
                <w:rFonts w:hint="eastAsia" w:ascii="Arial" w:hAnsi="Arial" w:cs="Arial"/>
                <w:color w:val="auto"/>
                <w:sz w:val="24"/>
                <w:highlight w:val="none"/>
                <w:vertAlign w:val="baseline"/>
                <w:lang w:eastAsia="zh-CN"/>
              </w:rPr>
            </w:pPr>
            <w:r>
              <w:rPr>
                <w:rFonts w:ascii="Arial" w:hAnsi="Arial" w:cs="Arial"/>
                <w:bCs/>
                <w:color w:val="auto"/>
                <w:sz w:val="24"/>
                <w:highlight w:val="none"/>
              </w:rPr>
              <w:t>所选配水泵应与供水设备为同一品牌；若水泵需外购的，水泵</w:t>
            </w:r>
            <w:r>
              <w:rPr>
                <w:rFonts w:ascii="Arial" w:hAnsi="Arial" w:cs="Arial"/>
                <w:color w:val="auto"/>
                <w:sz w:val="24"/>
                <w:highlight w:val="none"/>
              </w:rPr>
              <w:t>选用</w:t>
            </w:r>
            <w:r>
              <w:rPr>
                <w:rFonts w:hint="eastAsia" w:ascii="Arial" w:hAnsi="Arial" w:cs="Arial"/>
                <w:bCs/>
                <w:color w:val="auto"/>
                <w:sz w:val="24"/>
                <w:highlight w:val="none"/>
                <w:lang w:eastAsia="zh-CN"/>
              </w:rPr>
              <w:t>进口</w:t>
            </w:r>
            <w:r>
              <w:rPr>
                <w:rFonts w:ascii="Arial" w:hAnsi="Arial" w:cs="Arial"/>
                <w:bCs/>
                <w:color w:val="auto"/>
                <w:sz w:val="24"/>
                <w:highlight w:val="none"/>
              </w:rPr>
              <w:t>知名品牌</w:t>
            </w:r>
            <w:r>
              <w:rPr>
                <w:rFonts w:hint="eastAsia" w:ascii="Arial" w:hAnsi="Arial" w:cs="Arial"/>
                <w:bCs/>
                <w:color w:val="auto"/>
                <w:sz w:val="24"/>
                <w:highlight w:val="none"/>
                <w:lang w:eastAsia="zh-CN"/>
              </w:rPr>
              <w:t>（如格兰富、威乐、赛莱默、杜科或</w:t>
            </w:r>
            <w:r>
              <w:rPr>
                <w:rFonts w:ascii="Arial" w:hAnsi="Arial" w:cs="Arial"/>
                <w:color w:val="auto"/>
                <w:sz w:val="24"/>
                <w:highlight w:val="none"/>
              </w:rPr>
              <w:t>不低于上述要求的产品</w:t>
            </w:r>
            <w:r>
              <w:rPr>
                <w:rFonts w:hint="eastAsia" w:ascii="Arial" w:hAnsi="Arial" w:cs="Arial"/>
                <w:bCs/>
                <w:color w:val="auto"/>
                <w:sz w:val="24"/>
                <w:highlight w:val="none"/>
                <w:lang w:eastAsia="zh-CN"/>
              </w:rPr>
              <w:t>）</w:t>
            </w:r>
            <w:r>
              <w:rPr>
                <w:rFonts w:ascii="Arial" w:hAnsi="Arial" w:cs="Arial"/>
                <w:color w:val="auto"/>
                <w:sz w:val="24"/>
                <w:highlight w:val="none"/>
              </w:rPr>
              <w:t>。</w:t>
            </w:r>
            <w:r>
              <w:rPr>
                <w:rFonts w:ascii="Arial" w:hAnsi="Arial" w:cs="Arial"/>
                <w:bCs/>
                <w:color w:val="auto"/>
                <w:sz w:val="24"/>
                <w:highlight w:val="none"/>
              </w:rPr>
              <w:t>水泵其所有过流部件必须均为</w:t>
            </w:r>
            <w:r>
              <w:rPr>
                <w:rFonts w:ascii="Arial" w:hAnsi="Arial" w:cs="Arial"/>
                <w:color w:val="auto"/>
                <w:sz w:val="24"/>
                <w:highlight w:val="none"/>
              </w:rPr>
              <w:t>06Cr19Ni10</w:t>
            </w:r>
            <w:r>
              <w:rPr>
                <w:rFonts w:ascii="Arial" w:hAnsi="Arial" w:cs="Arial"/>
                <w:bCs/>
                <w:color w:val="auto"/>
                <w:sz w:val="24"/>
                <w:highlight w:val="none"/>
              </w:rPr>
              <w:t>不锈钢材质，水泵配套的电机冷却形式为风冷形式。</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2</w:t>
            </w:r>
          </w:p>
        </w:tc>
        <w:tc>
          <w:tcPr>
            <w:tcW w:w="7781" w:type="dxa"/>
            <w:vAlign w:val="top"/>
          </w:tcPr>
          <w:p>
            <w:pPr>
              <w:spacing w:line="360" w:lineRule="auto"/>
              <w:rPr>
                <w:rFonts w:hint="eastAsia" w:ascii="Arial" w:hAnsi="Arial" w:eastAsia="宋体" w:cs="Arial"/>
                <w:bCs/>
                <w:color w:val="auto"/>
                <w:sz w:val="24"/>
                <w:highlight w:val="none"/>
                <w:lang w:eastAsia="zh-CN"/>
              </w:rPr>
            </w:pPr>
            <w:r>
              <w:rPr>
                <w:rFonts w:ascii="Arial" w:hAnsi="Arial" w:cs="Arial"/>
                <w:color w:val="auto"/>
                <w:kern w:val="0"/>
                <w:sz w:val="24"/>
                <w:highlight w:val="none"/>
              </w:rPr>
              <w:t>水泵采用立式不锈钢离心泵，过流部件全部采用06Cr19Ni10不锈钢，电机轴与泵轴须采用联轴器连接。</w:t>
            </w:r>
            <w:r>
              <w:rPr>
                <w:rFonts w:ascii="Arial" w:hAnsi="Arial" w:cs="Arial"/>
                <w:color w:val="auto"/>
                <w:sz w:val="24"/>
                <w:highlight w:val="none"/>
              </w:rPr>
              <w:t>水泵性能应符合GB/T5657要求，效率值不低于GB19762节能评价效率值的规定。</w:t>
            </w:r>
            <w:r>
              <w:rPr>
                <w:rFonts w:ascii="Arial" w:hAnsi="Arial" w:cs="Arial"/>
                <w:color w:val="auto"/>
                <w:kern w:val="0"/>
                <w:sz w:val="24"/>
                <w:highlight w:val="none"/>
              </w:rPr>
              <w:t>水泵采用机械密封，集装式轴封</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3</w:t>
            </w:r>
          </w:p>
        </w:tc>
        <w:tc>
          <w:tcPr>
            <w:tcW w:w="7781" w:type="dxa"/>
            <w:vAlign w:val="top"/>
          </w:tcPr>
          <w:p>
            <w:pPr>
              <w:spacing w:line="360" w:lineRule="auto"/>
              <w:rPr>
                <w:rFonts w:ascii="Arial" w:hAnsi="Arial" w:cs="Arial"/>
                <w:color w:val="auto"/>
                <w:kern w:val="0"/>
                <w:sz w:val="24"/>
                <w:highlight w:val="none"/>
              </w:rPr>
            </w:pPr>
            <w:r>
              <w:rPr>
                <w:rFonts w:ascii="Arial" w:hAnsi="Arial" w:cs="Arial"/>
                <w:color w:val="auto"/>
                <w:kern w:val="0"/>
                <w:sz w:val="24"/>
                <w:highlight w:val="none"/>
              </w:rPr>
              <w:t>水泵配套的电机性能应符合GB755的规定，采用新型节能产品，</w:t>
            </w:r>
            <w:r>
              <w:rPr>
                <w:rFonts w:ascii="Arial" w:hAnsi="Arial" w:cs="Arial"/>
                <w:b/>
                <w:color w:val="auto"/>
                <w:kern w:val="0"/>
                <w:sz w:val="24"/>
                <w:highlight w:val="none"/>
              </w:rPr>
              <w:t>能耗等级不低于</w:t>
            </w:r>
            <w:r>
              <w:rPr>
                <w:rFonts w:hint="eastAsia" w:ascii="Arial" w:hAnsi="Arial" w:cs="Arial"/>
                <w:b/>
                <w:color w:val="auto"/>
                <w:kern w:val="0"/>
                <w:sz w:val="24"/>
                <w:highlight w:val="none"/>
                <w:lang w:val="en-US" w:eastAsia="zh-CN"/>
              </w:rPr>
              <w:t>2</w:t>
            </w:r>
            <w:r>
              <w:rPr>
                <w:rFonts w:ascii="Arial" w:hAnsi="Arial" w:cs="Arial"/>
                <w:b/>
                <w:color w:val="auto"/>
                <w:kern w:val="0"/>
                <w:sz w:val="24"/>
                <w:highlight w:val="none"/>
              </w:rPr>
              <w:t>级</w:t>
            </w:r>
            <w:r>
              <w:rPr>
                <w:rFonts w:ascii="Arial" w:hAnsi="Arial" w:cs="Arial"/>
                <w:color w:val="auto"/>
                <w:kern w:val="0"/>
                <w:sz w:val="24"/>
                <w:highlight w:val="none"/>
              </w:rPr>
              <w:t>（GB18613），绝缘等级不低于F，防护等级不低于IP55，噪音等级≤75dB</w:t>
            </w:r>
            <w:r>
              <w:rPr>
                <w:rFonts w:ascii="Arial" w:hAnsi="Arial" w:cs="Arial"/>
                <w:b/>
                <w:color w:val="auto"/>
                <w:sz w:val="24"/>
                <w:highlight w:val="none"/>
              </w:rPr>
              <w:t>。</w:t>
            </w:r>
          </w:p>
        </w:tc>
        <w:tc>
          <w:tcPr>
            <w:tcW w:w="769" w:type="dxa"/>
            <w:vAlign w:val="top"/>
          </w:tcPr>
          <w:p>
            <w:pPr>
              <w:spacing w:line="360" w:lineRule="auto"/>
              <w:jc w:val="center"/>
              <w:rPr>
                <w:rFonts w:hint="eastAsia" w:ascii="Arial" w:hAnsi="Arial" w:cs="Arial"/>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4</w:t>
            </w:r>
          </w:p>
        </w:tc>
        <w:tc>
          <w:tcPr>
            <w:tcW w:w="7781" w:type="dxa"/>
            <w:vAlign w:val="top"/>
          </w:tcPr>
          <w:p>
            <w:pPr>
              <w:spacing w:line="360" w:lineRule="auto"/>
              <w:rPr>
                <w:rFonts w:ascii="Arial" w:hAnsi="Arial" w:cs="Arial"/>
                <w:color w:val="auto"/>
                <w:kern w:val="0"/>
                <w:sz w:val="24"/>
                <w:highlight w:val="none"/>
              </w:rPr>
            </w:pPr>
            <w:r>
              <w:rPr>
                <w:rFonts w:ascii="Arial" w:hAnsi="Arial" w:cs="Arial"/>
                <w:color w:val="auto"/>
                <w:sz w:val="24"/>
                <w:highlight w:val="none"/>
              </w:rPr>
              <w:t>每台泵均需配止回阀和进、出口阀门。</w:t>
            </w:r>
            <w:r>
              <w:rPr>
                <w:rFonts w:hint="eastAsia" w:ascii="Arial" w:hAnsi="Arial" w:cs="Arial"/>
                <w:color w:val="auto"/>
                <w:sz w:val="24"/>
                <w:highlight w:val="none"/>
              </w:rPr>
              <w:t>配不锈钢进、出集水管，进、出水总管配置挠性接头</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5</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投标人应提供水泵的组成部件清单、材质、水泵特性曲线及调试报告，显示有关水泵在指定的工作条件下的用电负荷、扬程、流量、轴功率以及效率等性能参数资料</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6</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成套设备所选配水泵额定转速时的工作点应位于水泵高效区段，且处于高效区的下降段。</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7</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成套设备基座材质必须是符合现行国标要求的型钢底座，型钢底座外表面应做防腐处理。型钢底座与水泵铸造基板物理隔离</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8</w:t>
            </w:r>
          </w:p>
        </w:tc>
        <w:tc>
          <w:tcPr>
            <w:tcW w:w="7781" w:type="dxa"/>
            <w:vAlign w:val="top"/>
          </w:tcPr>
          <w:p>
            <w:pPr>
              <w:spacing w:line="360" w:lineRule="auto"/>
              <w:jc w:val="left"/>
              <w:rPr>
                <w:rFonts w:hint="eastAsia"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稳流补偿器的设计压力应不低于供水管网的最大供水压力，设计、制造、检验等应符合国家现行标准。（GB150）</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44" w:type="dxa"/>
            <w:vAlign w:val="top"/>
          </w:tcPr>
          <w:p>
            <w:pPr>
              <w:spacing w:line="360" w:lineRule="auto"/>
              <w:jc w:val="center"/>
              <w:rPr>
                <w:rFonts w:hint="eastAsia"/>
                <w:lang w:val="en-US" w:eastAsia="zh-CN"/>
              </w:rPr>
            </w:pPr>
          </w:p>
          <w:p>
            <w:pPr>
              <w:spacing w:line="360" w:lineRule="auto"/>
              <w:ind w:firstLine="240" w:firstLineChars="100"/>
              <w:jc w:val="both"/>
              <w:rPr>
                <w:rFonts w:hint="default"/>
                <w:lang w:val="en-US" w:eastAsia="zh-CN"/>
              </w:rPr>
            </w:pPr>
            <w:r>
              <w:rPr>
                <w:rFonts w:hint="eastAsia" w:ascii="Arial" w:hAnsi="Arial" w:cs="Arial"/>
                <w:color w:val="auto"/>
                <w:sz w:val="24"/>
                <w:highlight w:val="none"/>
                <w:lang w:val="en-US" w:eastAsia="zh-CN"/>
              </w:rPr>
              <w:t>9</w:t>
            </w:r>
          </w:p>
        </w:tc>
        <w:tc>
          <w:tcPr>
            <w:tcW w:w="7781" w:type="dxa"/>
            <w:vAlign w:val="top"/>
          </w:tcPr>
          <w:p>
            <w:pPr>
              <w:spacing w:line="360" w:lineRule="auto"/>
              <w:jc w:val="left"/>
              <w:rPr>
                <w:rFonts w:hint="eastAsia"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稳流补偿器的材质应不低于06Cr19Ni10等级不锈钢,壁厚度不小于4mm。其承压焊缝，应采用自动等离子焊接、自动氩弧焊接。支座应符合JB/T4712.1的要求</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10</w:t>
            </w:r>
          </w:p>
        </w:tc>
        <w:tc>
          <w:tcPr>
            <w:tcW w:w="7781" w:type="dxa"/>
            <w:vAlign w:val="top"/>
          </w:tcPr>
          <w:p>
            <w:pPr>
              <w:spacing w:line="360" w:lineRule="auto"/>
              <w:rPr>
                <w:rFonts w:ascii="Arial" w:hAnsi="Arial" w:cs="Arial"/>
                <w:color w:val="auto"/>
                <w:sz w:val="24"/>
                <w:highlight w:val="none"/>
              </w:rPr>
            </w:pPr>
            <w:r>
              <w:rPr>
                <w:rFonts w:hint="eastAsia" w:ascii="Arial" w:hAnsi="Arial" w:cs="Arial"/>
                <w:color w:val="auto"/>
                <w:sz w:val="24"/>
                <w:highlight w:val="none"/>
              </w:rPr>
              <w:t>气</w:t>
            </w:r>
            <w:r>
              <w:rPr>
                <w:rFonts w:ascii="Arial" w:hAnsi="Arial" w:cs="Arial"/>
                <w:color w:val="auto"/>
                <w:sz w:val="24"/>
                <w:highlight w:val="none"/>
              </w:rPr>
              <w:t>压罐承压应符合设计要求，罐内隔膜需符合生活饮用水卫生标准。</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11</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气压罐选用应参照：阿库斯坦、VAREM、</w:t>
            </w:r>
            <w:r>
              <w:rPr>
                <w:rFonts w:ascii="Arial" w:hAnsi="Arial" w:cs="Arial"/>
                <w:color w:val="auto"/>
                <w:sz w:val="24"/>
                <w:highlight w:val="none"/>
                <w:shd w:val="clear" w:color="auto" w:fill="FFFFFF"/>
              </w:rPr>
              <w:t>DAF</w:t>
            </w:r>
            <w:r>
              <w:rPr>
                <w:rFonts w:ascii="Arial" w:hAnsi="Arial" w:cs="Arial"/>
                <w:color w:val="auto"/>
                <w:sz w:val="24"/>
                <w:highlight w:val="none"/>
              </w:rPr>
              <w:t xml:space="preserve"> 、GWS、ZILMET等品牌的技术标准及制造工艺的产品，或不低于上述要求的产品，</w:t>
            </w:r>
            <w:r>
              <w:rPr>
                <w:rFonts w:hint="eastAsia" w:ascii="Arial" w:hAnsi="Arial" w:cs="Arial"/>
                <w:color w:val="auto"/>
                <w:sz w:val="24"/>
                <w:highlight w:val="none"/>
              </w:rPr>
              <w:t>成套设备所配气压罐采用国产品牌时须提供压力容器生产许可证，采用进口品牌气压罐时须提供进口压力容器许可批件。</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p>
            <w:pPr>
              <w:spacing w:line="360" w:lineRule="auto"/>
              <w:jc w:val="center"/>
              <w:rPr>
                <w:rFonts w:hint="eastAsia" w:ascii="宋体" w:hAnsi="宋体" w:eastAsia="宋体" w:cs="宋体"/>
                <w:color w:val="auto"/>
                <w:sz w:val="24"/>
                <w:highlight w:val="none"/>
                <w:vertAlign w:val="baseline"/>
                <w:lang w:eastAsia="zh-CN"/>
              </w:rPr>
            </w:pPr>
          </w:p>
          <w:p>
            <w:pPr>
              <w:spacing w:line="360" w:lineRule="auto"/>
              <w:jc w:val="center"/>
              <w:rPr>
                <w:rFonts w:hint="eastAsia" w:ascii="宋体" w:hAnsi="宋体" w:eastAsia="宋体" w:cs="宋体"/>
                <w:color w:val="auto"/>
                <w:sz w:val="24"/>
                <w:highlight w:val="none"/>
                <w:vertAlign w:val="baseline"/>
                <w:lang w:eastAsia="zh-CN"/>
              </w:rPr>
            </w:pPr>
            <w:r>
              <w:rPr>
                <w:rFonts w:hint="eastAsia" w:ascii="宋体" w:hAnsi="宋体" w:eastAsia="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12</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压力传感器应采用不锈钢材质。压力采集与反馈采用压力传感器，压力调整稳定可靠，设定压力与实际压力差不得超过±0.01MPa。主控制系统应具有显示压力值与实际压力不一致时的偏差调整功能。</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eastAsia" w:ascii="Arial" w:hAnsi="Arial" w:cs="Arial"/>
                <w:color w:val="auto"/>
                <w:sz w:val="24"/>
                <w:highlight w:val="none"/>
                <w:vertAlign w:val="baseline"/>
                <w:lang w:val="en-US" w:eastAsia="zh-CN"/>
              </w:rPr>
            </w:pPr>
          </w:p>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13</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管件应采用06Cr19Ni10不锈钢或以上等级不锈钢，并应符合GB/T12459的规定，管件尺寸应与管道相匹配，管道最小厚度不得小于3mm。管件的公称压力或最大允许工作压力不应小于其最高工作压力。</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44" w:type="dxa"/>
            <w:vAlign w:val="top"/>
          </w:tcPr>
          <w:p>
            <w:pPr>
              <w:spacing w:line="360" w:lineRule="auto"/>
              <w:jc w:val="center"/>
              <w:rPr>
                <w:rFonts w:hint="default" w:ascii="Arial" w:hAnsi="Arial" w:cs="Arial"/>
                <w:color w:val="auto"/>
                <w:sz w:val="24"/>
                <w:highlight w:val="none"/>
                <w:vertAlign w:val="baseline"/>
                <w:lang w:val="en-US" w:eastAsia="zh-CN"/>
              </w:rPr>
            </w:pPr>
            <w:r>
              <w:rPr>
                <w:rFonts w:hint="eastAsia" w:ascii="Arial" w:hAnsi="Arial" w:cs="Arial"/>
                <w:color w:val="auto"/>
                <w:sz w:val="24"/>
                <w:highlight w:val="none"/>
                <w:vertAlign w:val="baseline"/>
                <w:lang w:val="en-US" w:eastAsia="zh-CN"/>
              </w:rPr>
              <w:t>14</w:t>
            </w:r>
          </w:p>
        </w:tc>
        <w:tc>
          <w:tcPr>
            <w:tcW w:w="7781" w:type="dxa"/>
            <w:vAlign w:val="top"/>
          </w:tcPr>
          <w:p>
            <w:pPr>
              <w:spacing w:line="360" w:lineRule="auto"/>
              <w:rPr>
                <w:rFonts w:ascii="Arial" w:hAnsi="Arial" w:cs="Arial"/>
                <w:color w:val="auto"/>
                <w:sz w:val="24"/>
                <w:highlight w:val="none"/>
              </w:rPr>
            </w:pPr>
            <w:r>
              <w:rPr>
                <w:rFonts w:ascii="Arial" w:hAnsi="Arial" w:cs="Arial"/>
                <w:color w:val="auto"/>
                <w:sz w:val="24"/>
                <w:highlight w:val="none"/>
              </w:rPr>
              <w:t>各种连接法兰的型式、材质、公称压力、尺寸、标记应符合GB/T9119、GB/T9123.1的规定，还应与配用的管道、连接件相配合。</w:t>
            </w:r>
          </w:p>
        </w:tc>
        <w:tc>
          <w:tcPr>
            <w:tcW w:w="769" w:type="dxa"/>
            <w:vAlign w:val="top"/>
          </w:tcPr>
          <w:p>
            <w:pPr>
              <w:spacing w:line="360" w:lineRule="auto"/>
              <w:jc w:val="center"/>
              <w:rPr>
                <w:rFonts w:hint="eastAsia" w:ascii="宋体" w:hAnsi="宋体" w:eastAsia="宋体" w:cs="宋体"/>
                <w:color w:val="auto"/>
                <w:sz w:val="24"/>
                <w:highlight w:val="none"/>
                <w:vertAlign w:val="baseline"/>
                <w:lang w:eastAsia="zh-CN"/>
              </w:rPr>
            </w:pPr>
          </w:p>
        </w:tc>
      </w:tr>
    </w:tbl>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r>
        <w:rPr>
          <w:rFonts w:hint="eastAsia" w:ascii="宋体" w:hAnsi="宋体" w:eastAsia="宋体" w:cs="宋体"/>
          <w:sz w:val="24"/>
          <w:szCs w:val="24"/>
        </w:rPr>
        <w:t>其他说明：产品出厂时供应商随机提供下列技术文件或资料：</w:t>
      </w:r>
      <w:bookmarkEnd w:id="57"/>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bookmarkStart w:id="66" w:name="_Toc22114"/>
      <w:r>
        <w:rPr>
          <w:rFonts w:hint="eastAsia" w:ascii="宋体" w:hAnsi="宋体" w:eastAsia="宋体" w:cs="宋体"/>
          <w:sz w:val="24"/>
          <w:szCs w:val="24"/>
        </w:rPr>
        <w:t>①产品合格证书（原件）、产品试验报告（原件）。</w:t>
      </w:r>
      <w:bookmarkEnd w:id="66"/>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bookmarkStart w:id="67" w:name="_Toc4741"/>
      <w:r>
        <w:rPr>
          <w:rFonts w:hint="eastAsia" w:ascii="宋体" w:hAnsi="宋体" w:eastAsia="宋体" w:cs="宋体"/>
          <w:sz w:val="24"/>
          <w:szCs w:val="24"/>
        </w:rPr>
        <w:t>②所有外购产品合格证、试验报告。</w:t>
      </w:r>
      <w:bookmarkEnd w:id="67"/>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bookmarkStart w:id="68" w:name="_Toc3987"/>
      <w:r>
        <w:rPr>
          <w:rFonts w:hint="eastAsia" w:ascii="宋体" w:hAnsi="宋体" w:eastAsia="宋体" w:cs="宋体"/>
          <w:sz w:val="24"/>
          <w:szCs w:val="24"/>
        </w:rPr>
        <w:t>③技术资料</w:t>
      </w:r>
      <w:r>
        <w:rPr>
          <w:rFonts w:ascii="宋体" w:hAnsi="宋体" w:eastAsia="宋体" w:cs="宋体"/>
          <w:sz w:val="24"/>
          <w:szCs w:val="24"/>
        </w:rPr>
        <w:t xml:space="preserve"> 1 </w:t>
      </w:r>
      <w:r>
        <w:rPr>
          <w:rFonts w:hint="eastAsia" w:ascii="宋体" w:hAnsi="宋体" w:eastAsia="宋体" w:cs="宋体"/>
          <w:sz w:val="24"/>
          <w:szCs w:val="24"/>
        </w:rPr>
        <w:t>套：包含说明书、设备线路图册、操作手册、维护手册等设备相关技术资料。</w:t>
      </w:r>
      <w:bookmarkEnd w:id="68"/>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bookmarkStart w:id="69" w:name="_Toc18873"/>
      <w:r>
        <w:rPr>
          <w:rFonts w:hint="eastAsia" w:ascii="宋体" w:hAnsi="宋体" w:eastAsia="宋体" w:cs="宋体"/>
          <w:sz w:val="24"/>
          <w:szCs w:val="24"/>
        </w:rPr>
        <w:t>④提供设备安装需要的图纸，包含设备基础图纸，配套工程图纸要求；设备尺寸、</w:t>
      </w:r>
      <w:bookmarkEnd w:id="69"/>
    </w:p>
    <w:p>
      <w:pPr>
        <w:pStyle w:val="4"/>
        <w:keepNext w:val="0"/>
        <w:keepLines w:val="0"/>
        <w:kinsoku w:val="0"/>
        <w:autoSpaceDE w:val="0"/>
        <w:autoSpaceDN w:val="0"/>
        <w:adjustRightInd w:val="0"/>
        <w:snapToGrid w:val="0"/>
        <w:spacing w:before="0" w:after="0" w:line="288" w:lineRule="auto"/>
        <w:rPr>
          <w:rFonts w:ascii="宋体" w:hAnsi="宋体" w:eastAsia="宋体" w:cs="宋体"/>
          <w:sz w:val="24"/>
          <w:szCs w:val="24"/>
        </w:rPr>
      </w:pPr>
      <w:bookmarkStart w:id="70" w:name="_Toc30282"/>
      <w:r>
        <w:rPr>
          <w:rFonts w:hint="eastAsia" w:ascii="宋体" w:hAnsi="宋体" w:eastAsia="宋体" w:cs="宋体"/>
          <w:sz w:val="24"/>
          <w:szCs w:val="24"/>
        </w:rPr>
        <w:t>重量、水、电、气要求等全部安装要求的资料。与施工单位做好技术交底。</w:t>
      </w:r>
      <w:bookmarkEnd w:id="70"/>
    </w:p>
    <w:p>
      <w:pPr>
        <w:pStyle w:val="4"/>
        <w:keepNext w:val="0"/>
        <w:keepLines w:val="0"/>
        <w:kinsoku w:val="0"/>
        <w:autoSpaceDE w:val="0"/>
        <w:autoSpaceDN w:val="0"/>
        <w:adjustRightInd w:val="0"/>
        <w:snapToGrid w:val="0"/>
        <w:spacing w:before="0" w:after="0" w:line="288" w:lineRule="auto"/>
        <w:rPr>
          <w:rFonts w:hint="eastAsia" w:ascii="宋体" w:hAnsi="宋体" w:eastAsia="宋体" w:cs="宋体"/>
          <w:sz w:val="24"/>
          <w:szCs w:val="24"/>
        </w:rPr>
      </w:pPr>
      <w:bookmarkStart w:id="71" w:name="_Toc21181"/>
      <w:r>
        <w:rPr>
          <w:rFonts w:hint="eastAsia" w:ascii="宋体" w:hAnsi="宋体" w:eastAsia="宋体" w:cs="宋体"/>
          <w:sz w:val="24"/>
          <w:szCs w:val="24"/>
        </w:rPr>
        <w:t>⑤详细的配置清单、易耗品清单、备件清单。</w:t>
      </w:r>
      <w:bookmarkEnd w:id="71"/>
    </w:p>
    <w:p>
      <w:pPr>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⑥</w:t>
      </w:r>
      <w:r>
        <w:rPr>
          <w:rFonts w:hint="eastAsia" w:ascii="宋体" w:hAnsi="宋体" w:cs="宋体"/>
          <w:b/>
          <w:bCs/>
          <w:color w:val="FF0000"/>
          <w:kern w:val="2"/>
          <w:sz w:val="24"/>
          <w:szCs w:val="24"/>
          <w:lang w:val="en-US" w:eastAsia="zh-CN" w:bidi="ar-SA"/>
        </w:rPr>
        <w:t>成交供应商自行承担金润源水务公司智慧水务平台相关费用。</w:t>
      </w:r>
    </w:p>
    <w:p>
      <w:pPr>
        <w:tabs>
          <w:tab w:val="left" w:pos="1629"/>
        </w:tabs>
        <w:spacing w:before="59"/>
        <w:jc w:val="cente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rPr>
          <w:b/>
          <w:sz w:val="44"/>
          <w:szCs w:val="44"/>
        </w:rPr>
      </w:pPr>
    </w:p>
    <w:p>
      <w:pPr>
        <w:rPr>
          <w:b/>
          <w:sz w:val="44"/>
          <w:szCs w:val="44"/>
        </w:rPr>
      </w:pPr>
    </w:p>
    <w:p>
      <w:pPr>
        <w:pStyle w:val="19"/>
      </w:pPr>
    </w:p>
    <w:p>
      <w:pPr>
        <w:pStyle w:val="2"/>
      </w:pPr>
    </w:p>
    <w:p>
      <w:pPr>
        <w:tabs>
          <w:tab w:val="left" w:pos="1629"/>
        </w:tabs>
        <w:spacing w:before="59"/>
        <w:jc w:val="center"/>
        <w:rPr>
          <w:b/>
          <w:sz w:val="44"/>
          <w:szCs w:val="44"/>
        </w:rPr>
      </w:pPr>
      <w:r>
        <w:rPr>
          <w:rFonts w:hint="eastAsia"/>
          <w:b/>
          <w:sz w:val="44"/>
          <w:szCs w:val="44"/>
        </w:rPr>
        <w:t>第四章</w:t>
      </w:r>
      <w:r>
        <w:rPr>
          <w:b/>
          <w:sz w:val="44"/>
          <w:szCs w:val="44"/>
        </w:rPr>
        <w:tab/>
      </w:r>
      <w:r>
        <w:rPr>
          <w:rFonts w:hint="eastAsia"/>
          <w:b/>
          <w:sz w:val="44"/>
          <w:szCs w:val="44"/>
        </w:rPr>
        <w:t>合同条款及格式</w:t>
      </w:r>
    </w:p>
    <w:p>
      <w:pPr>
        <w:rPr>
          <w:b/>
          <w:sz w:val="20"/>
        </w:rPr>
      </w:pPr>
    </w:p>
    <w:p>
      <w:pPr>
        <w:rPr>
          <w:b/>
          <w:sz w:val="20"/>
        </w:rPr>
      </w:pPr>
    </w:p>
    <w:p>
      <w:pPr>
        <w:spacing w:before="8"/>
        <w:rPr>
          <w:b/>
          <w:sz w:val="24"/>
        </w:rPr>
      </w:pPr>
    </w:p>
    <w:p>
      <w:pPr>
        <w:tabs>
          <w:tab w:val="left" w:pos="2927"/>
          <w:tab w:val="left" w:pos="7767"/>
        </w:tabs>
        <w:autoSpaceDE w:val="0"/>
        <w:autoSpaceDN w:val="0"/>
        <w:adjustRightInd w:val="0"/>
        <w:snapToGrid w:val="0"/>
        <w:spacing w:line="360" w:lineRule="auto"/>
        <w:ind w:firstLine="329"/>
      </w:pPr>
      <w:r>
        <w:rPr>
          <w:rFonts w:eastAsia="Times New Roman"/>
          <w:u w:val="single"/>
        </w:rPr>
        <w:tab/>
      </w:r>
      <w:r>
        <w:rPr>
          <w:rFonts w:hint="eastAsia"/>
          <w:spacing w:val="-1"/>
        </w:rPr>
        <w:t>（</w:t>
      </w:r>
      <w:r>
        <w:rPr>
          <w:rFonts w:hint="eastAsia"/>
        </w:rPr>
        <w:t>以下简称</w:t>
      </w:r>
      <w:r>
        <w:t>“</w:t>
      </w:r>
      <w:r>
        <w:rPr>
          <w:rFonts w:hint="eastAsia"/>
        </w:rPr>
        <w:t>采购人</w:t>
      </w:r>
      <w:r>
        <w:t>”</w:t>
      </w:r>
      <w:r>
        <w:rPr>
          <w:rFonts w:hint="eastAsia"/>
        </w:rPr>
        <w:t>）和</w:t>
      </w:r>
      <w:r>
        <w:t xml:space="preserve"> </w:t>
      </w:r>
      <w:r>
        <w:rPr>
          <w:rFonts w:eastAsia="Times New Roman"/>
          <w:u w:val="single"/>
        </w:rPr>
        <w:tab/>
      </w:r>
      <w:r>
        <w:rPr>
          <w:rFonts w:hint="eastAsia"/>
          <w:spacing w:val="-3"/>
          <w:u w:val="single"/>
        </w:rPr>
        <w:t>（</w:t>
      </w:r>
      <w:r>
        <w:rPr>
          <w:rFonts w:hint="eastAsia"/>
          <w:spacing w:val="-1"/>
        </w:rPr>
        <w:t>以</w:t>
      </w:r>
      <w:r>
        <w:rPr>
          <w:rFonts w:hint="eastAsia"/>
          <w:spacing w:val="-3"/>
        </w:rPr>
        <w:t>下简称</w:t>
      </w:r>
      <w:r>
        <w:rPr>
          <w:spacing w:val="-3"/>
        </w:rPr>
        <w:t>“</w:t>
      </w:r>
      <w:r>
        <w:rPr>
          <w:rFonts w:hint="eastAsia"/>
          <w:spacing w:val="-3"/>
        </w:rPr>
        <w:t>卖方</w:t>
      </w:r>
      <w:r>
        <w:rPr>
          <w:spacing w:val="-3"/>
        </w:rPr>
        <w:t>”</w:t>
      </w:r>
      <w:r>
        <w:rPr>
          <w:rFonts w:hint="eastAsia"/>
          <w:spacing w:val="-3"/>
        </w:rPr>
        <w:t>）同意</w:t>
      </w:r>
      <w:r>
        <w:rPr>
          <w:rFonts w:hint="eastAsia"/>
        </w:rPr>
        <w:t>按下</w:t>
      </w:r>
      <w:r>
        <w:rPr>
          <w:rFonts w:hint="eastAsia"/>
          <w:spacing w:val="-3"/>
        </w:rPr>
        <w:t>述</w:t>
      </w:r>
      <w:r>
        <w:rPr>
          <w:rFonts w:hint="eastAsia"/>
        </w:rPr>
        <w:t>条款</w:t>
      </w:r>
      <w:r>
        <w:rPr>
          <w:rFonts w:hint="eastAsia"/>
          <w:spacing w:val="-3"/>
        </w:rPr>
        <w:t>和</w:t>
      </w:r>
      <w:r>
        <w:rPr>
          <w:rFonts w:hint="eastAsia"/>
        </w:rPr>
        <w:t>条件</w:t>
      </w:r>
      <w:r>
        <w:rPr>
          <w:rFonts w:hint="eastAsia"/>
          <w:spacing w:val="-3"/>
        </w:rPr>
        <w:t>签</w:t>
      </w:r>
      <w:r>
        <w:rPr>
          <w:rFonts w:hint="eastAsia"/>
        </w:rPr>
        <w:t>署本</w:t>
      </w:r>
      <w:r>
        <w:rPr>
          <w:rFonts w:hint="eastAsia"/>
          <w:spacing w:val="-3"/>
        </w:rPr>
        <w:t>合</w:t>
      </w:r>
      <w:r>
        <w:rPr>
          <w:rFonts w:hint="eastAsia"/>
        </w:rPr>
        <w:t>同（</w:t>
      </w:r>
      <w:r>
        <w:rPr>
          <w:rFonts w:hint="eastAsia"/>
          <w:spacing w:val="-3"/>
        </w:rPr>
        <w:t>以</w:t>
      </w:r>
      <w:r>
        <w:rPr>
          <w:rFonts w:hint="eastAsia"/>
        </w:rPr>
        <w:t>下简称</w:t>
      </w:r>
      <w:r>
        <w:rPr>
          <w:spacing w:val="-3"/>
        </w:rPr>
        <w:t>“</w:t>
      </w:r>
      <w:r>
        <w:rPr>
          <w:rFonts w:hint="eastAsia"/>
        </w:rPr>
        <w:t>合同</w:t>
      </w:r>
      <w:r>
        <w:t>”</w:t>
      </w:r>
      <w:r>
        <w:rPr>
          <w:rFonts w:hint="eastAsia"/>
        </w:rPr>
        <w:t>）：</w:t>
      </w:r>
    </w:p>
    <w:p>
      <w:pPr>
        <w:pStyle w:val="45"/>
        <w:tabs>
          <w:tab w:val="left" w:pos="1280"/>
        </w:tabs>
        <w:autoSpaceDE w:val="0"/>
        <w:autoSpaceDN w:val="0"/>
        <w:adjustRightInd w:val="0"/>
        <w:snapToGrid w:val="0"/>
        <w:spacing w:line="360" w:lineRule="auto"/>
        <w:ind w:left="0" w:firstLine="412" w:firstLineChars="200"/>
        <w:rPr>
          <w:sz w:val="18"/>
        </w:rPr>
      </w:pPr>
      <w:r>
        <w:rPr>
          <w:rFonts w:ascii="宋体" w:eastAsia="宋体"/>
          <w:spacing w:val="-2"/>
        </w:rPr>
        <w:t>1.</w:t>
      </w:r>
      <w:r>
        <w:rPr>
          <w:rFonts w:hint="eastAsia" w:ascii="宋体" w:eastAsia="宋体"/>
          <w:spacing w:val="-2"/>
        </w:rPr>
        <w:t>合同文件</w:t>
      </w:r>
    </w:p>
    <w:p>
      <w:pPr>
        <w:autoSpaceDE w:val="0"/>
        <w:autoSpaceDN w:val="0"/>
        <w:adjustRightInd w:val="0"/>
        <w:snapToGrid w:val="0"/>
        <w:ind w:firstLine="420" w:firstLineChars="200"/>
      </w:pPr>
      <w:r>
        <w:rPr>
          <w:rFonts w:hint="eastAsia"/>
        </w:rPr>
        <w:t>本合同所附下列文件是构成本合同不可分割的部分：</w:t>
      </w:r>
    </w:p>
    <w:p>
      <w:pPr>
        <w:autoSpaceDE w:val="0"/>
        <w:autoSpaceDN w:val="0"/>
        <w:adjustRightInd w:val="0"/>
        <w:snapToGrid w:val="0"/>
        <w:spacing w:before="8"/>
        <w:rPr>
          <w:sz w:val="18"/>
        </w:rPr>
      </w:pPr>
    </w:p>
    <w:p>
      <w:pPr>
        <w:pStyle w:val="45"/>
        <w:tabs>
          <w:tab w:val="left" w:pos="1280"/>
        </w:tabs>
        <w:autoSpaceDE w:val="0"/>
        <w:autoSpaceDN w:val="0"/>
        <w:adjustRightInd w:val="0"/>
        <w:snapToGrid w:val="0"/>
        <w:ind w:left="946" w:firstLine="0"/>
        <w:rPr>
          <w:rFonts w:ascii="宋体" w:eastAsia="宋体"/>
          <w:spacing w:val="-3"/>
        </w:rPr>
      </w:pPr>
      <w:r>
        <w:rPr>
          <w:rFonts w:ascii="宋体" w:eastAsia="宋体"/>
          <w:spacing w:val="-3"/>
        </w:rPr>
        <w:t>1</w:t>
      </w:r>
      <w:r>
        <w:rPr>
          <w:rFonts w:hint="eastAsia" w:ascii="宋体" w:eastAsia="宋体"/>
          <w:spacing w:val="-3"/>
        </w:rPr>
        <w:t>）竞争性磋商文件</w:t>
      </w:r>
    </w:p>
    <w:p>
      <w:pPr>
        <w:pStyle w:val="45"/>
        <w:tabs>
          <w:tab w:val="left" w:pos="1280"/>
        </w:tabs>
        <w:autoSpaceDE w:val="0"/>
        <w:autoSpaceDN w:val="0"/>
        <w:adjustRightInd w:val="0"/>
        <w:snapToGrid w:val="0"/>
        <w:ind w:left="946" w:firstLine="0"/>
        <w:rPr>
          <w:rFonts w:ascii="宋体" w:eastAsia="宋体"/>
          <w:spacing w:val="-3"/>
        </w:rPr>
      </w:pPr>
    </w:p>
    <w:p>
      <w:pPr>
        <w:pStyle w:val="45"/>
        <w:tabs>
          <w:tab w:val="left" w:pos="1280"/>
        </w:tabs>
        <w:autoSpaceDE w:val="0"/>
        <w:autoSpaceDN w:val="0"/>
        <w:adjustRightInd w:val="0"/>
        <w:snapToGrid w:val="0"/>
        <w:ind w:left="946" w:firstLine="0"/>
        <w:rPr>
          <w:rFonts w:ascii="宋体" w:eastAsia="宋体"/>
          <w:spacing w:val="-3"/>
        </w:rPr>
      </w:pPr>
      <w:r>
        <w:rPr>
          <w:rFonts w:ascii="宋体" w:eastAsia="宋体"/>
          <w:spacing w:val="-3"/>
        </w:rPr>
        <w:t>2</w:t>
      </w:r>
      <w:r>
        <w:rPr>
          <w:rFonts w:hint="eastAsia" w:ascii="宋体" w:eastAsia="宋体"/>
          <w:spacing w:val="-3"/>
        </w:rPr>
        <w:t>）合同条款</w:t>
      </w:r>
    </w:p>
    <w:p>
      <w:pPr>
        <w:pStyle w:val="45"/>
        <w:tabs>
          <w:tab w:val="left" w:pos="1280"/>
        </w:tabs>
        <w:autoSpaceDE w:val="0"/>
        <w:autoSpaceDN w:val="0"/>
        <w:adjustRightInd w:val="0"/>
        <w:snapToGrid w:val="0"/>
        <w:ind w:left="946" w:firstLine="0"/>
        <w:rPr>
          <w:rFonts w:ascii="宋体" w:eastAsia="宋体"/>
          <w:spacing w:val="-3"/>
        </w:rPr>
      </w:pPr>
    </w:p>
    <w:p>
      <w:pPr>
        <w:pStyle w:val="45"/>
        <w:tabs>
          <w:tab w:val="left" w:pos="1280"/>
        </w:tabs>
        <w:autoSpaceDE w:val="0"/>
        <w:autoSpaceDN w:val="0"/>
        <w:adjustRightInd w:val="0"/>
        <w:snapToGrid w:val="0"/>
        <w:ind w:left="946" w:firstLine="0"/>
        <w:rPr>
          <w:rFonts w:ascii="宋体" w:eastAsia="宋体"/>
          <w:spacing w:val="-3"/>
        </w:rPr>
      </w:pPr>
      <w:r>
        <w:rPr>
          <w:rFonts w:ascii="宋体" w:eastAsia="宋体"/>
          <w:spacing w:val="-3"/>
        </w:rPr>
        <w:t>3</w:t>
      </w:r>
      <w:r>
        <w:rPr>
          <w:rFonts w:hint="eastAsia" w:ascii="宋体" w:eastAsia="宋体"/>
          <w:spacing w:val="-3"/>
        </w:rPr>
        <w:t>）成交供应商的磋商响应文件</w:t>
      </w:r>
    </w:p>
    <w:p>
      <w:pPr>
        <w:pStyle w:val="45"/>
        <w:tabs>
          <w:tab w:val="left" w:pos="1280"/>
        </w:tabs>
        <w:autoSpaceDE w:val="0"/>
        <w:autoSpaceDN w:val="0"/>
        <w:adjustRightInd w:val="0"/>
        <w:snapToGrid w:val="0"/>
        <w:ind w:left="946" w:firstLine="0"/>
        <w:rPr>
          <w:rFonts w:ascii="宋体" w:eastAsia="宋体"/>
          <w:spacing w:val="-3"/>
        </w:rPr>
      </w:pPr>
    </w:p>
    <w:p>
      <w:pPr>
        <w:pStyle w:val="45"/>
        <w:tabs>
          <w:tab w:val="left" w:pos="1280"/>
        </w:tabs>
        <w:autoSpaceDE w:val="0"/>
        <w:autoSpaceDN w:val="0"/>
        <w:adjustRightInd w:val="0"/>
        <w:snapToGrid w:val="0"/>
        <w:ind w:left="946" w:firstLine="0"/>
        <w:rPr>
          <w:rFonts w:ascii="宋体" w:eastAsia="宋体"/>
          <w:spacing w:val="-3"/>
        </w:rPr>
      </w:pPr>
      <w:r>
        <w:rPr>
          <w:rFonts w:ascii="宋体" w:eastAsia="宋体"/>
          <w:spacing w:val="-3"/>
        </w:rPr>
        <w:t>4</w:t>
      </w:r>
      <w:r>
        <w:rPr>
          <w:rFonts w:hint="eastAsia" w:ascii="宋体" w:eastAsia="宋体"/>
          <w:spacing w:val="-3"/>
        </w:rPr>
        <w:t>）技术规格（包括图纸，如有）</w:t>
      </w:r>
    </w:p>
    <w:p>
      <w:pPr>
        <w:pStyle w:val="45"/>
        <w:tabs>
          <w:tab w:val="left" w:pos="1280"/>
        </w:tabs>
        <w:autoSpaceDE w:val="0"/>
        <w:autoSpaceDN w:val="0"/>
        <w:adjustRightInd w:val="0"/>
        <w:snapToGrid w:val="0"/>
        <w:ind w:left="946" w:firstLine="0"/>
        <w:rPr>
          <w:rFonts w:ascii="宋体" w:eastAsia="宋体"/>
          <w:spacing w:val="-3"/>
        </w:rPr>
      </w:pPr>
    </w:p>
    <w:p>
      <w:pPr>
        <w:pStyle w:val="45"/>
        <w:tabs>
          <w:tab w:val="left" w:pos="1280"/>
        </w:tabs>
        <w:autoSpaceDE w:val="0"/>
        <w:autoSpaceDN w:val="0"/>
        <w:adjustRightInd w:val="0"/>
        <w:snapToGrid w:val="0"/>
        <w:ind w:left="946" w:firstLine="0"/>
        <w:rPr>
          <w:rFonts w:ascii="宋体" w:eastAsia="宋体"/>
        </w:rPr>
      </w:pPr>
      <w:r>
        <w:rPr>
          <w:rFonts w:ascii="宋体" w:eastAsia="宋体"/>
          <w:spacing w:val="-3"/>
        </w:rPr>
        <w:t>5</w:t>
      </w:r>
      <w:r>
        <w:rPr>
          <w:rFonts w:hint="eastAsia" w:ascii="宋体" w:eastAsia="宋体"/>
          <w:spacing w:val="-3"/>
        </w:rPr>
        <w:t>）成交通知书</w:t>
      </w:r>
    </w:p>
    <w:p>
      <w:pPr>
        <w:autoSpaceDE w:val="0"/>
        <w:autoSpaceDN w:val="0"/>
        <w:adjustRightInd w:val="0"/>
        <w:snapToGrid w:val="0"/>
        <w:spacing w:before="6"/>
        <w:rPr>
          <w:sz w:val="18"/>
        </w:rPr>
      </w:pPr>
    </w:p>
    <w:p>
      <w:pPr>
        <w:pStyle w:val="45"/>
        <w:tabs>
          <w:tab w:val="left" w:pos="1280"/>
        </w:tabs>
        <w:autoSpaceDE w:val="0"/>
        <w:autoSpaceDN w:val="0"/>
        <w:adjustRightInd w:val="0"/>
        <w:snapToGrid w:val="0"/>
        <w:ind w:left="946" w:firstLine="0"/>
        <w:rPr>
          <w:rFonts w:ascii="宋体" w:eastAsia="宋体"/>
        </w:rPr>
      </w:pPr>
      <w:r>
        <w:rPr>
          <w:rFonts w:ascii="宋体" w:eastAsia="宋体"/>
          <w:spacing w:val="-3"/>
        </w:rPr>
        <w:t>6</w:t>
      </w:r>
      <w:r>
        <w:rPr>
          <w:rFonts w:hint="eastAsia" w:ascii="宋体" w:eastAsia="宋体"/>
          <w:spacing w:val="-3"/>
        </w:rPr>
        <w:t>）合同范围和条件</w:t>
      </w:r>
    </w:p>
    <w:p>
      <w:pPr>
        <w:autoSpaceDE w:val="0"/>
        <w:autoSpaceDN w:val="0"/>
        <w:adjustRightInd w:val="0"/>
        <w:snapToGrid w:val="0"/>
        <w:spacing w:before="8"/>
        <w:rPr>
          <w:sz w:val="18"/>
        </w:rPr>
      </w:pPr>
    </w:p>
    <w:p>
      <w:pPr>
        <w:autoSpaceDE w:val="0"/>
        <w:autoSpaceDN w:val="0"/>
        <w:adjustRightInd w:val="0"/>
        <w:snapToGrid w:val="0"/>
        <w:ind w:left="947"/>
      </w:pPr>
      <w:r>
        <w:rPr>
          <w:rFonts w:hint="eastAsia"/>
        </w:rPr>
        <w:t>本合同的范围和条件与上述文件的规定相一致。</w:t>
      </w:r>
    </w:p>
    <w:p>
      <w:pPr>
        <w:autoSpaceDE w:val="0"/>
        <w:autoSpaceDN w:val="0"/>
        <w:adjustRightInd w:val="0"/>
        <w:snapToGrid w:val="0"/>
        <w:spacing w:before="9"/>
        <w:rPr>
          <w:sz w:val="18"/>
        </w:rPr>
      </w:pPr>
    </w:p>
    <w:p>
      <w:pPr>
        <w:pStyle w:val="45"/>
        <w:tabs>
          <w:tab w:val="left" w:pos="1280"/>
        </w:tabs>
        <w:autoSpaceDE w:val="0"/>
        <w:autoSpaceDN w:val="0"/>
        <w:adjustRightInd w:val="0"/>
        <w:snapToGrid w:val="0"/>
        <w:ind w:left="0" w:firstLine="612" w:firstLineChars="300"/>
        <w:rPr>
          <w:rFonts w:ascii="宋体" w:eastAsia="宋体"/>
        </w:rPr>
      </w:pPr>
      <w:r>
        <w:rPr>
          <w:rFonts w:ascii="宋体" w:eastAsia="宋体"/>
          <w:spacing w:val="-3"/>
        </w:rPr>
        <w:t>2.</w:t>
      </w:r>
      <w:r>
        <w:rPr>
          <w:rFonts w:hint="eastAsia" w:ascii="宋体" w:eastAsia="宋体"/>
          <w:spacing w:val="-3"/>
        </w:rPr>
        <w:t>货物及数量</w:t>
      </w:r>
    </w:p>
    <w:p>
      <w:pPr>
        <w:autoSpaceDE w:val="0"/>
        <w:autoSpaceDN w:val="0"/>
        <w:adjustRightInd w:val="0"/>
        <w:snapToGrid w:val="0"/>
        <w:spacing w:before="5"/>
        <w:rPr>
          <w:sz w:val="18"/>
        </w:rPr>
      </w:pPr>
    </w:p>
    <w:p>
      <w:pPr>
        <w:autoSpaceDE w:val="0"/>
        <w:autoSpaceDN w:val="0"/>
        <w:adjustRightInd w:val="0"/>
        <w:snapToGrid w:val="0"/>
        <w:spacing w:before="1"/>
        <w:ind w:firstLine="630" w:firstLineChars="300"/>
      </w:pPr>
      <w:r>
        <w:rPr>
          <w:rFonts w:hint="eastAsia"/>
        </w:rPr>
        <w:t>本合同所提供的货物及数量详见磋商文件第三章</w:t>
      </w:r>
      <w:r>
        <w:t>“</w:t>
      </w:r>
      <w:r>
        <w:rPr>
          <w:rFonts w:hint="eastAsia"/>
        </w:rPr>
        <w:t>项目采购需求</w:t>
      </w:r>
      <w:r>
        <w:t>”</w:t>
      </w:r>
      <w:r>
        <w:rPr>
          <w:rFonts w:hint="eastAsia"/>
        </w:rPr>
        <w:t>。</w:t>
      </w:r>
    </w:p>
    <w:p>
      <w:pPr>
        <w:autoSpaceDE w:val="0"/>
        <w:autoSpaceDN w:val="0"/>
        <w:adjustRightInd w:val="0"/>
        <w:snapToGrid w:val="0"/>
        <w:spacing w:before="8"/>
        <w:rPr>
          <w:sz w:val="18"/>
        </w:rPr>
      </w:pPr>
    </w:p>
    <w:p>
      <w:pPr>
        <w:pStyle w:val="45"/>
        <w:tabs>
          <w:tab w:val="left" w:pos="1280"/>
        </w:tabs>
        <w:autoSpaceDE w:val="0"/>
        <w:autoSpaceDN w:val="0"/>
        <w:adjustRightInd w:val="0"/>
        <w:snapToGrid w:val="0"/>
        <w:ind w:left="0" w:firstLine="618" w:firstLineChars="300"/>
        <w:rPr>
          <w:rFonts w:ascii="宋体" w:eastAsia="宋体"/>
        </w:rPr>
      </w:pPr>
      <w:r>
        <w:rPr>
          <w:rFonts w:ascii="宋体" w:eastAsia="宋体"/>
          <w:spacing w:val="-2"/>
        </w:rPr>
        <w:t>3.</w:t>
      </w:r>
      <w:r>
        <w:rPr>
          <w:rFonts w:hint="eastAsia" w:ascii="宋体" w:eastAsia="宋体"/>
          <w:spacing w:val="-2"/>
        </w:rPr>
        <w:t>合同金额</w:t>
      </w:r>
    </w:p>
    <w:p>
      <w:pPr>
        <w:autoSpaceDE w:val="0"/>
        <w:autoSpaceDN w:val="0"/>
        <w:adjustRightInd w:val="0"/>
        <w:snapToGrid w:val="0"/>
        <w:spacing w:before="8"/>
        <w:rPr>
          <w:sz w:val="18"/>
        </w:rPr>
      </w:pPr>
    </w:p>
    <w:p>
      <w:pPr>
        <w:tabs>
          <w:tab w:val="left" w:pos="3255"/>
        </w:tabs>
        <w:autoSpaceDE w:val="0"/>
        <w:autoSpaceDN w:val="0"/>
        <w:adjustRightInd w:val="0"/>
        <w:snapToGrid w:val="0"/>
        <w:ind w:left="947"/>
      </w:pPr>
      <w:r>
        <w:rPr>
          <w:rFonts w:hint="eastAsia"/>
        </w:rPr>
        <w:t>合</w:t>
      </w:r>
      <w:r>
        <w:rPr>
          <w:rFonts w:hint="eastAsia"/>
          <w:spacing w:val="-3"/>
        </w:rPr>
        <w:t>同</w:t>
      </w:r>
      <w:r>
        <w:rPr>
          <w:rFonts w:hint="eastAsia"/>
        </w:rPr>
        <w:t>总金</w:t>
      </w:r>
      <w:r>
        <w:rPr>
          <w:rFonts w:hint="eastAsia"/>
          <w:spacing w:val="-3"/>
        </w:rPr>
        <w:t>额</w:t>
      </w:r>
      <w:r>
        <w:rPr>
          <w:rFonts w:hint="eastAsia"/>
        </w:rPr>
        <w:t>为</w:t>
      </w:r>
      <w:r>
        <w:rPr>
          <w:u w:val="single"/>
        </w:rPr>
        <w:tab/>
      </w:r>
      <w:r>
        <w:rPr>
          <w:rFonts w:hint="eastAsia"/>
        </w:rPr>
        <w:t>元</w:t>
      </w:r>
      <w:r>
        <w:rPr>
          <w:rFonts w:hint="eastAsia"/>
          <w:spacing w:val="-3"/>
        </w:rPr>
        <w:t>人</w:t>
      </w:r>
      <w:r>
        <w:rPr>
          <w:rFonts w:hint="eastAsia"/>
        </w:rPr>
        <w:t>民币。</w:t>
      </w:r>
    </w:p>
    <w:p>
      <w:pPr>
        <w:autoSpaceDE w:val="0"/>
        <w:autoSpaceDN w:val="0"/>
        <w:adjustRightInd w:val="0"/>
        <w:snapToGrid w:val="0"/>
        <w:spacing w:before="6"/>
        <w:rPr>
          <w:sz w:val="18"/>
        </w:rPr>
      </w:pPr>
    </w:p>
    <w:p>
      <w:pPr>
        <w:pStyle w:val="45"/>
        <w:tabs>
          <w:tab w:val="left" w:pos="1280"/>
        </w:tabs>
        <w:autoSpaceDE w:val="0"/>
        <w:autoSpaceDN w:val="0"/>
        <w:adjustRightInd w:val="0"/>
        <w:snapToGrid w:val="0"/>
        <w:ind w:left="0" w:firstLine="618" w:firstLineChars="300"/>
        <w:rPr>
          <w:rFonts w:ascii="宋体" w:eastAsia="宋体"/>
        </w:rPr>
      </w:pPr>
      <w:r>
        <w:rPr>
          <w:rFonts w:ascii="宋体" w:eastAsia="宋体"/>
          <w:spacing w:val="-2"/>
        </w:rPr>
        <w:t>4.</w:t>
      </w:r>
      <w:r>
        <w:rPr>
          <w:rFonts w:hint="eastAsia" w:ascii="宋体" w:eastAsia="宋体"/>
          <w:spacing w:val="-2"/>
        </w:rPr>
        <w:t>合同生效</w:t>
      </w:r>
    </w:p>
    <w:p>
      <w:pPr>
        <w:autoSpaceDE w:val="0"/>
        <w:autoSpaceDN w:val="0"/>
        <w:adjustRightInd w:val="0"/>
        <w:snapToGrid w:val="0"/>
        <w:spacing w:before="8"/>
        <w:rPr>
          <w:sz w:val="18"/>
        </w:rPr>
      </w:pPr>
    </w:p>
    <w:p>
      <w:pPr>
        <w:autoSpaceDE w:val="0"/>
        <w:autoSpaceDN w:val="0"/>
        <w:adjustRightInd w:val="0"/>
        <w:snapToGrid w:val="0"/>
        <w:ind w:left="947"/>
      </w:pPr>
      <w:r>
        <w:rPr>
          <w:rFonts w:hint="eastAsia"/>
        </w:rPr>
        <w:t>本合同经双方授权代表</w:t>
      </w:r>
      <w:r>
        <w:rPr>
          <w:rFonts w:hint="eastAsia"/>
          <w:u w:val="single"/>
        </w:rPr>
        <w:t>签字并盖章</w:t>
      </w:r>
      <w:r>
        <w:rPr>
          <w:rFonts w:hint="eastAsia"/>
        </w:rPr>
        <w:t>生效。</w:t>
      </w:r>
    </w:p>
    <w:p>
      <w:pPr>
        <w:autoSpaceDE w:val="0"/>
        <w:autoSpaceDN w:val="0"/>
        <w:adjustRightInd w:val="0"/>
        <w:snapToGrid w:val="0"/>
        <w:spacing w:before="9"/>
        <w:rPr>
          <w:sz w:val="18"/>
        </w:rPr>
      </w:pPr>
    </w:p>
    <w:p>
      <w:pPr>
        <w:pStyle w:val="45"/>
        <w:tabs>
          <w:tab w:val="left" w:pos="1280"/>
        </w:tabs>
        <w:autoSpaceDE w:val="0"/>
        <w:autoSpaceDN w:val="0"/>
        <w:adjustRightInd w:val="0"/>
        <w:snapToGrid w:val="0"/>
        <w:ind w:left="0" w:firstLine="612" w:firstLineChars="300"/>
        <w:rPr>
          <w:rFonts w:ascii="宋体" w:eastAsia="宋体"/>
        </w:rPr>
      </w:pPr>
      <w:r>
        <w:rPr>
          <w:rFonts w:ascii="宋体" w:eastAsia="宋体"/>
          <w:spacing w:val="-3"/>
        </w:rPr>
        <w:t>5.</w:t>
      </w:r>
      <w:r>
        <w:rPr>
          <w:rFonts w:hint="eastAsia" w:ascii="宋体" w:eastAsia="宋体"/>
          <w:spacing w:val="-3"/>
        </w:rPr>
        <w:t>交货时间和交货地点</w:t>
      </w:r>
    </w:p>
    <w:p>
      <w:pPr>
        <w:autoSpaceDE w:val="0"/>
        <w:autoSpaceDN w:val="0"/>
        <w:adjustRightInd w:val="0"/>
        <w:snapToGrid w:val="0"/>
        <w:spacing w:before="5"/>
        <w:rPr>
          <w:sz w:val="18"/>
        </w:rPr>
      </w:pPr>
    </w:p>
    <w:p>
      <w:pPr>
        <w:tabs>
          <w:tab w:val="left" w:pos="4136"/>
          <w:tab w:val="left" w:pos="4575"/>
        </w:tabs>
        <w:autoSpaceDE w:val="0"/>
        <w:autoSpaceDN w:val="0"/>
        <w:adjustRightInd w:val="0"/>
        <w:snapToGrid w:val="0"/>
        <w:ind w:firstLine="624" w:firstLineChars="300"/>
      </w:pPr>
      <w:r>
        <w:rPr>
          <w:rFonts w:hint="eastAsia"/>
          <w:spacing w:val="-1"/>
        </w:rPr>
        <w:t>本</w:t>
      </w:r>
      <w:r>
        <w:rPr>
          <w:rFonts w:hint="eastAsia"/>
          <w:spacing w:val="-3"/>
        </w:rPr>
        <w:t>合</w:t>
      </w:r>
      <w:r>
        <w:rPr>
          <w:rFonts w:hint="eastAsia"/>
          <w:spacing w:val="-1"/>
        </w:rPr>
        <w:t>同货</w:t>
      </w:r>
      <w:r>
        <w:rPr>
          <w:rFonts w:hint="eastAsia"/>
          <w:spacing w:val="-3"/>
        </w:rPr>
        <w:t>物</w:t>
      </w:r>
      <w:r>
        <w:rPr>
          <w:rFonts w:hint="eastAsia"/>
          <w:spacing w:val="-1"/>
        </w:rPr>
        <w:t>的交</w:t>
      </w:r>
      <w:r>
        <w:rPr>
          <w:rFonts w:hint="eastAsia"/>
          <w:spacing w:val="-3"/>
        </w:rPr>
        <w:t>货</w:t>
      </w:r>
      <w:r>
        <w:rPr>
          <w:rFonts w:hint="eastAsia"/>
        </w:rPr>
        <w:t>时间</w:t>
      </w:r>
      <w:r>
        <w:rPr>
          <w:rFonts w:hint="eastAsia"/>
          <w:spacing w:val="-3"/>
        </w:rPr>
        <w:t>和</w:t>
      </w:r>
      <w:r>
        <w:rPr>
          <w:rFonts w:hint="eastAsia"/>
        </w:rPr>
        <w:t>交货</w:t>
      </w:r>
      <w:r>
        <w:rPr>
          <w:rFonts w:hint="eastAsia"/>
          <w:spacing w:val="-3"/>
        </w:rPr>
        <w:t>地</w:t>
      </w:r>
      <w:r>
        <w:rPr>
          <w:rFonts w:hint="eastAsia"/>
        </w:rPr>
        <w:t>点按</w:t>
      </w:r>
      <w:r>
        <w:rPr>
          <w:rFonts w:hint="eastAsia"/>
          <w:spacing w:val="-3"/>
        </w:rPr>
        <w:t>磋</w:t>
      </w:r>
      <w:r>
        <w:rPr>
          <w:rFonts w:hint="eastAsia"/>
        </w:rPr>
        <w:t>商文</w:t>
      </w:r>
      <w:r>
        <w:rPr>
          <w:rFonts w:hint="eastAsia"/>
          <w:spacing w:val="-3"/>
        </w:rPr>
        <w:t>件</w:t>
      </w:r>
      <w:r>
        <w:rPr>
          <w:rFonts w:hint="eastAsia"/>
        </w:rPr>
        <w:t>第三</w:t>
      </w:r>
      <w:r>
        <w:rPr>
          <w:rFonts w:hint="eastAsia"/>
          <w:spacing w:val="-3"/>
        </w:rPr>
        <w:t>章</w:t>
      </w:r>
      <w:r>
        <w:t>“</w:t>
      </w:r>
      <w:r>
        <w:rPr>
          <w:rFonts w:hint="eastAsia"/>
        </w:rPr>
        <w:t>项</w:t>
      </w:r>
      <w:r>
        <w:rPr>
          <w:rFonts w:hint="eastAsia"/>
          <w:spacing w:val="-3"/>
        </w:rPr>
        <w:t>目</w:t>
      </w:r>
      <w:r>
        <w:rPr>
          <w:rFonts w:hint="eastAsia"/>
        </w:rPr>
        <w:t>采购</w:t>
      </w:r>
      <w:r>
        <w:rPr>
          <w:rFonts w:hint="eastAsia"/>
          <w:spacing w:val="-3"/>
        </w:rPr>
        <w:t>需</w:t>
      </w:r>
      <w:r>
        <w:rPr>
          <w:rFonts w:hint="eastAsia"/>
        </w:rPr>
        <w:t>求</w:t>
      </w:r>
      <w:r>
        <w:t>”</w:t>
      </w:r>
      <w:r>
        <w:rPr>
          <w:rFonts w:hint="eastAsia"/>
        </w:rPr>
        <w:t>执</w:t>
      </w:r>
      <w:r>
        <w:rPr>
          <w:rFonts w:hint="eastAsia"/>
          <w:spacing w:val="-3"/>
        </w:rPr>
        <w:t>行</w:t>
      </w:r>
      <w:r>
        <w:rPr>
          <w:rFonts w:hint="eastAsia"/>
        </w:rPr>
        <w:t>。</w:t>
      </w:r>
    </w:p>
    <w:p>
      <w:pPr>
        <w:tabs>
          <w:tab w:val="left" w:pos="4136"/>
          <w:tab w:val="left" w:pos="4575"/>
        </w:tabs>
        <w:autoSpaceDE w:val="0"/>
        <w:autoSpaceDN w:val="0"/>
        <w:adjustRightInd w:val="0"/>
        <w:snapToGrid w:val="0"/>
        <w:spacing w:before="1"/>
        <w:ind w:left="947" w:right="1875"/>
      </w:pPr>
    </w:p>
    <w:p>
      <w:pPr>
        <w:tabs>
          <w:tab w:val="left" w:pos="4136"/>
          <w:tab w:val="left" w:pos="4575"/>
        </w:tabs>
        <w:autoSpaceDE w:val="0"/>
        <w:autoSpaceDN w:val="0"/>
        <w:adjustRightInd w:val="0"/>
        <w:snapToGrid w:val="0"/>
        <w:spacing w:before="1"/>
        <w:ind w:left="947" w:right="1875"/>
      </w:pPr>
      <w:r>
        <w:rPr>
          <w:rFonts w:hint="eastAsia"/>
        </w:rPr>
        <w:t>采</w:t>
      </w:r>
      <w:r>
        <w:rPr>
          <w:rFonts w:hint="eastAsia"/>
          <w:spacing w:val="-3"/>
        </w:rPr>
        <w:t>购</w:t>
      </w:r>
      <w:r>
        <w:rPr>
          <w:rFonts w:hint="eastAsia"/>
        </w:rPr>
        <w:t>人：</w:t>
      </w:r>
    </w:p>
    <w:p>
      <w:pPr>
        <w:tabs>
          <w:tab w:val="left" w:pos="4136"/>
          <w:tab w:val="left" w:pos="4575"/>
        </w:tabs>
        <w:autoSpaceDE w:val="0"/>
        <w:autoSpaceDN w:val="0"/>
        <w:adjustRightInd w:val="0"/>
        <w:snapToGrid w:val="0"/>
        <w:spacing w:before="1"/>
        <w:ind w:left="947" w:right="1875"/>
      </w:pPr>
      <w:r>
        <w:tab/>
      </w:r>
      <w:r>
        <w:rPr>
          <w:rFonts w:hint="eastAsia"/>
        </w:rPr>
        <w:t>卖</w:t>
      </w:r>
      <w:r>
        <w:tab/>
      </w:r>
      <w:r>
        <w:rPr>
          <w:rFonts w:hint="eastAsia"/>
        </w:rPr>
        <w:t>方：</w:t>
      </w:r>
    </w:p>
    <w:p>
      <w:pPr>
        <w:pStyle w:val="2"/>
      </w:pPr>
    </w:p>
    <w:p>
      <w:pPr>
        <w:tabs>
          <w:tab w:val="left" w:pos="4136"/>
        </w:tabs>
        <w:autoSpaceDE w:val="0"/>
        <w:autoSpaceDN w:val="0"/>
        <w:adjustRightInd w:val="0"/>
        <w:snapToGrid w:val="0"/>
        <w:ind w:left="947"/>
      </w:pPr>
      <w:r>
        <w:rPr>
          <w:rFonts w:hint="eastAsia"/>
        </w:rPr>
        <w:t>签</w:t>
      </w:r>
      <w:r>
        <w:rPr>
          <w:rFonts w:hint="eastAsia"/>
          <w:spacing w:val="-3"/>
        </w:rPr>
        <w:t>字</w:t>
      </w:r>
      <w:r>
        <w:rPr>
          <w:rFonts w:hint="eastAsia"/>
        </w:rPr>
        <w:t>盖章：</w:t>
      </w:r>
      <w:r>
        <w:tab/>
      </w:r>
      <w:r>
        <w:rPr>
          <w:rFonts w:hint="eastAsia"/>
        </w:rPr>
        <w:t>签</w:t>
      </w:r>
      <w:r>
        <w:rPr>
          <w:rFonts w:hint="eastAsia"/>
          <w:spacing w:val="-3"/>
        </w:rPr>
        <w:t>字</w:t>
      </w:r>
      <w:r>
        <w:rPr>
          <w:rFonts w:hint="eastAsia"/>
        </w:rPr>
        <w:t>盖章：</w:t>
      </w:r>
    </w:p>
    <w:p>
      <w:pPr>
        <w:autoSpaceDE w:val="0"/>
        <w:autoSpaceDN w:val="0"/>
        <w:adjustRightInd w:val="0"/>
        <w:snapToGrid w:val="0"/>
        <w:spacing w:before="5"/>
        <w:rPr>
          <w:sz w:val="18"/>
        </w:rPr>
      </w:pPr>
    </w:p>
    <w:p>
      <w:pPr>
        <w:tabs>
          <w:tab w:val="left" w:pos="1386"/>
          <w:tab w:val="left" w:pos="4136"/>
          <w:tab w:val="left" w:pos="4575"/>
        </w:tabs>
        <w:autoSpaceDE w:val="0"/>
        <w:autoSpaceDN w:val="0"/>
        <w:adjustRightInd w:val="0"/>
        <w:snapToGrid w:val="0"/>
        <w:spacing w:before="1"/>
        <w:ind w:left="947"/>
      </w:pPr>
      <w:r>
        <w:rPr>
          <w:rFonts w:hint="eastAsia"/>
        </w:rPr>
        <w:t>日</w:t>
      </w:r>
      <w:r>
        <w:tab/>
      </w:r>
      <w:r>
        <w:rPr>
          <w:rFonts w:hint="eastAsia"/>
        </w:rPr>
        <w:t>期：</w:t>
      </w:r>
      <w:r>
        <w:tab/>
      </w:r>
      <w:r>
        <w:rPr>
          <w:rFonts w:hint="eastAsia"/>
        </w:rPr>
        <w:t>日</w:t>
      </w:r>
      <w:r>
        <w:tab/>
      </w:r>
      <w:r>
        <w:rPr>
          <w:rFonts w:hint="eastAsia"/>
          <w:spacing w:val="-1"/>
        </w:rPr>
        <w:t>期</w:t>
      </w:r>
      <w:r>
        <w:rPr>
          <w:rFonts w:hint="eastAsia"/>
        </w:rPr>
        <w:t>：</w:t>
      </w:r>
    </w:p>
    <w:p>
      <w:pPr>
        <w:autoSpaceDE w:val="0"/>
        <w:autoSpaceDN w:val="0"/>
        <w:adjustRightInd w:val="0"/>
        <w:snapToGrid w:val="0"/>
        <w:spacing w:before="8"/>
        <w:rPr>
          <w:sz w:val="18"/>
        </w:rPr>
      </w:pPr>
    </w:p>
    <w:p>
      <w:pPr>
        <w:tabs>
          <w:tab w:val="left" w:pos="1386"/>
          <w:tab w:val="left" w:pos="4136"/>
          <w:tab w:val="left" w:pos="4575"/>
        </w:tabs>
        <w:autoSpaceDE w:val="0"/>
        <w:autoSpaceDN w:val="0"/>
        <w:adjustRightInd w:val="0"/>
        <w:snapToGrid w:val="0"/>
        <w:ind w:left="947"/>
      </w:pPr>
      <w:r>
        <w:rPr>
          <w:rFonts w:hint="eastAsia"/>
        </w:rPr>
        <w:t>地</w:t>
      </w:r>
      <w:r>
        <w:tab/>
      </w:r>
      <w:r>
        <w:rPr>
          <w:rFonts w:hint="eastAsia"/>
        </w:rPr>
        <w:t>址：</w:t>
      </w:r>
      <w:r>
        <w:tab/>
      </w:r>
      <w:r>
        <w:rPr>
          <w:rFonts w:hint="eastAsia"/>
        </w:rPr>
        <w:t>地</w:t>
      </w:r>
      <w:r>
        <w:tab/>
      </w:r>
      <w:r>
        <w:rPr>
          <w:rFonts w:hint="eastAsia"/>
          <w:spacing w:val="-1"/>
        </w:rPr>
        <w:t>址</w:t>
      </w:r>
      <w:r>
        <w:rPr>
          <w:rFonts w:hint="eastAsia"/>
        </w:rPr>
        <w:t>：</w:t>
      </w:r>
    </w:p>
    <w:p>
      <w:pPr>
        <w:sectPr>
          <w:footerReference r:id="rId10" w:type="default"/>
          <w:pgSz w:w="11910" w:h="16840"/>
          <w:pgMar w:top="1417" w:right="1417" w:bottom="1417" w:left="1417" w:header="454" w:footer="57" w:gutter="0"/>
          <w:pgNumType w:start="1"/>
          <w:cols w:space="0" w:num="1"/>
        </w:sectPr>
      </w:pPr>
    </w:p>
    <w:p>
      <w:pPr>
        <w:pStyle w:val="45"/>
        <w:tabs>
          <w:tab w:val="left" w:pos="1280"/>
        </w:tabs>
        <w:autoSpaceDE w:val="0"/>
        <w:autoSpaceDN w:val="0"/>
        <w:adjustRightInd w:val="0"/>
        <w:snapToGrid w:val="0"/>
        <w:spacing w:line="288" w:lineRule="auto"/>
        <w:ind w:left="-333" w:firstLine="442" w:firstLineChars="200"/>
        <w:rPr>
          <w:rFonts w:ascii="宋体" w:eastAsia="宋体"/>
          <w:b/>
          <w:sz w:val="22"/>
          <w:szCs w:val="22"/>
        </w:rPr>
      </w:pPr>
      <w:r>
        <w:rPr>
          <w:rFonts w:ascii="宋体" w:eastAsia="宋体"/>
          <w:b/>
          <w:sz w:val="22"/>
          <w:szCs w:val="22"/>
        </w:rPr>
        <w:t>1.</w:t>
      </w:r>
      <w:r>
        <w:rPr>
          <w:rFonts w:hint="eastAsia" w:ascii="宋体" w:eastAsia="宋体"/>
          <w:b/>
          <w:sz w:val="22"/>
          <w:szCs w:val="22"/>
        </w:rPr>
        <w:t>有关概念</w:t>
      </w:r>
    </w:p>
    <w:p>
      <w:pPr>
        <w:autoSpaceDE w:val="0"/>
        <w:autoSpaceDN w:val="0"/>
        <w:adjustRightInd w:val="0"/>
        <w:snapToGrid w:val="0"/>
        <w:spacing w:line="288" w:lineRule="auto"/>
        <w:rPr>
          <w:b/>
          <w:sz w:val="18"/>
        </w:rPr>
      </w:pPr>
    </w:p>
    <w:p>
      <w:pPr>
        <w:autoSpaceDE w:val="0"/>
        <w:autoSpaceDN w:val="0"/>
        <w:adjustRightInd w:val="0"/>
        <w:snapToGrid w:val="0"/>
        <w:spacing w:line="288" w:lineRule="auto"/>
      </w:pPr>
      <w:r>
        <w:rPr>
          <w:rFonts w:hint="eastAsia"/>
        </w:rPr>
        <w:t>本合同下列术语应解释为：</w:t>
      </w:r>
    </w:p>
    <w:p>
      <w:pPr>
        <w:autoSpaceDE w:val="0"/>
        <w:autoSpaceDN w:val="0"/>
        <w:adjustRightInd w:val="0"/>
        <w:snapToGrid w:val="0"/>
        <w:spacing w:line="288" w:lineRule="auto"/>
        <w:rPr>
          <w:sz w:val="18"/>
        </w:rPr>
      </w:pPr>
    </w:p>
    <w:p>
      <w:pPr>
        <w:pStyle w:val="45"/>
        <w:tabs>
          <w:tab w:val="left" w:pos="1280"/>
        </w:tabs>
        <w:autoSpaceDE w:val="0"/>
        <w:autoSpaceDN w:val="0"/>
        <w:adjustRightInd w:val="0"/>
        <w:snapToGrid w:val="0"/>
        <w:spacing w:line="288" w:lineRule="auto"/>
        <w:ind w:left="0" w:firstLine="420" w:firstLineChars="200"/>
        <w:rPr>
          <w:rFonts w:ascii="Times New Roman" w:hAnsi="Times New Roman"/>
          <w:sz w:val="20"/>
        </w:rPr>
      </w:pPr>
      <w:r>
        <w:rPr>
          <w:rFonts w:ascii="宋体" w:hAnsi="宋体" w:eastAsia="宋体"/>
        </w:rPr>
        <w:t>1.1.</w:t>
      </w:r>
      <w:r>
        <w:rPr>
          <w:rFonts w:hint="eastAsia" w:ascii="宋体" w:hAnsi="宋体" w:eastAsia="宋体"/>
        </w:rPr>
        <w:t>“合同”，系指买卖双方签署的、合同格式中载明的买卖双方所达成的协议，包括所有的</w:t>
      </w:r>
      <w:r>
        <w:rPr>
          <w:rFonts w:hint="eastAsia" w:ascii="宋体" w:hAnsi="宋体" w:eastAsia="宋体"/>
          <w:spacing w:val="-3"/>
        </w:rPr>
        <w:t>附件、附录和上述文件所提到的构成合同的所有文件。</w:t>
      </w:r>
    </w:p>
    <w:p>
      <w:pPr>
        <w:pStyle w:val="45"/>
        <w:tabs>
          <w:tab w:val="left" w:pos="1280"/>
        </w:tabs>
        <w:autoSpaceDE w:val="0"/>
        <w:autoSpaceDN w:val="0"/>
        <w:adjustRightInd w:val="0"/>
        <w:snapToGrid w:val="0"/>
        <w:spacing w:line="288" w:lineRule="auto"/>
        <w:ind w:left="0" w:firstLine="420" w:firstLineChars="200"/>
        <w:rPr>
          <w:rFonts w:ascii="Times New Roman" w:hAnsi="Times New Roman"/>
          <w:sz w:val="20"/>
        </w:rPr>
      </w:pPr>
      <w:r>
        <w:rPr>
          <w:rFonts w:ascii="宋体" w:hAnsi="宋体" w:eastAsia="宋体"/>
        </w:rPr>
        <w:t>1.2.</w:t>
      </w:r>
      <w:r>
        <w:rPr>
          <w:rFonts w:hint="eastAsia" w:ascii="宋体" w:hAnsi="宋体" w:eastAsia="宋体"/>
        </w:rPr>
        <w:t>“合同价”，系指根据合同规定卖方在正确地履行合同义务后采购人应支付给卖方的价格。</w:t>
      </w:r>
    </w:p>
    <w:p>
      <w:pPr>
        <w:pStyle w:val="45"/>
        <w:tabs>
          <w:tab w:val="left" w:pos="1280"/>
        </w:tabs>
        <w:autoSpaceDE w:val="0"/>
        <w:autoSpaceDN w:val="0"/>
        <w:adjustRightInd w:val="0"/>
        <w:snapToGrid w:val="0"/>
        <w:spacing w:line="288" w:lineRule="auto"/>
        <w:ind w:left="0" w:firstLine="388" w:firstLineChars="200"/>
        <w:rPr>
          <w:rFonts w:ascii="Times New Roman" w:hAnsi="Times New Roman"/>
          <w:sz w:val="20"/>
        </w:rPr>
      </w:pPr>
      <w:r>
        <w:rPr>
          <w:rFonts w:ascii="宋体" w:hAnsi="宋体" w:eastAsia="宋体"/>
          <w:spacing w:val="-8"/>
        </w:rPr>
        <w:t>1.3.</w:t>
      </w:r>
      <w:r>
        <w:rPr>
          <w:rFonts w:hint="eastAsia" w:ascii="宋体" w:hAnsi="宋体" w:eastAsia="宋体"/>
          <w:spacing w:val="-8"/>
        </w:rPr>
        <w:t>“货物”，系指卖方根据合同规定须向采购人提供的各种形态和种类的物品，包括产品、</w:t>
      </w:r>
      <w:r>
        <w:rPr>
          <w:rFonts w:hint="eastAsia" w:ascii="宋体" w:hAnsi="宋体" w:eastAsia="宋体"/>
          <w:spacing w:val="-3"/>
        </w:rPr>
        <w:t>设备、配件等。</w:t>
      </w:r>
    </w:p>
    <w:p>
      <w:pPr>
        <w:pStyle w:val="45"/>
        <w:tabs>
          <w:tab w:val="left" w:pos="1280"/>
        </w:tabs>
        <w:autoSpaceDE w:val="0"/>
        <w:autoSpaceDN w:val="0"/>
        <w:adjustRightInd w:val="0"/>
        <w:snapToGrid w:val="0"/>
        <w:spacing w:line="288" w:lineRule="auto"/>
        <w:ind w:left="0" w:firstLine="420" w:firstLineChars="200"/>
        <w:rPr>
          <w:rFonts w:ascii="宋体" w:hAnsi="宋体" w:eastAsia="宋体"/>
          <w:spacing w:val="-9"/>
        </w:rPr>
      </w:pPr>
      <w:r>
        <w:rPr>
          <w:rFonts w:ascii="宋体" w:hAnsi="宋体" w:eastAsia="宋体"/>
        </w:rPr>
        <w:t>1.4.</w:t>
      </w:r>
      <w:r>
        <w:rPr>
          <w:rFonts w:hint="eastAsia" w:ascii="宋体" w:hAnsi="宋体" w:eastAsia="宋体"/>
        </w:rPr>
        <w:t>“服务”，系指伴随本项目产生的，根据合同规定卖方承担与供货有关的辅助服务，例</w:t>
      </w:r>
      <w:r>
        <w:rPr>
          <w:rFonts w:hint="eastAsia" w:ascii="宋体" w:hAnsi="宋体" w:eastAsia="宋体"/>
          <w:spacing w:val="-9"/>
        </w:rPr>
        <w:t>如安装、调试、技术援助、培训、售后服务等以及合同中规定卖方应承担的所有其它类似义务。</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1.5.</w:t>
      </w:r>
      <w:r>
        <w:rPr>
          <w:rFonts w:hint="eastAsia" w:ascii="宋体" w:hAnsi="宋体" w:eastAsia="宋体"/>
          <w:spacing w:val="-3"/>
        </w:rPr>
        <w:t>“采购人”，系指竞争性磋商文件中所述购买货物和服务的单位。</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1.6.</w:t>
      </w:r>
      <w:r>
        <w:rPr>
          <w:rFonts w:hint="eastAsia" w:ascii="宋体" w:hAnsi="宋体" w:eastAsia="宋体"/>
          <w:spacing w:val="-3"/>
        </w:rPr>
        <w:t>“卖方”，系指竞争性磋商文件中所述提供货物和服务的公司或实体，亦即中标人。</w:t>
      </w:r>
    </w:p>
    <w:p>
      <w:pPr>
        <w:pStyle w:val="45"/>
        <w:tabs>
          <w:tab w:val="left" w:pos="1280"/>
        </w:tabs>
        <w:autoSpaceDE w:val="0"/>
        <w:autoSpaceDN w:val="0"/>
        <w:adjustRightInd w:val="0"/>
        <w:snapToGrid w:val="0"/>
        <w:spacing w:line="288" w:lineRule="auto"/>
        <w:ind w:left="0" w:firstLine="412" w:firstLineChars="200"/>
        <w:rPr>
          <w:rFonts w:ascii="Times New Roman" w:hAnsi="Times New Roman"/>
          <w:sz w:val="20"/>
        </w:rPr>
      </w:pPr>
      <w:r>
        <w:rPr>
          <w:rFonts w:ascii="宋体" w:hAnsi="宋体" w:eastAsia="宋体"/>
          <w:spacing w:val="-2"/>
        </w:rPr>
        <w:t>1.7.</w:t>
      </w:r>
      <w:r>
        <w:rPr>
          <w:rFonts w:hint="eastAsia" w:ascii="宋体" w:hAnsi="宋体" w:eastAsia="宋体"/>
          <w:spacing w:val="-2"/>
        </w:rPr>
        <w:t>“天”，系日历天数。</w:t>
      </w:r>
    </w:p>
    <w:p>
      <w:pPr>
        <w:autoSpaceDE w:val="0"/>
        <w:autoSpaceDN w:val="0"/>
        <w:adjustRightInd w:val="0"/>
        <w:snapToGrid w:val="0"/>
        <w:spacing w:line="288" w:lineRule="auto"/>
        <w:rPr>
          <w:sz w:val="18"/>
        </w:rPr>
      </w:pPr>
    </w:p>
    <w:p>
      <w:pPr>
        <w:pStyle w:val="45"/>
        <w:tabs>
          <w:tab w:val="left" w:pos="1280"/>
        </w:tabs>
        <w:autoSpaceDE w:val="0"/>
        <w:autoSpaceDN w:val="0"/>
        <w:adjustRightInd w:val="0"/>
        <w:snapToGrid w:val="0"/>
        <w:spacing w:line="288" w:lineRule="auto"/>
        <w:ind w:left="-333" w:firstLine="442" w:firstLineChars="200"/>
        <w:rPr>
          <w:rFonts w:ascii="宋体" w:eastAsia="宋体"/>
          <w:b/>
          <w:sz w:val="22"/>
          <w:szCs w:val="22"/>
        </w:rPr>
      </w:pPr>
      <w:r>
        <w:rPr>
          <w:rFonts w:ascii="宋体" w:eastAsia="宋体"/>
          <w:b/>
          <w:sz w:val="22"/>
          <w:szCs w:val="22"/>
        </w:rPr>
        <w:t>2.</w:t>
      </w:r>
      <w:r>
        <w:rPr>
          <w:rFonts w:hint="eastAsia" w:ascii="宋体" w:eastAsia="宋体"/>
          <w:b/>
          <w:sz w:val="22"/>
          <w:szCs w:val="22"/>
        </w:rPr>
        <w:t>技术规格</w:t>
      </w:r>
    </w:p>
    <w:p>
      <w:pPr>
        <w:pStyle w:val="45"/>
        <w:tabs>
          <w:tab w:val="left" w:pos="1280"/>
        </w:tabs>
        <w:autoSpaceDE w:val="0"/>
        <w:autoSpaceDN w:val="0"/>
        <w:adjustRightInd w:val="0"/>
        <w:snapToGrid w:val="0"/>
        <w:spacing w:line="288" w:lineRule="auto"/>
        <w:ind w:left="-333" w:firstLine="422" w:firstLineChars="200"/>
        <w:rPr>
          <w:rFonts w:ascii="宋体" w:eastAsia="宋体"/>
          <w:b/>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2.1.</w:t>
      </w:r>
      <w:r>
        <w:rPr>
          <w:rFonts w:hint="eastAsia" w:ascii="宋体" w:hAnsi="宋体" w:eastAsia="宋体"/>
          <w:spacing w:val="-3"/>
        </w:rPr>
        <w:t>交付货物的技术规格应与响应文件规定的技术规格以及所附的技术规格响应表相一致。</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2.2.</w:t>
      </w:r>
      <w:r>
        <w:rPr>
          <w:rFonts w:hint="eastAsia" w:ascii="宋体" w:hAnsi="宋体" w:eastAsia="宋体"/>
          <w:spacing w:val="-3"/>
        </w:rPr>
        <w:t>除技术规格另有规定外，计量单位均使用公制。</w:t>
      </w:r>
    </w:p>
    <w:p>
      <w:pPr>
        <w:autoSpaceDE w:val="0"/>
        <w:autoSpaceDN w:val="0"/>
        <w:adjustRightInd w:val="0"/>
        <w:snapToGrid w:val="0"/>
        <w:spacing w:line="288" w:lineRule="auto"/>
        <w:rPr>
          <w:sz w:val="18"/>
        </w:rPr>
      </w:pPr>
    </w:p>
    <w:p>
      <w:pPr>
        <w:pStyle w:val="45"/>
        <w:tabs>
          <w:tab w:val="left" w:pos="1280"/>
        </w:tabs>
        <w:autoSpaceDE w:val="0"/>
        <w:autoSpaceDN w:val="0"/>
        <w:adjustRightInd w:val="0"/>
        <w:snapToGrid w:val="0"/>
        <w:spacing w:line="288" w:lineRule="auto"/>
        <w:ind w:left="-333" w:firstLine="442" w:firstLineChars="200"/>
        <w:rPr>
          <w:rFonts w:ascii="宋体" w:eastAsia="宋体"/>
          <w:b/>
          <w:sz w:val="22"/>
          <w:szCs w:val="22"/>
        </w:rPr>
      </w:pPr>
      <w:r>
        <w:rPr>
          <w:rFonts w:ascii="宋体" w:eastAsia="宋体"/>
          <w:b/>
          <w:sz w:val="22"/>
          <w:szCs w:val="22"/>
        </w:rPr>
        <w:t>3.</w:t>
      </w:r>
      <w:r>
        <w:rPr>
          <w:rFonts w:hint="eastAsia" w:ascii="宋体" w:eastAsia="宋体"/>
          <w:b/>
          <w:sz w:val="22"/>
          <w:szCs w:val="22"/>
        </w:rPr>
        <w:t>专利权</w:t>
      </w:r>
    </w:p>
    <w:p>
      <w:pPr>
        <w:autoSpaceDE w:val="0"/>
        <w:autoSpaceDN w:val="0"/>
        <w:adjustRightInd w:val="0"/>
        <w:snapToGrid w:val="0"/>
        <w:spacing w:line="288" w:lineRule="auto"/>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3.1.</w:t>
      </w:r>
      <w:r>
        <w:rPr>
          <w:rFonts w:hint="eastAsia" w:ascii="宋体" w:hAnsi="宋体" w:eastAsia="宋体"/>
          <w:spacing w:val="-3"/>
        </w:rPr>
        <w:t>卖方应保证采购人在使用该货物或其任何一部分时免受第三方提出侵犯其专利权、商标权或工业设计权的起诉。若由此出现侵权诉讼，由卖方承担全部责任。</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3.2.</w:t>
      </w:r>
      <w:r>
        <w:rPr>
          <w:rFonts w:hint="eastAsia" w:ascii="宋体" w:hAnsi="宋体" w:eastAsia="宋体"/>
          <w:spacing w:val="-3"/>
        </w:rPr>
        <w:t>卖方按合同要求为采购人提交的设计方案，其所有权、使用权等所有权力均转为采购人所拥有，卖方放弃拥有关于设计方案的所有权力。</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280"/>
        </w:tabs>
        <w:autoSpaceDE w:val="0"/>
        <w:autoSpaceDN w:val="0"/>
        <w:adjustRightInd w:val="0"/>
        <w:snapToGrid w:val="0"/>
        <w:spacing w:line="288" w:lineRule="auto"/>
        <w:ind w:left="-333" w:firstLine="442" w:firstLineChars="200"/>
        <w:rPr>
          <w:rFonts w:ascii="宋体" w:eastAsia="宋体"/>
          <w:b/>
        </w:rPr>
      </w:pPr>
      <w:r>
        <w:rPr>
          <w:rFonts w:ascii="宋体" w:eastAsia="宋体"/>
          <w:b/>
          <w:sz w:val="22"/>
          <w:szCs w:val="22"/>
        </w:rPr>
        <w:t>4.</w:t>
      </w:r>
      <w:r>
        <w:rPr>
          <w:rFonts w:hint="eastAsia" w:ascii="宋体" w:eastAsia="宋体"/>
          <w:b/>
          <w:sz w:val="22"/>
          <w:szCs w:val="22"/>
        </w:rPr>
        <w:t>包装要求</w:t>
      </w:r>
    </w:p>
    <w:p>
      <w:pPr>
        <w:autoSpaceDE w:val="0"/>
        <w:autoSpaceDN w:val="0"/>
        <w:adjustRightInd w:val="0"/>
        <w:snapToGrid w:val="0"/>
        <w:spacing w:line="288" w:lineRule="auto"/>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4.1.</w:t>
      </w:r>
      <w:r>
        <w:rPr>
          <w:rFonts w:hint="eastAsia" w:ascii="宋体" w:hAnsi="宋体" w:eastAsia="宋体"/>
          <w:spacing w:val="-3"/>
        </w:rPr>
        <w:t>除合同另有规定外，卖方提供的所有单独包装的货物都应具有原始的、完好的标准包装。如遇交付前已拆封货物，采购人有权拒绝接受或要求更换。</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4.2.</w:t>
      </w:r>
      <w:r>
        <w:rPr>
          <w:rFonts w:hint="eastAsia" w:ascii="宋体" w:hAnsi="宋体" w:eastAsia="宋体"/>
          <w:spacing w:val="-3"/>
        </w:rPr>
        <w:t>每个包装箱内的装箱清单、使用说明书、质量证书及保修卡等所有资料均须齐全。</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280"/>
        </w:tabs>
        <w:autoSpaceDE w:val="0"/>
        <w:autoSpaceDN w:val="0"/>
        <w:adjustRightInd w:val="0"/>
        <w:snapToGrid w:val="0"/>
        <w:spacing w:line="288" w:lineRule="auto"/>
        <w:ind w:left="-333" w:firstLine="442" w:firstLineChars="200"/>
        <w:rPr>
          <w:rFonts w:ascii="宋体" w:eastAsia="宋体"/>
          <w:b/>
        </w:rPr>
      </w:pPr>
      <w:r>
        <w:rPr>
          <w:rFonts w:ascii="宋体" w:eastAsia="宋体"/>
          <w:b/>
          <w:sz w:val="22"/>
          <w:szCs w:val="22"/>
        </w:rPr>
        <w:t>5.</w:t>
      </w:r>
      <w:r>
        <w:rPr>
          <w:rFonts w:hint="eastAsia" w:ascii="宋体" w:eastAsia="宋体"/>
          <w:b/>
          <w:sz w:val="22"/>
          <w:szCs w:val="22"/>
        </w:rPr>
        <w:t>装运条件</w:t>
      </w:r>
    </w:p>
    <w:p>
      <w:pPr>
        <w:pStyle w:val="45"/>
        <w:tabs>
          <w:tab w:val="left" w:pos="1280"/>
        </w:tabs>
        <w:autoSpaceDE w:val="0"/>
        <w:autoSpaceDN w:val="0"/>
        <w:adjustRightInd w:val="0"/>
        <w:snapToGrid w:val="0"/>
        <w:spacing w:line="288" w:lineRule="auto"/>
        <w:ind w:left="-333" w:firstLine="422" w:firstLineChars="200"/>
        <w:rPr>
          <w:rFonts w:ascii="宋体" w:eastAsia="宋体"/>
          <w:b/>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5.1.</w:t>
      </w:r>
      <w:r>
        <w:rPr>
          <w:rFonts w:hint="eastAsia" w:ascii="宋体" w:hAnsi="宋体" w:eastAsia="宋体"/>
          <w:spacing w:val="-3"/>
        </w:rPr>
        <w:t>卖方负责安排运输，运输费由卖方承担。</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5.2.</w:t>
      </w:r>
      <w:r>
        <w:rPr>
          <w:rFonts w:hint="eastAsia" w:ascii="宋体" w:hAnsi="宋体" w:eastAsia="宋体"/>
          <w:spacing w:val="-3"/>
        </w:rPr>
        <w:t>提单日期应视为货物实际交货日期。</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5.3.</w:t>
      </w:r>
      <w:r>
        <w:rPr>
          <w:rFonts w:hint="eastAsia" w:ascii="宋体" w:hAnsi="宋体" w:eastAsia="宋体"/>
          <w:spacing w:val="-3"/>
        </w:rPr>
        <w:t>卖方装运的货物不得超过合同规定的数量或重量。否则，卖方应对超运数量或重量而产生的一切后果负责。</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280"/>
        </w:tabs>
        <w:autoSpaceDE w:val="0"/>
        <w:autoSpaceDN w:val="0"/>
        <w:adjustRightInd w:val="0"/>
        <w:snapToGrid w:val="0"/>
        <w:spacing w:line="288" w:lineRule="auto"/>
        <w:ind w:left="-333" w:firstLine="442" w:firstLineChars="200"/>
        <w:rPr>
          <w:rFonts w:ascii="宋体" w:eastAsia="宋体"/>
          <w:b/>
          <w:sz w:val="22"/>
          <w:szCs w:val="22"/>
        </w:rPr>
      </w:pPr>
      <w:r>
        <w:rPr>
          <w:rFonts w:ascii="宋体" w:eastAsia="宋体"/>
          <w:b/>
          <w:sz w:val="22"/>
          <w:szCs w:val="22"/>
        </w:rPr>
        <w:t>6.</w:t>
      </w:r>
      <w:r>
        <w:rPr>
          <w:rFonts w:hint="eastAsia" w:ascii="宋体" w:eastAsia="宋体"/>
          <w:b/>
          <w:sz w:val="22"/>
          <w:szCs w:val="22"/>
        </w:rPr>
        <w:t>付款</w:t>
      </w:r>
    </w:p>
    <w:p>
      <w:pPr>
        <w:autoSpaceDE w:val="0"/>
        <w:autoSpaceDN w:val="0"/>
        <w:adjustRightInd w:val="0"/>
        <w:snapToGrid w:val="0"/>
        <w:spacing w:line="288" w:lineRule="auto"/>
        <w:rPr>
          <w:b/>
          <w:sz w:val="18"/>
        </w:rPr>
      </w:pPr>
    </w:p>
    <w:p>
      <w:pPr>
        <w:pStyle w:val="45"/>
        <w:tabs>
          <w:tab w:val="left" w:pos="1280"/>
        </w:tabs>
        <w:autoSpaceDE w:val="0"/>
        <w:autoSpaceDN w:val="0"/>
        <w:adjustRightInd w:val="0"/>
        <w:snapToGrid w:val="0"/>
        <w:spacing w:line="288" w:lineRule="auto"/>
        <w:ind w:left="0" w:firstLine="422" w:firstLineChars="200"/>
        <w:rPr>
          <w:rFonts w:ascii="Times New Roman" w:eastAsia="Times New Roman"/>
          <w:b/>
          <w:sz w:val="20"/>
        </w:rPr>
      </w:pPr>
      <w:r>
        <w:rPr>
          <w:rFonts w:ascii="宋体" w:eastAsia="宋体"/>
          <w:b/>
        </w:rPr>
        <w:t>6.1.</w:t>
      </w:r>
      <w:r>
        <w:rPr>
          <w:rFonts w:hint="eastAsia" w:ascii="宋体" w:eastAsia="宋体"/>
          <w:b/>
        </w:rPr>
        <w:t>本项目为固定单价合同。结算单价将以成交供应商竞争性磋商响应文件中的各项单价，</w:t>
      </w:r>
      <w:r>
        <w:rPr>
          <w:rFonts w:ascii="宋体" w:eastAsia="宋体"/>
          <w:b/>
        </w:rPr>
        <w:t xml:space="preserve"> </w:t>
      </w:r>
      <w:r>
        <w:rPr>
          <w:rFonts w:hint="eastAsia" w:ascii="宋体" w:eastAsia="宋体"/>
          <w:b/>
        </w:rPr>
        <w:t>按照最终成交总价与响应文件中第一轮磋商报价总价同比例下浮执行，结算单价在合同履行过程中一律不予调整。</w:t>
      </w:r>
    </w:p>
    <w:p>
      <w:pPr>
        <w:pStyle w:val="45"/>
        <w:tabs>
          <w:tab w:val="left" w:pos="1280"/>
        </w:tabs>
        <w:autoSpaceDE w:val="0"/>
        <w:autoSpaceDN w:val="0"/>
        <w:adjustRightInd w:val="0"/>
        <w:snapToGrid w:val="0"/>
        <w:spacing w:line="288" w:lineRule="auto"/>
        <w:ind w:left="0" w:firstLine="422" w:firstLineChars="200"/>
        <w:rPr>
          <w:rFonts w:ascii="宋体" w:eastAsia="宋体"/>
          <w:b/>
        </w:rPr>
      </w:pPr>
      <w:r>
        <w:rPr>
          <w:rFonts w:ascii="宋体" w:eastAsia="宋体"/>
          <w:b/>
        </w:rPr>
        <w:t>6.2.</w:t>
      </w:r>
      <w:r>
        <w:rPr>
          <w:rFonts w:hint="eastAsia" w:ascii="宋体" w:eastAsia="宋体"/>
          <w:b/>
        </w:rPr>
        <w:t>采购人按合同规定的合同生效及支付条件和方式安排付款。</w:t>
      </w:r>
    </w:p>
    <w:p>
      <w:pPr>
        <w:autoSpaceDE w:val="0"/>
        <w:autoSpaceDN w:val="0"/>
        <w:adjustRightInd w:val="0"/>
        <w:snapToGrid w:val="0"/>
        <w:spacing w:line="288" w:lineRule="auto"/>
        <w:ind w:firstLine="331"/>
        <w:rPr>
          <w:rFonts w:hint="eastAsia" w:ascii="宋体" w:eastAsia="宋体"/>
          <w:b/>
        </w:rPr>
      </w:pPr>
      <w:r>
        <w:rPr>
          <w:rFonts w:ascii="宋体" w:eastAsia="宋体"/>
          <w:b/>
        </w:rPr>
        <w:t>6.3.</w:t>
      </w:r>
      <w:r>
        <w:rPr>
          <w:rFonts w:hint="eastAsia" w:ascii="宋体" w:eastAsia="宋体"/>
          <w:b/>
        </w:rPr>
        <w:t>付款方式约定：货到安装调试完毕验收后付至合同总价的60％，试运行六个月无故障后再付至合同总价的95％（若出重大故障，以故障修复之日为计算起始日，再试运行六个月后付至合同总价的95%），留剩余5％作为质保金至质保期满后一次性付清。结算时须提供合法合规的增值税专票。（上述付款方式采用现金或银行保兑（商业汇票）方式付款，以上未付款项均不计利息。）</w:t>
      </w:r>
    </w:p>
    <w:p>
      <w:pPr>
        <w:autoSpaceDE w:val="0"/>
        <w:autoSpaceDN w:val="0"/>
        <w:adjustRightInd w:val="0"/>
        <w:snapToGrid w:val="0"/>
        <w:spacing w:line="288" w:lineRule="auto"/>
        <w:ind w:firstLine="331"/>
        <w:rPr>
          <w:b/>
        </w:rPr>
      </w:pPr>
      <w:r>
        <w:rPr>
          <w:rFonts w:hint="eastAsia"/>
          <w:b/>
          <w:spacing w:val="-9"/>
        </w:rPr>
        <w:t>验收结算方式：由双方按国家标准进行验收，根据实际验收货物开具合法增值税发票实销实结，如有不合法票据，一切法律后果均由卖方承担。</w:t>
      </w:r>
    </w:p>
    <w:p>
      <w:pPr>
        <w:autoSpaceDE w:val="0"/>
        <w:autoSpaceDN w:val="0"/>
        <w:adjustRightInd w:val="0"/>
        <w:snapToGrid w:val="0"/>
        <w:spacing w:line="288" w:lineRule="auto"/>
        <w:ind w:firstLine="331"/>
        <w:rPr>
          <w:b/>
        </w:rPr>
      </w:pPr>
      <w:r>
        <w:rPr>
          <w:rFonts w:hint="eastAsia"/>
          <w:b/>
        </w:rPr>
        <w:t>履约保证金金额为成交金额的</w:t>
      </w:r>
      <w:r>
        <w:rPr>
          <w:b/>
        </w:rPr>
        <w:t xml:space="preserve"> </w:t>
      </w:r>
      <w:r>
        <w:rPr>
          <w:rFonts w:eastAsia="Times New Roman"/>
          <w:b/>
        </w:rPr>
        <w:t>10%</w:t>
      </w:r>
      <w:r>
        <w:rPr>
          <w:rFonts w:hint="eastAsia"/>
          <w:b/>
        </w:rPr>
        <w:t>，由卖方在签订合同前向采购人缴纳，货到安装调试完毕验收合格后全额退还履约保证金给卖方。</w:t>
      </w:r>
    </w:p>
    <w:p>
      <w:pPr>
        <w:autoSpaceDE w:val="0"/>
        <w:autoSpaceDN w:val="0"/>
        <w:adjustRightInd w:val="0"/>
        <w:snapToGrid w:val="0"/>
        <w:spacing w:line="288" w:lineRule="auto"/>
        <w:ind w:firstLine="331"/>
        <w:rPr>
          <w:b/>
        </w:rPr>
      </w:pPr>
      <w:r>
        <w:rPr>
          <w:rFonts w:hint="eastAsia"/>
          <w:b/>
          <w:spacing w:val="-5"/>
        </w:rPr>
        <w:t>本项目付款进度与中标人应纳税义务挂钩，所涉及税收管理上要求中标人服从本市税务机关</w:t>
      </w:r>
      <w:r>
        <w:rPr>
          <w:rFonts w:hint="eastAsia"/>
          <w:b/>
          <w:spacing w:val="-9"/>
        </w:rPr>
        <w:t>管理，中标人须持有本市国税机关出具的</w:t>
      </w:r>
      <w:r>
        <w:rPr>
          <w:b/>
          <w:spacing w:val="-9"/>
        </w:rPr>
        <w:t>“</w:t>
      </w:r>
      <w:r>
        <w:rPr>
          <w:rFonts w:hint="eastAsia"/>
          <w:b/>
          <w:spacing w:val="-9"/>
        </w:rPr>
        <w:t>预缴税款申报表</w:t>
      </w:r>
      <w:r>
        <w:rPr>
          <w:rFonts w:hint="eastAsia"/>
          <w:b/>
        </w:rPr>
        <w:t>（枝江国税局盖章</w:t>
      </w:r>
      <w:r>
        <w:rPr>
          <w:rFonts w:hint="eastAsia"/>
          <w:b/>
          <w:spacing w:val="-29"/>
        </w:rPr>
        <w:t>）</w:t>
      </w:r>
      <w:r>
        <w:rPr>
          <w:b/>
          <w:spacing w:val="-18"/>
        </w:rPr>
        <w:t>”“</w:t>
      </w:r>
      <w:r>
        <w:rPr>
          <w:rFonts w:hint="eastAsia"/>
          <w:b/>
          <w:spacing w:val="-18"/>
        </w:rPr>
        <w:t>完税证</w:t>
      </w:r>
      <w:r>
        <w:rPr>
          <w:rFonts w:hint="eastAsia"/>
          <w:b/>
        </w:rPr>
        <w:t>（枝江国税局盖章）</w:t>
      </w:r>
      <w:r>
        <w:rPr>
          <w:b/>
        </w:rPr>
        <w:t>”“</w:t>
      </w:r>
      <w:r>
        <w:rPr>
          <w:rFonts w:hint="eastAsia"/>
          <w:b/>
        </w:rPr>
        <w:t>增值税发票（不要求是枝江国税局开具的）</w:t>
      </w:r>
      <w:r>
        <w:rPr>
          <w:b/>
        </w:rPr>
        <w:t>”</w:t>
      </w:r>
      <w:r>
        <w:rPr>
          <w:rFonts w:hint="eastAsia"/>
          <w:b/>
        </w:rPr>
        <w:t>三要素资料齐全申请支付工程款项，同时作出纳税相关承诺（后附纳税承诺书）。</w:t>
      </w:r>
    </w:p>
    <w:p>
      <w:pPr>
        <w:pStyle w:val="4"/>
        <w:autoSpaceDE w:val="0"/>
        <w:autoSpaceDN w:val="0"/>
        <w:spacing w:before="0" w:after="0" w:line="288" w:lineRule="auto"/>
      </w:pPr>
    </w:p>
    <w:p>
      <w:pPr>
        <w:pStyle w:val="45"/>
        <w:tabs>
          <w:tab w:val="left" w:pos="1280"/>
        </w:tabs>
        <w:autoSpaceDE w:val="0"/>
        <w:autoSpaceDN w:val="0"/>
        <w:adjustRightInd w:val="0"/>
        <w:snapToGrid w:val="0"/>
        <w:spacing w:line="288" w:lineRule="auto"/>
        <w:ind w:left="-333" w:firstLine="442" w:firstLineChars="200"/>
        <w:rPr>
          <w:rFonts w:ascii="宋体" w:eastAsia="宋体"/>
          <w:b/>
        </w:rPr>
      </w:pPr>
      <w:r>
        <w:rPr>
          <w:rFonts w:ascii="宋体" w:eastAsia="宋体"/>
          <w:b/>
          <w:sz w:val="22"/>
          <w:szCs w:val="22"/>
        </w:rPr>
        <w:t>7.</w:t>
      </w:r>
      <w:r>
        <w:rPr>
          <w:rFonts w:hint="eastAsia" w:ascii="宋体" w:eastAsia="宋体"/>
          <w:b/>
          <w:sz w:val="22"/>
          <w:szCs w:val="22"/>
        </w:rPr>
        <w:t>伴随服务</w:t>
      </w:r>
    </w:p>
    <w:p>
      <w:pPr>
        <w:autoSpaceDE w:val="0"/>
        <w:autoSpaceDN w:val="0"/>
        <w:adjustRightInd w:val="0"/>
        <w:snapToGrid w:val="0"/>
        <w:spacing w:line="288" w:lineRule="auto"/>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7.1.</w:t>
      </w:r>
      <w:r>
        <w:rPr>
          <w:rFonts w:hint="eastAsia" w:ascii="宋体" w:hAnsi="宋体" w:eastAsia="宋体"/>
          <w:spacing w:val="-3"/>
        </w:rPr>
        <w:t>卖方随同货物提交所供货物的技术资料。包括相应每套货物的中文技术文件，如：产品目录、操作手册、使用说明、维护手册或服务指南等。</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7.2.</w:t>
      </w:r>
      <w:r>
        <w:rPr>
          <w:rFonts w:hint="eastAsia" w:ascii="宋体" w:hAnsi="宋体" w:eastAsia="宋体"/>
          <w:spacing w:val="-3"/>
        </w:rPr>
        <w:t>卖方应提供下列服务：</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1</w:t>
      </w:r>
      <w:r>
        <w:rPr>
          <w:rFonts w:hint="eastAsia" w:ascii="宋体" w:hAnsi="宋体" w:eastAsia="宋体"/>
          <w:spacing w:val="-3"/>
        </w:rPr>
        <w:t>）货物的现场安装和启动监督；</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2</w:t>
      </w:r>
      <w:r>
        <w:rPr>
          <w:rFonts w:hint="eastAsia" w:ascii="宋体" w:hAnsi="宋体" w:eastAsia="宋体"/>
          <w:spacing w:val="-3"/>
        </w:rPr>
        <w:t>）提供货物组装和维修所必须的工具（如果有的话）；</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3</w:t>
      </w:r>
      <w:r>
        <w:rPr>
          <w:rFonts w:hint="eastAsia" w:ascii="宋体" w:hAnsi="宋体" w:eastAsia="宋体"/>
          <w:spacing w:val="-3"/>
        </w:rPr>
        <w:t>）在项目现场就货物的安装、启动、运行和维护，按采购人的要求提供技术培训。</w:t>
      </w:r>
    </w:p>
    <w:p>
      <w:pPr>
        <w:autoSpaceDE w:val="0"/>
        <w:autoSpaceDN w:val="0"/>
      </w:pPr>
    </w:p>
    <w:p>
      <w:pPr>
        <w:pStyle w:val="45"/>
        <w:tabs>
          <w:tab w:val="left" w:pos="1280"/>
        </w:tabs>
        <w:autoSpaceDE w:val="0"/>
        <w:autoSpaceDN w:val="0"/>
        <w:ind w:left="-333" w:firstLine="442" w:firstLineChars="200"/>
        <w:rPr>
          <w:rFonts w:ascii="宋体" w:eastAsia="宋体"/>
          <w:b/>
        </w:rPr>
      </w:pPr>
      <w:r>
        <w:rPr>
          <w:rFonts w:ascii="宋体" w:eastAsia="宋体"/>
          <w:b/>
          <w:sz w:val="22"/>
          <w:szCs w:val="22"/>
        </w:rPr>
        <w:t>8.</w:t>
      </w:r>
      <w:r>
        <w:rPr>
          <w:rFonts w:hint="eastAsia" w:ascii="宋体" w:eastAsia="宋体"/>
          <w:b/>
          <w:sz w:val="22"/>
          <w:szCs w:val="22"/>
        </w:rPr>
        <w:t>质量保证</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8.1.</w:t>
      </w:r>
      <w:r>
        <w:rPr>
          <w:rFonts w:hint="eastAsia" w:ascii="宋体" w:hAnsi="宋体" w:eastAsia="宋体"/>
          <w:spacing w:val="-3"/>
        </w:rPr>
        <w:t>质量要求：合格并通过采购人验收。因卖方原因造成货物或安装工程质量达不到合同约定的质量要求的，卖方须无条件更换全部有质量问题的货物，承担全部返工费用和与之相关的一切损失，并向采购人支付合同总价款</w:t>
      </w:r>
      <w:r>
        <w:rPr>
          <w:rFonts w:ascii="宋体" w:hAnsi="宋体" w:eastAsia="宋体"/>
          <w:spacing w:val="-3"/>
        </w:rPr>
        <w:t xml:space="preserve"> 5%</w:t>
      </w:r>
      <w:r>
        <w:rPr>
          <w:rFonts w:hint="eastAsia" w:ascii="宋体" w:hAnsi="宋体" w:eastAsia="宋体"/>
          <w:spacing w:val="-3"/>
        </w:rPr>
        <w:t>的违约金，工期不予顺延。</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8.2.</w:t>
      </w:r>
      <w:r>
        <w:rPr>
          <w:rFonts w:hint="eastAsia" w:ascii="宋体" w:hAnsi="宋体" w:eastAsia="宋体"/>
          <w:spacing w:val="-3"/>
        </w:rPr>
        <w:t>质保期（产品及安装）：不少于</w:t>
      </w:r>
      <w:r>
        <w:rPr>
          <w:rFonts w:ascii="宋体" w:hAnsi="宋体" w:eastAsia="宋体"/>
          <w:spacing w:val="-3"/>
        </w:rPr>
        <w:t xml:space="preserve"> 5 </w:t>
      </w:r>
      <w:r>
        <w:rPr>
          <w:rFonts w:hint="eastAsia" w:ascii="宋体" w:hAnsi="宋体" w:eastAsia="宋体"/>
          <w:spacing w:val="-3"/>
        </w:rPr>
        <w:t>年（以供应商承诺为准）；售后服务响应时间：接到故障电话后</w:t>
      </w:r>
      <w:r>
        <w:rPr>
          <w:rFonts w:ascii="宋体" w:hAnsi="宋体" w:eastAsia="宋体"/>
          <w:spacing w:val="-3"/>
        </w:rPr>
        <w:t xml:space="preserve"> 4 </w:t>
      </w:r>
      <w:r>
        <w:rPr>
          <w:rFonts w:hint="eastAsia" w:ascii="宋体" w:hAnsi="宋体" w:eastAsia="宋体"/>
          <w:spacing w:val="-3"/>
        </w:rPr>
        <w:t>小时内到达现场且在</w:t>
      </w:r>
      <w:r>
        <w:rPr>
          <w:rFonts w:ascii="宋体" w:hAnsi="宋体" w:eastAsia="宋体"/>
          <w:spacing w:val="-3"/>
        </w:rPr>
        <w:t xml:space="preserve"> 24 </w:t>
      </w:r>
      <w:r>
        <w:rPr>
          <w:rFonts w:hint="eastAsia" w:ascii="宋体" w:hAnsi="宋体" w:eastAsia="宋体"/>
          <w:spacing w:val="-3"/>
        </w:rPr>
        <w:t>小时内解决问题（以供应商承诺为准）。</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8.3.</w:t>
      </w:r>
      <w:r>
        <w:rPr>
          <w:rFonts w:hint="eastAsia" w:ascii="宋体" w:hAnsi="宋体" w:eastAsia="宋体"/>
          <w:spacing w:val="-3"/>
        </w:rPr>
        <w:t>卖方保证所提供的货物是全新的、未使用过的，是完全符合合同规定的质量、规格和性能要求的。保证货物在正常使用和保养条件下，在其使用寿命内具有满意的性能。在卖方承诺的货物质量保证期内，卖方对由于设计工艺或材料的缺陷而产生的故障负责。</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8.4.</w:t>
      </w:r>
      <w:r>
        <w:rPr>
          <w:rFonts w:hint="eastAsia" w:ascii="宋体" w:hAnsi="宋体" w:eastAsia="宋体"/>
          <w:spacing w:val="-3"/>
        </w:rPr>
        <w:t>在质保期内，如果货物的数量、质量或规格与合同不符，或证实货物有缺陷的，买方可尽快以书面形式向卖方提出本保证下的索赔。</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8.5.</w:t>
      </w:r>
      <w:r>
        <w:rPr>
          <w:rFonts w:hint="eastAsia" w:ascii="宋体" w:hAnsi="宋体" w:eastAsia="宋体"/>
          <w:spacing w:val="-3"/>
        </w:rPr>
        <w:t>卖方在收到索赔通知后十（</w:t>
      </w:r>
      <w:r>
        <w:rPr>
          <w:rFonts w:ascii="宋体" w:hAnsi="宋体" w:eastAsia="宋体"/>
          <w:spacing w:val="-3"/>
        </w:rPr>
        <w:t>10</w:t>
      </w:r>
      <w:r>
        <w:rPr>
          <w:rFonts w:hint="eastAsia" w:ascii="宋体" w:hAnsi="宋体" w:eastAsia="宋体"/>
          <w:spacing w:val="-3"/>
        </w:rPr>
        <w:t>）天内须免费更换有缺陷的货物或部件。</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8.6.</w:t>
      </w:r>
      <w:r>
        <w:rPr>
          <w:rFonts w:hint="eastAsia" w:ascii="宋体" w:hAnsi="宋体" w:eastAsia="宋体"/>
          <w:spacing w:val="-3"/>
        </w:rPr>
        <w:t>卖方在收到索赔通知后十（</w:t>
      </w:r>
      <w:r>
        <w:rPr>
          <w:rFonts w:ascii="宋体" w:hAnsi="宋体" w:eastAsia="宋体"/>
          <w:spacing w:val="-3"/>
        </w:rPr>
        <w:t>10</w:t>
      </w:r>
      <w:r>
        <w:rPr>
          <w:rFonts w:hint="eastAsia" w:ascii="宋体" w:hAnsi="宋体" w:eastAsia="宋体"/>
          <w:spacing w:val="-3"/>
        </w:rPr>
        <w:t>）天内没有弥补缺陷，买方可采取必要的补救措施，其风险和费用将由卖方承担，买方根据合同规定向卖方行使的其它权利不受影响。</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280"/>
        </w:tabs>
        <w:autoSpaceDE w:val="0"/>
        <w:autoSpaceDN w:val="0"/>
        <w:ind w:left="-333" w:firstLine="442" w:firstLineChars="200"/>
        <w:rPr>
          <w:rFonts w:ascii="宋体" w:eastAsia="宋体"/>
          <w:b/>
        </w:rPr>
      </w:pPr>
      <w:r>
        <w:rPr>
          <w:rFonts w:ascii="宋体" w:eastAsia="宋体"/>
          <w:b/>
          <w:sz w:val="22"/>
          <w:szCs w:val="22"/>
        </w:rPr>
        <w:t>9.</w:t>
      </w:r>
      <w:r>
        <w:rPr>
          <w:rFonts w:hint="eastAsia" w:ascii="宋体" w:eastAsia="宋体"/>
          <w:b/>
          <w:sz w:val="22"/>
          <w:szCs w:val="22"/>
        </w:rPr>
        <w:t>检验</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9.1.</w:t>
      </w:r>
      <w:r>
        <w:rPr>
          <w:rFonts w:hint="eastAsia" w:ascii="宋体" w:hAnsi="宋体" w:eastAsia="宋体"/>
          <w:spacing w:val="-3"/>
        </w:rPr>
        <w:t>在交货前，卖方应对货物的质量、规格、性能、数量等进行详细全面的检验，并出具一份证明货物符合合同规定要求的检验报告。检验报告是付款必要的文件组成部分，但不作为对有关质量、规格、数量的最终检验。</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9.2.</w:t>
      </w:r>
      <w:r>
        <w:rPr>
          <w:rFonts w:hint="eastAsia" w:ascii="宋体" w:hAnsi="宋体" w:eastAsia="宋体"/>
          <w:spacing w:val="-3"/>
        </w:rPr>
        <w:t>货物交付后，采购人申请有关部门对货物的质量、数量等进行检验，并出具检验证书。</w:t>
      </w:r>
    </w:p>
    <w:p>
      <w:pPr>
        <w:autoSpaceDE w:val="0"/>
        <w:autoSpaceDN w:val="0"/>
        <w:rPr>
          <w:sz w:val="18"/>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10.</w:t>
      </w:r>
      <w:r>
        <w:rPr>
          <w:rFonts w:hint="eastAsia" w:ascii="宋体" w:eastAsia="宋体"/>
          <w:b/>
          <w:sz w:val="22"/>
          <w:szCs w:val="22"/>
        </w:rPr>
        <w:t>安全生产</w:t>
      </w:r>
    </w:p>
    <w:p>
      <w:pPr>
        <w:autoSpaceDE w:val="0"/>
        <w:autoSpaceDN w:val="0"/>
        <w:rPr>
          <w:b/>
          <w:sz w:val="18"/>
        </w:rPr>
      </w:pPr>
    </w:p>
    <w:p>
      <w:pPr>
        <w:autoSpaceDE w:val="0"/>
        <w:autoSpaceDN w:val="0"/>
        <w:spacing w:line="288" w:lineRule="auto"/>
        <w:ind w:firstLine="329"/>
        <w:rPr>
          <w:rFonts w:ascii="宋体" w:cs="新宋体"/>
          <w:spacing w:val="-3"/>
          <w:sz w:val="22"/>
          <w:szCs w:val="22"/>
        </w:rPr>
      </w:pPr>
      <w:r>
        <w:rPr>
          <w:rFonts w:hint="eastAsia" w:ascii="宋体" w:hAnsi="宋体" w:cs="新宋体"/>
          <w:spacing w:val="-3"/>
          <w:sz w:val="22"/>
          <w:szCs w:val="22"/>
        </w:rPr>
        <w:t>卖方在安装作业期间，应服从采购人现场管理人员的管理，做到安全文明施工。如果出现安全事故，卖方应及时按有关安全事故处理规定抢救处置，并承担一切经济损失和法律责任，同时须向采购人承担合同价款</w:t>
      </w:r>
      <w:r>
        <w:rPr>
          <w:rFonts w:ascii="宋体" w:hAnsi="宋体" w:cs="新宋体"/>
          <w:spacing w:val="-3"/>
          <w:sz w:val="22"/>
          <w:szCs w:val="22"/>
        </w:rPr>
        <w:t xml:space="preserve"> 5%</w:t>
      </w:r>
      <w:r>
        <w:rPr>
          <w:rFonts w:hint="eastAsia" w:ascii="宋体" w:hAnsi="宋体" w:cs="新宋体"/>
          <w:spacing w:val="-3"/>
          <w:sz w:val="22"/>
          <w:szCs w:val="22"/>
        </w:rPr>
        <w:t>的违约金。采购人对此概不承担任何责任。</w:t>
      </w:r>
    </w:p>
    <w:p>
      <w:pPr>
        <w:pStyle w:val="4"/>
        <w:autoSpaceDE w:val="0"/>
        <w:autoSpaceDN w:val="0"/>
        <w:spacing w:before="0" w:after="0" w:line="288" w:lineRule="auto"/>
      </w:pPr>
    </w:p>
    <w:p>
      <w:pPr>
        <w:pStyle w:val="45"/>
        <w:tabs>
          <w:tab w:val="left" w:pos="1376"/>
        </w:tabs>
        <w:autoSpaceDE w:val="0"/>
        <w:autoSpaceDN w:val="0"/>
        <w:ind w:left="-429" w:firstLine="442" w:firstLineChars="200"/>
        <w:rPr>
          <w:rFonts w:ascii="宋体" w:eastAsia="宋体"/>
          <w:b/>
        </w:rPr>
      </w:pPr>
      <w:r>
        <w:rPr>
          <w:rFonts w:ascii="宋体" w:eastAsia="宋体"/>
          <w:b/>
          <w:sz w:val="22"/>
          <w:szCs w:val="22"/>
        </w:rPr>
        <w:t>11.</w:t>
      </w:r>
      <w:r>
        <w:rPr>
          <w:rFonts w:hint="eastAsia" w:ascii="宋体" w:eastAsia="宋体"/>
          <w:b/>
          <w:sz w:val="22"/>
          <w:szCs w:val="22"/>
        </w:rPr>
        <w:t>索赔</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11.1.</w:t>
      </w:r>
      <w:r>
        <w:rPr>
          <w:rFonts w:hint="eastAsia" w:ascii="宋体" w:hAnsi="宋体" w:eastAsia="宋体"/>
          <w:spacing w:val="-3"/>
        </w:rPr>
        <w:t>采购人有权根据有关部门出具的检验证书向卖方提出索赔。</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在合同条款第</w:t>
      </w:r>
      <w:r>
        <w:rPr>
          <w:rFonts w:ascii="宋体" w:hAnsi="宋体" w:eastAsia="宋体"/>
          <w:spacing w:val="-3"/>
        </w:rPr>
        <w:t xml:space="preserve"> 8 </w:t>
      </w:r>
      <w:r>
        <w:rPr>
          <w:rFonts w:hint="eastAsia" w:ascii="宋体" w:hAnsi="宋体" w:eastAsia="宋体"/>
          <w:spacing w:val="-3"/>
        </w:rPr>
        <w:t>条规定的质保期内，如果卖方对差异负有责任而采购人提出索赔，卖方应按照采购人的损失程度进行赔偿。</w:t>
      </w:r>
    </w:p>
    <w:p>
      <w:pPr>
        <w:autoSpaceDE w:val="0"/>
        <w:autoSpaceDN w:val="0"/>
        <w:rPr>
          <w:sz w:val="18"/>
        </w:rPr>
      </w:pPr>
    </w:p>
    <w:p>
      <w:pPr>
        <w:pStyle w:val="45"/>
        <w:tabs>
          <w:tab w:val="left" w:pos="1390"/>
        </w:tabs>
        <w:autoSpaceDE w:val="0"/>
        <w:autoSpaceDN w:val="0"/>
        <w:ind w:left="-443" w:firstLine="438" w:firstLineChars="200"/>
        <w:rPr>
          <w:rFonts w:ascii="宋体" w:eastAsia="宋体"/>
          <w:b/>
          <w:sz w:val="22"/>
          <w:szCs w:val="22"/>
        </w:rPr>
      </w:pPr>
      <w:r>
        <w:rPr>
          <w:rFonts w:ascii="宋体" w:eastAsia="宋体"/>
          <w:b/>
          <w:spacing w:val="-1"/>
          <w:sz w:val="22"/>
          <w:szCs w:val="22"/>
        </w:rPr>
        <w:t>12.</w:t>
      </w:r>
      <w:r>
        <w:rPr>
          <w:rFonts w:hint="eastAsia" w:ascii="宋体" w:eastAsia="宋体"/>
          <w:b/>
          <w:spacing w:val="-1"/>
          <w:sz w:val="22"/>
          <w:szCs w:val="22"/>
        </w:rPr>
        <w:t>卖方履约延误</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12.1.</w:t>
      </w:r>
      <w:r>
        <w:rPr>
          <w:rFonts w:hint="eastAsia" w:ascii="宋体" w:hAnsi="宋体" w:eastAsia="宋体"/>
          <w:spacing w:val="-3"/>
        </w:rPr>
        <w:t>供货及安装工期：自采购人通知之日起</w:t>
      </w:r>
      <w:r>
        <w:rPr>
          <w:rFonts w:ascii="宋体" w:hAnsi="宋体" w:eastAsia="宋体"/>
          <w:spacing w:val="-3"/>
        </w:rPr>
        <w:t xml:space="preserve"> 25 </w:t>
      </w:r>
      <w:r>
        <w:rPr>
          <w:rFonts w:hint="eastAsia" w:ascii="宋体" w:hAnsi="宋体" w:eastAsia="宋体"/>
          <w:spacing w:val="-3"/>
        </w:rPr>
        <w:t>日历天，其中设备交货期</w:t>
      </w:r>
      <w:r>
        <w:rPr>
          <w:rFonts w:ascii="宋体" w:hAnsi="宋体" w:eastAsia="宋体"/>
          <w:spacing w:val="-3"/>
        </w:rPr>
        <w:t xml:space="preserve"> 22 </w:t>
      </w:r>
      <w:r>
        <w:rPr>
          <w:rFonts w:hint="eastAsia" w:ascii="宋体" w:hAnsi="宋体" w:eastAsia="宋体"/>
          <w:spacing w:val="-3"/>
        </w:rPr>
        <w:t>日历天，安装工期</w:t>
      </w:r>
      <w:r>
        <w:rPr>
          <w:rFonts w:ascii="宋体" w:hAnsi="宋体" w:eastAsia="宋体"/>
          <w:spacing w:val="-3"/>
        </w:rPr>
        <w:t xml:space="preserve"> 3 </w:t>
      </w:r>
      <w:r>
        <w:rPr>
          <w:rFonts w:hint="eastAsia" w:ascii="宋体" w:hAnsi="宋体" w:eastAsia="宋体"/>
          <w:spacing w:val="-3"/>
        </w:rPr>
        <w:t>日历天。供货及安装地点：采购人指定仓库或施工工地。</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12.2.</w:t>
      </w:r>
      <w:r>
        <w:rPr>
          <w:rFonts w:hint="eastAsia" w:ascii="宋体" w:hAnsi="宋体" w:eastAsia="宋体"/>
          <w:spacing w:val="-3"/>
        </w:rPr>
        <w:t>如卖方无正当理由而拖延交货或安装工期，采购人将从合同价款中扣除误期赔偿费而不影响合同项下的其他补救方法，赔偿费按</w:t>
      </w:r>
      <w:r>
        <w:rPr>
          <w:rFonts w:ascii="宋体" w:hAnsi="宋体" w:eastAsia="宋体"/>
          <w:spacing w:val="-3"/>
        </w:rPr>
        <w:t xml:space="preserve"> 2000 </w:t>
      </w:r>
      <w:r>
        <w:rPr>
          <w:rFonts w:hint="eastAsia" w:ascii="宋体" w:hAnsi="宋体" w:eastAsia="宋体"/>
          <w:spacing w:val="-3"/>
        </w:rPr>
        <w:t>元</w:t>
      </w:r>
      <w:r>
        <w:rPr>
          <w:rFonts w:ascii="宋体" w:hAnsi="宋体" w:eastAsia="宋体"/>
          <w:spacing w:val="-3"/>
        </w:rPr>
        <w:t>/</w:t>
      </w:r>
      <w:r>
        <w:rPr>
          <w:rFonts w:hint="eastAsia" w:ascii="宋体" w:hAnsi="宋体" w:eastAsia="宋体"/>
          <w:spacing w:val="-3"/>
        </w:rPr>
        <w:t>天计收，直至交货并安装交付为止。误期赔偿费的最高限额不超过合同价的百分之五（</w:t>
      </w:r>
      <w:r>
        <w:rPr>
          <w:rFonts w:ascii="宋体" w:hAnsi="宋体" w:eastAsia="宋体"/>
          <w:spacing w:val="-3"/>
        </w:rPr>
        <w:t>5%</w:t>
      </w:r>
      <w:r>
        <w:rPr>
          <w:rFonts w:hint="eastAsia" w:ascii="宋体" w:hAnsi="宋体" w:eastAsia="宋体"/>
          <w:spacing w:val="-3"/>
        </w:rPr>
        <w:t>）。一旦达到误期赔偿费的最高限额，采购人可考虑终止合同。</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12.3.</w:t>
      </w:r>
      <w:r>
        <w:rPr>
          <w:rFonts w:hint="eastAsia" w:ascii="宋体" w:hAnsi="宋体" w:eastAsia="宋体"/>
          <w:spacing w:val="-3"/>
        </w:rPr>
        <w:t>在履行合同过程中，如果卖方遇到可能妨碍按时交货和提供服务的情况时，应及时以书面形式将拖延的事实、可能拖延的期限和理由通知采购人。采购人在收到通知后，要尽快对情况进行评价，并确定是否通过</w:t>
      </w:r>
      <w:r>
        <w:rPr>
          <w:rFonts w:hint="eastAsia" w:ascii="宋体" w:hAnsi="宋体" w:eastAsia="宋体"/>
          <w:spacing w:val="-3"/>
          <w:lang w:eastAsia="zh-CN"/>
        </w:rPr>
        <w:t>双方协商</w:t>
      </w:r>
      <w:r>
        <w:rPr>
          <w:rFonts w:hint="eastAsia" w:ascii="宋体" w:hAnsi="宋体" w:eastAsia="宋体"/>
          <w:spacing w:val="-3"/>
        </w:rPr>
        <w:t>，酌情延长交货时间。</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13.</w:t>
      </w:r>
      <w:r>
        <w:rPr>
          <w:rFonts w:hint="eastAsia" w:ascii="宋体" w:eastAsia="宋体"/>
          <w:b/>
          <w:sz w:val="22"/>
          <w:szCs w:val="22"/>
        </w:rPr>
        <w:t>不可抗力</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13.1.</w:t>
      </w:r>
      <w:r>
        <w:rPr>
          <w:rFonts w:hint="eastAsia" w:ascii="宋体" w:hAnsi="宋体" w:eastAsia="宋体"/>
          <w:spacing w:val="-3"/>
        </w:rPr>
        <w:t>如果双方任何一方由于经双方同意属于不可抗力的事故，致使影响合同履行时，履行合同的期限予以延长，延长的期限应相当于事故所影响的时间。</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13.2.</w:t>
      </w:r>
      <w:r>
        <w:rPr>
          <w:rFonts w:hint="eastAsia" w:ascii="宋体" w:hAnsi="宋体" w:eastAsia="宋体"/>
          <w:spacing w:val="-3"/>
        </w:rPr>
        <w:t>受事故影响的一方应在不可抗力发生后尽快以传真、电话通知另一方，并在事故发生后</w:t>
      </w:r>
    </w:p>
    <w:p>
      <w:pPr>
        <w:pStyle w:val="45"/>
        <w:tabs>
          <w:tab w:val="left" w:pos="1280"/>
        </w:tabs>
        <w:autoSpaceDE w:val="0"/>
        <w:autoSpaceDN w:val="0"/>
        <w:adjustRightInd w:val="0"/>
        <w:snapToGrid w:val="0"/>
        <w:spacing w:line="288" w:lineRule="auto"/>
        <w:ind w:left="0" w:firstLine="0"/>
        <w:rPr>
          <w:rFonts w:ascii="宋体" w:hAnsi="宋体" w:eastAsia="宋体"/>
          <w:spacing w:val="-3"/>
        </w:rPr>
      </w:pPr>
      <w:r>
        <w:rPr>
          <w:rFonts w:ascii="宋体" w:hAnsi="宋体" w:eastAsia="宋体"/>
          <w:spacing w:val="-3"/>
        </w:rPr>
        <w:t xml:space="preserve">14 </w:t>
      </w:r>
      <w:r>
        <w:rPr>
          <w:rFonts w:hint="eastAsia" w:ascii="宋体" w:hAnsi="宋体" w:eastAsia="宋体"/>
          <w:spacing w:val="-3"/>
        </w:rPr>
        <w:t>天内，将有关部门出具的证明文件用挂号信寄给另一方。如果不可抗力影响时间延续</w:t>
      </w:r>
      <w:r>
        <w:rPr>
          <w:rFonts w:ascii="宋体" w:hAnsi="宋体" w:eastAsia="宋体"/>
          <w:spacing w:val="-3"/>
        </w:rPr>
        <w:t xml:space="preserve"> 90 </w:t>
      </w:r>
      <w:r>
        <w:rPr>
          <w:rFonts w:hint="eastAsia" w:ascii="宋体" w:hAnsi="宋体" w:eastAsia="宋体"/>
          <w:spacing w:val="-3"/>
        </w:rPr>
        <w:t>天以上时，双方可通过友好协商在合理的时间内达成进一步履行合同的协议。</w:t>
      </w:r>
    </w:p>
    <w:p>
      <w:pPr>
        <w:pStyle w:val="45"/>
        <w:tabs>
          <w:tab w:val="left" w:pos="1390"/>
        </w:tabs>
        <w:autoSpaceDE w:val="0"/>
        <w:autoSpaceDN w:val="0"/>
        <w:ind w:left="-443" w:firstLine="0"/>
        <w:rPr>
          <w:rFonts w:ascii="宋体" w:eastAsia="宋体"/>
          <w:b/>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14.</w:t>
      </w:r>
      <w:r>
        <w:rPr>
          <w:rFonts w:hint="eastAsia" w:ascii="宋体" w:eastAsia="宋体"/>
          <w:b/>
          <w:sz w:val="22"/>
          <w:szCs w:val="22"/>
        </w:rPr>
        <w:t>税费</w:t>
      </w:r>
    </w:p>
    <w:p>
      <w:pPr>
        <w:autoSpaceDE w:val="0"/>
        <w:autoSpaceDN w:val="0"/>
        <w:rPr>
          <w:b/>
          <w:sz w:val="18"/>
        </w:rPr>
      </w:pPr>
    </w:p>
    <w:p>
      <w:pPr>
        <w:pStyle w:val="45"/>
        <w:tabs>
          <w:tab w:val="left" w:pos="1390"/>
        </w:tabs>
        <w:autoSpaceDE w:val="0"/>
        <w:autoSpaceDN w:val="0"/>
        <w:ind w:left="-443" w:firstLine="816" w:firstLineChars="400"/>
        <w:rPr>
          <w:rFonts w:ascii="Times New Roman" w:eastAsia="Times New Roman"/>
          <w:sz w:val="20"/>
        </w:rPr>
      </w:pPr>
      <w:r>
        <w:rPr>
          <w:rFonts w:ascii="宋体" w:eastAsia="宋体"/>
          <w:spacing w:val="-3"/>
        </w:rPr>
        <w:t>14.1.</w:t>
      </w:r>
      <w:r>
        <w:rPr>
          <w:rFonts w:hint="eastAsia" w:ascii="宋体" w:eastAsia="宋体"/>
          <w:spacing w:val="-3"/>
        </w:rPr>
        <w:t>政府根据现行税法对卖方征收的与本合同有关的一切税费均由卖方负担。</w:t>
      </w:r>
    </w:p>
    <w:p>
      <w:pPr>
        <w:autoSpaceDE w:val="0"/>
        <w:autoSpaceDN w:val="0"/>
        <w:rPr>
          <w:sz w:val="18"/>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15.</w:t>
      </w:r>
      <w:r>
        <w:rPr>
          <w:rFonts w:hint="eastAsia" w:ascii="宋体" w:eastAsia="宋体"/>
          <w:b/>
          <w:sz w:val="22"/>
          <w:szCs w:val="22"/>
        </w:rPr>
        <w:t>仲裁</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15.1.</w:t>
      </w:r>
      <w:r>
        <w:rPr>
          <w:rFonts w:hint="eastAsia" w:ascii="宋体" w:hAnsi="宋体" w:eastAsia="宋体"/>
          <w:spacing w:val="-3"/>
        </w:rPr>
        <w:t>在执行本合同中所发生的或与本合同有关的一切争端，买卖双方应通过友好协商解决。如果协商仍得不到解决，则应申请仲裁。</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15.2.</w:t>
      </w:r>
      <w:r>
        <w:rPr>
          <w:rFonts w:hint="eastAsia" w:ascii="宋体" w:hAnsi="宋体" w:eastAsia="宋体"/>
          <w:spacing w:val="-3"/>
        </w:rPr>
        <w:t>仲裁应根据《中华人民共和国仲裁法》的规定向有管辖权的仲裁机构申请仲裁。</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15.3.</w:t>
      </w:r>
      <w:r>
        <w:rPr>
          <w:rFonts w:hint="eastAsia" w:ascii="宋体" w:hAnsi="宋体" w:eastAsia="宋体"/>
          <w:spacing w:val="-3"/>
        </w:rPr>
        <w:t>在仲裁期间，除正在进行仲裁的部分外，本合同继续执行。</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16.</w:t>
      </w:r>
      <w:r>
        <w:rPr>
          <w:rFonts w:hint="eastAsia" w:ascii="宋体" w:eastAsia="宋体"/>
          <w:b/>
          <w:sz w:val="22"/>
          <w:szCs w:val="22"/>
        </w:rPr>
        <w:t>违约终止合同</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出现下列情况之一，采购人在对卖方违约而采取的任何补救措施不受影响的情况下，可向卖方发出终止部分或全部合同的书面通知书。</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1</w:t>
      </w:r>
      <w:r>
        <w:rPr>
          <w:rFonts w:hint="eastAsia" w:ascii="宋体" w:hAnsi="宋体" w:eastAsia="宋体"/>
          <w:spacing w:val="-3"/>
        </w:rPr>
        <w:t>）如果卖方未能按合同规定的期限或采购人同意延长的限期内提供部分或全部货物（服务）、完成工程施工；</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2</w:t>
      </w:r>
      <w:r>
        <w:rPr>
          <w:rFonts w:hint="eastAsia" w:ascii="宋体" w:hAnsi="宋体" w:eastAsia="宋体"/>
          <w:spacing w:val="-3"/>
        </w:rPr>
        <w:t>）卖方在收到采购人发出的违约通知后</w:t>
      </w:r>
      <w:r>
        <w:rPr>
          <w:rFonts w:ascii="宋体" w:hAnsi="宋体" w:eastAsia="宋体"/>
          <w:spacing w:val="-3"/>
        </w:rPr>
        <w:t xml:space="preserve"> 20 </w:t>
      </w:r>
      <w:r>
        <w:rPr>
          <w:rFonts w:hint="eastAsia" w:ascii="宋体" w:hAnsi="宋体" w:eastAsia="宋体"/>
          <w:spacing w:val="-3"/>
        </w:rPr>
        <w:t>天内，或经采购人书面认可延长的时间内未能纠正其过失；</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hint="eastAsia" w:ascii="宋体" w:hAnsi="宋体" w:eastAsia="宋体"/>
          <w:spacing w:val="-3"/>
        </w:rPr>
        <w:t>（</w:t>
      </w:r>
      <w:r>
        <w:rPr>
          <w:rFonts w:ascii="宋体" w:hAnsi="宋体" w:eastAsia="宋体"/>
          <w:spacing w:val="-3"/>
        </w:rPr>
        <w:t>3</w:t>
      </w:r>
      <w:r>
        <w:rPr>
          <w:rFonts w:hint="eastAsia" w:ascii="宋体" w:hAnsi="宋体" w:eastAsia="宋体"/>
          <w:spacing w:val="-3"/>
        </w:rPr>
        <w:t>）如果卖方未能履行合同规定的其它任何义务。</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280"/>
        </w:tabs>
        <w:autoSpaceDE w:val="0"/>
        <w:autoSpaceDN w:val="0"/>
        <w:adjustRightInd w:val="0"/>
        <w:snapToGrid w:val="0"/>
        <w:spacing w:line="288" w:lineRule="auto"/>
        <w:ind w:left="0" w:firstLine="408" w:firstLineChars="200"/>
        <w:rPr>
          <w:rFonts w:ascii="Times New Roman" w:eastAsia="Times New Roman"/>
          <w:sz w:val="20"/>
        </w:rPr>
      </w:pPr>
      <w:r>
        <w:rPr>
          <w:rFonts w:ascii="宋体" w:hAnsi="宋体" w:eastAsia="宋体"/>
          <w:spacing w:val="-3"/>
        </w:rPr>
        <w:t>16.1.</w:t>
      </w:r>
      <w:r>
        <w:rPr>
          <w:rFonts w:hint="eastAsia" w:ascii="宋体" w:hAnsi="宋体" w:eastAsia="宋体"/>
          <w:spacing w:val="-3"/>
        </w:rPr>
        <w:t>在采购人根据上述第</w:t>
      </w:r>
      <w:r>
        <w:rPr>
          <w:rFonts w:ascii="宋体" w:hAnsi="宋体" w:eastAsia="宋体"/>
          <w:spacing w:val="-3"/>
        </w:rPr>
        <w:t xml:space="preserve"> 15.1 </w:t>
      </w:r>
      <w:r>
        <w:rPr>
          <w:rFonts w:hint="eastAsia" w:ascii="宋体" w:hAnsi="宋体" w:eastAsia="宋体"/>
          <w:spacing w:val="-3"/>
        </w:rPr>
        <w:t>条规定，终止了全部或部分合同后，采购人可以依其认为适当的条件和方法购买类似未交的货物、服务或进行工程施工，卖方应对采购人购买类似货物、服务或进行工程施工所超出的费用部分负责，并继续执行合同中未终止部分。</w:t>
      </w:r>
    </w:p>
    <w:p>
      <w:pPr>
        <w:pStyle w:val="45"/>
        <w:tabs>
          <w:tab w:val="left" w:pos="1390"/>
        </w:tabs>
        <w:autoSpaceDE w:val="0"/>
        <w:autoSpaceDN w:val="0"/>
        <w:ind w:left="-443" w:firstLine="422" w:firstLineChars="200"/>
        <w:rPr>
          <w:rFonts w:ascii="宋体" w:eastAsia="宋体"/>
          <w:b/>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17.</w:t>
      </w:r>
      <w:r>
        <w:rPr>
          <w:rFonts w:hint="eastAsia" w:ascii="宋体" w:eastAsia="宋体"/>
          <w:b/>
          <w:sz w:val="22"/>
          <w:szCs w:val="22"/>
        </w:rPr>
        <w:t>破产终止合同</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17.1.</w:t>
      </w:r>
      <w:r>
        <w:rPr>
          <w:rFonts w:hint="eastAsia" w:ascii="宋体" w:hAnsi="宋体" w:eastAsia="宋体"/>
          <w:spacing w:val="-3"/>
        </w:rPr>
        <w:t>如果卖方破产或无清偿能力时，采购人可在任何时候以书面形式通知卖方终止合同而无须给卖方补偿。终止该合同将不损害或影响采购人已经采取或将要采取的补救措施的权利。</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390"/>
        </w:tabs>
        <w:autoSpaceDE w:val="0"/>
        <w:autoSpaceDN w:val="0"/>
        <w:spacing w:line="281" w:lineRule="exact"/>
        <w:ind w:left="-443" w:firstLine="442" w:firstLineChars="200"/>
        <w:rPr>
          <w:rFonts w:ascii="宋体" w:eastAsia="宋体"/>
          <w:b/>
          <w:sz w:val="22"/>
          <w:szCs w:val="22"/>
        </w:rPr>
      </w:pPr>
      <w:r>
        <w:rPr>
          <w:rFonts w:ascii="宋体" w:eastAsia="宋体"/>
          <w:b/>
          <w:sz w:val="22"/>
          <w:szCs w:val="22"/>
        </w:rPr>
        <w:t>18.</w:t>
      </w:r>
      <w:r>
        <w:rPr>
          <w:rFonts w:hint="eastAsia" w:ascii="宋体" w:eastAsia="宋体"/>
          <w:b/>
          <w:sz w:val="22"/>
          <w:szCs w:val="22"/>
        </w:rPr>
        <w:t>转让</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18.1.</w:t>
      </w:r>
      <w:r>
        <w:rPr>
          <w:rFonts w:hint="eastAsia" w:ascii="宋体" w:hAnsi="宋体" w:eastAsia="宋体"/>
          <w:spacing w:val="-3"/>
        </w:rPr>
        <w:t>除采购人事先书面同意外，卖方不得部分转让或全部转让其应履行的合同义务。</w:t>
      </w:r>
    </w:p>
    <w:p>
      <w:pPr>
        <w:autoSpaceDE w:val="0"/>
        <w:autoSpaceDN w:val="0"/>
        <w:rPr>
          <w:sz w:val="18"/>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19.</w:t>
      </w:r>
      <w:r>
        <w:rPr>
          <w:rFonts w:hint="eastAsia" w:ascii="宋体" w:eastAsia="宋体"/>
          <w:b/>
          <w:sz w:val="22"/>
          <w:szCs w:val="22"/>
        </w:rPr>
        <w:t>适用法律</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19.1.</w:t>
      </w:r>
      <w:r>
        <w:rPr>
          <w:rFonts w:hint="eastAsia" w:ascii="宋体" w:hAnsi="宋体" w:eastAsia="宋体"/>
          <w:spacing w:val="-3"/>
        </w:rPr>
        <w:t>本合同应按中华人民共和国的法律进行解释。</w:t>
      </w:r>
    </w:p>
    <w:p>
      <w:pPr>
        <w:autoSpaceDE w:val="0"/>
        <w:autoSpaceDN w:val="0"/>
        <w:rPr>
          <w:sz w:val="18"/>
        </w:rPr>
      </w:pPr>
    </w:p>
    <w:p>
      <w:pPr>
        <w:pStyle w:val="45"/>
        <w:tabs>
          <w:tab w:val="left" w:pos="1390"/>
        </w:tabs>
        <w:autoSpaceDE w:val="0"/>
        <w:autoSpaceDN w:val="0"/>
        <w:ind w:left="-443" w:firstLine="442" w:firstLineChars="200"/>
        <w:rPr>
          <w:rFonts w:ascii="宋体" w:eastAsia="宋体"/>
          <w:b/>
        </w:rPr>
      </w:pPr>
      <w:r>
        <w:rPr>
          <w:rFonts w:ascii="宋体" w:eastAsia="宋体"/>
          <w:b/>
          <w:sz w:val="22"/>
          <w:szCs w:val="22"/>
        </w:rPr>
        <w:t>20.</w:t>
      </w:r>
      <w:r>
        <w:rPr>
          <w:rFonts w:hint="eastAsia" w:ascii="宋体" w:eastAsia="宋体"/>
          <w:b/>
          <w:sz w:val="22"/>
          <w:szCs w:val="22"/>
        </w:rPr>
        <w:t>争端的解决</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20.1.</w:t>
      </w:r>
      <w:r>
        <w:rPr>
          <w:rFonts w:hint="eastAsia" w:ascii="宋体" w:hAnsi="宋体" w:eastAsia="宋体"/>
          <w:spacing w:val="-3"/>
        </w:rPr>
        <w:t>双方应通过友好协商解决争端；若协商不能解决争端，则可向项目所在地的人民法院提起诉讼。</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p>
    <w:p>
      <w:pPr>
        <w:pStyle w:val="45"/>
        <w:tabs>
          <w:tab w:val="left" w:pos="1390"/>
        </w:tabs>
        <w:autoSpaceDE w:val="0"/>
        <w:autoSpaceDN w:val="0"/>
        <w:spacing w:line="278" w:lineRule="exact"/>
        <w:ind w:left="-443" w:firstLine="442" w:firstLineChars="200"/>
        <w:rPr>
          <w:rFonts w:ascii="宋体" w:eastAsia="宋体"/>
          <w:b/>
        </w:rPr>
      </w:pPr>
      <w:r>
        <w:rPr>
          <w:rFonts w:ascii="宋体" w:eastAsia="宋体"/>
          <w:b/>
          <w:sz w:val="22"/>
          <w:szCs w:val="22"/>
        </w:rPr>
        <w:t>21.</w:t>
      </w:r>
      <w:r>
        <w:rPr>
          <w:rFonts w:hint="eastAsia" w:ascii="宋体" w:eastAsia="宋体"/>
          <w:b/>
          <w:sz w:val="22"/>
          <w:szCs w:val="22"/>
        </w:rPr>
        <w:t>合同生效</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21.1.</w:t>
      </w:r>
      <w:r>
        <w:rPr>
          <w:rFonts w:hint="eastAsia" w:ascii="宋体" w:hAnsi="宋体" w:eastAsia="宋体"/>
          <w:spacing w:val="-3"/>
        </w:rPr>
        <w:t>本合同经双方授权代表签字并盖章生效。</w:t>
      </w: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21.2.</w:t>
      </w:r>
      <w:r>
        <w:rPr>
          <w:rFonts w:hint="eastAsia" w:ascii="宋体" w:hAnsi="宋体" w:eastAsia="宋体"/>
          <w:spacing w:val="-3"/>
        </w:rPr>
        <w:t>本合同一式份，以中文书写，采购人执份，卖方执份。</w:t>
      </w:r>
    </w:p>
    <w:p>
      <w:pPr>
        <w:autoSpaceDE w:val="0"/>
        <w:autoSpaceDN w:val="0"/>
        <w:rPr>
          <w:sz w:val="18"/>
        </w:rPr>
      </w:pPr>
    </w:p>
    <w:p>
      <w:pPr>
        <w:pStyle w:val="45"/>
        <w:tabs>
          <w:tab w:val="left" w:pos="1390"/>
        </w:tabs>
        <w:autoSpaceDE w:val="0"/>
        <w:autoSpaceDN w:val="0"/>
        <w:ind w:left="-443" w:firstLine="442" w:firstLineChars="200"/>
        <w:rPr>
          <w:rFonts w:ascii="宋体" w:eastAsia="宋体"/>
          <w:b/>
          <w:sz w:val="22"/>
          <w:szCs w:val="22"/>
        </w:rPr>
      </w:pPr>
      <w:r>
        <w:rPr>
          <w:rFonts w:ascii="宋体" w:eastAsia="宋体"/>
          <w:b/>
          <w:sz w:val="22"/>
          <w:szCs w:val="22"/>
        </w:rPr>
        <w:t>22.</w:t>
      </w:r>
      <w:r>
        <w:rPr>
          <w:rFonts w:hint="eastAsia" w:ascii="宋体" w:eastAsia="宋体"/>
          <w:b/>
          <w:sz w:val="22"/>
          <w:szCs w:val="22"/>
        </w:rPr>
        <w:t>合同修改</w:t>
      </w:r>
    </w:p>
    <w:p>
      <w:pPr>
        <w:autoSpaceDE w:val="0"/>
        <w:autoSpaceDN w:val="0"/>
        <w:rPr>
          <w:b/>
          <w:sz w:val="18"/>
        </w:rPr>
      </w:pPr>
    </w:p>
    <w:p>
      <w:pPr>
        <w:pStyle w:val="45"/>
        <w:tabs>
          <w:tab w:val="left" w:pos="1280"/>
        </w:tabs>
        <w:autoSpaceDE w:val="0"/>
        <w:autoSpaceDN w:val="0"/>
        <w:adjustRightInd w:val="0"/>
        <w:snapToGrid w:val="0"/>
        <w:spacing w:line="288" w:lineRule="auto"/>
        <w:ind w:left="0" w:firstLine="408" w:firstLineChars="200"/>
        <w:rPr>
          <w:rFonts w:ascii="宋体" w:hAnsi="宋体" w:eastAsia="宋体"/>
          <w:spacing w:val="-3"/>
        </w:rPr>
      </w:pPr>
      <w:r>
        <w:rPr>
          <w:rFonts w:ascii="宋体" w:hAnsi="宋体" w:eastAsia="宋体"/>
          <w:spacing w:val="-3"/>
        </w:rPr>
        <w:t>22.2.</w:t>
      </w:r>
      <w:r>
        <w:rPr>
          <w:rFonts w:hint="eastAsia" w:ascii="宋体" w:hAnsi="宋体" w:eastAsia="宋体"/>
          <w:spacing w:val="-3"/>
        </w:rPr>
        <w:t>除双方签署书面修改协议，并成为本合同不可分割的一部分的情况之外，本合同不得有任何变化或修改。</w:t>
      </w:r>
    </w:p>
    <w:p>
      <w:pPr>
        <w:tabs>
          <w:tab w:val="left" w:pos="5017"/>
        </w:tabs>
        <w:spacing w:line="278" w:lineRule="exact"/>
        <w:ind w:left="947"/>
      </w:pPr>
      <w:r>
        <w:rPr>
          <w:rFonts w:hint="eastAsia"/>
        </w:rPr>
        <w:t>采</w:t>
      </w:r>
      <w:r>
        <w:rPr>
          <w:rFonts w:hint="eastAsia"/>
          <w:spacing w:val="-3"/>
        </w:rPr>
        <w:t>购</w:t>
      </w:r>
      <w:r>
        <w:rPr>
          <w:rFonts w:hint="eastAsia"/>
        </w:rPr>
        <w:t>人（</w:t>
      </w:r>
      <w:r>
        <w:rPr>
          <w:rFonts w:hint="eastAsia"/>
          <w:spacing w:val="-3"/>
        </w:rPr>
        <w:t>公</w:t>
      </w:r>
      <w:r>
        <w:rPr>
          <w:rFonts w:hint="eastAsia"/>
        </w:rPr>
        <w:t>章）：</w:t>
      </w:r>
      <w:r>
        <w:tab/>
      </w:r>
      <w:r>
        <w:rPr>
          <w:rFonts w:hint="eastAsia"/>
        </w:rPr>
        <w:t>卖</w:t>
      </w:r>
      <w:r>
        <w:rPr>
          <w:rFonts w:hint="eastAsia"/>
          <w:spacing w:val="-3"/>
        </w:rPr>
        <w:t>方</w:t>
      </w:r>
      <w:r>
        <w:rPr>
          <w:rFonts w:hint="eastAsia"/>
        </w:rPr>
        <w:t>（公</w:t>
      </w:r>
      <w:r>
        <w:rPr>
          <w:rFonts w:hint="eastAsia"/>
          <w:spacing w:val="-3"/>
        </w:rPr>
        <w:t>章</w:t>
      </w:r>
      <w:r>
        <w:rPr>
          <w:rFonts w:hint="eastAsia"/>
        </w:rPr>
        <w:t>）：</w:t>
      </w:r>
    </w:p>
    <w:p>
      <w:pPr>
        <w:spacing w:line="278" w:lineRule="exact"/>
      </w:pPr>
    </w:p>
    <w:p>
      <w:pPr>
        <w:tabs>
          <w:tab w:val="left" w:pos="5017"/>
        </w:tabs>
        <w:spacing w:line="278" w:lineRule="exact"/>
        <w:ind w:left="947"/>
      </w:pPr>
      <w:r>
        <w:rPr>
          <w:rFonts w:hint="eastAsia"/>
        </w:rPr>
        <w:t>法</w:t>
      </w:r>
      <w:r>
        <w:rPr>
          <w:rFonts w:hint="eastAsia"/>
          <w:spacing w:val="-3"/>
        </w:rPr>
        <w:t>人</w:t>
      </w:r>
      <w:r>
        <w:rPr>
          <w:rFonts w:hint="eastAsia"/>
        </w:rPr>
        <w:t>代表</w:t>
      </w:r>
      <w:r>
        <w:rPr>
          <w:rFonts w:hint="eastAsia"/>
          <w:spacing w:val="-3"/>
        </w:rPr>
        <w:t>（</w:t>
      </w:r>
      <w:r>
        <w:rPr>
          <w:rFonts w:hint="eastAsia"/>
        </w:rPr>
        <w:t>签字</w:t>
      </w:r>
      <w:r>
        <w:rPr>
          <w:rFonts w:hint="eastAsia"/>
          <w:spacing w:val="-3"/>
        </w:rPr>
        <w:t>或</w:t>
      </w:r>
      <w:r>
        <w:rPr>
          <w:rFonts w:hint="eastAsia"/>
        </w:rPr>
        <w:t>盖章）：</w:t>
      </w:r>
      <w:r>
        <w:tab/>
      </w:r>
      <w:r>
        <w:rPr>
          <w:rFonts w:hint="eastAsia"/>
          <w:spacing w:val="-1"/>
        </w:rPr>
        <w:t>法</w:t>
      </w:r>
      <w:r>
        <w:rPr>
          <w:rFonts w:hint="eastAsia"/>
          <w:spacing w:val="-3"/>
        </w:rPr>
        <w:t>人</w:t>
      </w:r>
      <w:r>
        <w:rPr>
          <w:rFonts w:hint="eastAsia"/>
          <w:spacing w:val="-1"/>
        </w:rPr>
        <w:t>代表</w:t>
      </w:r>
      <w:r>
        <w:rPr>
          <w:rFonts w:hint="eastAsia"/>
          <w:spacing w:val="-3"/>
        </w:rPr>
        <w:t>或</w:t>
      </w:r>
      <w:r>
        <w:rPr>
          <w:rFonts w:hint="eastAsia"/>
          <w:spacing w:val="-1"/>
        </w:rPr>
        <w:t>其授</w:t>
      </w:r>
      <w:r>
        <w:rPr>
          <w:rFonts w:hint="eastAsia"/>
          <w:spacing w:val="-3"/>
        </w:rPr>
        <w:t>权</w:t>
      </w:r>
      <w:r>
        <w:rPr>
          <w:rFonts w:hint="eastAsia"/>
        </w:rPr>
        <w:t>代表</w:t>
      </w:r>
      <w:r>
        <w:rPr>
          <w:rFonts w:hint="eastAsia"/>
          <w:spacing w:val="-3"/>
        </w:rPr>
        <w:t>（</w:t>
      </w:r>
      <w:r>
        <w:rPr>
          <w:rFonts w:hint="eastAsia"/>
        </w:rPr>
        <w:t>签字或盖章）：</w:t>
      </w:r>
    </w:p>
    <w:p>
      <w:pPr>
        <w:tabs>
          <w:tab w:val="left" w:pos="5017"/>
        </w:tabs>
        <w:spacing w:line="278" w:lineRule="exact"/>
        <w:ind w:left="947"/>
      </w:pPr>
    </w:p>
    <w:p>
      <w:pPr>
        <w:tabs>
          <w:tab w:val="left" w:pos="5017"/>
        </w:tabs>
        <w:spacing w:line="278" w:lineRule="exact"/>
        <w:ind w:left="947"/>
      </w:pPr>
      <w:r>
        <w:rPr>
          <w:rFonts w:hint="eastAsia"/>
        </w:rPr>
        <w:t>单位地址：</w:t>
      </w:r>
      <w:r>
        <w:tab/>
      </w:r>
      <w:r>
        <w:rPr>
          <w:rFonts w:hint="eastAsia"/>
        </w:rPr>
        <w:t>单位地址：</w:t>
      </w:r>
    </w:p>
    <w:p>
      <w:pPr>
        <w:tabs>
          <w:tab w:val="left" w:pos="5017"/>
        </w:tabs>
        <w:spacing w:line="278" w:lineRule="exact"/>
        <w:ind w:left="947"/>
      </w:pPr>
    </w:p>
    <w:p>
      <w:pPr>
        <w:tabs>
          <w:tab w:val="left" w:pos="5017"/>
        </w:tabs>
        <w:spacing w:line="278" w:lineRule="exact"/>
        <w:ind w:left="947"/>
      </w:pPr>
      <w:r>
        <w:rPr>
          <w:rFonts w:hint="eastAsia"/>
        </w:rPr>
        <w:t>联系电话：</w:t>
      </w:r>
      <w:r>
        <w:tab/>
      </w:r>
      <w:r>
        <w:rPr>
          <w:rFonts w:hint="eastAsia"/>
        </w:rPr>
        <w:t>联系电话：</w:t>
      </w:r>
    </w:p>
    <w:p>
      <w:pPr>
        <w:tabs>
          <w:tab w:val="left" w:pos="5017"/>
        </w:tabs>
        <w:spacing w:line="278" w:lineRule="exact"/>
        <w:ind w:left="947"/>
      </w:pPr>
    </w:p>
    <w:p>
      <w:pPr>
        <w:tabs>
          <w:tab w:val="left" w:pos="5017"/>
        </w:tabs>
        <w:spacing w:line="278" w:lineRule="exact"/>
        <w:ind w:left="947"/>
      </w:pPr>
      <w:r>
        <w:rPr>
          <w:rFonts w:hint="eastAsia"/>
        </w:rPr>
        <w:t>日期：</w:t>
      </w:r>
      <w:r>
        <w:tab/>
      </w:r>
      <w:r>
        <w:rPr>
          <w:rFonts w:hint="eastAsia"/>
        </w:rPr>
        <w:t>日期：</w:t>
      </w:r>
    </w:p>
    <w:p>
      <w:pPr>
        <w:pStyle w:val="4"/>
      </w:pPr>
    </w:p>
    <w:p>
      <w:pPr>
        <w:adjustRightInd w:val="0"/>
        <w:snapToGrid w:val="0"/>
        <w:spacing w:line="360" w:lineRule="auto"/>
        <w:ind w:firstLine="880" w:firstLineChars="200"/>
        <w:jc w:val="center"/>
        <w:rPr>
          <w:rFonts w:ascii="宋体"/>
          <w:kern w:val="1"/>
          <w:sz w:val="44"/>
          <w:szCs w:val="44"/>
        </w:rPr>
      </w:pPr>
      <w:r>
        <w:rPr>
          <w:rFonts w:hint="eastAsia" w:ascii="宋体" w:hAnsi="宋体" w:cs="宋体"/>
          <w:kern w:val="1"/>
          <w:sz w:val="44"/>
          <w:szCs w:val="44"/>
        </w:rPr>
        <w:t>第五章磋商响应文件格式</w:t>
      </w:r>
    </w:p>
    <w:p>
      <w:pPr>
        <w:pStyle w:val="35"/>
        <w:shd w:val="clear" w:color="auto" w:fill="auto"/>
        <w:spacing w:before="0" w:after="0" w:line="360" w:lineRule="auto"/>
        <w:jc w:val="center"/>
        <w:outlineLvl w:val="0"/>
        <w:rPr>
          <w:rFonts w:ascii="新宋体" w:hAnsi="新宋体" w:eastAsia="新宋体" w:cs="Times New Roman"/>
          <w:b/>
          <w:bCs/>
          <w:spacing w:val="0"/>
          <w:kern w:val="2"/>
          <w:sz w:val="36"/>
          <w:szCs w:val="36"/>
        </w:rPr>
      </w:pPr>
      <w:bookmarkStart w:id="72" w:name="_Toc32095"/>
      <w:bookmarkStart w:id="73" w:name="bookmark32"/>
      <w:r>
        <w:rPr>
          <w:rFonts w:hint="eastAsia" w:ascii="新宋体" w:hAnsi="新宋体" w:eastAsia="新宋体" w:cs="新宋体"/>
          <w:b/>
          <w:bCs/>
          <w:spacing w:val="0"/>
          <w:kern w:val="2"/>
          <w:sz w:val="36"/>
          <w:szCs w:val="36"/>
        </w:rPr>
        <w:t>（本文件格式仅供参考）</w:t>
      </w:r>
      <w:bookmarkEnd w:id="72"/>
      <w:bookmarkStart w:id="74" w:name="_Toc19334_WPSOffice_Level1"/>
    </w:p>
    <w:p>
      <w:pPr>
        <w:pStyle w:val="35"/>
        <w:shd w:val="clear" w:color="auto" w:fill="auto"/>
        <w:spacing w:before="0" w:after="0" w:line="360" w:lineRule="auto"/>
        <w:jc w:val="center"/>
        <w:rPr>
          <w:rFonts w:ascii="新宋体" w:hAnsi="新宋体" w:eastAsia="新宋体" w:cs="Times New Roman"/>
          <w:b/>
          <w:bCs/>
          <w:spacing w:val="0"/>
          <w:kern w:val="2"/>
          <w:sz w:val="36"/>
          <w:szCs w:val="36"/>
        </w:rPr>
      </w:pPr>
    </w:p>
    <w:bookmarkEnd w:id="74"/>
    <w:p>
      <w:pPr>
        <w:pStyle w:val="35"/>
        <w:shd w:val="clear" w:color="auto" w:fill="auto"/>
        <w:spacing w:before="0" w:after="0" w:line="360" w:lineRule="auto"/>
        <w:jc w:val="center"/>
        <w:outlineLvl w:val="0"/>
        <w:rPr>
          <w:rFonts w:hint="eastAsia" w:ascii="新宋体" w:hAnsi="新宋体" w:eastAsia="新宋体" w:cs="Times New Roman"/>
          <w:b/>
          <w:bCs/>
          <w:sz w:val="30"/>
          <w:szCs w:val="30"/>
          <w:lang w:eastAsia="zh-CN"/>
        </w:rPr>
      </w:pPr>
      <w:r>
        <w:rPr>
          <w:rFonts w:hint="eastAsia" w:ascii="新宋体" w:hAnsi="新宋体" w:eastAsia="新宋体" w:cs="新宋体"/>
          <w:b/>
          <w:bCs/>
          <w:sz w:val="30"/>
          <w:szCs w:val="30"/>
          <w:lang w:eastAsia="zh-CN"/>
        </w:rPr>
        <w:t>一品江山二次加压设备采购</w:t>
      </w:r>
    </w:p>
    <w:p>
      <w:pPr>
        <w:pStyle w:val="35"/>
        <w:shd w:val="clear" w:color="auto" w:fill="auto"/>
        <w:spacing w:before="0" w:after="0" w:line="1600" w:lineRule="exact"/>
        <w:jc w:val="center"/>
        <w:rPr>
          <w:rFonts w:ascii="新宋体" w:hAnsi="新宋体" w:eastAsia="新宋体" w:cs="Times New Roman"/>
          <w:spacing w:val="0"/>
          <w:kern w:val="2"/>
          <w:sz w:val="130"/>
          <w:szCs w:val="130"/>
        </w:rPr>
      </w:pPr>
    </w:p>
    <w:p>
      <w:pPr>
        <w:pStyle w:val="35"/>
        <w:shd w:val="clear" w:color="auto" w:fill="auto"/>
        <w:spacing w:before="0" w:after="0" w:line="1600" w:lineRule="exact"/>
        <w:jc w:val="center"/>
        <w:outlineLvl w:val="1"/>
        <w:rPr>
          <w:rFonts w:ascii="新宋体" w:hAnsi="新宋体" w:eastAsia="新宋体" w:cs="Times New Roman"/>
          <w:spacing w:val="0"/>
          <w:kern w:val="2"/>
          <w:sz w:val="130"/>
          <w:szCs w:val="130"/>
        </w:rPr>
      </w:pPr>
      <w:bookmarkStart w:id="75" w:name="_Toc5992"/>
      <w:bookmarkStart w:id="76" w:name="_Toc23041_WPSOffice_Level2"/>
      <w:bookmarkStart w:id="77" w:name="_Toc32113_WPSOffice_Level2"/>
      <w:bookmarkStart w:id="78" w:name="_Toc1968"/>
      <w:r>
        <w:rPr>
          <w:rFonts w:hint="eastAsia" w:ascii="新宋体" w:hAnsi="新宋体" w:eastAsia="新宋体" w:cs="新宋体"/>
          <w:spacing w:val="0"/>
          <w:kern w:val="2"/>
          <w:sz w:val="130"/>
          <w:szCs w:val="130"/>
        </w:rPr>
        <w:t>磋商响应文件</w:t>
      </w:r>
      <w:bookmarkEnd w:id="73"/>
      <w:bookmarkEnd w:id="75"/>
      <w:bookmarkEnd w:id="76"/>
      <w:bookmarkEnd w:id="77"/>
      <w:bookmarkEnd w:id="78"/>
    </w:p>
    <w:p>
      <w:pPr>
        <w:pStyle w:val="36"/>
        <w:shd w:val="clear" w:color="auto" w:fill="auto"/>
        <w:spacing w:before="0" w:line="700" w:lineRule="exact"/>
        <w:outlineLvl w:val="1"/>
        <w:rPr>
          <w:rFonts w:ascii="新宋体" w:hAnsi="新宋体" w:eastAsia="新宋体" w:cs="新宋体"/>
          <w:kern w:val="2"/>
          <w:sz w:val="44"/>
          <w:szCs w:val="44"/>
        </w:rPr>
      </w:pPr>
      <w:bookmarkStart w:id="79" w:name="_Toc15175_WPSOffice_Level2"/>
      <w:bookmarkStart w:id="80" w:name="_Toc6396"/>
      <w:bookmarkStart w:id="81" w:name="_Toc1758"/>
      <w:bookmarkStart w:id="82" w:name="_Toc19639_WPSOffice_Level2"/>
      <w:r>
        <w:rPr>
          <w:rFonts w:ascii="新宋体" w:hAnsi="新宋体" w:eastAsia="新宋体" w:cs="新宋体"/>
          <w:kern w:val="2"/>
          <w:sz w:val="44"/>
          <w:szCs w:val="44"/>
        </w:rPr>
        <w:t>(</w:t>
      </w:r>
      <w:r>
        <w:rPr>
          <w:rFonts w:hint="eastAsia" w:ascii="新宋体" w:hAnsi="新宋体" w:eastAsia="新宋体" w:cs="新宋体"/>
          <w:kern w:val="2"/>
          <w:sz w:val="44"/>
          <w:szCs w:val="44"/>
        </w:rPr>
        <w:t>正本</w:t>
      </w:r>
      <w:r>
        <w:rPr>
          <w:rFonts w:ascii="新宋体" w:hAnsi="新宋体" w:eastAsia="新宋体" w:cs="新宋体"/>
          <w:kern w:val="2"/>
          <w:sz w:val="44"/>
          <w:szCs w:val="44"/>
        </w:rPr>
        <w:t>/</w:t>
      </w:r>
      <w:r>
        <w:rPr>
          <w:rFonts w:hint="eastAsia" w:ascii="新宋体" w:hAnsi="新宋体" w:eastAsia="新宋体" w:cs="新宋体"/>
          <w:kern w:val="2"/>
          <w:sz w:val="44"/>
          <w:szCs w:val="44"/>
        </w:rPr>
        <w:t>副本</w:t>
      </w:r>
      <w:r>
        <w:rPr>
          <w:rFonts w:ascii="新宋体" w:hAnsi="新宋体" w:eastAsia="新宋体" w:cs="新宋体"/>
          <w:kern w:val="2"/>
          <w:sz w:val="44"/>
          <w:szCs w:val="44"/>
        </w:rPr>
        <w:t>)</w:t>
      </w:r>
      <w:bookmarkEnd w:id="79"/>
      <w:bookmarkEnd w:id="80"/>
      <w:bookmarkEnd w:id="81"/>
      <w:bookmarkEnd w:id="82"/>
    </w:p>
    <w:p>
      <w:pPr>
        <w:pStyle w:val="36"/>
        <w:shd w:val="clear" w:color="auto" w:fill="auto"/>
        <w:spacing w:before="0" w:line="700" w:lineRule="exact"/>
        <w:rPr>
          <w:rFonts w:ascii="新宋体" w:hAnsi="新宋体" w:eastAsia="新宋体" w:cs="Times New Roman"/>
          <w:kern w:val="2"/>
          <w:sz w:val="32"/>
          <w:szCs w:val="32"/>
        </w:rPr>
      </w:pPr>
    </w:p>
    <w:p>
      <w:pPr>
        <w:pStyle w:val="36"/>
        <w:shd w:val="clear" w:color="auto" w:fill="auto"/>
        <w:spacing w:before="0" w:line="700" w:lineRule="exact"/>
        <w:rPr>
          <w:rFonts w:ascii="新宋体" w:hAnsi="新宋体" w:eastAsia="新宋体" w:cs="Times New Roman"/>
          <w:kern w:val="2"/>
          <w:sz w:val="32"/>
          <w:szCs w:val="32"/>
        </w:rPr>
      </w:pPr>
    </w:p>
    <w:p>
      <w:pPr>
        <w:pStyle w:val="36"/>
        <w:shd w:val="clear" w:color="auto" w:fill="auto"/>
        <w:spacing w:before="0" w:line="700" w:lineRule="exact"/>
        <w:rPr>
          <w:rFonts w:ascii="新宋体" w:hAnsi="新宋体" w:eastAsia="新宋体" w:cs="Times New Roman"/>
          <w:kern w:val="2"/>
          <w:sz w:val="32"/>
          <w:szCs w:val="32"/>
        </w:rPr>
      </w:pPr>
    </w:p>
    <w:p>
      <w:pPr>
        <w:pStyle w:val="36"/>
        <w:shd w:val="clear" w:color="auto" w:fill="auto"/>
        <w:spacing w:before="0" w:line="700" w:lineRule="exact"/>
        <w:jc w:val="both"/>
        <w:rPr>
          <w:rFonts w:ascii="新宋体" w:hAnsi="新宋体" w:eastAsia="新宋体" w:cs="Times New Roman"/>
          <w:kern w:val="2"/>
          <w:sz w:val="32"/>
          <w:szCs w:val="32"/>
        </w:rPr>
      </w:pPr>
    </w:p>
    <w:p>
      <w:pPr>
        <w:pStyle w:val="36"/>
        <w:shd w:val="clear" w:color="auto" w:fill="auto"/>
        <w:spacing w:before="0" w:line="700" w:lineRule="exact"/>
        <w:ind w:left="1978" w:leftChars="942"/>
        <w:jc w:val="left"/>
        <w:outlineLvl w:val="1"/>
        <w:rPr>
          <w:rFonts w:ascii="新宋体" w:hAnsi="新宋体" w:eastAsia="新宋体" w:cs="Times New Roman"/>
          <w:kern w:val="2"/>
          <w:sz w:val="32"/>
          <w:szCs w:val="32"/>
          <w:u w:val="single"/>
        </w:rPr>
      </w:pPr>
      <w:bookmarkStart w:id="83" w:name="_Toc4148"/>
      <w:bookmarkStart w:id="84" w:name="_Toc7368"/>
      <w:bookmarkStart w:id="85" w:name="_Toc23845_WPSOffice_Level2"/>
      <w:bookmarkStart w:id="86" w:name="_Toc1891_WPSOffice_Level2"/>
      <w:r>
        <w:rPr>
          <w:rFonts w:hint="eastAsia" w:ascii="新宋体" w:hAnsi="新宋体" w:eastAsia="新宋体" w:cs="新宋体"/>
          <w:kern w:val="2"/>
          <w:sz w:val="32"/>
          <w:szCs w:val="32"/>
        </w:rPr>
        <w:t>项目编号：</w:t>
      </w:r>
      <w:bookmarkEnd w:id="83"/>
      <w:bookmarkEnd w:id="84"/>
      <w:bookmarkEnd w:id="85"/>
      <w:bookmarkEnd w:id="86"/>
    </w:p>
    <w:p>
      <w:pPr>
        <w:pStyle w:val="36"/>
        <w:shd w:val="clear" w:color="auto" w:fill="auto"/>
        <w:spacing w:before="0" w:line="700" w:lineRule="exact"/>
        <w:ind w:left="1978" w:leftChars="942"/>
        <w:jc w:val="left"/>
        <w:outlineLvl w:val="1"/>
        <w:rPr>
          <w:rFonts w:ascii="新宋体" w:hAnsi="新宋体" w:eastAsia="新宋体" w:cs="Times New Roman"/>
          <w:kern w:val="2"/>
          <w:sz w:val="32"/>
          <w:szCs w:val="32"/>
        </w:rPr>
      </w:pPr>
      <w:bookmarkStart w:id="87" w:name="_Toc9531_WPSOffice_Level2"/>
      <w:bookmarkStart w:id="88" w:name="_Toc19917_WPSOffice_Level2"/>
      <w:bookmarkStart w:id="89" w:name="_Toc25190"/>
      <w:bookmarkStart w:id="90" w:name="_Toc12755"/>
      <w:r>
        <w:rPr>
          <w:rFonts w:hint="eastAsia" w:ascii="新宋体" w:hAnsi="新宋体" w:eastAsia="新宋体" w:cs="新宋体"/>
          <w:kern w:val="2"/>
          <w:sz w:val="32"/>
          <w:szCs w:val="32"/>
        </w:rPr>
        <w:t>供应商名称</w:t>
      </w:r>
      <w:r>
        <w:rPr>
          <w:rFonts w:ascii="新宋体" w:hAnsi="新宋体" w:eastAsia="新宋体" w:cs="新宋体"/>
          <w:kern w:val="2"/>
          <w:sz w:val="32"/>
          <w:szCs w:val="32"/>
        </w:rPr>
        <w:t>(</w:t>
      </w:r>
      <w:r>
        <w:rPr>
          <w:rFonts w:hint="eastAsia" w:ascii="新宋体" w:hAnsi="新宋体" w:eastAsia="新宋体" w:cs="新宋体"/>
          <w:kern w:val="2"/>
          <w:sz w:val="32"/>
          <w:szCs w:val="32"/>
        </w:rPr>
        <w:t>盖行政公章</w:t>
      </w:r>
      <w:r>
        <w:rPr>
          <w:rFonts w:ascii="新宋体" w:hAnsi="新宋体" w:eastAsia="新宋体" w:cs="新宋体"/>
          <w:kern w:val="2"/>
          <w:sz w:val="32"/>
          <w:szCs w:val="32"/>
        </w:rPr>
        <w:t>)</w:t>
      </w:r>
      <w:r>
        <w:rPr>
          <w:rFonts w:hint="eastAsia" w:ascii="新宋体" w:hAnsi="新宋体" w:eastAsia="新宋体" w:cs="新宋体"/>
          <w:kern w:val="2"/>
          <w:sz w:val="32"/>
          <w:szCs w:val="32"/>
        </w:rPr>
        <w:t>：</w:t>
      </w:r>
      <w:bookmarkEnd w:id="87"/>
      <w:bookmarkEnd w:id="88"/>
      <w:bookmarkEnd w:id="89"/>
      <w:bookmarkEnd w:id="90"/>
    </w:p>
    <w:p>
      <w:pPr>
        <w:pStyle w:val="36"/>
        <w:shd w:val="clear" w:color="auto" w:fill="auto"/>
        <w:spacing w:before="0" w:line="700" w:lineRule="exact"/>
        <w:ind w:left="1978" w:leftChars="942"/>
        <w:jc w:val="left"/>
        <w:outlineLvl w:val="1"/>
        <w:rPr>
          <w:rFonts w:ascii="新宋体" w:hAnsi="新宋体" w:eastAsia="新宋体" w:cs="Times New Roman"/>
          <w:kern w:val="2"/>
          <w:sz w:val="32"/>
          <w:szCs w:val="32"/>
        </w:rPr>
      </w:pPr>
      <w:bookmarkStart w:id="91" w:name="_Toc22705"/>
      <w:bookmarkStart w:id="92" w:name="_Toc32752_WPSOffice_Level2"/>
      <w:bookmarkStart w:id="93" w:name="_Toc9032"/>
      <w:bookmarkStart w:id="94" w:name="_Toc3932_WPSOffice_Level2"/>
      <w:r>
        <w:rPr>
          <w:rFonts w:hint="eastAsia" w:ascii="新宋体" w:hAnsi="新宋体" w:eastAsia="新宋体" w:cs="新宋体"/>
          <w:kern w:val="2"/>
          <w:sz w:val="32"/>
          <w:szCs w:val="32"/>
        </w:rPr>
        <w:t>日期：</w:t>
      </w:r>
      <w:bookmarkEnd w:id="91"/>
      <w:bookmarkEnd w:id="92"/>
      <w:bookmarkEnd w:id="93"/>
      <w:bookmarkEnd w:id="94"/>
      <w:r>
        <w:rPr>
          <w:rFonts w:ascii="新宋体" w:hAnsi="新宋体" w:eastAsia="新宋体" w:cs="Times New Roman"/>
          <w:kern w:val="2"/>
          <w:sz w:val="32"/>
          <w:szCs w:val="32"/>
        </w:rPr>
        <w:tab/>
      </w:r>
      <w:bookmarkStart w:id="95" w:name="bookmark33"/>
    </w:p>
    <w:p>
      <w:pPr>
        <w:pStyle w:val="37"/>
        <w:shd w:val="clear" w:color="auto" w:fill="auto"/>
        <w:tabs>
          <w:tab w:val="left" w:leader="underscore" w:pos="5266"/>
        </w:tabs>
        <w:spacing w:before="0" w:line="700" w:lineRule="exact"/>
        <w:jc w:val="center"/>
        <w:outlineLvl w:val="0"/>
        <w:rPr>
          <w:rFonts w:ascii="新宋体" w:hAnsi="新宋体" w:eastAsia="新宋体" w:cs="Times New Roman"/>
          <w:b w:val="0"/>
          <w:bCs w:val="0"/>
          <w:sz w:val="36"/>
          <w:szCs w:val="36"/>
        </w:rPr>
      </w:pPr>
      <w:r>
        <w:rPr>
          <w:rFonts w:ascii="新宋体" w:hAnsi="新宋体" w:eastAsia="新宋体" w:cs="Times New Roman"/>
          <w:kern w:val="2"/>
          <w:sz w:val="32"/>
          <w:szCs w:val="32"/>
        </w:rPr>
        <w:br w:type="page"/>
      </w:r>
      <w:bookmarkEnd w:id="95"/>
      <w:bookmarkStart w:id="96" w:name="_Toc12766"/>
      <w:bookmarkStart w:id="97" w:name="_Toc4163_WPSOffice_Level1"/>
      <w:bookmarkStart w:id="98" w:name="_Toc6578160"/>
      <w:bookmarkStart w:id="99" w:name="_Toc522097485"/>
      <w:bookmarkStart w:id="100" w:name="_Toc24150"/>
      <w:bookmarkStart w:id="101" w:name="_Toc14200_WPSOffice_Level1"/>
      <w:r>
        <w:rPr>
          <w:rFonts w:hint="eastAsia" w:ascii="新宋体" w:hAnsi="新宋体" w:eastAsia="新宋体" w:cs="新宋体"/>
          <w:b w:val="0"/>
          <w:bCs w:val="0"/>
          <w:sz w:val="36"/>
          <w:szCs w:val="36"/>
        </w:rPr>
        <w:t>第一部分、商务文件</w:t>
      </w:r>
      <w:bookmarkEnd w:id="96"/>
      <w:bookmarkEnd w:id="97"/>
      <w:bookmarkEnd w:id="98"/>
      <w:bookmarkEnd w:id="99"/>
      <w:bookmarkEnd w:id="100"/>
      <w:bookmarkEnd w:id="101"/>
    </w:p>
    <w:p>
      <w:pPr>
        <w:spacing w:line="440" w:lineRule="exact"/>
        <w:jc w:val="center"/>
        <w:outlineLvl w:val="1"/>
        <w:rPr>
          <w:rFonts w:ascii="新宋体" w:hAnsi="新宋体" w:eastAsia="新宋体"/>
          <w:b/>
          <w:bCs/>
          <w:kern w:val="0"/>
          <w:sz w:val="32"/>
          <w:szCs w:val="32"/>
        </w:rPr>
      </w:pPr>
      <w:bookmarkStart w:id="102" w:name="_Toc26477_WPSOffice_Level2"/>
      <w:bookmarkStart w:id="103" w:name="_Toc24422_WPSOffice_Level2"/>
      <w:bookmarkStart w:id="104" w:name="_Toc10783"/>
      <w:bookmarkStart w:id="105" w:name="_Toc23384"/>
      <w:bookmarkStart w:id="106" w:name="_Toc216613670"/>
      <w:bookmarkStart w:id="107" w:name="_Toc421804675"/>
      <w:bookmarkStart w:id="108" w:name="OLE_LINK1"/>
      <w:r>
        <w:rPr>
          <w:rFonts w:hint="eastAsia" w:ascii="新宋体" w:hAnsi="新宋体" w:eastAsia="新宋体" w:cs="新宋体"/>
          <w:b/>
          <w:bCs/>
          <w:kern w:val="0"/>
          <w:sz w:val="32"/>
          <w:szCs w:val="32"/>
        </w:rPr>
        <w:t>磋商承诺书</w:t>
      </w:r>
      <w:bookmarkEnd w:id="102"/>
      <w:bookmarkEnd w:id="103"/>
      <w:bookmarkEnd w:id="104"/>
      <w:bookmarkEnd w:id="105"/>
    </w:p>
    <w:p>
      <w:pPr>
        <w:pStyle w:val="9"/>
        <w:adjustRightInd w:val="0"/>
        <w:snapToGrid w:val="0"/>
        <w:spacing w:line="360" w:lineRule="exact"/>
        <w:rPr>
          <w:rFonts w:ascii="新宋体" w:hAnsi="新宋体" w:eastAsia="新宋体" w:cs="Times New Roman"/>
          <w:kern w:val="0"/>
          <w:sz w:val="24"/>
          <w:szCs w:val="24"/>
        </w:rPr>
      </w:pPr>
      <w:r>
        <w:rPr>
          <w:rFonts w:ascii="新宋体" w:hAnsi="新宋体" w:eastAsia="新宋体" w:cs="新宋体"/>
          <w:kern w:val="0"/>
          <w:sz w:val="24"/>
          <w:szCs w:val="24"/>
          <w:u w:val="single"/>
        </w:rPr>
        <w:t>(</w:t>
      </w:r>
      <w:r>
        <w:rPr>
          <w:rFonts w:hint="eastAsia" w:ascii="新宋体" w:hAnsi="新宋体" w:eastAsia="新宋体" w:cs="新宋体"/>
          <w:kern w:val="0"/>
          <w:sz w:val="24"/>
          <w:szCs w:val="24"/>
          <w:u w:val="single"/>
        </w:rPr>
        <w:t>采购人名称</w:t>
      </w:r>
      <w:r>
        <w:rPr>
          <w:rFonts w:ascii="新宋体" w:hAnsi="新宋体" w:eastAsia="新宋体" w:cs="新宋体"/>
          <w:kern w:val="0"/>
          <w:sz w:val="24"/>
          <w:szCs w:val="24"/>
          <w:u w:val="single"/>
        </w:rPr>
        <w:t>)</w:t>
      </w:r>
      <w:r>
        <w:rPr>
          <w:rFonts w:hint="eastAsia" w:ascii="新宋体" w:hAnsi="新宋体" w:eastAsia="新宋体" w:cs="新宋体"/>
          <w:kern w:val="0"/>
          <w:sz w:val="24"/>
          <w:szCs w:val="24"/>
        </w:rPr>
        <w:t>：</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1</w:t>
      </w:r>
      <w:r>
        <w:rPr>
          <w:rFonts w:hint="eastAsia" w:ascii="新宋体" w:hAnsi="新宋体" w:eastAsia="新宋体" w:cs="新宋体"/>
          <w:kern w:val="0"/>
          <w:sz w:val="24"/>
          <w:szCs w:val="24"/>
        </w:rPr>
        <w:t>、根据已收到贵方的磋商文件，遵照国家有关政策法规，我方愿以磋商文件所要求的条件参与竞争性磋商，我方的条件以磋商响应文件所显示内容为准。</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2</w:t>
      </w:r>
      <w:r>
        <w:rPr>
          <w:rFonts w:hint="eastAsia" w:ascii="新宋体" w:hAnsi="新宋体" w:eastAsia="新宋体" w:cs="新宋体"/>
          <w:kern w:val="0"/>
          <w:sz w:val="24"/>
          <w:szCs w:val="24"/>
        </w:rPr>
        <w:t>、我方已详细审核全部磋商文件，包括修改文件</w:t>
      </w:r>
      <w:r>
        <w:rPr>
          <w:rFonts w:ascii="新宋体" w:hAnsi="新宋体" w:eastAsia="新宋体" w:cs="新宋体"/>
          <w:kern w:val="0"/>
          <w:sz w:val="24"/>
          <w:szCs w:val="24"/>
        </w:rPr>
        <w:t>(</w:t>
      </w:r>
      <w:r>
        <w:rPr>
          <w:rFonts w:hint="eastAsia" w:ascii="新宋体" w:hAnsi="新宋体" w:eastAsia="新宋体" w:cs="新宋体"/>
          <w:kern w:val="0"/>
          <w:sz w:val="24"/>
          <w:szCs w:val="24"/>
        </w:rPr>
        <w:t>如果有的话</w:t>
      </w:r>
      <w:r>
        <w:rPr>
          <w:rFonts w:ascii="新宋体" w:hAnsi="新宋体" w:eastAsia="新宋体" w:cs="新宋体"/>
          <w:kern w:val="0"/>
          <w:sz w:val="24"/>
          <w:szCs w:val="24"/>
        </w:rPr>
        <w:t>)</w:t>
      </w:r>
      <w:r>
        <w:rPr>
          <w:rFonts w:hint="eastAsia" w:ascii="新宋体" w:hAnsi="新宋体" w:eastAsia="新宋体" w:cs="新宋体"/>
          <w:kern w:val="0"/>
          <w:sz w:val="24"/>
          <w:szCs w:val="24"/>
        </w:rPr>
        <w:t>，及有关附件，我方同意放弃提出含糊不清或误解的权力。</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3</w:t>
      </w:r>
      <w:r>
        <w:rPr>
          <w:rFonts w:hint="eastAsia" w:ascii="新宋体" w:hAnsi="新宋体" w:eastAsia="新宋体" w:cs="新宋体"/>
          <w:kern w:val="0"/>
          <w:sz w:val="24"/>
          <w:szCs w:val="24"/>
        </w:rPr>
        <w:t>、我方承认磋商响应文件附录是我方投标函的组成部分。</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4</w:t>
      </w:r>
      <w:r>
        <w:rPr>
          <w:rFonts w:hint="eastAsia" w:ascii="新宋体" w:hAnsi="新宋体" w:eastAsia="新宋体" w:cs="新宋体"/>
          <w:kern w:val="0"/>
          <w:sz w:val="24"/>
          <w:szCs w:val="24"/>
        </w:rPr>
        <w:t>、我方同意所递交的磋商响应文件在磋商期内有效，在此期间内我方有可能成交，我方将受此约束。</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5</w:t>
      </w:r>
      <w:r>
        <w:rPr>
          <w:rFonts w:hint="eastAsia" w:ascii="新宋体" w:hAnsi="新宋体" w:eastAsia="新宋体" w:cs="新宋体"/>
          <w:kern w:val="0"/>
          <w:sz w:val="24"/>
          <w:szCs w:val="24"/>
        </w:rPr>
        <w:t>、我方同意贵方不受你们所收到的任何磋商响应文件的约束。</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6</w:t>
      </w:r>
      <w:r>
        <w:rPr>
          <w:rFonts w:hint="eastAsia" w:ascii="新宋体" w:hAnsi="新宋体" w:eastAsia="新宋体" w:cs="新宋体"/>
          <w:kern w:val="0"/>
          <w:sz w:val="24"/>
          <w:szCs w:val="24"/>
        </w:rPr>
        <w:t>、我方接受贵方磋商文件的全部内容。</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7</w:t>
      </w:r>
      <w:r>
        <w:rPr>
          <w:rFonts w:hint="eastAsia" w:ascii="新宋体" w:hAnsi="新宋体" w:eastAsia="新宋体" w:cs="新宋体"/>
          <w:kern w:val="0"/>
          <w:sz w:val="24"/>
          <w:szCs w:val="24"/>
        </w:rPr>
        <w:t>、我方相信贵方的磋商结果是公正、合法的，无论我方成交还是落标，我方将毫无异议地接受这一结果。</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8</w:t>
      </w:r>
      <w:r>
        <w:rPr>
          <w:rFonts w:hint="eastAsia" w:ascii="新宋体" w:hAnsi="新宋体" w:eastAsia="新宋体" w:cs="新宋体"/>
          <w:kern w:val="0"/>
          <w:sz w:val="24"/>
          <w:szCs w:val="24"/>
        </w:rPr>
        <w:t>、一旦我方成交，我方将毫无异议地接受贵方授予的承办协议并严格依照贵方磋商公告和磋商文件中的相关规定与贵方鉴定承办的协议。</w:t>
      </w:r>
    </w:p>
    <w:p>
      <w:pPr>
        <w:pStyle w:val="9"/>
        <w:adjustRightInd w:val="0"/>
        <w:snapToGrid w:val="0"/>
        <w:spacing w:line="360" w:lineRule="exact"/>
        <w:ind w:firstLine="480" w:firstLineChars="200"/>
        <w:rPr>
          <w:rFonts w:ascii="新宋体" w:hAnsi="新宋体" w:eastAsia="新宋体" w:cs="Times New Roman"/>
          <w:kern w:val="0"/>
          <w:sz w:val="24"/>
          <w:szCs w:val="24"/>
        </w:rPr>
      </w:pPr>
      <w:r>
        <w:rPr>
          <w:rFonts w:ascii="新宋体" w:hAnsi="新宋体" w:eastAsia="新宋体" w:cs="新宋体"/>
          <w:kern w:val="0"/>
          <w:sz w:val="24"/>
          <w:szCs w:val="24"/>
        </w:rPr>
        <w:t>9</w:t>
      </w:r>
      <w:r>
        <w:rPr>
          <w:rFonts w:hint="eastAsia" w:ascii="新宋体" w:hAnsi="新宋体" w:eastAsia="新宋体" w:cs="新宋体"/>
          <w:kern w:val="0"/>
          <w:sz w:val="24"/>
          <w:szCs w:val="24"/>
        </w:rPr>
        <w:t>、我方保证所递交的磋商响应文件所反映的内容真实可靠，否则将承担由此引起的一切后果和相应的法律责任。</w:t>
      </w:r>
    </w:p>
    <w:p>
      <w:pPr>
        <w:autoSpaceDE w:val="0"/>
        <w:autoSpaceDN w:val="0"/>
        <w:adjustRightInd w:val="0"/>
        <w:spacing w:line="360" w:lineRule="exact"/>
        <w:ind w:left="5775" w:leftChars="2300" w:right="246" w:hanging="945" w:hangingChars="450"/>
        <w:rPr>
          <w:rFonts w:ascii="新宋体" w:hAnsi="新宋体" w:eastAsia="新宋体"/>
        </w:rPr>
      </w:pPr>
    </w:p>
    <w:p>
      <w:pPr>
        <w:autoSpaceDE w:val="0"/>
        <w:autoSpaceDN w:val="0"/>
        <w:adjustRightInd w:val="0"/>
        <w:spacing w:line="360" w:lineRule="exact"/>
        <w:ind w:left="5775" w:leftChars="2300" w:right="246" w:hanging="945" w:hangingChars="450"/>
        <w:rPr>
          <w:rFonts w:ascii="新宋体" w:hAnsi="新宋体" w:eastAsia="新宋体"/>
        </w:rPr>
      </w:pPr>
    </w:p>
    <w:p>
      <w:pPr>
        <w:autoSpaceDE w:val="0"/>
        <w:autoSpaceDN w:val="0"/>
        <w:adjustRightInd w:val="0"/>
        <w:spacing w:line="360" w:lineRule="exact"/>
        <w:ind w:left="5775" w:leftChars="2300" w:right="246" w:hanging="945" w:hangingChars="450"/>
        <w:rPr>
          <w:rFonts w:ascii="新宋体" w:hAnsi="新宋体" w:eastAsia="新宋体"/>
        </w:rPr>
      </w:pPr>
    </w:p>
    <w:p>
      <w:pPr>
        <w:autoSpaceDE w:val="0"/>
        <w:autoSpaceDN w:val="0"/>
        <w:adjustRightInd w:val="0"/>
        <w:spacing w:line="360" w:lineRule="exact"/>
        <w:ind w:left="5775" w:leftChars="2300" w:right="246" w:hanging="945" w:hangingChars="450"/>
        <w:rPr>
          <w:rFonts w:ascii="新宋体" w:hAnsi="新宋体" w:eastAsia="新宋体"/>
        </w:rPr>
      </w:pPr>
    </w:p>
    <w:p>
      <w:pPr>
        <w:autoSpaceDE w:val="0"/>
        <w:autoSpaceDN w:val="0"/>
        <w:adjustRightInd w:val="0"/>
        <w:spacing w:line="360" w:lineRule="exact"/>
        <w:ind w:left="5775" w:leftChars="2300" w:right="246" w:hanging="945" w:hangingChars="450"/>
        <w:rPr>
          <w:rFonts w:ascii="新宋体" w:hAnsi="新宋体" w:eastAsia="新宋体"/>
        </w:rPr>
      </w:pPr>
    </w:p>
    <w:p>
      <w:pPr>
        <w:autoSpaceDE w:val="0"/>
        <w:autoSpaceDN w:val="0"/>
        <w:adjustRightInd w:val="0"/>
        <w:spacing w:line="360" w:lineRule="exact"/>
        <w:ind w:left="5910" w:leftChars="2300" w:right="246" w:hanging="1080" w:hangingChars="450"/>
        <w:rPr>
          <w:rFonts w:ascii="新宋体" w:hAnsi="新宋体" w:eastAsia="新宋体"/>
          <w:sz w:val="24"/>
          <w:szCs w:val="24"/>
        </w:rPr>
      </w:pPr>
      <w:r>
        <w:rPr>
          <w:rFonts w:hint="eastAsia" w:ascii="新宋体" w:hAnsi="新宋体" w:eastAsia="新宋体" w:cs="新宋体"/>
          <w:sz w:val="24"/>
          <w:szCs w:val="24"/>
        </w:rPr>
        <w:t>供应商名称</w:t>
      </w:r>
      <w:r>
        <w:rPr>
          <w:rFonts w:ascii="新宋体" w:hAnsi="新宋体" w:eastAsia="新宋体" w:cs="新宋体"/>
          <w:sz w:val="24"/>
          <w:szCs w:val="24"/>
        </w:rPr>
        <w:t>(</w:t>
      </w:r>
      <w:r>
        <w:rPr>
          <w:rFonts w:hint="eastAsia" w:ascii="新宋体" w:hAnsi="新宋体" w:eastAsia="新宋体" w:cs="新宋体"/>
          <w:sz w:val="24"/>
          <w:szCs w:val="24"/>
        </w:rPr>
        <w:t>公章</w:t>
      </w:r>
      <w:r>
        <w:rPr>
          <w:rFonts w:ascii="新宋体" w:hAnsi="新宋体" w:eastAsia="新宋体" w:cs="新宋体"/>
          <w:sz w:val="24"/>
          <w:szCs w:val="24"/>
        </w:rPr>
        <w:t>)</w:t>
      </w:r>
      <w:r>
        <w:rPr>
          <w:rFonts w:hint="eastAsia" w:ascii="新宋体" w:hAnsi="新宋体" w:eastAsia="新宋体" w:cs="新宋体"/>
          <w:sz w:val="24"/>
          <w:szCs w:val="24"/>
        </w:rPr>
        <w:t>：</w:t>
      </w:r>
    </w:p>
    <w:p>
      <w:pPr>
        <w:autoSpaceDE w:val="0"/>
        <w:autoSpaceDN w:val="0"/>
        <w:adjustRightInd w:val="0"/>
        <w:spacing w:line="360" w:lineRule="exact"/>
        <w:ind w:left="5910" w:leftChars="2300" w:right="246" w:hanging="1080" w:hangingChars="450"/>
        <w:rPr>
          <w:rFonts w:ascii="新宋体" w:hAnsi="新宋体" w:eastAsia="新宋体"/>
          <w:kern w:val="0"/>
          <w:sz w:val="24"/>
          <w:szCs w:val="24"/>
          <w:u w:val="single"/>
        </w:rPr>
      </w:pPr>
      <w:r>
        <w:rPr>
          <w:rFonts w:hint="eastAsia" w:ascii="新宋体" w:hAnsi="新宋体" w:eastAsia="新宋体" w:cs="新宋体"/>
          <w:sz w:val="24"/>
          <w:szCs w:val="24"/>
        </w:rPr>
        <w:t>日期：</w:t>
      </w: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pStyle w:val="4"/>
        <w:spacing w:before="0" w:after="0" w:line="540" w:lineRule="exact"/>
        <w:ind w:firstLine="551" w:firstLineChars="196"/>
        <w:jc w:val="center"/>
        <w:rPr>
          <w:rFonts w:ascii="新宋体" w:hAnsi="新宋体" w:eastAsia="新宋体" w:cs="Times New Roman"/>
          <w:snapToGrid w:val="0"/>
          <w:kern w:val="0"/>
          <w:sz w:val="28"/>
          <w:szCs w:val="28"/>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jc w:val="center"/>
        <w:outlineLvl w:val="1"/>
        <w:rPr>
          <w:rFonts w:ascii="Calibri" w:hAnsi="Calibri" w:cs="Calibri"/>
          <w:b/>
          <w:bCs/>
          <w:sz w:val="32"/>
          <w:szCs w:val="32"/>
        </w:rPr>
      </w:pPr>
      <w:bookmarkStart w:id="109" w:name="_Toc14225_WPSOffice_Level2"/>
      <w:bookmarkStart w:id="110" w:name="_Toc6358_WPSOffice_Level2"/>
      <w:bookmarkStart w:id="111" w:name="_Toc465324875"/>
      <w:bookmarkStart w:id="112" w:name="_Toc20017"/>
      <w:bookmarkStart w:id="113" w:name="_Toc1155"/>
      <w:r>
        <w:rPr>
          <w:rFonts w:hint="eastAsia" w:ascii="Calibri" w:hAnsi="Calibri" w:cs="宋体"/>
          <w:b/>
          <w:bCs/>
          <w:sz w:val="32"/>
          <w:szCs w:val="32"/>
        </w:rPr>
        <w:t>一、</w:t>
      </w:r>
      <w:bookmarkEnd w:id="106"/>
      <w:bookmarkEnd w:id="107"/>
      <w:r>
        <w:rPr>
          <w:rFonts w:hint="eastAsia" w:ascii="Calibri" w:hAnsi="Calibri" w:cs="宋体"/>
          <w:b/>
          <w:bCs/>
          <w:sz w:val="32"/>
          <w:szCs w:val="32"/>
        </w:rPr>
        <w:t>磋商响应函</w:t>
      </w:r>
      <w:bookmarkEnd w:id="109"/>
      <w:bookmarkEnd w:id="110"/>
      <w:bookmarkEnd w:id="111"/>
      <w:bookmarkEnd w:id="112"/>
      <w:bookmarkEnd w:id="113"/>
    </w:p>
    <w:p>
      <w:pPr>
        <w:spacing w:line="560" w:lineRule="exact"/>
        <w:rPr>
          <w:rFonts w:ascii="新宋体" w:hAnsi="新宋体" w:eastAsia="新宋体"/>
          <w:sz w:val="24"/>
          <w:szCs w:val="24"/>
        </w:rPr>
      </w:pPr>
      <w:r>
        <w:rPr>
          <w:rFonts w:hint="eastAsia" w:ascii="新宋体" w:hAnsi="新宋体" w:eastAsia="新宋体" w:cs="新宋体"/>
          <w:sz w:val="24"/>
          <w:szCs w:val="24"/>
          <w:u w:val="single"/>
        </w:rPr>
        <w:t>（采购人名称）</w:t>
      </w:r>
      <w:r>
        <w:rPr>
          <w:rFonts w:hint="eastAsia" w:ascii="新宋体" w:hAnsi="新宋体" w:eastAsia="新宋体" w:cs="新宋体"/>
          <w:sz w:val="24"/>
          <w:szCs w:val="24"/>
        </w:rPr>
        <w:t>：</w:t>
      </w:r>
    </w:p>
    <w:p>
      <w:pPr>
        <w:pStyle w:val="8"/>
        <w:spacing w:line="520" w:lineRule="exact"/>
        <w:rPr>
          <w:rFonts w:ascii="新宋体" w:hAnsi="新宋体" w:eastAsia="新宋体" w:cs="Times New Roman"/>
          <w:sz w:val="24"/>
          <w:szCs w:val="24"/>
        </w:rPr>
      </w:pPr>
      <w:r>
        <w:rPr>
          <w:rFonts w:hint="eastAsia" w:ascii="新宋体" w:hAnsi="新宋体" w:eastAsia="新宋体" w:cs="新宋体"/>
          <w:sz w:val="24"/>
          <w:szCs w:val="24"/>
        </w:rPr>
        <w:t>（一）根据已收到的项目的磋商文件，遵照</w:t>
      </w:r>
      <w:r>
        <w:rPr>
          <w:rFonts w:hint="eastAsia" w:ascii="新宋体" w:hAnsi="新宋体" w:eastAsia="新宋体" w:cs="新宋体"/>
          <w:spacing w:val="12"/>
          <w:sz w:val="24"/>
          <w:szCs w:val="24"/>
        </w:rPr>
        <w:t>规定，我单位经根据磋商文件</w:t>
      </w:r>
      <w:r>
        <w:rPr>
          <w:rFonts w:hint="eastAsia" w:ascii="新宋体" w:hAnsi="新宋体" w:eastAsia="新宋体" w:cs="新宋体"/>
          <w:sz w:val="24"/>
          <w:szCs w:val="24"/>
        </w:rPr>
        <w:t>做出报价如下：人民币</w:t>
      </w:r>
      <w:r>
        <w:rPr>
          <w:rFonts w:hint="eastAsia" w:ascii="新宋体" w:hAnsi="新宋体" w:eastAsia="新宋体" w:cs="新宋体"/>
          <w:sz w:val="24"/>
          <w:szCs w:val="24"/>
          <w:u w:val="single"/>
        </w:rPr>
        <w:t>大写万元</w:t>
      </w:r>
      <w:r>
        <w:rPr>
          <w:rFonts w:hint="eastAsia" w:ascii="新宋体" w:hAnsi="新宋体" w:eastAsia="新宋体" w:cs="新宋体"/>
          <w:sz w:val="24"/>
          <w:szCs w:val="24"/>
        </w:rPr>
        <w:t>（小写万元）。</w:t>
      </w:r>
    </w:p>
    <w:p>
      <w:pPr>
        <w:spacing w:line="560" w:lineRule="exact"/>
        <w:ind w:firstLine="480" w:firstLineChars="200"/>
        <w:rPr>
          <w:rFonts w:ascii="新宋体" w:hAnsi="新宋体" w:eastAsia="新宋体"/>
          <w:sz w:val="24"/>
          <w:szCs w:val="24"/>
        </w:rPr>
      </w:pPr>
      <w:r>
        <w:rPr>
          <w:rFonts w:hint="eastAsia" w:ascii="新宋体" w:hAnsi="新宋体" w:eastAsia="新宋体" w:cs="新宋体"/>
          <w:sz w:val="24"/>
          <w:szCs w:val="24"/>
        </w:rPr>
        <w:t>（二）我单位将严格按招标代理人员职业守则，按国家相关法规、规范的前提下，确保该项目顺利结束。</w:t>
      </w:r>
    </w:p>
    <w:p>
      <w:pPr>
        <w:spacing w:line="560" w:lineRule="exact"/>
        <w:ind w:firstLine="480" w:firstLineChars="200"/>
        <w:rPr>
          <w:rFonts w:ascii="新宋体" w:hAnsi="新宋体" w:eastAsia="新宋体"/>
          <w:sz w:val="24"/>
          <w:szCs w:val="24"/>
        </w:rPr>
      </w:pPr>
      <w:r>
        <w:rPr>
          <w:rFonts w:hint="eastAsia" w:ascii="新宋体" w:hAnsi="新宋体" w:eastAsia="新宋体" w:cs="新宋体"/>
          <w:sz w:val="24"/>
          <w:szCs w:val="24"/>
        </w:rPr>
        <w:t>（三）贵单位的磋商文件、成交通知书和本磋商响应文件将构成约束我们的合同。</w:t>
      </w:r>
    </w:p>
    <w:p>
      <w:pPr>
        <w:spacing w:line="480" w:lineRule="exact"/>
        <w:ind w:firstLine="480" w:firstLineChars="200"/>
        <w:rPr>
          <w:rFonts w:ascii="新宋体" w:hAnsi="新宋体" w:eastAsia="新宋体"/>
          <w:sz w:val="24"/>
          <w:szCs w:val="24"/>
        </w:rPr>
      </w:pPr>
      <w:r>
        <w:rPr>
          <w:rFonts w:hint="eastAsia" w:ascii="新宋体" w:hAnsi="新宋体" w:eastAsia="新宋体" w:cs="新宋体"/>
          <w:sz w:val="24"/>
          <w:szCs w:val="24"/>
        </w:rPr>
        <w:t>（四）我方在此声明，所递交的磋商响应文件及有关资料内容真实，准确和完整。</w:t>
      </w:r>
    </w:p>
    <w:p>
      <w:pPr>
        <w:spacing w:line="480" w:lineRule="exact"/>
        <w:ind w:left="420" w:leftChars="200" w:firstLine="795"/>
        <w:rPr>
          <w:rFonts w:ascii="新宋体" w:hAnsi="新宋体" w:eastAsia="新宋体"/>
          <w:sz w:val="24"/>
          <w:szCs w:val="24"/>
        </w:rPr>
      </w:pPr>
    </w:p>
    <w:p>
      <w:pPr>
        <w:spacing w:line="480" w:lineRule="exact"/>
        <w:ind w:left="420" w:leftChars="200" w:firstLine="795"/>
        <w:rPr>
          <w:rFonts w:ascii="新宋体" w:hAnsi="新宋体" w:eastAsia="新宋体"/>
          <w:sz w:val="24"/>
          <w:szCs w:val="24"/>
        </w:rPr>
      </w:pPr>
    </w:p>
    <w:p>
      <w:pPr>
        <w:spacing w:line="480" w:lineRule="exact"/>
        <w:ind w:firstLine="600" w:firstLineChars="250"/>
        <w:rPr>
          <w:rFonts w:ascii="新宋体" w:hAnsi="新宋体" w:eastAsia="新宋体"/>
          <w:sz w:val="24"/>
          <w:szCs w:val="24"/>
        </w:rPr>
      </w:pPr>
      <w:r>
        <w:rPr>
          <w:rFonts w:hint="eastAsia" w:ascii="新宋体" w:hAnsi="新宋体" w:eastAsia="新宋体" w:cs="新宋体"/>
          <w:sz w:val="24"/>
          <w:szCs w:val="24"/>
        </w:rPr>
        <w:t>供应商（盖章）：</w:t>
      </w:r>
    </w:p>
    <w:p>
      <w:pPr>
        <w:spacing w:line="480" w:lineRule="exact"/>
        <w:ind w:left="420" w:leftChars="200" w:firstLine="795"/>
        <w:rPr>
          <w:rFonts w:ascii="新宋体" w:hAnsi="新宋体" w:eastAsia="新宋体"/>
          <w:sz w:val="24"/>
          <w:szCs w:val="24"/>
        </w:rPr>
      </w:pPr>
    </w:p>
    <w:p>
      <w:pPr>
        <w:spacing w:line="480" w:lineRule="exact"/>
        <w:ind w:left="420" w:leftChars="200" w:firstLine="120" w:firstLineChars="50"/>
        <w:rPr>
          <w:rFonts w:ascii="新宋体" w:hAnsi="新宋体" w:eastAsia="新宋体"/>
          <w:sz w:val="24"/>
          <w:szCs w:val="24"/>
          <w:u w:val="single"/>
        </w:rPr>
      </w:pPr>
      <w:r>
        <w:rPr>
          <w:rFonts w:hint="eastAsia" w:ascii="新宋体" w:hAnsi="新宋体" w:eastAsia="新宋体" w:cs="新宋体"/>
          <w:sz w:val="24"/>
          <w:szCs w:val="24"/>
        </w:rPr>
        <w:t>法定代表人或其委托代理人（签字或盖章）：</w:t>
      </w:r>
    </w:p>
    <w:p>
      <w:pPr>
        <w:spacing w:line="480" w:lineRule="exact"/>
        <w:ind w:left="420" w:leftChars="200" w:firstLine="120" w:firstLineChars="50"/>
        <w:rPr>
          <w:rFonts w:ascii="新宋体" w:hAnsi="新宋体" w:eastAsia="新宋体"/>
          <w:sz w:val="24"/>
          <w:szCs w:val="24"/>
          <w:u w:val="single"/>
        </w:rPr>
      </w:pPr>
    </w:p>
    <w:p>
      <w:pPr>
        <w:spacing w:line="480" w:lineRule="exact"/>
        <w:ind w:left="420" w:leftChars="200" w:firstLine="120" w:firstLineChars="50"/>
        <w:rPr>
          <w:rFonts w:ascii="新宋体" w:hAnsi="新宋体" w:eastAsia="新宋体"/>
          <w:sz w:val="24"/>
          <w:szCs w:val="24"/>
          <w:u w:val="single"/>
        </w:rPr>
      </w:pPr>
      <w:r>
        <w:rPr>
          <w:rFonts w:hint="eastAsia" w:ascii="新宋体" w:hAnsi="新宋体" w:eastAsia="新宋体" w:cs="新宋体"/>
          <w:sz w:val="24"/>
          <w:szCs w:val="24"/>
        </w:rPr>
        <w:t>单位地址：</w:t>
      </w:r>
    </w:p>
    <w:p>
      <w:pPr>
        <w:spacing w:line="480" w:lineRule="exact"/>
        <w:ind w:left="420" w:leftChars="200" w:firstLine="795"/>
        <w:rPr>
          <w:rFonts w:ascii="新宋体" w:hAnsi="新宋体" w:eastAsia="新宋体"/>
          <w:sz w:val="24"/>
          <w:szCs w:val="24"/>
        </w:rPr>
      </w:pPr>
    </w:p>
    <w:p>
      <w:pPr>
        <w:spacing w:line="480" w:lineRule="exact"/>
        <w:ind w:firstLine="570"/>
        <w:rPr>
          <w:rFonts w:ascii="新宋体" w:hAnsi="新宋体" w:eastAsia="新宋体"/>
          <w:sz w:val="24"/>
          <w:szCs w:val="24"/>
          <w:u w:val="single"/>
        </w:rPr>
      </w:pPr>
      <w:r>
        <w:rPr>
          <w:rFonts w:hint="eastAsia" w:ascii="新宋体" w:hAnsi="新宋体" w:eastAsia="新宋体" w:cs="新宋体"/>
          <w:sz w:val="24"/>
          <w:szCs w:val="24"/>
        </w:rPr>
        <w:t>邮政编码：电话：传真：</w:t>
      </w:r>
    </w:p>
    <w:p>
      <w:pPr>
        <w:spacing w:line="480" w:lineRule="exact"/>
        <w:ind w:firstLine="570"/>
        <w:rPr>
          <w:rFonts w:ascii="新宋体" w:hAnsi="新宋体" w:eastAsia="新宋体"/>
          <w:sz w:val="24"/>
          <w:szCs w:val="24"/>
          <w:u w:val="single"/>
        </w:rPr>
      </w:pPr>
    </w:p>
    <w:p>
      <w:pPr>
        <w:rPr>
          <w:rFonts w:ascii="新宋体" w:hAnsi="新宋体" w:eastAsia="新宋体"/>
          <w:sz w:val="24"/>
          <w:szCs w:val="24"/>
        </w:rPr>
      </w:pPr>
      <w:r>
        <w:rPr>
          <w:rFonts w:hint="eastAsia" w:ascii="新宋体" w:hAnsi="新宋体" w:eastAsia="新宋体" w:cs="新宋体"/>
          <w:sz w:val="24"/>
          <w:szCs w:val="24"/>
        </w:rPr>
        <w:t>年月日</w:t>
      </w:r>
    </w:p>
    <w:p>
      <w:pPr>
        <w:pStyle w:val="38"/>
        <w:shd w:val="clear" w:color="auto" w:fill="auto"/>
        <w:tabs>
          <w:tab w:val="left" w:leader="underscore" w:pos="2203"/>
          <w:tab w:val="left" w:leader="underscore" w:pos="3326"/>
          <w:tab w:val="left" w:leader="underscore" w:pos="4306"/>
        </w:tabs>
        <w:spacing w:before="0" w:line="500" w:lineRule="exact"/>
        <w:ind w:firstLine="0"/>
        <w:jc w:val="left"/>
        <w:rPr>
          <w:rFonts w:ascii="新宋体" w:hAnsi="新宋体" w:eastAsia="新宋体" w:cs="Times New Roman"/>
          <w:sz w:val="28"/>
          <w:szCs w:val="28"/>
          <w:lang w:val="zh-TW"/>
        </w:rPr>
        <w:sectPr>
          <w:footerReference r:id="rId11" w:type="default"/>
          <w:pgSz w:w="11909" w:h="16840"/>
          <w:pgMar w:top="1417" w:right="1417" w:bottom="1417" w:left="1417" w:header="454" w:footer="6" w:gutter="0"/>
          <w:cols w:space="720" w:num="1"/>
          <w:docGrid w:linePitch="360" w:charSpace="0"/>
        </w:sectPr>
      </w:pPr>
    </w:p>
    <w:bookmarkEnd w:id="108"/>
    <w:p>
      <w:pPr>
        <w:pStyle w:val="38"/>
        <w:shd w:val="clear" w:color="auto" w:fill="auto"/>
        <w:tabs>
          <w:tab w:val="left" w:leader="underscore" w:pos="2806"/>
        </w:tabs>
        <w:spacing w:before="0" w:line="442" w:lineRule="exact"/>
        <w:ind w:firstLine="0"/>
        <w:jc w:val="center"/>
        <w:outlineLvl w:val="1"/>
        <w:rPr>
          <w:rFonts w:ascii="新宋体" w:hAnsi="新宋体" w:eastAsia="新宋体" w:cs="Times New Roman"/>
        </w:rPr>
      </w:pPr>
      <w:bookmarkStart w:id="114" w:name="_Toc13030"/>
      <w:bookmarkStart w:id="115" w:name="_Toc26724"/>
      <w:bookmarkStart w:id="116" w:name="_Toc30913_WPSOffice_Level2"/>
      <w:bookmarkStart w:id="117" w:name="_Toc11025_WPSOffice_Level2"/>
      <w:r>
        <w:rPr>
          <w:rFonts w:hint="eastAsia" w:ascii="新宋体" w:hAnsi="新宋体" w:eastAsia="新宋体" w:cs="新宋体"/>
          <w:sz w:val="28"/>
          <w:szCs w:val="28"/>
        </w:rPr>
        <w:t>磋商资格及响应性证明文件</w:t>
      </w:r>
      <w:bookmarkEnd w:id="114"/>
      <w:bookmarkEnd w:id="115"/>
      <w:bookmarkEnd w:id="116"/>
      <w:bookmarkEnd w:id="117"/>
    </w:p>
    <w:p>
      <w:pPr>
        <w:jc w:val="center"/>
        <w:rPr>
          <w:rFonts w:ascii="新宋体" w:hAnsi="新宋体" w:eastAsia="新宋体"/>
          <w:snapToGrid w:val="0"/>
          <w:kern w:val="0"/>
          <w:sz w:val="28"/>
          <w:szCs w:val="28"/>
        </w:rPr>
      </w:pPr>
      <w:bookmarkStart w:id="118" w:name="_Toc465324876"/>
    </w:p>
    <w:bookmarkEnd w:id="118"/>
    <w:p>
      <w:pPr>
        <w:pStyle w:val="39"/>
        <w:jc w:val="center"/>
        <w:rPr>
          <w:rFonts w:cs="Times New Roman"/>
        </w:rPr>
      </w:pPr>
      <w:bookmarkStart w:id="119" w:name="_Toc14651_WPSOffice_Level2"/>
      <w:bookmarkStart w:id="120" w:name="_Toc1551468"/>
      <w:bookmarkStart w:id="121" w:name="_Toc7675_WPSOffice_Level2"/>
      <w:r>
        <w:rPr>
          <w:rFonts w:hint="eastAsia" w:cs="宋体"/>
        </w:rPr>
        <w:t>法定代表人资格证明文件</w:t>
      </w:r>
      <w:bookmarkEnd w:id="119"/>
      <w:bookmarkEnd w:id="120"/>
      <w:bookmarkEnd w:id="121"/>
    </w:p>
    <w:p>
      <w:pPr>
        <w:pStyle w:val="40"/>
        <w:adjustRightInd w:val="0"/>
        <w:snapToGrid w:val="0"/>
        <w:spacing w:line="500" w:lineRule="exact"/>
        <w:rPr>
          <w:rFonts w:ascii="宋体" w:cs="Times New Roman"/>
          <w:sz w:val="24"/>
          <w:szCs w:val="24"/>
          <w:u w:val="single"/>
        </w:rPr>
      </w:pPr>
      <w:r>
        <w:rPr>
          <w:rFonts w:hint="eastAsia" w:ascii="宋体" w:hAnsi="宋体" w:cs="宋体"/>
          <w:sz w:val="24"/>
          <w:szCs w:val="24"/>
          <w:u w:val="single"/>
        </w:rPr>
        <w:t>（代理机构名称）：</w:t>
      </w:r>
    </w:p>
    <w:p>
      <w:pPr>
        <w:pStyle w:val="40"/>
        <w:adjustRightInd w:val="0"/>
        <w:snapToGrid w:val="0"/>
        <w:spacing w:line="500" w:lineRule="exact"/>
        <w:ind w:firstLine="840" w:firstLineChars="350"/>
        <w:rPr>
          <w:rFonts w:ascii="宋体" w:cs="Times New Roman"/>
          <w:sz w:val="24"/>
          <w:szCs w:val="24"/>
        </w:rPr>
      </w:pPr>
      <w:r>
        <w:rPr>
          <w:rFonts w:hint="eastAsia" w:ascii="宋体" w:hAnsi="宋体" w:cs="宋体"/>
          <w:sz w:val="24"/>
          <w:szCs w:val="24"/>
        </w:rPr>
        <w:t>兹有同志为公司法定代表人，代表我公司办理一切社会公务事宜，具有法律效力。</w:t>
      </w:r>
    </w:p>
    <w:p>
      <w:pPr>
        <w:pStyle w:val="40"/>
        <w:adjustRightInd w:val="0"/>
        <w:snapToGrid w:val="0"/>
        <w:spacing w:line="500" w:lineRule="exact"/>
        <w:ind w:firstLine="720" w:firstLineChars="300"/>
        <w:rPr>
          <w:rFonts w:ascii="宋体" w:cs="Times New Roman"/>
          <w:sz w:val="24"/>
          <w:szCs w:val="24"/>
        </w:rPr>
      </w:pPr>
      <w:r>
        <w:rPr>
          <w:rFonts w:hint="eastAsia" w:ascii="宋体" w:hAnsi="宋体" w:cs="宋体"/>
          <w:sz w:val="24"/>
          <w:szCs w:val="24"/>
        </w:rPr>
        <w:t>附法定代表人基本情况：</w:t>
      </w:r>
    </w:p>
    <w:p>
      <w:pPr>
        <w:pStyle w:val="40"/>
        <w:adjustRightInd w:val="0"/>
        <w:snapToGrid w:val="0"/>
        <w:spacing w:line="500" w:lineRule="exact"/>
        <w:ind w:firstLine="720" w:firstLineChars="300"/>
        <w:rPr>
          <w:rFonts w:ascii="宋体" w:cs="Times New Roman"/>
          <w:sz w:val="24"/>
          <w:szCs w:val="24"/>
          <w:u w:val="single"/>
        </w:rPr>
      </w:pPr>
      <w:r>
        <w:rPr>
          <w:rFonts w:hint="eastAsia" w:ascii="宋体" w:hAnsi="宋体" w:cs="宋体"/>
          <w:sz w:val="24"/>
          <w:szCs w:val="24"/>
        </w:rPr>
        <w:t>姓名：性别：年龄：职务：</w:t>
      </w:r>
    </w:p>
    <w:p>
      <w:pPr>
        <w:pStyle w:val="40"/>
        <w:adjustRightInd w:val="0"/>
        <w:snapToGrid w:val="0"/>
        <w:spacing w:line="500" w:lineRule="exact"/>
        <w:ind w:firstLine="720" w:firstLineChars="300"/>
        <w:rPr>
          <w:rFonts w:ascii="宋体" w:cs="Times New Roman"/>
          <w:sz w:val="24"/>
          <w:szCs w:val="24"/>
        </w:rPr>
      </w:pPr>
      <w:r>
        <w:rPr>
          <w:rFonts w:hint="eastAsia" w:ascii="宋体" w:hAnsi="宋体" w:cs="宋体"/>
          <w:sz w:val="24"/>
          <w:szCs w:val="24"/>
        </w:rPr>
        <w:t>身份证号码：</w:t>
      </w:r>
    </w:p>
    <w:p>
      <w:pPr>
        <w:pStyle w:val="40"/>
        <w:adjustRightInd w:val="0"/>
        <w:snapToGrid w:val="0"/>
        <w:spacing w:line="500" w:lineRule="exact"/>
        <w:ind w:firstLine="720" w:firstLineChars="300"/>
        <w:rPr>
          <w:rFonts w:ascii="宋体" w:cs="Times New Roman"/>
          <w:sz w:val="24"/>
          <w:szCs w:val="24"/>
        </w:rPr>
      </w:pPr>
      <w:r>
        <w:rPr>
          <w:rFonts w:hint="eastAsia" w:ascii="宋体" w:hAnsi="宋体" w:cs="宋体"/>
          <w:sz w:val="24"/>
          <w:szCs w:val="24"/>
        </w:rPr>
        <w:t>通讯地址：</w:t>
      </w:r>
    </w:p>
    <w:p>
      <w:pPr>
        <w:pStyle w:val="40"/>
        <w:adjustRightInd w:val="0"/>
        <w:snapToGrid w:val="0"/>
        <w:spacing w:line="500" w:lineRule="exact"/>
        <w:ind w:firstLine="720" w:firstLineChars="300"/>
        <w:rPr>
          <w:rFonts w:ascii="宋体" w:cs="Times New Roman"/>
          <w:sz w:val="24"/>
          <w:szCs w:val="24"/>
        </w:rPr>
      </w:pPr>
      <w:r>
        <w:rPr>
          <w:rFonts w:hint="eastAsia" w:ascii="宋体" w:hAnsi="宋体" w:cs="宋体"/>
          <w:sz w:val="24"/>
          <w:szCs w:val="24"/>
        </w:rPr>
        <w:t>电话号码：邮政编码：</w:t>
      </w:r>
    </w:p>
    <w:p>
      <w:pPr>
        <w:pStyle w:val="40"/>
        <w:adjustRightInd w:val="0"/>
        <w:snapToGrid w:val="0"/>
        <w:spacing w:line="500" w:lineRule="exact"/>
        <w:rPr>
          <w:rFonts w:ascii="宋体" w:cs="Times New Roman"/>
          <w:sz w:val="24"/>
          <w:szCs w:val="24"/>
        </w:rPr>
      </w:pPr>
    </w:p>
    <w:tbl>
      <w:tblPr>
        <w:tblStyle w:val="16"/>
        <w:tblW w:w="68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Pr>
          <w:p>
            <w:pPr>
              <w:pStyle w:val="40"/>
              <w:adjustRightInd w:val="0"/>
              <w:snapToGrid w:val="0"/>
              <w:spacing w:line="500" w:lineRule="exact"/>
              <w:jc w:val="center"/>
              <w:rPr>
                <w:rFonts w:ascii="宋体" w:cs="Times New Roman"/>
                <w:sz w:val="24"/>
                <w:szCs w:val="24"/>
              </w:rPr>
            </w:pPr>
          </w:p>
          <w:p>
            <w:pPr>
              <w:pStyle w:val="40"/>
              <w:adjustRightInd w:val="0"/>
              <w:snapToGrid w:val="0"/>
              <w:spacing w:line="500" w:lineRule="exact"/>
              <w:jc w:val="center"/>
              <w:rPr>
                <w:rFonts w:ascii="宋体" w:cs="Times New Roman"/>
                <w:sz w:val="24"/>
                <w:szCs w:val="24"/>
              </w:rPr>
            </w:pPr>
          </w:p>
          <w:p>
            <w:pPr>
              <w:pStyle w:val="40"/>
              <w:adjustRightInd w:val="0"/>
              <w:snapToGrid w:val="0"/>
              <w:spacing w:line="500" w:lineRule="exact"/>
              <w:jc w:val="center"/>
              <w:rPr>
                <w:rFonts w:ascii="宋体" w:cs="Times New Roman"/>
                <w:sz w:val="24"/>
                <w:szCs w:val="24"/>
              </w:rPr>
            </w:pPr>
            <w:r>
              <w:rPr>
                <w:rFonts w:hint="eastAsia" w:ascii="宋体" w:hAnsi="宋体" w:cs="宋体"/>
                <w:sz w:val="24"/>
                <w:szCs w:val="24"/>
              </w:rPr>
              <w:t>法定代表人《居民身份证》扫描件</w:t>
            </w:r>
          </w:p>
        </w:tc>
      </w:tr>
    </w:tbl>
    <w:p>
      <w:pPr>
        <w:pStyle w:val="40"/>
        <w:adjustRightInd w:val="0"/>
        <w:snapToGrid w:val="0"/>
        <w:spacing w:line="500" w:lineRule="exact"/>
        <w:rPr>
          <w:rFonts w:ascii="宋体" w:cs="Times New Roman"/>
          <w:sz w:val="24"/>
          <w:szCs w:val="24"/>
        </w:rPr>
      </w:pPr>
    </w:p>
    <w:p>
      <w:pPr>
        <w:pStyle w:val="40"/>
        <w:adjustRightInd w:val="0"/>
        <w:snapToGrid w:val="0"/>
        <w:spacing w:line="500" w:lineRule="exact"/>
        <w:rPr>
          <w:rFonts w:ascii="宋体" w:cs="Times New Roman"/>
          <w:sz w:val="24"/>
          <w:szCs w:val="24"/>
        </w:rPr>
      </w:pPr>
    </w:p>
    <w:p>
      <w:pPr>
        <w:pStyle w:val="40"/>
        <w:adjustRightInd w:val="0"/>
        <w:snapToGrid w:val="0"/>
        <w:spacing w:line="500" w:lineRule="exact"/>
        <w:rPr>
          <w:rFonts w:ascii="宋体" w:cs="Times New Roman"/>
          <w:sz w:val="24"/>
          <w:szCs w:val="24"/>
        </w:rPr>
      </w:pPr>
    </w:p>
    <w:p>
      <w:pPr>
        <w:pStyle w:val="40"/>
        <w:adjustRightInd w:val="0"/>
        <w:snapToGrid w:val="0"/>
        <w:spacing w:line="500" w:lineRule="exact"/>
        <w:rPr>
          <w:rFonts w:ascii="宋体" w:cs="Times New Roman"/>
          <w:sz w:val="24"/>
          <w:szCs w:val="24"/>
        </w:rPr>
      </w:pPr>
    </w:p>
    <w:p>
      <w:pPr>
        <w:pStyle w:val="41"/>
        <w:spacing w:line="500" w:lineRule="exact"/>
        <w:ind w:firstLine="720"/>
        <w:rPr>
          <w:rFonts w:hAnsi="宋体" w:cs="Times New Roman"/>
          <w:sz w:val="24"/>
          <w:szCs w:val="24"/>
          <w:u w:val="single"/>
        </w:rPr>
      </w:pPr>
      <w:r>
        <w:rPr>
          <w:rFonts w:hint="eastAsia" w:hAnsi="宋体"/>
          <w:sz w:val="24"/>
          <w:szCs w:val="24"/>
        </w:rPr>
        <w:t>磋商供应商名称（签章）：</w:t>
      </w:r>
    </w:p>
    <w:p>
      <w:pPr>
        <w:pStyle w:val="41"/>
        <w:spacing w:line="500" w:lineRule="exact"/>
        <w:ind w:firstLine="720"/>
        <w:rPr>
          <w:rFonts w:hAnsi="宋体" w:cs="Times New Roman"/>
          <w:sz w:val="24"/>
          <w:szCs w:val="24"/>
          <w:u w:val="single"/>
        </w:rPr>
      </w:pPr>
      <w:r>
        <w:rPr>
          <w:rFonts w:hint="eastAsia" w:hAnsi="宋体"/>
          <w:sz w:val="24"/>
          <w:szCs w:val="24"/>
        </w:rPr>
        <w:t>法定代表人（签章）</w:t>
      </w:r>
      <w:r>
        <w:rPr>
          <w:rFonts w:hAnsi="宋体"/>
          <w:sz w:val="24"/>
          <w:szCs w:val="24"/>
        </w:rPr>
        <w:t>:</w:t>
      </w:r>
    </w:p>
    <w:p>
      <w:pPr>
        <w:pStyle w:val="41"/>
        <w:spacing w:line="500" w:lineRule="exact"/>
        <w:ind w:firstLine="720"/>
        <w:rPr>
          <w:rFonts w:hAnsi="宋体" w:cs="Times New Roman"/>
          <w:sz w:val="24"/>
          <w:szCs w:val="24"/>
          <w:u w:val="single"/>
        </w:rPr>
      </w:pPr>
      <w:r>
        <w:rPr>
          <w:rFonts w:hint="eastAsia" w:hAnsi="宋体"/>
          <w:sz w:val="24"/>
          <w:szCs w:val="24"/>
        </w:rPr>
        <w:t>日期：年月日</w:t>
      </w:r>
    </w:p>
    <w:p>
      <w:pPr>
        <w:pStyle w:val="40"/>
        <w:adjustRightInd w:val="0"/>
        <w:snapToGrid w:val="0"/>
        <w:spacing w:line="500" w:lineRule="exact"/>
        <w:rPr>
          <w:rFonts w:ascii="宋体" w:cs="Times New Roman"/>
          <w:sz w:val="24"/>
          <w:szCs w:val="24"/>
        </w:rPr>
      </w:pPr>
    </w:p>
    <w:p>
      <w:pPr>
        <w:pStyle w:val="40"/>
        <w:spacing w:line="500" w:lineRule="exact"/>
        <w:rPr>
          <w:rFonts w:ascii="宋体" w:cs="Times New Roman"/>
          <w:b/>
          <w:bCs/>
          <w:sz w:val="24"/>
          <w:szCs w:val="24"/>
        </w:rPr>
      </w:pPr>
    </w:p>
    <w:p>
      <w:pPr>
        <w:pStyle w:val="39"/>
        <w:jc w:val="center"/>
        <w:rPr>
          <w:rFonts w:cs="Times New Roman"/>
          <w:sz w:val="28"/>
          <w:szCs w:val="28"/>
        </w:rPr>
      </w:pPr>
      <w:bookmarkStart w:id="122" w:name="_Toc12655_WPSOffice_Level2"/>
      <w:bookmarkStart w:id="123" w:name="_Toc1551469"/>
      <w:bookmarkStart w:id="124" w:name="_Toc2125_WPSOffice_Level2"/>
      <w:r>
        <w:rPr>
          <w:rFonts w:hint="eastAsia" w:cs="宋体"/>
          <w:sz w:val="28"/>
          <w:szCs w:val="28"/>
        </w:rPr>
        <w:t>法定代表人授权书</w:t>
      </w:r>
      <w:bookmarkEnd w:id="122"/>
      <w:bookmarkEnd w:id="123"/>
      <w:bookmarkEnd w:id="124"/>
    </w:p>
    <w:p>
      <w:pPr>
        <w:pStyle w:val="40"/>
        <w:adjustRightInd w:val="0"/>
        <w:snapToGrid w:val="0"/>
        <w:spacing w:line="500" w:lineRule="exact"/>
        <w:rPr>
          <w:rFonts w:ascii="宋体" w:cs="Times New Roman"/>
          <w:sz w:val="24"/>
          <w:szCs w:val="24"/>
        </w:rPr>
      </w:pPr>
    </w:p>
    <w:p>
      <w:pPr>
        <w:pStyle w:val="40"/>
        <w:adjustRightInd w:val="0"/>
        <w:snapToGrid w:val="0"/>
        <w:spacing w:line="400" w:lineRule="exact"/>
        <w:rPr>
          <w:rFonts w:ascii="宋体" w:cs="Times New Roman"/>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pStyle w:val="40"/>
        <w:spacing w:line="500" w:lineRule="exact"/>
        <w:ind w:firstLine="480" w:firstLineChars="200"/>
        <w:rPr>
          <w:rFonts w:ascii="宋体" w:cs="Times New Roman"/>
          <w:sz w:val="24"/>
          <w:szCs w:val="24"/>
        </w:rPr>
      </w:pPr>
      <w:r>
        <w:rPr>
          <w:rFonts w:hint="eastAsia" w:ascii="宋体" w:hAnsi="宋体" w:cs="宋体"/>
          <w:sz w:val="24"/>
          <w:szCs w:val="24"/>
        </w:rPr>
        <w:t>兹授权同志为我公司参加贵单位组织的编号为</w:t>
      </w:r>
      <w:r>
        <w:rPr>
          <w:rFonts w:hint="eastAsia" w:ascii="宋体" w:hAnsi="宋体" w:cs="宋体"/>
          <w:sz w:val="24"/>
          <w:szCs w:val="24"/>
          <w:u w:val="single"/>
        </w:rPr>
        <w:t>（项目编号）</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采购活动的磋商代表人，全权代表我公司处理在该项目活动中的一切事宜。代理期限从年月日起至年月日止。</w:t>
      </w:r>
    </w:p>
    <w:p>
      <w:pPr>
        <w:pStyle w:val="40"/>
        <w:spacing w:line="500" w:lineRule="exact"/>
        <w:rPr>
          <w:rFonts w:ascii="宋体" w:cs="Times New Roman"/>
          <w:sz w:val="24"/>
          <w:szCs w:val="24"/>
        </w:rPr>
      </w:pPr>
    </w:p>
    <w:p>
      <w:pPr>
        <w:pStyle w:val="40"/>
        <w:spacing w:line="500" w:lineRule="exact"/>
        <w:rPr>
          <w:rFonts w:ascii="宋体" w:cs="Times New Roman"/>
          <w:sz w:val="24"/>
          <w:szCs w:val="24"/>
        </w:rPr>
      </w:pPr>
      <w:r>
        <w:rPr>
          <w:rFonts w:hint="eastAsia" w:ascii="宋体" w:hAnsi="宋体" w:cs="宋体"/>
          <w:sz w:val="24"/>
          <w:szCs w:val="24"/>
        </w:rPr>
        <w:t>磋商供应商（签章）：</w:t>
      </w:r>
    </w:p>
    <w:p>
      <w:pPr>
        <w:pStyle w:val="40"/>
        <w:spacing w:line="500" w:lineRule="exact"/>
        <w:rPr>
          <w:rFonts w:ascii="宋体" w:cs="Times New Roman"/>
          <w:sz w:val="24"/>
          <w:szCs w:val="24"/>
        </w:rPr>
      </w:pPr>
      <w:r>
        <w:rPr>
          <w:rFonts w:hint="eastAsia" w:ascii="宋体" w:hAnsi="宋体" w:cs="宋体"/>
          <w:sz w:val="24"/>
          <w:szCs w:val="24"/>
        </w:rPr>
        <w:t>法定代表人（签章）：</w:t>
      </w:r>
    </w:p>
    <w:p>
      <w:pPr>
        <w:pStyle w:val="40"/>
        <w:spacing w:line="500" w:lineRule="exact"/>
        <w:rPr>
          <w:rFonts w:ascii="宋体" w:cs="Times New Roman"/>
          <w:sz w:val="24"/>
          <w:szCs w:val="24"/>
        </w:rPr>
      </w:pPr>
      <w:r>
        <w:rPr>
          <w:rFonts w:hint="eastAsia" w:ascii="宋体" w:hAnsi="宋体" w:cs="宋体"/>
          <w:sz w:val="24"/>
          <w:szCs w:val="24"/>
        </w:rPr>
        <w:t>签发日期：年月日</w:t>
      </w:r>
    </w:p>
    <w:p>
      <w:pPr>
        <w:pStyle w:val="40"/>
        <w:spacing w:line="500" w:lineRule="exact"/>
        <w:rPr>
          <w:rFonts w:ascii="宋体" w:cs="Times New Roman"/>
          <w:sz w:val="24"/>
          <w:szCs w:val="24"/>
        </w:rPr>
      </w:pPr>
    </w:p>
    <w:p>
      <w:pPr>
        <w:pStyle w:val="40"/>
        <w:spacing w:line="500" w:lineRule="exact"/>
        <w:rPr>
          <w:rFonts w:ascii="宋体" w:cs="Times New Roman"/>
          <w:sz w:val="24"/>
          <w:szCs w:val="24"/>
        </w:rPr>
      </w:pPr>
      <w:r>
        <w:rPr>
          <w:rFonts w:hint="eastAsia" w:ascii="宋体" w:hAnsi="宋体" w:cs="宋体"/>
          <w:sz w:val="24"/>
          <w:szCs w:val="24"/>
        </w:rPr>
        <w:t>附：代理人工作单位：</w:t>
      </w:r>
    </w:p>
    <w:p>
      <w:pPr>
        <w:pStyle w:val="40"/>
        <w:spacing w:line="500" w:lineRule="exact"/>
        <w:rPr>
          <w:rFonts w:ascii="宋体" w:cs="Times New Roman"/>
          <w:sz w:val="24"/>
          <w:szCs w:val="24"/>
        </w:rPr>
      </w:pPr>
      <w:r>
        <w:rPr>
          <w:rFonts w:hint="eastAsia" w:ascii="宋体" w:hAnsi="宋体" w:cs="宋体"/>
          <w:sz w:val="24"/>
          <w:szCs w:val="24"/>
        </w:rPr>
        <w:t>职务：性别：</w:t>
      </w:r>
    </w:p>
    <w:p>
      <w:pPr>
        <w:pStyle w:val="40"/>
        <w:adjustRightInd w:val="0"/>
        <w:snapToGrid w:val="0"/>
        <w:spacing w:line="500" w:lineRule="exact"/>
        <w:rPr>
          <w:rFonts w:ascii="宋体" w:cs="Times New Roman"/>
          <w:sz w:val="24"/>
          <w:szCs w:val="24"/>
          <w:u w:val="single"/>
        </w:rPr>
      </w:pPr>
      <w:r>
        <w:rPr>
          <w:rFonts w:hint="eastAsia" w:ascii="宋体" w:hAnsi="宋体" w:cs="宋体"/>
          <w:sz w:val="24"/>
          <w:szCs w:val="24"/>
        </w:rPr>
        <w:t>身份证号码：</w:t>
      </w:r>
    </w:p>
    <w:p>
      <w:pPr>
        <w:pStyle w:val="40"/>
        <w:adjustRightInd w:val="0"/>
        <w:snapToGrid w:val="0"/>
        <w:spacing w:line="500" w:lineRule="exact"/>
        <w:ind w:left="-88" w:leftChars="-42" w:firstLine="600" w:firstLineChars="250"/>
        <w:rPr>
          <w:rFonts w:ascii="宋体" w:cs="Times New Roman"/>
          <w:sz w:val="24"/>
          <w:szCs w:val="24"/>
          <w:u w:val="single"/>
        </w:rPr>
      </w:pPr>
    </w:p>
    <w:tbl>
      <w:tblPr>
        <w:tblStyle w:val="16"/>
        <w:tblW w:w="766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8" w:type="dxa"/>
          </w:tcPr>
          <w:p>
            <w:pPr>
              <w:pStyle w:val="40"/>
              <w:spacing w:line="500" w:lineRule="exact"/>
              <w:rPr>
                <w:rFonts w:ascii="宋体" w:cs="Times New Roman"/>
                <w:sz w:val="24"/>
                <w:szCs w:val="24"/>
              </w:rPr>
            </w:pPr>
            <w:r>
              <w:rPr>
                <w:rFonts w:hint="eastAsia" w:ascii="宋体" w:hAnsi="宋体" w:cs="宋体"/>
                <w:sz w:val="24"/>
                <w:szCs w:val="24"/>
              </w:rPr>
              <w:t>粘贴被授权人身份证（扫描件）</w:t>
            </w:r>
          </w:p>
        </w:tc>
      </w:tr>
    </w:tbl>
    <w:p>
      <w:pPr>
        <w:pStyle w:val="40"/>
        <w:autoSpaceDE w:val="0"/>
        <w:autoSpaceDN w:val="0"/>
        <w:spacing w:line="500" w:lineRule="exact"/>
        <w:ind w:left="480" w:hanging="480"/>
        <w:rPr>
          <w:rFonts w:ascii="宋体" w:cs="Times New Roman"/>
          <w:sz w:val="28"/>
          <w:szCs w:val="28"/>
        </w:rPr>
      </w:pPr>
    </w:p>
    <w:p>
      <w:pPr>
        <w:adjustRightInd w:val="0"/>
        <w:snapToGrid w:val="0"/>
        <w:spacing w:line="500" w:lineRule="exact"/>
        <w:ind w:left="-88" w:leftChars="-42"/>
        <w:jc w:val="center"/>
        <w:rPr>
          <w:rFonts w:ascii="新宋体" w:hAnsi="新宋体" w:eastAsia="新宋体"/>
          <w:snapToGrid w:val="0"/>
          <w:kern w:val="0"/>
          <w:sz w:val="28"/>
          <w:szCs w:val="28"/>
        </w:rPr>
      </w:pPr>
    </w:p>
    <w:p>
      <w:pPr>
        <w:adjustRightInd w:val="0"/>
        <w:snapToGrid w:val="0"/>
        <w:spacing w:line="500" w:lineRule="exact"/>
        <w:rPr>
          <w:rFonts w:ascii="新宋体" w:hAnsi="新宋体" w:eastAsia="新宋体"/>
          <w:snapToGrid w:val="0"/>
          <w:kern w:val="0"/>
          <w:sz w:val="28"/>
          <w:szCs w:val="28"/>
        </w:rPr>
      </w:pPr>
    </w:p>
    <w:p>
      <w:pPr>
        <w:adjustRightInd w:val="0"/>
        <w:snapToGrid w:val="0"/>
        <w:spacing w:line="500" w:lineRule="exact"/>
        <w:rPr>
          <w:rFonts w:ascii="新宋体" w:hAnsi="新宋体" w:eastAsia="新宋体"/>
          <w:snapToGrid w:val="0"/>
          <w:kern w:val="0"/>
          <w:sz w:val="28"/>
          <w:szCs w:val="28"/>
        </w:rPr>
      </w:pPr>
    </w:p>
    <w:p>
      <w:pPr>
        <w:adjustRightInd w:val="0"/>
        <w:snapToGrid w:val="0"/>
        <w:spacing w:line="500" w:lineRule="exact"/>
        <w:ind w:left="-88" w:leftChars="-42"/>
        <w:jc w:val="center"/>
        <w:outlineLvl w:val="0"/>
        <w:rPr>
          <w:rFonts w:ascii="新宋体" w:hAnsi="新宋体" w:eastAsia="新宋体"/>
          <w:sz w:val="30"/>
          <w:szCs w:val="30"/>
        </w:rPr>
      </w:pPr>
      <w:bookmarkStart w:id="125" w:name="_Toc7881"/>
      <w:bookmarkStart w:id="126" w:name="_Toc20178_WPSOffice_Level1"/>
      <w:bookmarkStart w:id="127" w:name="_Toc27576"/>
      <w:bookmarkStart w:id="128" w:name="_Toc29713_WPSOffice_Level1"/>
      <w:r>
        <w:rPr>
          <w:rFonts w:hint="eastAsia" w:ascii="新宋体" w:hAnsi="新宋体" w:eastAsia="新宋体" w:cs="新宋体"/>
          <w:b/>
          <w:bCs/>
          <w:sz w:val="30"/>
          <w:szCs w:val="30"/>
        </w:rPr>
        <w:t>开标一览表</w:t>
      </w:r>
      <w:bookmarkEnd w:id="125"/>
      <w:bookmarkEnd w:id="126"/>
      <w:bookmarkEnd w:id="127"/>
      <w:bookmarkEnd w:id="128"/>
    </w:p>
    <w:p>
      <w:pPr>
        <w:adjustRightInd w:val="0"/>
        <w:snapToGrid w:val="0"/>
        <w:spacing w:line="500" w:lineRule="exact"/>
        <w:rPr>
          <w:rFonts w:ascii="新宋体" w:hAnsi="新宋体" w:eastAsia="新宋体"/>
          <w:sz w:val="24"/>
          <w:szCs w:val="24"/>
          <w:u w:val="single"/>
        </w:rPr>
      </w:pPr>
      <w:r>
        <w:rPr>
          <w:rFonts w:hint="eastAsia" w:ascii="新宋体" w:hAnsi="新宋体" w:eastAsia="新宋体" w:cs="新宋体"/>
          <w:sz w:val="24"/>
          <w:szCs w:val="24"/>
        </w:rPr>
        <w:t>采购项目名称：</w:t>
      </w:r>
    </w:p>
    <w:tbl>
      <w:tblPr>
        <w:tblStyle w:val="16"/>
        <w:tblW w:w="9288"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3168" w:type="dxa"/>
            <w:tcBorders>
              <w:top w:val="double" w:color="auto" w:sz="4" w:space="0"/>
            </w:tcBorders>
            <w:vAlign w:val="center"/>
          </w:tcPr>
          <w:p>
            <w:pPr>
              <w:spacing w:line="360" w:lineRule="exact"/>
              <w:ind w:left="-38"/>
              <w:jc w:val="center"/>
              <w:rPr>
                <w:rFonts w:ascii="新宋体" w:hAnsi="新宋体" w:eastAsia="新宋体"/>
              </w:rPr>
            </w:pPr>
            <w:r>
              <w:rPr>
                <w:rFonts w:hint="eastAsia" w:ascii="新宋体" w:hAnsi="新宋体" w:eastAsia="新宋体" w:cs="新宋体"/>
              </w:rPr>
              <w:t>磋商总价（人民币）</w:t>
            </w:r>
          </w:p>
        </w:tc>
        <w:tc>
          <w:tcPr>
            <w:tcW w:w="6120" w:type="dxa"/>
            <w:tcBorders>
              <w:top w:val="double" w:color="auto" w:sz="4" w:space="0"/>
            </w:tcBorders>
            <w:vAlign w:val="center"/>
          </w:tcPr>
          <w:p>
            <w:pPr>
              <w:spacing w:line="360" w:lineRule="exact"/>
              <w:rPr>
                <w:rFonts w:ascii="新宋体" w:hAnsi="新宋体" w:eastAsia="新宋体"/>
              </w:rPr>
            </w:pPr>
            <w:r>
              <w:rPr>
                <w:rFonts w:hint="eastAsia" w:ascii="新宋体" w:hAnsi="新宋体" w:eastAsia="新宋体" w:cs="新宋体"/>
              </w:rPr>
              <w:t>大写：小写：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3168" w:type="dxa"/>
            <w:vAlign w:val="center"/>
          </w:tcPr>
          <w:p>
            <w:pPr>
              <w:spacing w:line="360" w:lineRule="exact"/>
              <w:ind w:left="-38"/>
              <w:jc w:val="center"/>
              <w:rPr>
                <w:rFonts w:ascii="新宋体" w:hAnsi="新宋体" w:eastAsia="新宋体"/>
              </w:rPr>
            </w:pPr>
            <w:r>
              <w:rPr>
                <w:rFonts w:hint="eastAsia" w:ascii="新宋体" w:hAnsi="新宋体" w:eastAsia="新宋体" w:cs="新宋体"/>
                <w:lang w:val="zh-CN"/>
              </w:rPr>
              <w:t>服务期限</w:t>
            </w:r>
            <w:r>
              <w:rPr>
                <w:rFonts w:hint="eastAsia" w:ascii="新宋体" w:hAnsi="新宋体" w:eastAsia="新宋体" w:cs="新宋体"/>
              </w:rPr>
              <w:t>（日历天）</w:t>
            </w:r>
          </w:p>
        </w:tc>
        <w:tc>
          <w:tcPr>
            <w:tcW w:w="6120" w:type="dxa"/>
            <w:vAlign w:val="center"/>
          </w:tcPr>
          <w:p>
            <w:pPr>
              <w:spacing w:line="360" w:lineRule="exact"/>
              <w:ind w:left="-38"/>
              <w:rPr>
                <w:rFonts w:ascii="新宋体" w:hAnsi="新宋体" w:eastAsia="新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3168" w:type="dxa"/>
            <w:vAlign w:val="center"/>
          </w:tcPr>
          <w:p>
            <w:pPr>
              <w:spacing w:line="360" w:lineRule="exact"/>
              <w:ind w:left="-38"/>
              <w:jc w:val="center"/>
              <w:rPr>
                <w:rFonts w:ascii="新宋体" w:hAnsi="新宋体" w:eastAsia="新宋体"/>
              </w:rPr>
            </w:pPr>
            <w:r>
              <w:rPr>
                <w:rFonts w:hint="eastAsia" w:ascii="新宋体" w:hAnsi="新宋体" w:eastAsia="新宋体" w:cs="新宋体"/>
              </w:rPr>
              <w:t>质量承诺</w:t>
            </w:r>
          </w:p>
        </w:tc>
        <w:tc>
          <w:tcPr>
            <w:tcW w:w="6120" w:type="dxa"/>
            <w:vAlign w:val="center"/>
          </w:tcPr>
          <w:p>
            <w:pPr>
              <w:spacing w:line="360" w:lineRule="exact"/>
              <w:ind w:left="-38"/>
              <w:rPr>
                <w:rFonts w:ascii="新宋体" w:hAnsi="新宋体" w:eastAsia="新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3168" w:type="dxa"/>
            <w:vAlign w:val="center"/>
          </w:tcPr>
          <w:p>
            <w:pPr>
              <w:spacing w:line="360" w:lineRule="exact"/>
              <w:ind w:left="-38"/>
              <w:jc w:val="center"/>
              <w:rPr>
                <w:rFonts w:ascii="新宋体" w:hAnsi="新宋体" w:eastAsia="新宋体"/>
              </w:rPr>
            </w:pPr>
            <w:r>
              <w:rPr>
                <w:rFonts w:hint="eastAsia" w:ascii="新宋体" w:hAnsi="新宋体" w:eastAsia="新宋体" w:cs="新宋体"/>
              </w:rPr>
              <w:t>售后服务</w:t>
            </w:r>
          </w:p>
        </w:tc>
        <w:tc>
          <w:tcPr>
            <w:tcW w:w="6120" w:type="dxa"/>
            <w:vAlign w:val="center"/>
          </w:tcPr>
          <w:p>
            <w:pPr>
              <w:adjustRightInd w:val="0"/>
              <w:snapToGrid w:val="0"/>
              <w:jc w:val="center"/>
              <w:rPr>
                <w:rFonts w:ascii="新宋体" w:hAnsi="新宋体" w:eastAsia="新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3168" w:type="dxa"/>
            <w:tcBorders>
              <w:bottom w:val="double" w:color="auto" w:sz="4" w:space="0"/>
            </w:tcBorders>
            <w:vAlign w:val="center"/>
          </w:tcPr>
          <w:p>
            <w:pPr>
              <w:spacing w:line="360" w:lineRule="exact"/>
              <w:ind w:left="-38"/>
              <w:jc w:val="center"/>
              <w:rPr>
                <w:rFonts w:ascii="新宋体" w:hAnsi="新宋体" w:eastAsia="新宋体"/>
              </w:rPr>
            </w:pPr>
            <w:r>
              <w:rPr>
                <w:rFonts w:hint="eastAsia" w:ascii="新宋体" w:hAnsi="新宋体" w:eastAsia="新宋体" w:cs="新宋体"/>
              </w:rPr>
              <w:t>履约地点</w:t>
            </w:r>
          </w:p>
        </w:tc>
        <w:tc>
          <w:tcPr>
            <w:tcW w:w="6120" w:type="dxa"/>
            <w:tcBorders>
              <w:bottom w:val="double" w:color="auto" w:sz="4" w:space="0"/>
            </w:tcBorders>
            <w:vAlign w:val="center"/>
          </w:tcPr>
          <w:p>
            <w:pPr>
              <w:spacing w:line="360" w:lineRule="exact"/>
              <w:jc w:val="center"/>
              <w:rPr>
                <w:rFonts w:ascii="新宋体" w:hAnsi="新宋体" w:eastAsia="新宋体"/>
              </w:rPr>
            </w:pPr>
          </w:p>
        </w:tc>
      </w:tr>
    </w:tbl>
    <w:p>
      <w:pPr>
        <w:adjustRightInd w:val="0"/>
        <w:snapToGrid w:val="0"/>
        <w:spacing w:line="500" w:lineRule="exact"/>
        <w:rPr>
          <w:rFonts w:ascii="新宋体" w:hAnsi="新宋体" w:eastAsia="新宋体"/>
          <w:sz w:val="24"/>
          <w:szCs w:val="24"/>
        </w:rPr>
      </w:pPr>
      <w:r>
        <w:rPr>
          <w:rFonts w:hint="eastAsia" w:ascii="新宋体" w:hAnsi="新宋体" w:eastAsia="新宋体" w:cs="新宋体"/>
          <w:sz w:val="24"/>
          <w:szCs w:val="24"/>
        </w:rPr>
        <w:t>说明：</w:t>
      </w:r>
      <w:r>
        <w:rPr>
          <w:rFonts w:ascii="新宋体" w:hAnsi="新宋体" w:eastAsia="新宋体" w:cs="新宋体"/>
          <w:sz w:val="24"/>
          <w:szCs w:val="24"/>
        </w:rPr>
        <w:t>1</w:t>
      </w:r>
      <w:r>
        <w:rPr>
          <w:rFonts w:hint="eastAsia" w:ascii="新宋体" w:hAnsi="新宋体" w:eastAsia="新宋体" w:cs="新宋体"/>
          <w:sz w:val="24"/>
          <w:szCs w:val="24"/>
        </w:rPr>
        <w:t>．所有价格均用人民币表示，单位为元，精确到个数位。</w:t>
      </w:r>
    </w:p>
    <w:p>
      <w:pPr>
        <w:adjustRightInd w:val="0"/>
        <w:snapToGrid w:val="0"/>
        <w:spacing w:line="500" w:lineRule="exact"/>
        <w:ind w:firstLine="720" w:firstLineChars="300"/>
        <w:rPr>
          <w:rFonts w:ascii="新宋体" w:hAnsi="新宋体" w:eastAsia="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．价格应按照“供应商须知”的要求报价。</w:t>
      </w:r>
    </w:p>
    <w:p>
      <w:pPr>
        <w:adjustRightInd w:val="0"/>
        <w:snapToGrid w:val="0"/>
        <w:spacing w:line="500" w:lineRule="exact"/>
        <w:rPr>
          <w:rFonts w:ascii="新宋体" w:hAnsi="新宋体" w:eastAsia="新宋体"/>
          <w:sz w:val="24"/>
          <w:szCs w:val="24"/>
        </w:rPr>
      </w:pPr>
      <w:r>
        <w:rPr>
          <w:rFonts w:hint="eastAsia" w:ascii="新宋体" w:hAnsi="新宋体" w:eastAsia="新宋体" w:cs="新宋体"/>
          <w:sz w:val="24"/>
          <w:szCs w:val="24"/>
        </w:rPr>
        <w:t>供应商法定代表人或法定代表人授权代表签字：</w:t>
      </w:r>
    </w:p>
    <w:p>
      <w:pPr>
        <w:adjustRightInd w:val="0"/>
        <w:snapToGrid w:val="0"/>
        <w:spacing w:line="500" w:lineRule="exact"/>
        <w:rPr>
          <w:rFonts w:ascii="新宋体" w:hAnsi="新宋体" w:eastAsia="新宋体"/>
          <w:sz w:val="24"/>
          <w:szCs w:val="24"/>
        </w:rPr>
      </w:pPr>
    </w:p>
    <w:p>
      <w:pPr>
        <w:adjustRightInd w:val="0"/>
        <w:snapToGrid w:val="0"/>
        <w:spacing w:line="500" w:lineRule="exact"/>
        <w:rPr>
          <w:rFonts w:ascii="新宋体" w:hAnsi="新宋体" w:eastAsia="新宋体"/>
          <w:sz w:val="24"/>
          <w:szCs w:val="24"/>
          <w:u w:val="single"/>
        </w:rPr>
      </w:pPr>
      <w:r>
        <w:rPr>
          <w:rFonts w:hint="eastAsia" w:ascii="新宋体" w:hAnsi="新宋体" w:eastAsia="新宋体" w:cs="新宋体"/>
          <w:sz w:val="24"/>
          <w:szCs w:val="24"/>
        </w:rPr>
        <w:t>供应商名称（签章）：</w:t>
      </w:r>
    </w:p>
    <w:p>
      <w:pPr>
        <w:adjustRightInd w:val="0"/>
        <w:snapToGrid w:val="0"/>
        <w:spacing w:line="500" w:lineRule="exact"/>
        <w:rPr>
          <w:rFonts w:ascii="新宋体" w:hAnsi="新宋体" w:eastAsia="新宋体"/>
          <w:sz w:val="24"/>
          <w:szCs w:val="24"/>
        </w:rPr>
      </w:pPr>
      <w:r>
        <w:rPr>
          <w:rFonts w:hint="eastAsia" w:ascii="新宋体" w:hAnsi="新宋体" w:eastAsia="新宋体" w:cs="新宋体"/>
          <w:sz w:val="24"/>
          <w:szCs w:val="24"/>
        </w:rPr>
        <w:t>时间：年月日</w:t>
      </w:r>
    </w:p>
    <w:p>
      <w:pPr>
        <w:spacing w:line="440" w:lineRule="exact"/>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ind w:firstLine="480" w:firstLineChars="200"/>
        <w:rPr>
          <w:rFonts w:ascii="新宋体" w:hAnsi="新宋体" w:eastAsia="新宋体"/>
          <w:sz w:val="24"/>
          <w:szCs w:val="24"/>
        </w:rPr>
      </w:pPr>
    </w:p>
    <w:p>
      <w:pPr>
        <w:pStyle w:val="41"/>
        <w:jc w:val="center"/>
        <w:rPr>
          <w:b/>
        </w:rPr>
      </w:pPr>
      <w:bookmarkStart w:id="129" w:name="_Toc9039_WPSOffice_Level1"/>
      <w:bookmarkStart w:id="130" w:name="_Toc5637_WPSOffice_Level2"/>
      <w:bookmarkStart w:id="131" w:name="_Toc5358"/>
      <w:bookmarkStart w:id="132" w:name="_Toc16226"/>
      <w:r>
        <w:rPr>
          <w:rFonts w:hint="eastAsia"/>
          <w:b/>
          <w:sz w:val="28"/>
          <w:szCs w:val="28"/>
        </w:rPr>
        <w:t>报价明细表</w:t>
      </w:r>
    </w:p>
    <w:p>
      <w:pPr>
        <w:pStyle w:val="42"/>
        <w:adjustRightInd w:val="0"/>
        <w:snapToGrid w:val="0"/>
        <w:spacing w:line="500" w:lineRule="exact"/>
        <w:rPr>
          <w:rFonts w:ascii="宋体"/>
          <w:sz w:val="24"/>
          <w:szCs w:val="24"/>
          <w:u w:val="single"/>
        </w:rPr>
      </w:pPr>
      <w:r>
        <w:rPr>
          <w:rFonts w:hint="eastAsia" w:ascii="宋体" w:hAnsi="宋体" w:cs="宋体"/>
          <w:sz w:val="24"/>
          <w:szCs w:val="24"/>
        </w:rPr>
        <w:t>采购项目编号：</w:t>
      </w:r>
      <w:r>
        <w:rPr>
          <w:rFonts w:ascii="宋体" w:hAnsi="宋体" w:cs="宋体"/>
          <w:sz w:val="24"/>
          <w:szCs w:val="24"/>
          <w:u w:val="single"/>
        </w:rPr>
        <w:t xml:space="preserve">                                </w:t>
      </w:r>
    </w:p>
    <w:p>
      <w:pPr>
        <w:pStyle w:val="42"/>
        <w:adjustRightInd w:val="0"/>
        <w:snapToGrid w:val="0"/>
        <w:spacing w:line="360" w:lineRule="auto"/>
        <w:rPr>
          <w:rFonts w:ascii="宋体" w:cs="宋体"/>
          <w:sz w:val="24"/>
          <w:szCs w:val="24"/>
        </w:rPr>
      </w:pPr>
      <w:r>
        <w:rPr>
          <w:rFonts w:hint="eastAsia" w:ascii="宋体" w:hAnsi="宋体"/>
          <w:sz w:val="24"/>
          <w:szCs w:val="24"/>
        </w:rPr>
        <w:t>采购项目名称：</w:t>
      </w:r>
    </w:p>
    <w:tbl>
      <w:tblPr>
        <w:tblStyle w:val="16"/>
        <w:tblW w:w="76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0"/>
        <w:gridCol w:w="4842"/>
        <w:gridCol w:w="15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250" w:type="dxa"/>
            <w:tcBorders>
              <w:top w:val="single" w:color="auto" w:sz="4" w:space="0"/>
            </w:tcBorders>
            <w:vAlign w:val="center"/>
          </w:tcPr>
          <w:p>
            <w:pPr>
              <w:pStyle w:val="47"/>
              <w:adjustRightInd w:val="0"/>
              <w:snapToGrid w:val="0"/>
              <w:spacing w:line="500" w:lineRule="exact"/>
              <w:ind w:left="-88" w:leftChars="-42"/>
              <w:jc w:val="center"/>
              <w:rPr>
                <w:rFonts w:ascii="宋体"/>
                <w:sz w:val="24"/>
                <w:szCs w:val="24"/>
              </w:rPr>
            </w:pPr>
            <w:r>
              <w:rPr>
                <w:rFonts w:hint="eastAsia" w:ascii="宋体" w:hAnsi="宋体"/>
                <w:sz w:val="24"/>
                <w:szCs w:val="24"/>
              </w:rPr>
              <w:t>序号</w:t>
            </w:r>
          </w:p>
        </w:tc>
        <w:tc>
          <w:tcPr>
            <w:tcW w:w="4842" w:type="dxa"/>
            <w:tcBorders>
              <w:top w:val="single" w:color="auto" w:sz="4" w:space="0"/>
            </w:tcBorders>
            <w:vAlign w:val="center"/>
          </w:tcPr>
          <w:p>
            <w:pPr>
              <w:pStyle w:val="47"/>
              <w:adjustRightInd w:val="0"/>
              <w:snapToGrid w:val="0"/>
              <w:spacing w:line="500" w:lineRule="exact"/>
              <w:jc w:val="center"/>
              <w:rPr>
                <w:rFonts w:ascii="宋体"/>
                <w:sz w:val="24"/>
                <w:szCs w:val="24"/>
              </w:rPr>
            </w:pPr>
            <w:r>
              <w:rPr>
                <w:rFonts w:hint="eastAsia" w:ascii="宋体" w:hAnsi="宋体"/>
                <w:sz w:val="24"/>
                <w:szCs w:val="24"/>
              </w:rPr>
              <w:t>名称</w:t>
            </w:r>
          </w:p>
        </w:tc>
        <w:tc>
          <w:tcPr>
            <w:tcW w:w="1598" w:type="dxa"/>
            <w:tcBorders>
              <w:top w:val="single" w:color="auto" w:sz="4" w:space="0"/>
            </w:tcBorders>
            <w:vAlign w:val="center"/>
          </w:tcPr>
          <w:p>
            <w:pPr>
              <w:pStyle w:val="47"/>
              <w:adjustRightInd w:val="0"/>
              <w:snapToGrid w:val="0"/>
              <w:spacing w:line="500" w:lineRule="exact"/>
              <w:jc w:val="center"/>
              <w:rPr>
                <w:rFonts w:asci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250" w:type="dxa"/>
            <w:vAlign w:val="center"/>
          </w:tcPr>
          <w:p>
            <w:pPr>
              <w:pStyle w:val="47"/>
              <w:adjustRightInd w:val="0"/>
              <w:snapToGrid w:val="0"/>
              <w:spacing w:line="500" w:lineRule="exact"/>
              <w:ind w:left="-88" w:leftChars="-42"/>
              <w:jc w:val="center"/>
              <w:rPr>
                <w:rFonts w:ascii="宋体"/>
                <w:sz w:val="24"/>
                <w:szCs w:val="24"/>
              </w:rPr>
            </w:pPr>
            <w:r>
              <w:rPr>
                <w:rFonts w:ascii="宋体" w:hAnsi="宋体"/>
                <w:sz w:val="24"/>
                <w:szCs w:val="24"/>
              </w:rPr>
              <w:t>1</w:t>
            </w:r>
          </w:p>
        </w:tc>
        <w:tc>
          <w:tcPr>
            <w:tcW w:w="4842" w:type="dxa"/>
            <w:vAlign w:val="center"/>
          </w:tcPr>
          <w:p>
            <w:pPr>
              <w:pStyle w:val="47"/>
              <w:adjustRightInd w:val="0"/>
              <w:snapToGrid w:val="0"/>
              <w:spacing w:line="500" w:lineRule="exact"/>
              <w:jc w:val="center"/>
              <w:rPr>
                <w:rFonts w:ascii="宋体"/>
                <w:sz w:val="24"/>
                <w:szCs w:val="24"/>
              </w:rPr>
            </w:pPr>
          </w:p>
        </w:tc>
        <w:tc>
          <w:tcPr>
            <w:tcW w:w="1598" w:type="dxa"/>
            <w:vAlign w:val="center"/>
          </w:tcPr>
          <w:p>
            <w:pPr>
              <w:pStyle w:val="47"/>
              <w:adjustRightInd w:val="0"/>
              <w:snapToGrid w:val="0"/>
              <w:spacing w:line="5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250" w:type="dxa"/>
            <w:vAlign w:val="center"/>
          </w:tcPr>
          <w:p>
            <w:pPr>
              <w:pStyle w:val="47"/>
              <w:adjustRightInd w:val="0"/>
              <w:snapToGrid w:val="0"/>
              <w:spacing w:line="500" w:lineRule="exact"/>
              <w:ind w:left="-88" w:leftChars="-42"/>
              <w:jc w:val="center"/>
              <w:rPr>
                <w:rFonts w:ascii="宋体"/>
                <w:sz w:val="24"/>
                <w:szCs w:val="24"/>
              </w:rPr>
            </w:pPr>
            <w:r>
              <w:rPr>
                <w:rFonts w:ascii="宋体" w:hAnsi="宋体"/>
                <w:sz w:val="24"/>
                <w:szCs w:val="24"/>
              </w:rPr>
              <w:t>2</w:t>
            </w:r>
          </w:p>
        </w:tc>
        <w:tc>
          <w:tcPr>
            <w:tcW w:w="4842" w:type="dxa"/>
            <w:vAlign w:val="center"/>
          </w:tcPr>
          <w:p>
            <w:pPr>
              <w:pStyle w:val="47"/>
              <w:adjustRightInd w:val="0"/>
              <w:snapToGrid w:val="0"/>
              <w:spacing w:line="500" w:lineRule="exact"/>
              <w:jc w:val="center"/>
              <w:rPr>
                <w:rFonts w:ascii="宋体"/>
                <w:sz w:val="24"/>
                <w:szCs w:val="24"/>
              </w:rPr>
            </w:pPr>
          </w:p>
        </w:tc>
        <w:tc>
          <w:tcPr>
            <w:tcW w:w="1598" w:type="dxa"/>
            <w:vAlign w:val="center"/>
          </w:tcPr>
          <w:p>
            <w:pPr>
              <w:pStyle w:val="47"/>
              <w:adjustRightInd w:val="0"/>
              <w:snapToGrid w:val="0"/>
              <w:spacing w:line="5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250" w:type="dxa"/>
            <w:vAlign w:val="center"/>
          </w:tcPr>
          <w:p>
            <w:pPr>
              <w:pStyle w:val="47"/>
              <w:adjustRightInd w:val="0"/>
              <w:snapToGrid w:val="0"/>
              <w:spacing w:line="500" w:lineRule="exact"/>
              <w:ind w:left="-88" w:leftChars="-42"/>
              <w:jc w:val="center"/>
              <w:rPr>
                <w:rFonts w:ascii="宋体"/>
                <w:sz w:val="24"/>
                <w:szCs w:val="24"/>
              </w:rPr>
            </w:pPr>
            <w:r>
              <w:rPr>
                <w:rFonts w:ascii="宋体" w:hAnsi="宋体"/>
                <w:sz w:val="24"/>
                <w:szCs w:val="24"/>
              </w:rPr>
              <w:t>3</w:t>
            </w:r>
          </w:p>
        </w:tc>
        <w:tc>
          <w:tcPr>
            <w:tcW w:w="4842" w:type="dxa"/>
            <w:vAlign w:val="center"/>
          </w:tcPr>
          <w:p>
            <w:pPr>
              <w:pStyle w:val="47"/>
              <w:adjustRightInd w:val="0"/>
              <w:snapToGrid w:val="0"/>
              <w:spacing w:line="500" w:lineRule="exact"/>
              <w:jc w:val="center"/>
              <w:rPr>
                <w:rFonts w:ascii="宋体"/>
                <w:sz w:val="24"/>
                <w:szCs w:val="24"/>
              </w:rPr>
            </w:pPr>
          </w:p>
        </w:tc>
        <w:tc>
          <w:tcPr>
            <w:tcW w:w="1598" w:type="dxa"/>
            <w:vAlign w:val="center"/>
          </w:tcPr>
          <w:p>
            <w:pPr>
              <w:pStyle w:val="47"/>
              <w:adjustRightInd w:val="0"/>
              <w:snapToGrid w:val="0"/>
              <w:spacing w:line="5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250" w:type="dxa"/>
            <w:vAlign w:val="center"/>
          </w:tcPr>
          <w:p>
            <w:pPr>
              <w:pStyle w:val="47"/>
              <w:adjustRightInd w:val="0"/>
              <w:snapToGrid w:val="0"/>
              <w:spacing w:line="500" w:lineRule="exact"/>
              <w:ind w:left="-88" w:leftChars="-42"/>
              <w:jc w:val="center"/>
              <w:rPr>
                <w:rFonts w:ascii="宋体"/>
                <w:sz w:val="24"/>
                <w:szCs w:val="24"/>
              </w:rPr>
            </w:pPr>
            <w:r>
              <w:rPr>
                <w:rFonts w:hint="eastAsia" w:ascii="宋体" w:hAnsi="宋体"/>
                <w:sz w:val="24"/>
                <w:szCs w:val="24"/>
              </w:rPr>
              <w:t>…</w:t>
            </w:r>
          </w:p>
        </w:tc>
        <w:tc>
          <w:tcPr>
            <w:tcW w:w="4842" w:type="dxa"/>
            <w:vAlign w:val="center"/>
          </w:tcPr>
          <w:p>
            <w:pPr>
              <w:pStyle w:val="47"/>
              <w:adjustRightInd w:val="0"/>
              <w:snapToGrid w:val="0"/>
              <w:spacing w:line="500" w:lineRule="exact"/>
              <w:jc w:val="center"/>
              <w:rPr>
                <w:rFonts w:ascii="宋体"/>
                <w:sz w:val="24"/>
                <w:szCs w:val="24"/>
              </w:rPr>
            </w:pPr>
          </w:p>
        </w:tc>
        <w:tc>
          <w:tcPr>
            <w:tcW w:w="1598" w:type="dxa"/>
            <w:vAlign w:val="center"/>
          </w:tcPr>
          <w:p>
            <w:pPr>
              <w:pStyle w:val="47"/>
              <w:adjustRightInd w:val="0"/>
              <w:snapToGrid w:val="0"/>
              <w:spacing w:line="5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250" w:type="dxa"/>
            <w:vAlign w:val="center"/>
          </w:tcPr>
          <w:p>
            <w:pPr>
              <w:pStyle w:val="47"/>
              <w:adjustRightInd w:val="0"/>
              <w:snapToGrid w:val="0"/>
              <w:spacing w:line="500" w:lineRule="exact"/>
              <w:ind w:left="-88" w:leftChars="-42"/>
              <w:jc w:val="center"/>
              <w:rPr>
                <w:rFonts w:ascii="宋体"/>
                <w:sz w:val="24"/>
                <w:szCs w:val="24"/>
              </w:rPr>
            </w:pPr>
          </w:p>
        </w:tc>
        <w:tc>
          <w:tcPr>
            <w:tcW w:w="4842" w:type="dxa"/>
            <w:vAlign w:val="center"/>
          </w:tcPr>
          <w:p>
            <w:pPr>
              <w:pStyle w:val="47"/>
              <w:adjustRightInd w:val="0"/>
              <w:snapToGrid w:val="0"/>
              <w:spacing w:line="500" w:lineRule="exact"/>
              <w:jc w:val="center"/>
              <w:rPr>
                <w:rFonts w:ascii="宋体"/>
                <w:sz w:val="24"/>
                <w:szCs w:val="24"/>
              </w:rPr>
            </w:pPr>
            <w:r>
              <w:rPr>
                <w:rFonts w:hint="eastAsia" w:ascii="宋体" w:hAnsi="宋体"/>
                <w:sz w:val="24"/>
                <w:szCs w:val="24"/>
              </w:rPr>
              <w:t>其他</w:t>
            </w:r>
          </w:p>
        </w:tc>
        <w:tc>
          <w:tcPr>
            <w:tcW w:w="1598" w:type="dxa"/>
            <w:vAlign w:val="center"/>
          </w:tcPr>
          <w:p>
            <w:pPr>
              <w:pStyle w:val="47"/>
              <w:adjustRightInd w:val="0"/>
              <w:snapToGrid w:val="0"/>
              <w:spacing w:line="5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092" w:type="dxa"/>
            <w:gridSpan w:val="2"/>
            <w:tcBorders>
              <w:bottom w:val="single" w:color="auto" w:sz="4" w:space="0"/>
            </w:tcBorders>
            <w:vAlign w:val="center"/>
          </w:tcPr>
          <w:p>
            <w:pPr>
              <w:pStyle w:val="47"/>
              <w:adjustRightInd w:val="0"/>
              <w:snapToGrid w:val="0"/>
              <w:spacing w:line="500" w:lineRule="exact"/>
              <w:rPr>
                <w:rFonts w:ascii="宋体"/>
                <w:sz w:val="24"/>
                <w:szCs w:val="24"/>
              </w:rPr>
            </w:pPr>
            <w:r>
              <w:rPr>
                <w:rFonts w:hint="eastAsia" w:ascii="宋体" w:hAnsi="宋体"/>
                <w:sz w:val="24"/>
                <w:szCs w:val="24"/>
              </w:rPr>
              <w:t>总计：</w:t>
            </w:r>
          </w:p>
        </w:tc>
        <w:tc>
          <w:tcPr>
            <w:tcW w:w="1598" w:type="dxa"/>
            <w:tcBorders>
              <w:bottom w:val="single" w:color="auto" w:sz="4" w:space="0"/>
            </w:tcBorders>
            <w:vAlign w:val="center"/>
          </w:tcPr>
          <w:p>
            <w:pPr>
              <w:pStyle w:val="47"/>
              <w:adjustRightInd w:val="0"/>
              <w:snapToGrid w:val="0"/>
              <w:spacing w:line="500" w:lineRule="exact"/>
              <w:jc w:val="center"/>
              <w:rPr>
                <w:rFonts w:ascii="宋体"/>
                <w:sz w:val="24"/>
                <w:szCs w:val="24"/>
              </w:rPr>
            </w:pPr>
            <w:r>
              <w:rPr>
                <w:rFonts w:hint="eastAsia" w:ascii="宋体"/>
                <w:sz w:val="24"/>
                <w:szCs w:val="24"/>
              </w:rPr>
              <w:t>￥</w:t>
            </w:r>
            <w:r>
              <w:rPr>
                <w:rFonts w:hint="eastAsia" w:ascii="宋体" w:hAnsi="宋体"/>
                <w:sz w:val="24"/>
                <w:szCs w:val="24"/>
              </w:rPr>
              <w:t>：</w:t>
            </w:r>
          </w:p>
        </w:tc>
      </w:tr>
    </w:tbl>
    <w:p>
      <w:pPr>
        <w:pStyle w:val="47"/>
        <w:adjustRightInd w:val="0"/>
        <w:snapToGrid w:val="0"/>
        <w:spacing w:line="500" w:lineRule="exact"/>
        <w:ind w:left="-88" w:leftChars="-42"/>
        <w:rPr>
          <w:rFonts w:ascii="宋体"/>
          <w:sz w:val="24"/>
          <w:szCs w:val="24"/>
        </w:rPr>
      </w:pPr>
      <w:r>
        <w:rPr>
          <w:rFonts w:hint="eastAsia" w:ascii="宋体" w:hAnsi="宋体"/>
          <w:sz w:val="24"/>
          <w:szCs w:val="24"/>
        </w:rPr>
        <w:t>说明：</w:t>
      </w:r>
      <w:r>
        <w:rPr>
          <w:rFonts w:ascii="宋体" w:hAnsi="宋体"/>
          <w:sz w:val="24"/>
          <w:szCs w:val="24"/>
        </w:rPr>
        <w:t>1.</w:t>
      </w:r>
      <w:r>
        <w:rPr>
          <w:rFonts w:hint="eastAsia" w:ascii="宋体" w:hAnsi="宋体"/>
          <w:sz w:val="24"/>
          <w:szCs w:val="24"/>
        </w:rPr>
        <w:t>所有价格均用人民币表示，单位为元。</w:t>
      </w:r>
    </w:p>
    <w:p>
      <w:pPr>
        <w:pStyle w:val="47"/>
        <w:adjustRightInd w:val="0"/>
        <w:snapToGrid w:val="0"/>
        <w:spacing w:line="500" w:lineRule="exact"/>
        <w:ind w:left="-88" w:leftChars="-42" w:firstLine="720" w:firstLineChars="300"/>
        <w:rPr>
          <w:rFonts w:ascii="宋体"/>
          <w:sz w:val="24"/>
          <w:szCs w:val="24"/>
        </w:rPr>
      </w:pPr>
      <w:r>
        <w:rPr>
          <w:rFonts w:ascii="宋体" w:hAnsi="宋体"/>
          <w:sz w:val="24"/>
          <w:szCs w:val="24"/>
        </w:rPr>
        <w:t>2.</w:t>
      </w:r>
      <w:r>
        <w:rPr>
          <w:rFonts w:hint="eastAsia" w:ascii="宋体" w:hAnsi="宋体"/>
          <w:sz w:val="24"/>
          <w:szCs w:val="24"/>
        </w:rPr>
        <w:t>分项报价总计价格必须与《开标一览表》报价一致。</w:t>
      </w:r>
    </w:p>
    <w:p>
      <w:pPr>
        <w:pStyle w:val="47"/>
        <w:adjustRightInd w:val="0"/>
        <w:snapToGrid w:val="0"/>
        <w:spacing w:line="500" w:lineRule="exact"/>
        <w:ind w:left="830" w:leftChars="262" w:hanging="280" w:hangingChars="117"/>
        <w:rPr>
          <w:rFonts w:ascii="宋体"/>
          <w:sz w:val="24"/>
          <w:szCs w:val="24"/>
        </w:rPr>
      </w:pPr>
      <w:r>
        <w:rPr>
          <w:rFonts w:ascii="宋体" w:hAnsi="宋体"/>
          <w:sz w:val="24"/>
          <w:szCs w:val="24"/>
        </w:rPr>
        <w:t>3.</w:t>
      </w:r>
      <w:r>
        <w:rPr>
          <w:rFonts w:hint="eastAsia" w:ascii="宋体" w:hAnsi="宋体"/>
          <w:sz w:val="24"/>
          <w:szCs w:val="24"/>
        </w:rPr>
        <w:t>如果不提供详细的投标分项报价表将被视为没有实质性响应招标文件。</w:t>
      </w:r>
    </w:p>
    <w:p>
      <w:pPr>
        <w:pStyle w:val="47"/>
        <w:adjustRightInd w:val="0"/>
        <w:snapToGrid w:val="0"/>
        <w:spacing w:line="500" w:lineRule="exact"/>
        <w:ind w:left="830" w:leftChars="262" w:hanging="280" w:hangingChars="117"/>
        <w:rPr>
          <w:rFonts w:ascii="宋体"/>
          <w:sz w:val="24"/>
          <w:szCs w:val="24"/>
        </w:rPr>
      </w:pPr>
      <w:r>
        <w:rPr>
          <w:rFonts w:ascii="宋体" w:hAnsi="宋体"/>
          <w:sz w:val="24"/>
          <w:szCs w:val="24"/>
        </w:rPr>
        <w:t>4.</w:t>
      </w:r>
      <w:r>
        <w:rPr>
          <w:rFonts w:hint="eastAsia" w:ascii="宋体" w:hAnsi="宋体"/>
          <w:sz w:val="24"/>
          <w:szCs w:val="24"/>
        </w:rPr>
        <w:t>投标人必须按此表格式中的对应栏目内容填写，若需增加栏目，请在栏目“其它”中填写，并作详细说明。</w:t>
      </w:r>
    </w:p>
    <w:p>
      <w:pPr>
        <w:pStyle w:val="42"/>
        <w:adjustRightInd w:val="0"/>
        <w:snapToGrid w:val="0"/>
        <w:spacing w:line="500" w:lineRule="exact"/>
        <w:rPr>
          <w:rFonts w:ascii="宋体"/>
          <w:sz w:val="24"/>
          <w:szCs w:val="24"/>
        </w:rPr>
      </w:pPr>
    </w:p>
    <w:p>
      <w:pPr>
        <w:pStyle w:val="42"/>
        <w:adjustRightInd w:val="0"/>
        <w:snapToGrid w:val="0"/>
        <w:spacing w:line="500" w:lineRule="exact"/>
        <w:rPr>
          <w:rFonts w:ascii="宋体"/>
          <w:sz w:val="24"/>
          <w:szCs w:val="24"/>
        </w:rPr>
      </w:pPr>
    </w:p>
    <w:p>
      <w:pPr>
        <w:pStyle w:val="42"/>
        <w:spacing w:line="500" w:lineRule="exact"/>
        <w:ind w:firstLine="1446" w:firstLineChars="600"/>
        <w:rPr>
          <w:rFonts w:ascii="宋体"/>
          <w:b/>
          <w:sz w:val="24"/>
          <w:szCs w:val="24"/>
        </w:rPr>
      </w:pPr>
      <w:r>
        <w:rPr>
          <w:rFonts w:hint="eastAsia" w:ascii="宋体" w:hAnsi="宋体"/>
          <w:b/>
          <w:sz w:val="24"/>
          <w:szCs w:val="24"/>
        </w:rPr>
        <w:t>供应商：</w:t>
      </w:r>
      <w:r>
        <w:rPr>
          <w:rFonts w:ascii="宋体" w:hAnsi="宋体"/>
          <w:b/>
          <w:sz w:val="24"/>
          <w:szCs w:val="24"/>
        </w:rPr>
        <w:t xml:space="preserve">                          </w:t>
      </w:r>
      <w:r>
        <w:rPr>
          <w:rFonts w:hint="eastAsia" w:ascii="宋体" w:hAnsi="宋体"/>
          <w:b/>
          <w:sz w:val="24"/>
          <w:szCs w:val="24"/>
        </w:rPr>
        <w:t>（盖单位章）</w:t>
      </w:r>
    </w:p>
    <w:p>
      <w:pPr>
        <w:pStyle w:val="42"/>
        <w:spacing w:line="500" w:lineRule="exact"/>
        <w:rPr>
          <w:rFonts w:ascii="宋体"/>
          <w:b/>
          <w:sz w:val="24"/>
          <w:szCs w:val="24"/>
        </w:rPr>
      </w:pPr>
      <w:r>
        <w:rPr>
          <w:rFonts w:ascii="宋体" w:hAnsi="宋体"/>
          <w:b/>
          <w:sz w:val="24"/>
          <w:szCs w:val="24"/>
        </w:rPr>
        <w:t xml:space="preserve">            </w:t>
      </w:r>
      <w:r>
        <w:rPr>
          <w:rFonts w:hint="eastAsia" w:ascii="宋体" w:hAnsi="宋体"/>
          <w:b/>
          <w:sz w:val="24"/>
          <w:szCs w:val="24"/>
        </w:rPr>
        <w:t>法定代表人或其委托代理人：</w:t>
      </w:r>
      <w:r>
        <w:rPr>
          <w:rFonts w:ascii="宋体" w:hAnsi="宋体"/>
          <w:b/>
          <w:sz w:val="24"/>
          <w:szCs w:val="24"/>
        </w:rPr>
        <w:t xml:space="preserve">            </w:t>
      </w:r>
      <w:r>
        <w:rPr>
          <w:rFonts w:hint="eastAsia" w:ascii="宋体" w:hAnsi="宋体"/>
          <w:b/>
          <w:sz w:val="24"/>
          <w:szCs w:val="24"/>
        </w:rPr>
        <w:t>（签字）</w:t>
      </w:r>
      <w:r>
        <w:rPr>
          <w:rFonts w:ascii="宋体" w:hAnsi="宋体"/>
          <w:b/>
          <w:sz w:val="24"/>
          <w:szCs w:val="24"/>
        </w:rPr>
        <w:t xml:space="preserve">                                </w:t>
      </w:r>
    </w:p>
    <w:p>
      <w:pPr>
        <w:pStyle w:val="42"/>
        <w:spacing w:line="500" w:lineRule="exact"/>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spacing w:line="440" w:lineRule="exact"/>
        <w:ind w:firstLine="420" w:firstLineChars="200"/>
        <w:jc w:val="center"/>
        <w:outlineLvl w:val="0"/>
        <w:rPr>
          <w:rFonts w:ascii="新宋体" w:hAnsi="新宋体" w:eastAsia="新宋体"/>
          <w:b/>
          <w:bCs/>
          <w:sz w:val="30"/>
          <w:szCs w:val="30"/>
        </w:rPr>
      </w:pPr>
      <w:r>
        <w:rPr>
          <w:rFonts w:ascii="宋体"/>
        </w:rPr>
        <w:br w:type="page"/>
      </w:r>
      <w:r>
        <w:rPr>
          <w:rFonts w:hint="eastAsia" w:ascii="新宋体" w:hAnsi="新宋体" w:eastAsia="新宋体" w:cs="新宋体"/>
          <w:b/>
          <w:bCs/>
          <w:sz w:val="30"/>
          <w:szCs w:val="30"/>
        </w:rPr>
        <w:t>公司相关资质证书等</w:t>
      </w:r>
      <w:bookmarkEnd w:id="129"/>
      <w:bookmarkEnd w:id="130"/>
      <w:bookmarkEnd w:id="131"/>
      <w:bookmarkEnd w:id="132"/>
    </w:p>
    <w:p>
      <w:pPr>
        <w:spacing w:line="440" w:lineRule="exact"/>
        <w:ind w:firstLine="560" w:firstLineChars="200"/>
        <w:jc w:val="left"/>
        <w:rPr>
          <w:rFonts w:ascii="新宋体" w:hAnsi="新宋体" w:eastAsia="新宋体"/>
          <w:sz w:val="28"/>
          <w:szCs w:val="28"/>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pStyle w:val="29"/>
        <w:ind w:firstLine="0" w:firstLineChars="0"/>
        <w:rPr>
          <w:rFonts w:cs="Times New Roman"/>
        </w:rPr>
      </w:pPr>
    </w:p>
    <w:bookmarkEnd w:id="53"/>
    <w:bookmarkEnd w:id="54"/>
    <w:bookmarkEnd w:id="55"/>
    <w:bookmarkEnd w:id="56"/>
    <w:p>
      <w:pPr>
        <w:pStyle w:val="3"/>
        <w:rPr>
          <w:rFonts w:cs="Times New Roman"/>
          <w:b w:val="0"/>
          <w:bCs w:val="0"/>
        </w:rPr>
      </w:pPr>
      <w:bookmarkStart w:id="133" w:name="_Toc304741778"/>
      <w:bookmarkStart w:id="134" w:name="_Toc335203519"/>
    </w:p>
    <w:bookmarkEnd w:id="133"/>
    <w:bookmarkEnd w:id="134"/>
    <w:p>
      <w:pPr>
        <w:spacing w:line="440" w:lineRule="exact"/>
        <w:ind w:firstLine="602" w:firstLineChars="200"/>
        <w:jc w:val="center"/>
        <w:outlineLvl w:val="0"/>
        <w:rPr>
          <w:rFonts w:ascii="新宋体" w:hAnsi="新宋体" w:eastAsia="新宋体"/>
          <w:b/>
          <w:bCs/>
          <w:sz w:val="30"/>
          <w:szCs w:val="30"/>
        </w:rPr>
      </w:pPr>
      <w:bookmarkStart w:id="135" w:name="_Toc16614_WPSOffice_Level1"/>
      <w:bookmarkStart w:id="136" w:name="_Toc24906_WPSOffice_Level1"/>
      <w:bookmarkStart w:id="137" w:name="_Toc26672"/>
      <w:bookmarkStart w:id="138" w:name="_Toc28980"/>
      <w:r>
        <w:rPr>
          <w:rFonts w:hint="eastAsia" w:ascii="新宋体" w:hAnsi="新宋体" w:eastAsia="新宋体" w:cs="新宋体"/>
          <w:b/>
          <w:bCs/>
          <w:sz w:val="30"/>
          <w:szCs w:val="30"/>
        </w:rPr>
        <w:t>供应商认为需要提供的其它资料</w:t>
      </w:r>
      <w:bookmarkEnd w:id="135"/>
      <w:bookmarkEnd w:id="136"/>
      <w:bookmarkEnd w:id="137"/>
      <w:bookmarkEnd w:id="138"/>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ind w:firstLine="2280" w:firstLineChars="950"/>
        <w:rPr>
          <w:rFonts w:ascii="新宋体" w:hAnsi="新宋体" w:eastAsia="新宋体"/>
          <w:sz w:val="24"/>
          <w:szCs w:val="24"/>
        </w:rPr>
      </w:pPr>
    </w:p>
    <w:p>
      <w:pPr>
        <w:spacing w:line="560" w:lineRule="exact"/>
        <w:rPr>
          <w:rFonts w:ascii="新宋体" w:hAnsi="新宋体" w:eastAsia="新宋体"/>
          <w:sz w:val="24"/>
          <w:szCs w:val="24"/>
        </w:rPr>
      </w:pPr>
    </w:p>
    <w:p>
      <w:pPr>
        <w:spacing w:line="560" w:lineRule="exact"/>
        <w:rPr>
          <w:rFonts w:ascii="新宋体" w:hAnsi="新宋体" w:eastAsia="新宋体"/>
          <w:sz w:val="24"/>
          <w:szCs w:val="24"/>
        </w:rPr>
      </w:pPr>
    </w:p>
    <w:p>
      <w:pPr>
        <w:spacing w:line="440" w:lineRule="exact"/>
        <w:ind w:firstLine="723" w:firstLineChars="200"/>
        <w:jc w:val="center"/>
        <w:rPr>
          <w:rFonts w:ascii="新宋体" w:hAnsi="新宋体" w:eastAsia="新宋体"/>
          <w:b/>
          <w:bCs/>
          <w:sz w:val="36"/>
          <w:szCs w:val="36"/>
        </w:rPr>
      </w:pPr>
    </w:p>
    <w:p>
      <w:pPr>
        <w:ind w:left="178" w:leftChars="85" w:firstLine="289" w:firstLineChars="85"/>
        <w:jc w:val="center"/>
        <w:rPr>
          <w:rFonts w:ascii="新宋体" w:hAnsi="新宋体" w:eastAsia="新宋体"/>
          <w:spacing w:val="10"/>
          <w:sz w:val="32"/>
          <w:szCs w:val="32"/>
          <w:u w:val="single"/>
        </w:rPr>
      </w:pPr>
      <w:bookmarkStart w:id="139" w:name="_Toc14016_WPSOffice_Level2"/>
      <w:bookmarkStart w:id="140" w:name="_Toc30000_WPSOffice_Level2"/>
      <w:r>
        <w:rPr>
          <w:rFonts w:ascii="新宋体" w:hAnsi="新宋体" w:eastAsia="新宋体" w:cs="新宋体"/>
          <w:spacing w:val="10"/>
          <w:sz w:val="32"/>
          <w:szCs w:val="32"/>
          <w:u w:val="single"/>
        </w:rPr>
        <w:t>*****</w:t>
      </w:r>
      <w:r>
        <w:rPr>
          <w:rFonts w:hint="eastAsia" w:ascii="新宋体" w:hAnsi="新宋体" w:eastAsia="新宋体" w:cs="新宋体"/>
          <w:spacing w:val="10"/>
          <w:sz w:val="32"/>
          <w:szCs w:val="32"/>
          <w:u w:val="single"/>
        </w:rPr>
        <w:t>（供应商公司名称）</w:t>
      </w:r>
      <w:bookmarkEnd w:id="139"/>
      <w:bookmarkEnd w:id="140"/>
    </w:p>
    <w:p>
      <w:pPr>
        <w:ind w:left="178" w:leftChars="85" w:firstLine="289" w:firstLineChars="85"/>
        <w:jc w:val="center"/>
        <w:rPr>
          <w:rFonts w:ascii="新宋体" w:hAnsi="新宋体" w:eastAsia="新宋体"/>
          <w:spacing w:val="10"/>
          <w:sz w:val="36"/>
          <w:szCs w:val="36"/>
        </w:rPr>
      </w:pPr>
      <w:bookmarkStart w:id="141" w:name="_Toc10117_WPSOffice_Level2"/>
      <w:bookmarkStart w:id="142" w:name="_Toc1751_WPSOffice_Level2"/>
      <w:r>
        <w:rPr>
          <w:rFonts w:hint="eastAsia" w:ascii="新宋体" w:hAnsi="新宋体" w:eastAsia="新宋体" w:cs="新宋体"/>
          <w:spacing w:val="10"/>
          <w:sz w:val="32"/>
          <w:szCs w:val="32"/>
        </w:rPr>
        <w:t>三年内无重大违法记录声明</w:t>
      </w:r>
      <w:bookmarkEnd w:id="141"/>
      <w:bookmarkEnd w:id="142"/>
    </w:p>
    <w:p>
      <w:pPr>
        <w:rPr>
          <w:rFonts w:ascii="新宋体" w:hAnsi="新宋体" w:eastAsia="新宋体"/>
          <w:spacing w:val="10"/>
          <w:sz w:val="28"/>
          <w:szCs w:val="28"/>
        </w:rPr>
      </w:pPr>
    </w:p>
    <w:p>
      <w:pPr>
        <w:rPr>
          <w:rFonts w:ascii="新宋体" w:hAnsi="新宋体" w:eastAsia="新宋体"/>
          <w:spacing w:val="10"/>
          <w:sz w:val="24"/>
          <w:szCs w:val="24"/>
        </w:rPr>
      </w:pPr>
      <w:r>
        <w:rPr>
          <w:rFonts w:hint="eastAsia" w:ascii="新宋体" w:hAnsi="新宋体" w:eastAsia="新宋体" w:cs="新宋体"/>
          <w:spacing w:val="10"/>
          <w:sz w:val="24"/>
          <w:szCs w:val="24"/>
        </w:rPr>
        <w:t>我</w:t>
      </w: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（供应商公司名称）郑重承诺，</w:t>
      </w:r>
      <w:r>
        <w:rPr>
          <w:rFonts w:hint="eastAsia" w:ascii="新宋体" w:hAnsi="新宋体" w:eastAsia="新宋体" w:cs="新宋体"/>
          <w:spacing w:val="10"/>
          <w:sz w:val="24"/>
          <w:szCs w:val="24"/>
        </w:rPr>
        <w:t>在参加</w:t>
      </w: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项目（项目名称）</w:t>
      </w:r>
      <w:r>
        <w:rPr>
          <w:rFonts w:hint="eastAsia" w:ascii="新宋体" w:hAnsi="新宋体" w:eastAsia="新宋体" w:cs="新宋体"/>
          <w:spacing w:val="10"/>
          <w:sz w:val="24"/>
          <w:szCs w:val="24"/>
        </w:rPr>
        <w:t>采购活动前三年内无因违法经营受到刑事处罚；无因违法经营受到责令停产停业、吊销许可证或者执照、较大数额罚款等行政处罚。</w:t>
      </w:r>
    </w:p>
    <w:p>
      <w:pPr>
        <w:ind w:left="1"/>
        <w:rPr>
          <w:rFonts w:ascii="新宋体" w:hAnsi="新宋体" w:eastAsia="新宋体"/>
          <w:spacing w:val="10"/>
          <w:sz w:val="24"/>
          <w:szCs w:val="24"/>
        </w:rPr>
      </w:pPr>
      <w:r>
        <w:rPr>
          <w:rFonts w:hint="eastAsia" w:ascii="新宋体" w:hAnsi="新宋体" w:eastAsia="新宋体" w:cs="新宋体"/>
          <w:spacing w:val="10"/>
          <w:sz w:val="24"/>
          <w:szCs w:val="24"/>
        </w:rPr>
        <w:t>若我公司故意隐瞒，我公司愿意承担由此产生的一切后果，自愿接受公共资源交易监管部门的处罚。</w:t>
      </w:r>
    </w:p>
    <w:p>
      <w:pPr>
        <w:rPr>
          <w:rFonts w:ascii="新宋体" w:hAnsi="新宋体" w:eastAsia="新宋体"/>
          <w:spacing w:val="10"/>
          <w:sz w:val="24"/>
          <w:szCs w:val="24"/>
        </w:rPr>
      </w:pPr>
      <w:r>
        <w:rPr>
          <w:rFonts w:hint="eastAsia" w:ascii="新宋体" w:hAnsi="新宋体" w:eastAsia="新宋体" w:cs="新宋体"/>
          <w:spacing w:val="10"/>
          <w:sz w:val="24"/>
          <w:szCs w:val="24"/>
        </w:rPr>
        <w:t>特此声明</w:t>
      </w:r>
    </w:p>
    <w:p>
      <w:pPr>
        <w:rPr>
          <w:rFonts w:ascii="新宋体" w:hAnsi="新宋体" w:eastAsia="新宋体"/>
          <w:spacing w:val="10"/>
          <w:sz w:val="24"/>
          <w:szCs w:val="24"/>
        </w:rPr>
      </w:pPr>
    </w:p>
    <w:p>
      <w:pPr>
        <w:rPr>
          <w:rFonts w:ascii="新宋体" w:hAnsi="新宋体" w:eastAsia="新宋体"/>
          <w:spacing w:val="10"/>
          <w:sz w:val="24"/>
          <w:szCs w:val="24"/>
        </w:rPr>
      </w:pPr>
    </w:p>
    <w:p>
      <w:pPr>
        <w:rPr>
          <w:rFonts w:ascii="新宋体" w:hAnsi="新宋体" w:eastAsia="新宋体"/>
          <w:spacing w:val="10"/>
          <w:sz w:val="24"/>
          <w:szCs w:val="24"/>
        </w:rPr>
      </w:pPr>
    </w:p>
    <w:p>
      <w:pPr>
        <w:jc w:val="right"/>
        <w:rPr>
          <w:rFonts w:ascii="新宋体" w:hAnsi="新宋体" w:eastAsia="新宋体"/>
          <w:spacing w:val="10"/>
          <w:sz w:val="24"/>
          <w:szCs w:val="24"/>
        </w:rPr>
      </w:pP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（供应商公司名称及盖章）</w:t>
      </w:r>
    </w:p>
    <w:p>
      <w:pPr>
        <w:jc w:val="right"/>
        <w:rPr>
          <w:rFonts w:ascii="新宋体" w:hAnsi="新宋体" w:eastAsia="新宋体"/>
          <w:spacing w:val="10"/>
          <w:sz w:val="24"/>
          <w:szCs w:val="24"/>
          <w:u w:val="single"/>
        </w:rPr>
      </w:pP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年</w:t>
      </w: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月</w:t>
      </w:r>
      <w:r>
        <w:rPr>
          <w:rFonts w:ascii="新宋体" w:hAnsi="新宋体" w:eastAsia="新宋体" w:cs="新宋体"/>
          <w:spacing w:val="10"/>
          <w:sz w:val="24"/>
          <w:szCs w:val="24"/>
          <w:u w:val="single"/>
        </w:rPr>
        <w:t>*****</w:t>
      </w:r>
      <w:r>
        <w:rPr>
          <w:rFonts w:hint="eastAsia" w:ascii="新宋体" w:hAnsi="新宋体" w:eastAsia="新宋体" w:cs="新宋体"/>
          <w:spacing w:val="10"/>
          <w:sz w:val="24"/>
          <w:szCs w:val="24"/>
          <w:u w:val="single"/>
        </w:rPr>
        <w:t>日</w:t>
      </w:r>
    </w:p>
    <w:p>
      <w:pPr>
        <w:spacing w:line="420" w:lineRule="exact"/>
        <w:jc w:val="left"/>
        <w:rPr>
          <w:rFonts w:ascii="新宋体" w:hAnsi="新宋体" w:eastAsia="新宋体"/>
          <w:spacing w:val="8"/>
          <w:sz w:val="24"/>
          <w:szCs w:val="24"/>
        </w:rPr>
      </w:pPr>
    </w:p>
    <w:p>
      <w:pPr>
        <w:spacing w:line="420" w:lineRule="exact"/>
        <w:jc w:val="left"/>
        <w:rPr>
          <w:rFonts w:ascii="新宋体" w:hAnsi="新宋体" w:eastAsia="新宋体"/>
          <w:spacing w:val="8"/>
          <w:sz w:val="24"/>
          <w:szCs w:val="24"/>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spacing w:line="440" w:lineRule="exact"/>
        <w:ind w:firstLine="723" w:firstLineChars="200"/>
        <w:jc w:val="center"/>
        <w:rPr>
          <w:rFonts w:ascii="新宋体" w:hAnsi="新宋体" w:eastAsia="新宋体"/>
          <w:b/>
          <w:bCs/>
          <w:sz w:val="36"/>
          <w:szCs w:val="36"/>
        </w:rPr>
      </w:pPr>
    </w:p>
    <w:p>
      <w:pPr>
        <w:pStyle w:val="4"/>
        <w:jc w:val="center"/>
        <w:rPr>
          <w:rFonts w:ascii="新宋体" w:hAnsi="新宋体" w:eastAsia="新宋体" w:cs="Times New Roman"/>
          <w:b w:val="0"/>
          <w:bCs w:val="0"/>
          <w:sz w:val="36"/>
          <w:szCs w:val="36"/>
        </w:rPr>
      </w:pPr>
      <w:bookmarkStart w:id="143" w:name="_Toc2117"/>
      <w:bookmarkStart w:id="144" w:name="_Toc522097486"/>
      <w:bookmarkStart w:id="145" w:name="_Toc28981_WPSOffice_Level1"/>
      <w:bookmarkStart w:id="146" w:name="_Toc6578161"/>
      <w:bookmarkStart w:id="147" w:name="_Toc8126"/>
      <w:bookmarkStart w:id="148" w:name="_Toc1720_WPSOffice_Level1"/>
      <w:r>
        <w:rPr>
          <w:rFonts w:hint="eastAsia" w:ascii="新宋体" w:hAnsi="新宋体" w:eastAsia="新宋体" w:cs="新宋体"/>
          <w:b w:val="0"/>
          <w:bCs w:val="0"/>
          <w:sz w:val="36"/>
          <w:szCs w:val="36"/>
        </w:rPr>
        <w:t>第二部分、技术部分</w:t>
      </w:r>
      <w:bookmarkEnd w:id="143"/>
      <w:bookmarkEnd w:id="144"/>
      <w:bookmarkEnd w:id="145"/>
      <w:bookmarkEnd w:id="146"/>
      <w:bookmarkEnd w:id="147"/>
      <w:bookmarkEnd w:id="148"/>
    </w:p>
    <w:p>
      <w:pPr>
        <w:spacing w:line="440" w:lineRule="exact"/>
        <w:ind w:firstLine="602" w:firstLineChars="200"/>
        <w:jc w:val="center"/>
        <w:outlineLvl w:val="0"/>
        <w:rPr>
          <w:rFonts w:ascii="新宋体" w:hAnsi="新宋体" w:eastAsia="新宋体"/>
          <w:sz w:val="22"/>
          <w:szCs w:val="22"/>
        </w:rPr>
      </w:pPr>
      <w:bookmarkStart w:id="149" w:name="_Toc27048"/>
      <w:bookmarkStart w:id="150" w:name="_Toc10448"/>
      <w:bookmarkStart w:id="151" w:name="_Toc12113_WPSOffice_Level1"/>
      <w:bookmarkStart w:id="152" w:name="_Toc21436_WPSOffice_Level1"/>
      <w:r>
        <w:rPr>
          <w:rFonts w:hint="eastAsia" w:ascii="新宋体" w:hAnsi="新宋体" w:eastAsia="新宋体" w:cs="新宋体"/>
          <w:b/>
          <w:bCs/>
          <w:sz w:val="30"/>
          <w:szCs w:val="30"/>
        </w:rPr>
        <w:t>（格式由各响应人根据磋商文件的要求自行填写）</w:t>
      </w:r>
      <w:bookmarkEnd w:id="149"/>
      <w:bookmarkEnd w:id="150"/>
      <w:bookmarkEnd w:id="151"/>
      <w:bookmarkEnd w:id="152"/>
    </w:p>
    <w:p>
      <w:pPr>
        <w:spacing w:line="560" w:lineRule="exact"/>
        <w:rPr>
          <w:rFonts w:ascii="新宋体" w:hAnsi="新宋体" w:eastAsia="新宋体"/>
          <w:sz w:val="28"/>
          <w:szCs w:val="28"/>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4"/>
        <w:jc w:val="center"/>
        <w:rPr>
          <w:rFonts w:ascii="宋体" w:hAnsi="宋体" w:eastAsia="宋体" w:cs="Times New Roman"/>
          <w:b w:val="0"/>
          <w:bCs w:val="0"/>
          <w:spacing w:val="10"/>
          <w:sz w:val="36"/>
          <w:szCs w:val="36"/>
        </w:rPr>
      </w:pPr>
      <w:bookmarkStart w:id="153" w:name="_Toc26357_WPSOffice_Level1"/>
      <w:bookmarkStart w:id="154" w:name="_Toc7274662"/>
      <w:bookmarkStart w:id="155" w:name="_Toc2330_WPSOffice_Level1"/>
      <w:bookmarkStart w:id="156" w:name="_Toc28029"/>
      <w:bookmarkStart w:id="157" w:name="_Toc4873"/>
      <w:r>
        <w:rPr>
          <w:rFonts w:hint="eastAsia" w:ascii="宋体" w:hAnsi="宋体" w:eastAsia="宋体" w:cs="宋体"/>
          <w:spacing w:val="10"/>
          <w:sz w:val="36"/>
          <w:szCs w:val="36"/>
        </w:rPr>
        <w:t>第二轮报价</w:t>
      </w:r>
      <w:bookmarkEnd w:id="153"/>
      <w:bookmarkEnd w:id="154"/>
      <w:r>
        <w:rPr>
          <w:rFonts w:hint="eastAsia" w:ascii="宋体" w:hAnsi="宋体" w:eastAsia="宋体" w:cs="宋体"/>
          <w:spacing w:val="10"/>
          <w:sz w:val="36"/>
          <w:szCs w:val="36"/>
        </w:rPr>
        <w:t>单</w:t>
      </w:r>
      <w:bookmarkEnd w:id="155"/>
      <w:bookmarkEnd w:id="156"/>
      <w:bookmarkEnd w:id="157"/>
    </w:p>
    <w:p>
      <w:pPr>
        <w:spacing w:line="360" w:lineRule="exact"/>
        <w:ind w:firstLine="460" w:firstLineChars="200"/>
        <w:rPr>
          <w:rFonts w:ascii="宋体"/>
          <w:spacing w:val="10"/>
          <w:u w:val="single"/>
        </w:rPr>
      </w:pPr>
    </w:p>
    <w:p>
      <w:pPr>
        <w:spacing w:line="420" w:lineRule="exact"/>
        <w:rPr>
          <w:rFonts w:ascii="宋体"/>
          <w:spacing w:val="10"/>
          <w:sz w:val="24"/>
          <w:szCs w:val="24"/>
          <w:u w:val="single"/>
        </w:rPr>
      </w:pPr>
      <w:r>
        <w:rPr>
          <w:rFonts w:hint="eastAsia" w:ascii="宋体" w:hAnsi="宋体" w:cs="宋体"/>
          <w:sz w:val="24"/>
          <w:szCs w:val="24"/>
          <w:u w:val="single"/>
        </w:rPr>
        <w:t>枝江市金润源水务有限公司</w:t>
      </w:r>
      <w:r>
        <w:rPr>
          <w:rFonts w:hint="eastAsia" w:ascii="宋体" w:hAnsi="宋体" w:cs="宋体"/>
          <w:spacing w:val="10"/>
          <w:sz w:val="24"/>
          <w:szCs w:val="24"/>
          <w:u w:val="single"/>
        </w:rPr>
        <w:t>：</w:t>
      </w:r>
    </w:p>
    <w:p>
      <w:pPr>
        <w:spacing w:line="420" w:lineRule="exact"/>
        <w:ind w:firstLine="650" w:firstLineChars="250"/>
        <w:rPr>
          <w:rFonts w:ascii="宋体"/>
          <w:spacing w:val="10"/>
          <w:sz w:val="24"/>
          <w:szCs w:val="24"/>
        </w:rPr>
      </w:pPr>
      <w:r>
        <w:rPr>
          <w:rFonts w:hint="eastAsia" w:ascii="宋体" w:hAnsi="宋体" w:cs="宋体"/>
          <w:spacing w:val="10"/>
          <w:sz w:val="24"/>
          <w:szCs w:val="24"/>
        </w:rPr>
        <w:t>根据你方的竞争性磋商文件，我方愿意承担文件中规定的全部责任和义务，我方将认真遵守并切实履行之，我们的磋商报价为：￥</w:t>
      </w:r>
      <w:r>
        <w:rPr>
          <w:rFonts w:hint="eastAsia" w:ascii="宋体" w:hAnsi="宋体" w:cs="宋体"/>
          <w:spacing w:val="10"/>
          <w:sz w:val="24"/>
          <w:szCs w:val="24"/>
          <w:u w:val="single"/>
        </w:rPr>
        <w:t>元</w:t>
      </w:r>
      <w:r>
        <w:rPr>
          <w:rFonts w:hint="eastAsia" w:ascii="宋体" w:hAnsi="宋体" w:cs="宋体"/>
          <w:spacing w:val="10"/>
          <w:sz w:val="24"/>
          <w:szCs w:val="24"/>
        </w:rPr>
        <w:t>，大写：</w:t>
      </w:r>
      <w:r>
        <w:rPr>
          <w:rFonts w:hint="eastAsia" w:ascii="宋体" w:hAnsi="宋体" w:cs="宋体"/>
          <w:spacing w:val="10"/>
          <w:sz w:val="24"/>
          <w:szCs w:val="24"/>
          <w:u w:val="single"/>
        </w:rPr>
        <w:t>元</w:t>
      </w:r>
    </w:p>
    <w:p>
      <w:pPr>
        <w:spacing w:line="420" w:lineRule="exact"/>
        <w:ind w:firstLine="520" w:firstLineChars="200"/>
        <w:rPr>
          <w:rFonts w:ascii="宋体"/>
          <w:spacing w:val="10"/>
          <w:sz w:val="24"/>
          <w:szCs w:val="24"/>
          <w:u w:val="single"/>
        </w:rPr>
      </w:pPr>
      <w:r>
        <w:rPr>
          <w:rFonts w:hint="eastAsia" w:ascii="宋体" w:hAnsi="宋体" w:cs="宋体"/>
          <w:spacing w:val="10"/>
          <w:sz w:val="24"/>
          <w:szCs w:val="24"/>
        </w:rPr>
        <w:t>相关负责人</w:t>
      </w:r>
      <w:r>
        <w:rPr>
          <w:rFonts w:ascii="宋体" w:hAnsi="宋体" w:cs="宋体"/>
          <w:spacing w:val="10"/>
          <w:sz w:val="24"/>
          <w:szCs w:val="24"/>
        </w:rPr>
        <w:t xml:space="preserve">:                   </w:t>
      </w:r>
      <w:r>
        <w:rPr>
          <w:rFonts w:hint="eastAsia" w:ascii="宋体" w:hAnsi="宋体" w:cs="宋体"/>
          <w:spacing w:val="10"/>
          <w:sz w:val="24"/>
          <w:szCs w:val="24"/>
        </w:rPr>
        <w:t>。</w:t>
      </w:r>
    </w:p>
    <w:p>
      <w:pPr>
        <w:spacing w:line="420" w:lineRule="exact"/>
        <w:ind w:firstLine="520" w:firstLineChars="200"/>
        <w:rPr>
          <w:rFonts w:ascii="宋体"/>
          <w:spacing w:val="10"/>
          <w:sz w:val="24"/>
          <w:szCs w:val="24"/>
        </w:rPr>
      </w:pPr>
      <w:r>
        <w:rPr>
          <w:rFonts w:hint="eastAsia" w:ascii="宋体" w:hAnsi="宋体" w:cs="宋体"/>
          <w:spacing w:val="10"/>
          <w:sz w:val="24"/>
          <w:szCs w:val="24"/>
        </w:rPr>
        <w:t>若我方中标，我方将保证按通知指定的时间签订合同，并按照合同约定的工期及质量要求完成各项服务，力争圆满完成工作任务。</w:t>
      </w:r>
    </w:p>
    <w:p>
      <w:pPr>
        <w:spacing w:line="42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spacing w:val="10"/>
          <w:sz w:val="24"/>
          <w:szCs w:val="24"/>
        </w:rPr>
        <w:t>我方承诺：结算时向采购人提供合法合规的增值税专票。</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磋商响应人（公章）：</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法定代表人或其委托代理人（签字）：</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日期：　</w:t>
      </w:r>
      <w:r>
        <w:rPr>
          <w:rFonts w:hint="eastAsia" w:ascii="宋体" w:hAnsi="宋体" w:cs="宋体"/>
          <w:spacing w:val="10"/>
          <w:sz w:val="24"/>
          <w:szCs w:val="24"/>
          <w:u w:val="single"/>
        </w:rPr>
        <w:t>　</w:t>
      </w:r>
      <w:r>
        <w:rPr>
          <w:rFonts w:hint="eastAsia" w:ascii="宋体" w:hAnsi="宋体" w:cs="宋体"/>
          <w:spacing w:val="10"/>
          <w:sz w:val="24"/>
          <w:szCs w:val="24"/>
        </w:rPr>
        <w:t>年</w:t>
      </w:r>
      <w:r>
        <w:rPr>
          <w:rFonts w:hint="eastAsia" w:ascii="宋体" w:hAnsi="宋体" w:cs="宋体"/>
          <w:spacing w:val="10"/>
          <w:sz w:val="24"/>
          <w:szCs w:val="24"/>
          <w:u w:val="single"/>
        </w:rPr>
        <w:t>　</w:t>
      </w:r>
      <w:r>
        <w:rPr>
          <w:rFonts w:hint="eastAsia" w:ascii="宋体" w:hAnsi="宋体" w:cs="宋体"/>
          <w:spacing w:val="10"/>
          <w:sz w:val="24"/>
          <w:szCs w:val="24"/>
        </w:rPr>
        <w:t>月</w:t>
      </w:r>
      <w:r>
        <w:rPr>
          <w:rFonts w:hint="eastAsia" w:ascii="宋体" w:hAnsi="宋体" w:cs="宋体"/>
          <w:spacing w:val="10"/>
          <w:sz w:val="24"/>
          <w:szCs w:val="24"/>
          <w:u w:val="single"/>
        </w:rPr>
        <w:t>　</w:t>
      </w:r>
      <w:r>
        <w:rPr>
          <w:rFonts w:hint="eastAsia" w:ascii="宋体" w:hAnsi="宋体" w:cs="宋体"/>
          <w:spacing w:val="10"/>
          <w:sz w:val="24"/>
          <w:szCs w:val="24"/>
        </w:rPr>
        <w:t>日</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单位地址：</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u w:val="single"/>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邮　　编：</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电　　话：</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z w:val="24"/>
          <w:szCs w:val="24"/>
        </w:rPr>
      </w:pPr>
      <w:r>
        <w:rPr>
          <w:rFonts w:hint="eastAsia" w:ascii="宋体" w:hAnsi="宋体" w:cs="宋体"/>
          <w:spacing w:val="10"/>
          <w:sz w:val="24"/>
          <w:szCs w:val="24"/>
        </w:rPr>
        <w:t>传　　真：</w:t>
      </w:r>
      <w:r>
        <w:rPr>
          <w:rFonts w:hint="eastAsia" w:ascii="宋体" w:hAnsi="宋体" w:cs="宋体"/>
          <w:spacing w:val="10"/>
          <w:sz w:val="24"/>
          <w:szCs w:val="24"/>
          <w:u w:val="single"/>
        </w:rPr>
        <w:t>　　　　</w:t>
      </w:r>
    </w:p>
    <w:p>
      <w:pPr>
        <w:spacing w:line="440" w:lineRule="exact"/>
        <w:rPr>
          <w:rFonts w:ascii="宋体" w:cs="宋体"/>
          <w:b/>
          <w:bCs/>
          <w:sz w:val="24"/>
          <w:szCs w:val="24"/>
        </w:rPr>
      </w:pPr>
    </w:p>
    <w:p>
      <w:pPr>
        <w:spacing w:line="440" w:lineRule="exact"/>
        <w:rPr>
          <w:rFonts w:ascii="宋体" w:cs="宋体"/>
          <w:b/>
          <w:bCs/>
          <w:sz w:val="24"/>
          <w:szCs w:val="24"/>
        </w:rPr>
      </w:pPr>
    </w:p>
    <w:p>
      <w:pPr>
        <w:spacing w:line="440" w:lineRule="exact"/>
        <w:rPr>
          <w:rFonts w:ascii="宋体" w:cs="宋体"/>
          <w:b/>
          <w:bCs/>
          <w:sz w:val="24"/>
          <w:szCs w:val="24"/>
        </w:rPr>
      </w:pPr>
    </w:p>
    <w:p>
      <w:pPr>
        <w:spacing w:line="440" w:lineRule="exact"/>
        <w:ind w:firstLine="602" w:firstLineChars="250"/>
        <w:rPr>
          <w:rFonts w:ascii="宋体" w:cs="宋体"/>
          <w:b/>
          <w:bCs/>
          <w:sz w:val="24"/>
          <w:szCs w:val="24"/>
        </w:rPr>
      </w:pPr>
      <w:r>
        <w:rPr>
          <w:rFonts w:hint="eastAsia" w:ascii="宋体" w:hAnsi="宋体" w:cs="宋体"/>
          <w:b/>
          <w:bCs/>
          <w:sz w:val="24"/>
          <w:szCs w:val="24"/>
        </w:rPr>
        <w:t>备注：本表由供应商加盖公章后装订在响应文件正本和副本中，由供应商在开标现场填写；</w:t>
      </w:r>
    </w:p>
    <w:p>
      <w:pPr>
        <w:rPr>
          <w:rFonts w:ascii="新宋体" w:hAnsi="新宋体" w:eastAsia="新宋体"/>
        </w:rPr>
      </w:pPr>
    </w:p>
    <w:p>
      <w:pPr>
        <w:pStyle w:val="29"/>
        <w:ind w:firstLine="31680"/>
        <w:rPr>
          <w:rFonts w:ascii="新宋体" w:hAnsi="新宋体" w:eastAsia="新宋体" w:cs="Times New Roman"/>
        </w:rPr>
      </w:pPr>
    </w:p>
    <w:p>
      <w:pPr>
        <w:pStyle w:val="29"/>
        <w:ind w:firstLine="31680"/>
        <w:rPr>
          <w:rFonts w:ascii="新宋体" w:hAnsi="新宋体" w:eastAsia="新宋体" w:cs="Times New Roman"/>
        </w:rPr>
      </w:pPr>
    </w:p>
    <w:p>
      <w:pPr>
        <w:pStyle w:val="4"/>
        <w:jc w:val="center"/>
        <w:rPr>
          <w:rFonts w:ascii="宋体" w:hAnsi="宋体" w:eastAsia="宋体" w:cs="Times New Roman"/>
          <w:b w:val="0"/>
          <w:bCs w:val="0"/>
          <w:spacing w:val="10"/>
          <w:sz w:val="36"/>
          <w:szCs w:val="36"/>
        </w:rPr>
      </w:pPr>
      <w:bookmarkStart w:id="158" w:name="_Toc26106"/>
      <w:bookmarkStart w:id="159" w:name="_Toc14071"/>
      <w:bookmarkStart w:id="160" w:name="_Toc26200_WPSOffice_Level1"/>
      <w:r>
        <w:rPr>
          <w:rFonts w:hint="eastAsia" w:ascii="宋体" w:hAnsi="宋体" w:eastAsia="宋体" w:cs="宋体"/>
          <w:spacing w:val="10"/>
          <w:sz w:val="36"/>
          <w:szCs w:val="36"/>
        </w:rPr>
        <w:t>第三轮报价单</w:t>
      </w:r>
      <w:bookmarkEnd w:id="158"/>
      <w:bookmarkEnd w:id="159"/>
      <w:bookmarkEnd w:id="160"/>
    </w:p>
    <w:p>
      <w:pPr>
        <w:spacing w:line="360" w:lineRule="exact"/>
        <w:ind w:firstLine="460" w:firstLineChars="200"/>
        <w:rPr>
          <w:rFonts w:ascii="宋体"/>
          <w:spacing w:val="10"/>
          <w:u w:val="single"/>
        </w:rPr>
      </w:pPr>
    </w:p>
    <w:p>
      <w:pPr>
        <w:spacing w:line="420" w:lineRule="exact"/>
        <w:rPr>
          <w:rFonts w:ascii="宋体"/>
          <w:spacing w:val="10"/>
          <w:sz w:val="24"/>
          <w:szCs w:val="24"/>
          <w:u w:val="single"/>
        </w:rPr>
      </w:pPr>
      <w:r>
        <w:rPr>
          <w:rFonts w:hint="eastAsia" w:ascii="宋体" w:hAnsi="宋体" w:cs="宋体"/>
          <w:sz w:val="24"/>
          <w:szCs w:val="24"/>
          <w:u w:val="single"/>
        </w:rPr>
        <w:t>枝江市金润源水务有限公司</w:t>
      </w:r>
      <w:r>
        <w:rPr>
          <w:rFonts w:hint="eastAsia" w:ascii="宋体" w:hAnsi="宋体" w:cs="宋体"/>
          <w:spacing w:val="10"/>
          <w:sz w:val="24"/>
          <w:szCs w:val="24"/>
          <w:u w:val="single"/>
        </w:rPr>
        <w:t>：</w:t>
      </w:r>
    </w:p>
    <w:p>
      <w:pPr>
        <w:spacing w:line="420" w:lineRule="exact"/>
        <w:ind w:firstLine="650" w:firstLineChars="250"/>
        <w:rPr>
          <w:rFonts w:ascii="宋体"/>
          <w:spacing w:val="10"/>
          <w:sz w:val="24"/>
          <w:szCs w:val="24"/>
        </w:rPr>
      </w:pPr>
      <w:r>
        <w:rPr>
          <w:rFonts w:hint="eastAsia" w:ascii="宋体" w:hAnsi="宋体" w:cs="宋体"/>
          <w:spacing w:val="10"/>
          <w:sz w:val="24"/>
          <w:szCs w:val="24"/>
        </w:rPr>
        <w:t>根据你方的竞争性磋商文件，我方愿意承担文件中规定的全部责任和义务，我方将认真遵守并切实履行之，我们的磋商报价为：￥</w:t>
      </w:r>
      <w:r>
        <w:rPr>
          <w:rFonts w:hint="eastAsia" w:ascii="宋体" w:hAnsi="宋体" w:cs="宋体"/>
          <w:spacing w:val="10"/>
          <w:sz w:val="24"/>
          <w:szCs w:val="24"/>
          <w:u w:val="single"/>
        </w:rPr>
        <w:t>元</w:t>
      </w:r>
      <w:r>
        <w:rPr>
          <w:rFonts w:hint="eastAsia" w:ascii="宋体" w:hAnsi="宋体" w:cs="宋体"/>
          <w:spacing w:val="10"/>
          <w:sz w:val="24"/>
          <w:szCs w:val="24"/>
        </w:rPr>
        <w:t>，大写：</w:t>
      </w:r>
      <w:r>
        <w:rPr>
          <w:rFonts w:hint="eastAsia" w:ascii="宋体" w:hAnsi="宋体" w:cs="宋体"/>
          <w:spacing w:val="10"/>
          <w:sz w:val="24"/>
          <w:szCs w:val="24"/>
          <w:u w:val="single"/>
        </w:rPr>
        <w:t>元</w:t>
      </w:r>
    </w:p>
    <w:p>
      <w:pPr>
        <w:spacing w:line="420" w:lineRule="exact"/>
        <w:ind w:firstLine="520" w:firstLineChars="200"/>
        <w:rPr>
          <w:rFonts w:ascii="宋体"/>
          <w:spacing w:val="10"/>
          <w:sz w:val="24"/>
          <w:szCs w:val="24"/>
          <w:u w:val="single"/>
        </w:rPr>
      </w:pPr>
      <w:r>
        <w:rPr>
          <w:rFonts w:hint="eastAsia" w:ascii="宋体" w:hAnsi="宋体" w:cs="宋体"/>
          <w:spacing w:val="10"/>
          <w:sz w:val="24"/>
          <w:szCs w:val="24"/>
        </w:rPr>
        <w:t>相关负责人</w:t>
      </w:r>
      <w:r>
        <w:rPr>
          <w:rFonts w:ascii="宋体" w:hAnsi="宋体" w:cs="宋体"/>
          <w:spacing w:val="10"/>
          <w:sz w:val="24"/>
          <w:szCs w:val="24"/>
        </w:rPr>
        <w:t xml:space="preserve">:                   </w:t>
      </w:r>
      <w:r>
        <w:rPr>
          <w:rFonts w:hint="eastAsia" w:ascii="宋体" w:hAnsi="宋体" w:cs="宋体"/>
          <w:spacing w:val="10"/>
          <w:sz w:val="24"/>
          <w:szCs w:val="24"/>
        </w:rPr>
        <w:t>。</w:t>
      </w:r>
    </w:p>
    <w:p>
      <w:pPr>
        <w:spacing w:line="420" w:lineRule="exact"/>
        <w:ind w:firstLine="520" w:firstLineChars="200"/>
        <w:rPr>
          <w:rFonts w:ascii="宋体"/>
          <w:spacing w:val="10"/>
          <w:sz w:val="24"/>
          <w:szCs w:val="24"/>
        </w:rPr>
      </w:pPr>
      <w:r>
        <w:rPr>
          <w:rFonts w:hint="eastAsia" w:ascii="宋体" w:hAnsi="宋体" w:cs="宋体"/>
          <w:spacing w:val="10"/>
          <w:sz w:val="24"/>
          <w:szCs w:val="24"/>
        </w:rPr>
        <w:t>若我方中标，我方将保证按通知指定的时间签订合同，并按照合同约定的工期及质量要求完成各项服务，力争圆满完成工作任务。</w:t>
      </w:r>
    </w:p>
    <w:p>
      <w:pPr>
        <w:spacing w:line="42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spacing w:val="10"/>
          <w:sz w:val="24"/>
          <w:szCs w:val="24"/>
        </w:rPr>
        <w:t>我方承诺：结算时向采购人提供合法合规的增值税专票。</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磋商响应人（公章）：</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法定代表人或其委托代理人（签字）：</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日期：　</w:t>
      </w:r>
      <w:r>
        <w:rPr>
          <w:rFonts w:hint="eastAsia" w:ascii="宋体" w:hAnsi="宋体" w:cs="宋体"/>
          <w:spacing w:val="10"/>
          <w:sz w:val="24"/>
          <w:szCs w:val="24"/>
          <w:u w:val="single"/>
        </w:rPr>
        <w:t>　</w:t>
      </w:r>
      <w:r>
        <w:rPr>
          <w:rFonts w:hint="eastAsia" w:ascii="宋体" w:hAnsi="宋体" w:cs="宋体"/>
          <w:spacing w:val="10"/>
          <w:sz w:val="24"/>
          <w:szCs w:val="24"/>
        </w:rPr>
        <w:t>年</w:t>
      </w:r>
      <w:r>
        <w:rPr>
          <w:rFonts w:hint="eastAsia" w:ascii="宋体" w:hAnsi="宋体" w:cs="宋体"/>
          <w:spacing w:val="10"/>
          <w:sz w:val="24"/>
          <w:szCs w:val="24"/>
          <w:u w:val="single"/>
        </w:rPr>
        <w:t>　</w:t>
      </w:r>
      <w:r>
        <w:rPr>
          <w:rFonts w:hint="eastAsia" w:ascii="宋体" w:hAnsi="宋体" w:cs="宋体"/>
          <w:spacing w:val="10"/>
          <w:sz w:val="24"/>
          <w:szCs w:val="24"/>
        </w:rPr>
        <w:t>月</w:t>
      </w:r>
      <w:r>
        <w:rPr>
          <w:rFonts w:hint="eastAsia" w:ascii="宋体" w:hAnsi="宋体" w:cs="宋体"/>
          <w:spacing w:val="10"/>
          <w:sz w:val="24"/>
          <w:szCs w:val="24"/>
          <w:u w:val="single"/>
        </w:rPr>
        <w:t>　</w:t>
      </w:r>
      <w:r>
        <w:rPr>
          <w:rFonts w:hint="eastAsia" w:ascii="宋体" w:hAnsi="宋体" w:cs="宋体"/>
          <w:spacing w:val="10"/>
          <w:sz w:val="24"/>
          <w:szCs w:val="24"/>
        </w:rPr>
        <w:t>日</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u w:val="single"/>
        </w:rPr>
      </w:pPr>
      <w:r>
        <w:rPr>
          <w:rFonts w:hint="eastAsia" w:ascii="宋体" w:hAnsi="宋体" w:cs="宋体"/>
          <w:spacing w:val="10"/>
          <w:sz w:val="24"/>
          <w:szCs w:val="24"/>
        </w:rPr>
        <w:t>单位地址：</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u w:val="single"/>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邮　　编：</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pacing w:val="10"/>
          <w:sz w:val="24"/>
          <w:szCs w:val="24"/>
        </w:rPr>
      </w:pPr>
      <w:r>
        <w:rPr>
          <w:rFonts w:hint="eastAsia" w:ascii="宋体" w:hAnsi="宋体" w:cs="宋体"/>
          <w:spacing w:val="10"/>
          <w:sz w:val="24"/>
          <w:szCs w:val="24"/>
        </w:rPr>
        <w:t>电　　话：</w:t>
      </w:r>
      <w:r>
        <w:rPr>
          <w:rFonts w:hint="eastAsia" w:ascii="宋体" w:hAnsi="宋体" w:cs="宋体"/>
          <w:spacing w:val="10"/>
          <w:sz w:val="24"/>
          <w:szCs w:val="24"/>
          <w:u w:val="single"/>
        </w:rPr>
        <w:t>　　　　</w:t>
      </w:r>
    </w:p>
    <w:p>
      <w:pPr>
        <w:spacing w:line="360" w:lineRule="exact"/>
        <w:ind w:firstLine="520" w:firstLineChars="200"/>
        <w:rPr>
          <w:rFonts w:ascii="宋体"/>
          <w:spacing w:val="10"/>
          <w:sz w:val="24"/>
          <w:szCs w:val="24"/>
        </w:rPr>
      </w:pPr>
    </w:p>
    <w:p>
      <w:pPr>
        <w:spacing w:line="360" w:lineRule="exact"/>
        <w:ind w:firstLine="520" w:firstLineChars="200"/>
        <w:rPr>
          <w:rFonts w:ascii="宋体"/>
          <w:sz w:val="24"/>
          <w:szCs w:val="24"/>
        </w:rPr>
      </w:pPr>
      <w:r>
        <w:rPr>
          <w:rFonts w:hint="eastAsia" w:ascii="宋体" w:hAnsi="宋体" w:cs="宋体"/>
          <w:spacing w:val="10"/>
          <w:sz w:val="24"/>
          <w:szCs w:val="24"/>
        </w:rPr>
        <w:t>传　　真：</w:t>
      </w:r>
      <w:r>
        <w:rPr>
          <w:rFonts w:hint="eastAsia" w:ascii="宋体" w:hAnsi="宋体" w:cs="宋体"/>
          <w:spacing w:val="10"/>
          <w:sz w:val="24"/>
          <w:szCs w:val="24"/>
          <w:u w:val="single"/>
        </w:rPr>
        <w:t>　　　　</w:t>
      </w:r>
    </w:p>
    <w:p>
      <w:pPr>
        <w:spacing w:line="440" w:lineRule="exact"/>
        <w:rPr>
          <w:rFonts w:ascii="宋体" w:cs="宋体"/>
          <w:b/>
          <w:bCs/>
          <w:sz w:val="24"/>
          <w:szCs w:val="24"/>
        </w:rPr>
      </w:pPr>
    </w:p>
    <w:p>
      <w:pPr>
        <w:spacing w:line="440" w:lineRule="exact"/>
        <w:rPr>
          <w:rFonts w:ascii="宋体" w:cs="宋体"/>
          <w:b/>
          <w:bCs/>
          <w:sz w:val="24"/>
          <w:szCs w:val="24"/>
        </w:rPr>
      </w:pPr>
    </w:p>
    <w:p>
      <w:pPr>
        <w:spacing w:line="440" w:lineRule="exact"/>
        <w:rPr>
          <w:rFonts w:ascii="宋体" w:cs="宋体"/>
          <w:b/>
          <w:bCs/>
          <w:sz w:val="24"/>
          <w:szCs w:val="24"/>
        </w:rPr>
      </w:pPr>
    </w:p>
    <w:p>
      <w:pPr>
        <w:spacing w:line="440" w:lineRule="exact"/>
        <w:ind w:firstLine="602" w:firstLineChars="250"/>
        <w:rPr>
          <w:rFonts w:ascii="宋体" w:cs="宋体"/>
          <w:b/>
          <w:bCs/>
          <w:sz w:val="24"/>
          <w:szCs w:val="24"/>
        </w:rPr>
      </w:pPr>
      <w:r>
        <w:rPr>
          <w:rFonts w:hint="eastAsia" w:ascii="宋体" w:hAnsi="宋体" w:cs="宋体"/>
          <w:b/>
          <w:bCs/>
          <w:sz w:val="24"/>
          <w:szCs w:val="24"/>
        </w:rPr>
        <w:t>备注：此报价单，由供应商将相关公章、签字填好后（报价不填），带到磋商现场最终报价时使用。</w:t>
      </w:r>
    </w:p>
    <w:p>
      <w:pPr>
        <w:rPr>
          <w:rFonts w:ascii="新宋体" w:hAnsi="新宋体" w:eastAsia="新宋体"/>
        </w:rPr>
      </w:pPr>
    </w:p>
    <w:p>
      <w:pPr>
        <w:pStyle w:val="29"/>
        <w:ind w:firstLine="0" w:firstLineChars="0"/>
        <w:rPr>
          <w:rFonts w:ascii="新宋体" w:hAnsi="新宋体" w:eastAsia="新宋体" w:cs="Times New Roman"/>
        </w:rPr>
      </w:pPr>
    </w:p>
    <w:p/>
    <w:p>
      <w:pPr>
        <w:pStyle w:val="42"/>
        <w:autoSpaceDE w:val="0"/>
        <w:autoSpaceDN w:val="0"/>
        <w:adjustRightInd w:val="0"/>
        <w:spacing w:line="500" w:lineRule="exact"/>
        <w:jc w:val="center"/>
        <w:outlineLvl w:val="2"/>
        <w:rPr>
          <w:rFonts w:ascii="宋体"/>
          <w:b/>
          <w:sz w:val="28"/>
          <w:szCs w:val="28"/>
        </w:rPr>
      </w:pPr>
      <w:bookmarkStart w:id="161" w:name="_Toc14787555"/>
      <w:r>
        <w:rPr>
          <w:rFonts w:hint="eastAsia" w:ascii="宋体" w:hAnsi="宋体"/>
          <w:b/>
          <w:sz w:val="28"/>
          <w:szCs w:val="28"/>
        </w:rPr>
        <w:t>投标货物、服务清单</w:t>
      </w:r>
      <w:bookmarkEnd w:id="161"/>
    </w:p>
    <w:p>
      <w:pPr>
        <w:pStyle w:val="42"/>
        <w:adjustRightInd w:val="0"/>
        <w:snapToGrid w:val="0"/>
        <w:spacing w:line="500" w:lineRule="exact"/>
        <w:rPr>
          <w:rFonts w:ascii="宋体"/>
          <w:sz w:val="28"/>
          <w:szCs w:val="28"/>
        </w:rPr>
      </w:pPr>
      <w:r>
        <w:rPr>
          <w:rFonts w:hint="eastAsia" w:ascii="宋体" w:hAnsi="宋体"/>
          <w:sz w:val="28"/>
          <w:szCs w:val="28"/>
        </w:rPr>
        <w:t>采购项目编号：</w:t>
      </w:r>
    </w:p>
    <w:p>
      <w:pPr>
        <w:pStyle w:val="42"/>
        <w:adjustRightInd w:val="0"/>
        <w:snapToGrid w:val="0"/>
        <w:spacing w:line="500" w:lineRule="exact"/>
        <w:rPr>
          <w:rFonts w:ascii="宋体"/>
          <w:sz w:val="28"/>
          <w:szCs w:val="28"/>
          <w:u w:val="single"/>
        </w:rPr>
      </w:pPr>
      <w:r>
        <w:rPr>
          <w:rFonts w:hint="eastAsia" w:ascii="宋体" w:hAnsi="宋体"/>
          <w:sz w:val="28"/>
          <w:szCs w:val="28"/>
        </w:rPr>
        <w:t>采购项目名称：</w:t>
      </w:r>
    </w:p>
    <w:tbl>
      <w:tblPr>
        <w:tblStyle w:val="16"/>
        <w:tblW w:w="99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6"/>
        <w:gridCol w:w="2535"/>
        <w:gridCol w:w="4632"/>
        <w:gridCol w:w="19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tcBorders>
              <w:top w:val="single" w:color="auto" w:sz="4" w:space="0"/>
            </w:tcBorders>
            <w:vAlign w:val="center"/>
          </w:tcPr>
          <w:p>
            <w:pPr>
              <w:pStyle w:val="42"/>
              <w:adjustRightInd w:val="0"/>
              <w:snapToGrid w:val="0"/>
              <w:spacing w:line="500" w:lineRule="exact"/>
              <w:rPr>
                <w:rFonts w:ascii="宋体"/>
                <w:sz w:val="28"/>
                <w:szCs w:val="28"/>
              </w:rPr>
            </w:pPr>
            <w:r>
              <w:rPr>
                <w:rFonts w:hint="eastAsia" w:ascii="宋体" w:hAnsi="宋体"/>
                <w:sz w:val="28"/>
                <w:szCs w:val="28"/>
              </w:rPr>
              <w:t>序号</w:t>
            </w:r>
          </w:p>
        </w:tc>
        <w:tc>
          <w:tcPr>
            <w:tcW w:w="2535" w:type="dxa"/>
            <w:tcBorders>
              <w:top w:val="single" w:color="auto" w:sz="4" w:space="0"/>
            </w:tcBorders>
            <w:vAlign w:val="center"/>
          </w:tcPr>
          <w:p>
            <w:pPr>
              <w:pStyle w:val="42"/>
              <w:adjustRightInd w:val="0"/>
              <w:snapToGrid w:val="0"/>
              <w:spacing w:line="500" w:lineRule="exact"/>
              <w:jc w:val="center"/>
              <w:rPr>
                <w:rFonts w:ascii="宋体"/>
                <w:sz w:val="28"/>
                <w:szCs w:val="28"/>
              </w:rPr>
            </w:pPr>
            <w:r>
              <w:rPr>
                <w:rFonts w:hint="eastAsia" w:ascii="宋体" w:hAnsi="宋体"/>
                <w:sz w:val="28"/>
                <w:szCs w:val="28"/>
              </w:rPr>
              <w:t>货物</w:t>
            </w:r>
            <w:r>
              <w:rPr>
                <w:rFonts w:ascii="宋体" w:hAnsi="宋体"/>
                <w:sz w:val="28"/>
                <w:szCs w:val="28"/>
              </w:rPr>
              <w:t>/</w:t>
            </w:r>
            <w:r>
              <w:rPr>
                <w:rFonts w:hint="eastAsia" w:ascii="宋体" w:hAnsi="宋体"/>
                <w:sz w:val="28"/>
                <w:szCs w:val="28"/>
              </w:rPr>
              <w:t>服务名称</w:t>
            </w:r>
          </w:p>
        </w:tc>
        <w:tc>
          <w:tcPr>
            <w:tcW w:w="4632" w:type="dxa"/>
            <w:tcBorders>
              <w:top w:val="single" w:color="auto" w:sz="4" w:space="0"/>
            </w:tcBorders>
            <w:vAlign w:val="center"/>
          </w:tcPr>
          <w:p>
            <w:pPr>
              <w:pStyle w:val="42"/>
              <w:adjustRightInd w:val="0"/>
              <w:snapToGrid w:val="0"/>
              <w:spacing w:line="500" w:lineRule="exact"/>
              <w:jc w:val="center"/>
              <w:rPr>
                <w:rFonts w:ascii="宋体"/>
                <w:sz w:val="28"/>
                <w:szCs w:val="28"/>
              </w:rPr>
            </w:pPr>
            <w:r>
              <w:rPr>
                <w:rFonts w:hint="eastAsia" w:ascii="宋体" w:hAnsi="宋体"/>
                <w:sz w:val="28"/>
                <w:szCs w:val="28"/>
              </w:rPr>
              <w:t>主要规格、技术参数</w:t>
            </w:r>
          </w:p>
        </w:tc>
        <w:tc>
          <w:tcPr>
            <w:tcW w:w="1939" w:type="dxa"/>
            <w:tcBorders>
              <w:top w:val="single" w:color="auto" w:sz="4" w:space="0"/>
            </w:tcBorders>
            <w:vAlign w:val="center"/>
          </w:tcPr>
          <w:p>
            <w:pPr>
              <w:pStyle w:val="42"/>
              <w:adjustRightInd w:val="0"/>
              <w:snapToGrid w:val="0"/>
              <w:spacing w:line="500" w:lineRule="exact"/>
              <w:jc w:val="center"/>
              <w:rPr>
                <w:rFonts w:ascii="宋体"/>
                <w:sz w:val="28"/>
                <w:szCs w:val="28"/>
              </w:rPr>
            </w:pPr>
            <w:r>
              <w:rPr>
                <w:rFonts w:hint="eastAsia" w:ascii="宋体" w:hAnsi="宋体"/>
                <w:sz w:val="28"/>
                <w:szCs w:val="28"/>
              </w:rPr>
              <w:t>数</w:t>
            </w:r>
            <w:r>
              <w:rPr>
                <w:rFonts w:ascii="宋体" w:hAnsi="宋体"/>
                <w:sz w:val="28"/>
                <w:szCs w:val="28"/>
              </w:rPr>
              <w:t xml:space="preserve"> </w:t>
            </w:r>
            <w:r>
              <w:rPr>
                <w:rFonts w:hint="eastAsia" w:ascii="宋体" w:hAnsi="宋体"/>
                <w:sz w:val="28"/>
                <w:szCs w:val="28"/>
              </w:rPr>
              <w:t>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1</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2</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3</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4</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5</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6</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7</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vAlign w:val="center"/>
          </w:tcPr>
          <w:p>
            <w:pPr>
              <w:pStyle w:val="42"/>
              <w:adjustRightInd w:val="0"/>
              <w:snapToGrid w:val="0"/>
              <w:spacing w:line="500" w:lineRule="exact"/>
              <w:ind w:left="-88" w:leftChars="-42"/>
              <w:jc w:val="center"/>
              <w:rPr>
                <w:rFonts w:ascii="宋体"/>
                <w:sz w:val="28"/>
                <w:szCs w:val="28"/>
              </w:rPr>
            </w:pPr>
            <w:r>
              <w:rPr>
                <w:rFonts w:ascii="宋体" w:hAnsi="宋体"/>
                <w:sz w:val="28"/>
                <w:szCs w:val="28"/>
              </w:rPr>
              <w:t>8</w:t>
            </w:r>
          </w:p>
        </w:tc>
        <w:tc>
          <w:tcPr>
            <w:tcW w:w="2535" w:type="dxa"/>
            <w:vAlign w:val="center"/>
          </w:tcPr>
          <w:p>
            <w:pPr>
              <w:pStyle w:val="42"/>
              <w:adjustRightInd w:val="0"/>
              <w:snapToGrid w:val="0"/>
              <w:spacing w:line="500" w:lineRule="exact"/>
              <w:ind w:left="-88" w:leftChars="-42"/>
              <w:jc w:val="center"/>
              <w:rPr>
                <w:rFonts w:ascii="宋体"/>
                <w:sz w:val="28"/>
                <w:szCs w:val="28"/>
              </w:rPr>
            </w:pPr>
          </w:p>
        </w:tc>
        <w:tc>
          <w:tcPr>
            <w:tcW w:w="4632" w:type="dxa"/>
            <w:vAlign w:val="center"/>
          </w:tcPr>
          <w:p>
            <w:pPr>
              <w:pStyle w:val="42"/>
              <w:adjustRightInd w:val="0"/>
              <w:snapToGrid w:val="0"/>
              <w:spacing w:line="500" w:lineRule="exact"/>
              <w:jc w:val="center"/>
              <w:rPr>
                <w:rFonts w:ascii="宋体"/>
                <w:sz w:val="28"/>
                <w:szCs w:val="28"/>
              </w:rPr>
            </w:pPr>
          </w:p>
        </w:tc>
        <w:tc>
          <w:tcPr>
            <w:tcW w:w="1939" w:type="dxa"/>
            <w:vAlign w:val="center"/>
          </w:tcPr>
          <w:p>
            <w:pPr>
              <w:pStyle w:val="42"/>
              <w:adjustRightInd w:val="0"/>
              <w:snapToGrid w:val="0"/>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56" w:type="dxa"/>
            <w:tcBorders>
              <w:bottom w:val="single" w:color="auto" w:sz="4" w:space="0"/>
            </w:tcBorders>
            <w:vAlign w:val="center"/>
          </w:tcPr>
          <w:p>
            <w:pPr>
              <w:pStyle w:val="42"/>
              <w:adjustRightInd w:val="0"/>
              <w:snapToGrid w:val="0"/>
              <w:spacing w:line="500" w:lineRule="exact"/>
              <w:ind w:left="-88" w:leftChars="-42"/>
              <w:jc w:val="center"/>
              <w:rPr>
                <w:rFonts w:ascii="宋体"/>
                <w:sz w:val="28"/>
                <w:szCs w:val="28"/>
              </w:rPr>
            </w:pPr>
            <w:r>
              <w:rPr>
                <w:rFonts w:hint="eastAsia" w:ascii="宋体" w:hAnsi="宋体"/>
                <w:sz w:val="28"/>
                <w:szCs w:val="28"/>
              </w:rPr>
              <w:t>…</w:t>
            </w:r>
          </w:p>
        </w:tc>
        <w:tc>
          <w:tcPr>
            <w:tcW w:w="2535" w:type="dxa"/>
            <w:tcBorders>
              <w:bottom w:val="single" w:color="auto" w:sz="4" w:space="0"/>
            </w:tcBorders>
            <w:vAlign w:val="center"/>
          </w:tcPr>
          <w:p>
            <w:pPr>
              <w:pStyle w:val="42"/>
              <w:adjustRightInd w:val="0"/>
              <w:snapToGrid w:val="0"/>
              <w:spacing w:line="500" w:lineRule="exact"/>
              <w:ind w:left="-88" w:leftChars="-42"/>
              <w:jc w:val="center"/>
              <w:rPr>
                <w:rFonts w:ascii="宋体"/>
                <w:sz w:val="28"/>
                <w:szCs w:val="28"/>
              </w:rPr>
            </w:pPr>
          </w:p>
        </w:tc>
        <w:tc>
          <w:tcPr>
            <w:tcW w:w="4632" w:type="dxa"/>
            <w:tcBorders>
              <w:bottom w:val="single" w:color="auto" w:sz="4" w:space="0"/>
            </w:tcBorders>
            <w:vAlign w:val="center"/>
          </w:tcPr>
          <w:p>
            <w:pPr>
              <w:pStyle w:val="42"/>
              <w:adjustRightInd w:val="0"/>
              <w:snapToGrid w:val="0"/>
              <w:spacing w:line="500" w:lineRule="exact"/>
              <w:jc w:val="center"/>
              <w:rPr>
                <w:rFonts w:ascii="宋体"/>
                <w:sz w:val="28"/>
                <w:szCs w:val="28"/>
              </w:rPr>
            </w:pPr>
          </w:p>
        </w:tc>
        <w:tc>
          <w:tcPr>
            <w:tcW w:w="1939" w:type="dxa"/>
            <w:tcBorders>
              <w:bottom w:val="single" w:color="auto" w:sz="4" w:space="0"/>
            </w:tcBorders>
            <w:vAlign w:val="center"/>
          </w:tcPr>
          <w:p>
            <w:pPr>
              <w:pStyle w:val="42"/>
              <w:adjustRightInd w:val="0"/>
              <w:snapToGrid w:val="0"/>
              <w:spacing w:line="500" w:lineRule="exact"/>
              <w:jc w:val="center"/>
              <w:rPr>
                <w:rFonts w:ascii="宋体"/>
                <w:sz w:val="28"/>
                <w:szCs w:val="28"/>
              </w:rPr>
            </w:pPr>
          </w:p>
        </w:tc>
      </w:tr>
    </w:tbl>
    <w:p>
      <w:pPr>
        <w:pStyle w:val="42"/>
        <w:adjustRightInd w:val="0"/>
        <w:snapToGrid w:val="0"/>
        <w:spacing w:line="500" w:lineRule="exact"/>
        <w:ind w:left="31680" w:hanging="1260" w:hangingChars="450"/>
        <w:rPr>
          <w:rFonts w:ascii="宋体"/>
          <w:sz w:val="28"/>
          <w:szCs w:val="28"/>
        </w:rPr>
      </w:pPr>
      <w:r>
        <w:rPr>
          <w:rFonts w:hint="eastAsia" w:ascii="宋体" w:hAnsi="宋体"/>
          <w:sz w:val="28"/>
          <w:szCs w:val="28"/>
        </w:rPr>
        <w:t>说明：</w:t>
      </w:r>
      <w:r>
        <w:rPr>
          <w:rFonts w:ascii="宋体" w:hAnsi="宋体"/>
          <w:sz w:val="28"/>
          <w:szCs w:val="28"/>
        </w:rPr>
        <w:t>1</w:t>
      </w:r>
      <w:r>
        <w:rPr>
          <w:rFonts w:hint="eastAsia" w:ascii="宋体" w:hAnsi="宋体"/>
          <w:sz w:val="28"/>
          <w:szCs w:val="28"/>
        </w:rPr>
        <w:t>．提供所投货物详细的供货范围，包括主要配件及生产厂家、备品备件等。</w:t>
      </w:r>
    </w:p>
    <w:p>
      <w:pPr>
        <w:pStyle w:val="42"/>
        <w:adjustRightInd w:val="0"/>
        <w:snapToGrid w:val="0"/>
        <w:spacing w:line="500" w:lineRule="exact"/>
        <w:ind w:left="769" w:leftChars="366"/>
        <w:rPr>
          <w:rFonts w:ascii="宋体"/>
          <w:sz w:val="28"/>
          <w:szCs w:val="28"/>
        </w:rPr>
      </w:pPr>
      <w:r>
        <w:rPr>
          <w:rFonts w:ascii="宋体" w:hAnsi="宋体"/>
          <w:sz w:val="28"/>
          <w:szCs w:val="28"/>
        </w:rPr>
        <w:t>2</w:t>
      </w:r>
      <w:r>
        <w:rPr>
          <w:rFonts w:hint="eastAsia" w:ascii="宋体" w:hAnsi="宋体"/>
          <w:sz w:val="28"/>
          <w:szCs w:val="28"/>
        </w:rPr>
        <w:t>．各项货物详细技术规格、参数及要求，应另页描述。</w:t>
      </w:r>
    </w:p>
    <w:p>
      <w:pPr>
        <w:pStyle w:val="42"/>
        <w:adjustRightInd w:val="0"/>
        <w:snapToGrid w:val="0"/>
        <w:spacing w:line="500" w:lineRule="exact"/>
        <w:rPr>
          <w:rFonts w:ascii="宋体"/>
          <w:sz w:val="28"/>
          <w:szCs w:val="28"/>
        </w:rPr>
      </w:pPr>
    </w:p>
    <w:p>
      <w:pPr>
        <w:pStyle w:val="42"/>
        <w:adjustRightInd w:val="0"/>
        <w:snapToGrid w:val="0"/>
        <w:spacing w:line="500" w:lineRule="exact"/>
        <w:rPr>
          <w:rFonts w:ascii="宋体"/>
          <w:sz w:val="28"/>
          <w:szCs w:val="28"/>
        </w:rPr>
      </w:pPr>
    </w:p>
    <w:p>
      <w:pPr>
        <w:pStyle w:val="42"/>
        <w:adjustRightInd w:val="0"/>
        <w:snapToGrid w:val="0"/>
        <w:spacing w:line="500" w:lineRule="exact"/>
        <w:rPr>
          <w:rFonts w:ascii="宋体"/>
          <w:sz w:val="28"/>
          <w:szCs w:val="28"/>
        </w:rPr>
      </w:pPr>
    </w:p>
    <w:p>
      <w:pPr>
        <w:pStyle w:val="42"/>
        <w:adjustRightInd w:val="0"/>
        <w:snapToGrid w:val="0"/>
        <w:spacing w:line="500" w:lineRule="exact"/>
        <w:ind w:firstLine="2800" w:firstLineChars="1000"/>
        <w:rPr>
          <w:rFonts w:ascii="宋体"/>
          <w:sz w:val="28"/>
          <w:szCs w:val="28"/>
          <w:u w:val="single"/>
        </w:rPr>
      </w:pPr>
      <w:r>
        <w:rPr>
          <w:rFonts w:hint="eastAsia" w:ascii="宋体" w:hAnsi="宋体"/>
          <w:sz w:val="28"/>
          <w:szCs w:val="28"/>
        </w:rPr>
        <w:t>投标人名称（签章）：</w:t>
      </w:r>
    </w:p>
    <w:p>
      <w:pPr>
        <w:pStyle w:val="42"/>
        <w:adjustRightInd w:val="0"/>
        <w:snapToGrid w:val="0"/>
        <w:spacing w:line="500" w:lineRule="exact"/>
        <w:ind w:firstLine="2800" w:firstLineChars="1000"/>
        <w:rPr>
          <w:rFonts w:ascii="宋体"/>
          <w:sz w:val="28"/>
          <w:szCs w:val="28"/>
        </w:rPr>
      </w:pPr>
      <w:r>
        <w:rPr>
          <w:rFonts w:hint="eastAsia" w:ascii="宋体" w:hAnsi="宋体"/>
          <w:sz w:val="28"/>
          <w:szCs w:val="28"/>
        </w:rPr>
        <w:t>投标人法定代表人（签章）：</w:t>
      </w:r>
    </w:p>
    <w:p>
      <w:pPr>
        <w:pStyle w:val="42"/>
        <w:adjustRightInd w:val="0"/>
        <w:snapToGrid w:val="0"/>
        <w:spacing w:line="500" w:lineRule="exact"/>
        <w:ind w:firstLine="2800" w:firstLineChars="1000"/>
        <w:rPr>
          <w:rFonts w:ascii="宋体"/>
          <w:sz w:val="28"/>
          <w:szCs w:val="28"/>
          <w:u w:val="single"/>
        </w:rPr>
      </w:pPr>
      <w:r>
        <w:rPr>
          <w:rFonts w:hint="eastAsia" w:ascii="宋体" w:hAnsi="宋体"/>
          <w:sz w:val="28"/>
          <w:szCs w:val="28"/>
        </w:rPr>
        <w:t>日期：年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pStyle w:val="42"/>
        <w:adjustRightInd w:val="0"/>
        <w:snapToGrid w:val="0"/>
        <w:spacing w:line="500" w:lineRule="exact"/>
        <w:rPr>
          <w:rFonts w:ascii="宋体"/>
          <w:b/>
          <w:sz w:val="28"/>
          <w:szCs w:val="28"/>
        </w:rPr>
      </w:pPr>
    </w:p>
    <w:p>
      <w:pPr>
        <w:pStyle w:val="42"/>
        <w:autoSpaceDE w:val="0"/>
        <w:autoSpaceDN w:val="0"/>
        <w:adjustRightInd w:val="0"/>
        <w:spacing w:line="500" w:lineRule="exact"/>
        <w:jc w:val="center"/>
        <w:outlineLvl w:val="2"/>
        <w:rPr>
          <w:rFonts w:ascii="宋体"/>
          <w:b/>
          <w:sz w:val="28"/>
          <w:szCs w:val="28"/>
        </w:rPr>
      </w:pPr>
      <w:r>
        <w:rPr>
          <w:rFonts w:ascii="宋体"/>
          <w:b/>
          <w:sz w:val="28"/>
          <w:szCs w:val="28"/>
        </w:rPr>
        <w:br w:type="page"/>
      </w:r>
      <w:bookmarkStart w:id="162" w:name="_Toc14787556"/>
      <w:r>
        <w:rPr>
          <w:rFonts w:hint="eastAsia" w:ascii="宋体" w:hAnsi="宋体"/>
          <w:b/>
          <w:sz w:val="28"/>
          <w:szCs w:val="28"/>
        </w:rPr>
        <w:t>商务响应、偏离说明表</w:t>
      </w:r>
      <w:bookmarkEnd w:id="162"/>
    </w:p>
    <w:p>
      <w:pPr>
        <w:pStyle w:val="42"/>
        <w:adjustRightInd w:val="0"/>
        <w:snapToGrid w:val="0"/>
        <w:spacing w:line="500" w:lineRule="exact"/>
        <w:rPr>
          <w:rFonts w:ascii="宋体"/>
          <w:sz w:val="28"/>
          <w:szCs w:val="28"/>
        </w:rPr>
      </w:pPr>
      <w:r>
        <w:rPr>
          <w:rFonts w:hint="eastAsia" w:ascii="宋体" w:hAnsi="宋体"/>
          <w:sz w:val="28"/>
          <w:szCs w:val="28"/>
        </w:rPr>
        <w:t>采购项目编号：</w:t>
      </w:r>
    </w:p>
    <w:p>
      <w:pPr>
        <w:pStyle w:val="42"/>
        <w:adjustRightInd w:val="0"/>
        <w:snapToGrid w:val="0"/>
        <w:spacing w:line="500" w:lineRule="exact"/>
        <w:rPr>
          <w:rFonts w:ascii="宋体"/>
          <w:sz w:val="28"/>
          <w:szCs w:val="28"/>
          <w:u w:val="single"/>
        </w:rPr>
      </w:pPr>
      <w:r>
        <w:rPr>
          <w:rFonts w:hint="eastAsia" w:ascii="宋体" w:hAnsi="宋体"/>
          <w:sz w:val="28"/>
          <w:szCs w:val="28"/>
        </w:rPr>
        <w:t>采购项目名称：</w:t>
      </w:r>
    </w:p>
    <w:tbl>
      <w:tblPr>
        <w:tblStyle w:val="16"/>
        <w:tblW w:w="9435"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3168"/>
        <w:gridCol w:w="30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68" w:type="dxa"/>
            <w:vAlign w:val="center"/>
          </w:tcPr>
          <w:p>
            <w:pPr>
              <w:pStyle w:val="42"/>
              <w:spacing w:line="500" w:lineRule="exact"/>
              <w:rPr>
                <w:rFonts w:ascii="宋体" w:cs="Courier New"/>
                <w:sz w:val="28"/>
                <w:szCs w:val="28"/>
              </w:rPr>
            </w:pPr>
            <w:r>
              <w:rPr>
                <w:rFonts w:hint="eastAsia" w:ascii="宋体" w:hAnsi="宋体" w:cs="Courier New"/>
                <w:sz w:val="28"/>
                <w:szCs w:val="28"/>
              </w:rPr>
              <w:t>序号</w:t>
            </w:r>
          </w:p>
        </w:tc>
        <w:tc>
          <w:tcPr>
            <w:tcW w:w="3168" w:type="dxa"/>
            <w:vAlign w:val="center"/>
          </w:tcPr>
          <w:p>
            <w:pPr>
              <w:pStyle w:val="42"/>
              <w:spacing w:line="500" w:lineRule="exact"/>
              <w:jc w:val="center"/>
              <w:rPr>
                <w:rFonts w:ascii="宋体" w:cs="Courier New"/>
                <w:sz w:val="28"/>
                <w:szCs w:val="28"/>
              </w:rPr>
            </w:pPr>
            <w:r>
              <w:rPr>
                <w:rFonts w:hint="eastAsia" w:ascii="宋体" w:hAnsi="宋体" w:cs="Courier New"/>
                <w:sz w:val="28"/>
                <w:szCs w:val="28"/>
              </w:rPr>
              <w:t>磋商文件要求部分</w:t>
            </w:r>
          </w:p>
        </w:tc>
        <w:tc>
          <w:tcPr>
            <w:tcW w:w="3024" w:type="dxa"/>
            <w:vAlign w:val="center"/>
          </w:tcPr>
          <w:p>
            <w:pPr>
              <w:pStyle w:val="42"/>
              <w:spacing w:line="500" w:lineRule="exact"/>
              <w:jc w:val="center"/>
              <w:rPr>
                <w:rFonts w:ascii="宋体" w:cs="Courier New"/>
                <w:sz w:val="28"/>
                <w:szCs w:val="28"/>
              </w:rPr>
            </w:pPr>
            <w:r>
              <w:rPr>
                <w:rFonts w:hint="eastAsia" w:ascii="宋体" w:hAnsi="宋体" w:cs="Courier New"/>
                <w:sz w:val="28"/>
                <w:szCs w:val="28"/>
              </w:rPr>
              <w:t>投标货物</w:t>
            </w:r>
            <w:r>
              <w:rPr>
                <w:rFonts w:ascii="宋体" w:hAnsi="宋体" w:cs="Courier New"/>
                <w:sz w:val="28"/>
                <w:szCs w:val="28"/>
              </w:rPr>
              <w:t>/</w:t>
            </w:r>
            <w:r>
              <w:rPr>
                <w:rFonts w:hint="eastAsia" w:ascii="宋体" w:hAnsi="宋体" w:cs="Courier New"/>
                <w:sz w:val="28"/>
                <w:szCs w:val="28"/>
              </w:rPr>
              <w:t>服务</w:t>
            </w:r>
          </w:p>
          <w:p>
            <w:pPr>
              <w:pStyle w:val="42"/>
              <w:spacing w:line="500" w:lineRule="exact"/>
              <w:jc w:val="center"/>
              <w:rPr>
                <w:rFonts w:ascii="宋体" w:cs="Courier New"/>
                <w:sz w:val="28"/>
                <w:szCs w:val="28"/>
              </w:rPr>
            </w:pPr>
            <w:r>
              <w:rPr>
                <w:rFonts w:hint="eastAsia" w:ascii="宋体" w:hAnsi="宋体" w:cs="Courier New"/>
                <w:sz w:val="28"/>
                <w:szCs w:val="28"/>
              </w:rPr>
              <w:t>响应部分</w:t>
            </w:r>
          </w:p>
        </w:tc>
        <w:tc>
          <w:tcPr>
            <w:tcW w:w="2075" w:type="dxa"/>
            <w:vAlign w:val="center"/>
          </w:tcPr>
          <w:p>
            <w:pPr>
              <w:pStyle w:val="42"/>
              <w:spacing w:line="500" w:lineRule="exact"/>
              <w:jc w:val="center"/>
              <w:rPr>
                <w:rFonts w:ascii="宋体" w:cs="Courier New"/>
                <w:sz w:val="28"/>
                <w:szCs w:val="28"/>
              </w:rPr>
            </w:pPr>
            <w:r>
              <w:rPr>
                <w:rFonts w:hint="eastAsia" w:ascii="宋体" w:hAnsi="宋体" w:cs="Courier New"/>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1</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2</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3</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4</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5</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6</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7</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8</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ascii="宋体" w:hAnsi="宋体" w:cs="Courier New"/>
                <w:sz w:val="28"/>
                <w:szCs w:val="28"/>
              </w:rPr>
              <w:t>9</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68" w:type="dxa"/>
            <w:vAlign w:val="center"/>
          </w:tcPr>
          <w:p>
            <w:pPr>
              <w:pStyle w:val="42"/>
              <w:spacing w:line="500" w:lineRule="exact"/>
              <w:rPr>
                <w:rFonts w:ascii="宋体" w:cs="Courier New"/>
                <w:sz w:val="28"/>
                <w:szCs w:val="28"/>
              </w:rPr>
            </w:pPr>
            <w:r>
              <w:rPr>
                <w:rFonts w:hint="eastAsia" w:ascii="宋体" w:hAnsi="宋体" w:cs="Courier New"/>
                <w:sz w:val="28"/>
                <w:szCs w:val="28"/>
              </w:rPr>
              <w:t>…</w:t>
            </w:r>
          </w:p>
        </w:tc>
        <w:tc>
          <w:tcPr>
            <w:tcW w:w="3168" w:type="dxa"/>
            <w:vAlign w:val="center"/>
          </w:tcPr>
          <w:p>
            <w:pPr>
              <w:pStyle w:val="42"/>
              <w:spacing w:line="500" w:lineRule="exact"/>
              <w:rPr>
                <w:rFonts w:ascii="宋体" w:cs="Courier New"/>
                <w:sz w:val="28"/>
                <w:szCs w:val="28"/>
              </w:rPr>
            </w:pPr>
          </w:p>
        </w:tc>
        <w:tc>
          <w:tcPr>
            <w:tcW w:w="3024" w:type="dxa"/>
            <w:vAlign w:val="center"/>
          </w:tcPr>
          <w:p>
            <w:pPr>
              <w:pStyle w:val="42"/>
              <w:spacing w:line="500" w:lineRule="exact"/>
              <w:rPr>
                <w:rFonts w:ascii="宋体" w:cs="Courier New"/>
                <w:sz w:val="28"/>
                <w:szCs w:val="28"/>
              </w:rPr>
            </w:pPr>
          </w:p>
        </w:tc>
        <w:tc>
          <w:tcPr>
            <w:tcW w:w="2075" w:type="dxa"/>
            <w:vAlign w:val="center"/>
          </w:tcPr>
          <w:p>
            <w:pPr>
              <w:pStyle w:val="42"/>
              <w:spacing w:line="500" w:lineRule="exact"/>
              <w:rPr>
                <w:rFonts w:ascii="宋体" w:cs="Courier New"/>
                <w:sz w:val="28"/>
                <w:szCs w:val="28"/>
              </w:rPr>
            </w:pPr>
          </w:p>
        </w:tc>
      </w:tr>
    </w:tbl>
    <w:p>
      <w:pPr>
        <w:pStyle w:val="42"/>
        <w:spacing w:line="500" w:lineRule="exact"/>
        <w:rPr>
          <w:rFonts w:ascii="宋体"/>
          <w:sz w:val="28"/>
          <w:szCs w:val="28"/>
        </w:rPr>
      </w:pPr>
    </w:p>
    <w:p>
      <w:pPr>
        <w:pStyle w:val="42"/>
        <w:adjustRightInd w:val="0"/>
        <w:snapToGrid w:val="0"/>
        <w:spacing w:line="500" w:lineRule="exact"/>
        <w:rPr>
          <w:rFonts w:ascii="宋体"/>
          <w:b/>
          <w:sz w:val="28"/>
          <w:szCs w:val="28"/>
        </w:rPr>
      </w:pPr>
    </w:p>
    <w:p>
      <w:pPr>
        <w:pStyle w:val="42"/>
        <w:autoSpaceDE w:val="0"/>
        <w:autoSpaceDN w:val="0"/>
        <w:adjustRightInd w:val="0"/>
        <w:spacing w:line="500" w:lineRule="exact"/>
        <w:jc w:val="center"/>
        <w:outlineLvl w:val="2"/>
        <w:rPr>
          <w:rFonts w:ascii="宋体"/>
          <w:b/>
          <w:sz w:val="28"/>
          <w:szCs w:val="28"/>
        </w:rPr>
      </w:pPr>
      <w:r>
        <w:rPr>
          <w:rFonts w:ascii="宋体"/>
          <w:b/>
          <w:sz w:val="28"/>
          <w:szCs w:val="28"/>
        </w:rPr>
        <w:br w:type="page"/>
      </w:r>
      <w:bookmarkStart w:id="163" w:name="_Toc14787557"/>
      <w:r>
        <w:rPr>
          <w:rFonts w:hint="eastAsia" w:ascii="宋体" w:hAnsi="宋体"/>
          <w:b/>
          <w:sz w:val="28"/>
          <w:szCs w:val="28"/>
        </w:rPr>
        <w:t>技术响应、偏离说明表</w:t>
      </w:r>
      <w:bookmarkEnd w:id="163"/>
    </w:p>
    <w:p>
      <w:pPr>
        <w:pStyle w:val="42"/>
        <w:spacing w:line="500" w:lineRule="exact"/>
        <w:rPr>
          <w:rFonts w:ascii="宋体"/>
          <w:sz w:val="28"/>
          <w:szCs w:val="28"/>
        </w:rPr>
      </w:pPr>
      <w:r>
        <w:rPr>
          <w:rFonts w:hint="eastAsia" w:ascii="宋体" w:hAnsi="宋体"/>
          <w:sz w:val="28"/>
          <w:szCs w:val="28"/>
        </w:rPr>
        <w:t>采购项目编号：</w:t>
      </w:r>
    </w:p>
    <w:p>
      <w:pPr>
        <w:pStyle w:val="42"/>
        <w:spacing w:line="500" w:lineRule="exact"/>
        <w:rPr>
          <w:rFonts w:ascii="宋体"/>
          <w:sz w:val="28"/>
          <w:szCs w:val="28"/>
          <w:u w:val="single"/>
        </w:rPr>
      </w:pPr>
      <w:r>
        <w:rPr>
          <w:rFonts w:hint="eastAsia" w:ascii="宋体" w:hAnsi="宋体"/>
          <w:sz w:val="28"/>
          <w:szCs w:val="28"/>
        </w:rPr>
        <w:t>采购项目名称：</w:t>
      </w:r>
    </w:p>
    <w:tbl>
      <w:tblPr>
        <w:tblStyle w:val="16"/>
        <w:tblW w:w="9690" w:type="dxa"/>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168"/>
        <w:gridCol w:w="3024"/>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58" w:type="dxa"/>
            <w:vAlign w:val="center"/>
          </w:tcPr>
          <w:p>
            <w:pPr>
              <w:pStyle w:val="42"/>
              <w:spacing w:line="500" w:lineRule="exact"/>
              <w:jc w:val="center"/>
              <w:rPr>
                <w:rFonts w:ascii="宋体"/>
                <w:sz w:val="28"/>
                <w:szCs w:val="28"/>
              </w:rPr>
            </w:pPr>
            <w:r>
              <w:rPr>
                <w:rFonts w:hint="eastAsia" w:ascii="宋体" w:hAnsi="宋体"/>
                <w:sz w:val="28"/>
                <w:szCs w:val="28"/>
              </w:rPr>
              <w:t>序号</w:t>
            </w:r>
          </w:p>
        </w:tc>
        <w:tc>
          <w:tcPr>
            <w:tcW w:w="3168" w:type="dxa"/>
            <w:vAlign w:val="center"/>
          </w:tcPr>
          <w:p>
            <w:pPr>
              <w:pStyle w:val="42"/>
              <w:spacing w:line="500" w:lineRule="exact"/>
              <w:jc w:val="center"/>
              <w:rPr>
                <w:rFonts w:ascii="宋体"/>
                <w:sz w:val="28"/>
                <w:szCs w:val="28"/>
              </w:rPr>
            </w:pPr>
            <w:r>
              <w:rPr>
                <w:rFonts w:hint="eastAsia" w:ascii="宋体" w:hAnsi="宋体"/>
                <w:sz w:val="28"/>
                <w:szCs w:val="28"/>
              </w:rPr>
              <w:t>磋商文件要求部分</w:t>
            </w:r>
          </w:p>
        </w:tc>
        <w:tc>
          <w:tcPr>
            <w:tcW w:w="3024" w:type="dxa"/>
            <w:vAlign w:val="center"/>
          </w:tcPr>
          <w:p>
            <w:pPr>
              <w:pStyle w:val="42"/>
              <w:spacing w:line="500" w:lineRule="exact"/>
              <w:jc w:val="center"/>
              <w:rPr>
                <w:rFonts w:ascii="宋体"/>
                <w:sz w:val="28"/>
                <w:szCs w:val="28"/>
              </w:rPr>
            </w:pPr>
            <w:r>
              <w:rPr>
                <w:rFonts w:hint="eastAsia" w:ascii="宋体" w:hAnsi="宋体"/>
                <w:sz w:val="28"/>
                <w:szCs w:val="28"/>
              </w:rPr>
              <w:t>投标货物</w:t>
            </w:r>
            <w:r>
              <w:rPr>
                <w:rFonts w:ascii="宋体" w:hAnsi="宋体"/>
                <w:sz w:val="28"/>
                <w:szCs w:val="28"/>
              </w:rPr>
              <w:t>/</w:t>
            </w:r>
            <w:r>
              <w:rPr>
                <w:rFonts w:hint="eastAsia" w:ascii="宋体" w:hAnsi="宋体"/>
                <w:sz w:val="28"/>
                <w:szCs w:val="28"/>
              </w:rPr>
              <w:t>服务</w:t>
            </w:r>
          </w:p>
          <w:p>
            <w:pPr>
              <w:pStyle w:val="42"/>
              <w:spacing w:line="500" w:lineRule="exact"/>
              <w:jc w:val="center"/>
              <w:rPr>
                <w:rFonts w:ascii="宋体"/>
                <w:sz w:val="28"/>
                <w:szCs w:val="28"/>
              </w:rPr>
            </w:pPr>
            <w:r>
              <w:rPr>
                <w:rFonts w:hint="eastAsia" w:ascii="宋体" w:hAnsi="宋体"/>
                <w:sz w:val="28"/>
                <w:szCs w:val="28"/>
              </w:rPr>
              <w:t>响应部分</w:t>
            </w:r>
          </w:p>
        </w:tc>
        <w:tc>
          <w:tcPr>
            <w:tcW w:w="2240" w:type="dxa"/>
            <w:vAlign w:val="center"/>
          </w:tcPr>
          <w:p>
            <w:pPr>
              <w:pStyle w:val="42"/>
              <w:spacing w:line="500" w:lineRule="exact"/>
              <w:jc w:val="center"/>
              <w:rPr>
                <w:rFonts w:ascii="宋体"/>
                <w:sz w:val="28"/>
                <w:szCs w:val="28"/>
              </w:rPr>
            </w:pPr>
            <w:r>
              <w:rPr>
                <w:rFonts w:hint="eastAsia" w:ascii="宋体" w:hAnsi="宋体"/>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1</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2</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3</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4</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5</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ascii="宋体" w:hAnsi="宋体"/>
                <w:sz w:val="28"/>
                <w:szCs w:val="28"/>
              </w:rPr>
              <w:t>6</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58" w:type="dxa"/>
            <w:vAlign w:val="center"/>
          </w:tcPr>
          <w:p>
            <w:pPr>
              <w:pStyle w:val="42"/>
              <w:spacing w:line="500" w:lineRule="exact"/>
              <w:jc w:val="center"/>
              <w:rPr>
                <w:rFonts w:ascii="宋体"/>
                <w:sz w:val="28"/>
                <w:szCs w:val="28"/>
              </w:rPr>
            </w:pPr>
            <w:r>
              <w:rPr>
                <w:rFonts w:hint="eastAsia" w:ascii="宋体" w:hAnsi="宋体"/>
                <w:sz w:val="28"/>
                <w:szCs w:val="28"/>
              </w:rPr>
              <w:t>…</w:t>
            </w:r>
          </w:p>
        </w:tc>
        <w:tc>
          <w:tcPr>
            <w:tcW w:w="3168" w:type="dxa"/>
            <w:vAlign w:val="center"/>
          </w:tcPr>
          <w:p>
            <w:pPr>
              <w:pStyle w:val="42"/>
              <w:spacing w:line="500" w:lineRule="exact"/>
              <w:jc w:val="center"/>
              <w:rPr>
                <w:rFonts w:ascii="宋体"/>
                <w:sz w:val="28"/>
                <w:szCs w:val="28"/>
              </w:rPr>
            </w:pPr>
          </w:p>
        </w:tc>
        <w:tc>
          <w:tcPr>
            <w:tcW w:w="3024" w:type="dxa"/>
            <w:vAlign w:val="center"/>
          </w:tcPr>
          <w:p>
            <w:pPr>
              <w:pStyle w:val="42"/>
              <w:spacing w:line="500" w:lineRule="exact"/>
              <w:jc w:val="center"/>
              <w:rPr>
                <w:rFonts w:ascii="宋体"/>
                <w:sz w:val="28"/>
                <w:szCs w:val="28"/>
              </w:rPr>
            </w:pPr>
          </w:p>
        </w:tc>
        <w:tc>
          <w:tcPr>
            <w:tcW w:w="2240" w:type="dxa"/>
            <w:vAlign w:val="center"/>
          </w:tcPr>
          <w:p>
            <w:pPr>
              <w:pStyle w:val="42"/>
              <w:spacing w:line="500" w:lineRule="exact"/>
              <w:jc w:val="center"/>
              <w:rPr>
                <w:rFonts w:ascii="宋体"/>
                <w:sz w:val="28"/>
                <w:szCs w:val="28"/>
              </w:rPr>
            </w:pPr>
          </w:p>
        </w:tc>
      </w:tr>
    </w:tbl>
    <w:p>
      <w:pPr>
        <w:pStyle w:val="42"/>
        <w:adjustRightInd w:val="0"/>
        <w:snapToGrid w:val="0"/>
        <w:spacing w:line="500" w:lineRule="exact"/>
        <w:ind w:left="31680" w:hanging="840" w:hangingChars="300"/>
        <w:rPr>
          <w:rFonts w:ascii="宋体"/>
          <w:sz w:val="28"/>
          <w:szCs w:val="28"/>
        </w:rPr>
      </w:pPr>
      <w:r>
        <w:rPr>
          <w:rFonts w:hint="eastAsia" w:ascii="宋体" w:hAnsi="宋体"/>
          <w:sz w:val="28"/>
          <w:szCs w:val="28"/>
        </w:rPr>
        <w:t>说明：供应商应对照磋商文件，逐条说明所提供货物和服务已对磋商文件的技术规格做出了实质性的响应，并申明与技术规格条文的偏离和例外。特别对有具体参数要求的指标，供应商必须提供所投设备的具体参数值。</w:t>
      </w:r>
    </w:p>
    <w:p>
      <w:pPr>
        <w:pStyle w:val="42"/>
        <w:adjustRightInd w:val="0"/>
        <w:snapToGrid w:val="0"/>
        <w:spacing w:line="500" w:lineRule="exact"/>
        <w:rPr>
          <w:rFonts w:ascii="宋体"/>
          <w:sz w:val="28"/>
          <w:szCs w:val="28"/>
        </w:rPr>
      </w:pPr>
    </w:p>
    <w:p>
      <w:pPr>
        <w:pStyle w:val="42"/>
        <w:spacing w:line="500" w:lineRule="exact"/>
        <w:rPr>
          <w:rFonts w:ascii="宋体"/>
          <w:sz w:val="28"/>
          <w:szCs w:val="28"/>
        </w:rPr>
      </w:pPr>
    </w:p>
    <w:p>
      <w:pPr>
        <w:pStyle w:val="29"/>
        <w:ind w:firstLine="0" w:firstLineChars="0"/>
      </w:pPr>
    </w:p>
    <w:sectPr>
      <w:headerReference r:id="rId12" w:type="default"/>
      <w:foot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szCs w:val="18"/>
                            </w:rPr>
                          </w:pP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BisH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qBisHEAQAAjwMAAA4AAAAAAAAAAQAgAAAAHwEAAGRycy9lMm9Eb2MueG1s&#10;UEsFBgAAAAAGAAYAWQEAAFUFAAAAAA==&#10;">
              <v:fill on="f" focussize="0,0"/>
              <v:stroke on="f"/>
              <v:imagedata o:title=""/>
              <o:lock v:ext="edit" aspectratio="f"/>
              <v:textbox inset="0mm,0mm,0mm,0mm" style="mso-fit-shape-to-text:t;">
                <w:txbxContent>
                  <w:p>
                    <w:pPr>
                      <w:snapToGrid w:val="0"/>
                      <w:rPr>
                        <w:sz w:val="18"/>
                        <w:szCs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posOffset>2773680</wp:posOffset>
              </wp:positionH>
              <wp:positionV relativeFrom="paragraph">
                <wp:posOffset>-340995</wp:posOffset>
              </wp:positionV>
              <wp:extent cx="238125" cy="659765"/>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238125" cy="659765"/>
                      </a:xfrm>
                      <a:prstGeom prst="rect">
                        <a:avLst/>
                      </a:prstGeom>
                      <a:noFill/>
                      <a:ln w="6350">
                        <a:noFill/>
                      </a:ln>
                    </wps:spPr>
                    <wps:txbx>
                      <w:txbxContent>
                        <w:p>
                          <w:pPr>
                            <w:pStyle w:val="11"/>
                          </w:pPr>
                          <w:r>
                            <w:fldChar w:fldCharType="begin"/>
                          </w:r>
                          <w:r>
                            <w:instrText xml:space="preserve"> PAGE  \* MERGEFORMAT </w:instrText>
                          </w:r>
                          <w:r>
                            <w:fldChar w:fldCharType="separate"/>
                          </w:r>
                          <w:r>
                            <w:t>34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18.4pt;margin-top:-26.85pt;height:51.95pt;width:18.75pt;mso-position-horizontal-relative:margin;z-index:251659264;mso-width-relative:page;mso-height-relative:page;" filled="f" stroked="f" coordsize="21600,21600" o:gfxdata="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TV6lNkAAAAKAQAADwAAAAAAAAABACAAAAAiAAAAZHJzL2Rvd25y&#10;ZXYueG1sUEsBAhQAFAAAAAgAh07iQOaZhHvEAQAAfQMAAA4AAAAAAAAAAQAgAAAAKAEAAGRycy9l&#10;Mm9Eb2MueG1sUEsFBgAAAAAGAAYAWQEAAF4FAAAAAA==&#10;">
              <v:fill on="f" focussize="0,0"/>
              <v:stroke on="f" weight="0.5pt"/>
              <v:imagedata o:title=""/>
              <o:lock v:ext="edit" aspectratio="f"/>
              <v:textbox inset="0mm,0mm,0mm,0mm">
                <w:txbxContent>
                  <w:p>
                    <w:pPr>
                      <w:pStyle w:val="11"/>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-379730</wp:posOffset>
              </wp:positionV>
              <wp:extent cx="209550" cy="51752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209550" cy="517525"/>
                      </a:xfrm>
                      <a:prstGeom prst="rect">
                        <a:avLst/>
                      </a:prstGeom>
                      <a:noFill/>
                      <a:ln w="6350">
                        <a:noFill/>
                      </a:ln>
                    </wps:spPr>
                    <wps:txbx>
                      <w:txbxContent>
                        <w:p>
                          <w:pPr>
                            <w:pStyle w:val="11"/>
                          </w:pPr>
                          <w:r>
                            <w:fldChar w:fldCharType="begin"/>
                          </w:r>
                          <w:r>
                            <w:instrText xml:space="preserve"> PAGE  \* MERGEFORMAT </w:instrText>
                          </w:r>
                          <w:r>
                            <w:fldChar w:fldCharType="separate"/>
                          </w:r>
                          <w:r>
                            <w:t>41</w:t>
                          </w:r>
                          <w:r>
                            <w:fldChar w:fldCharType="end"/>
                          </w:r>
                        </w:p>
                      </w:txbxContent>
                    </wps:txbx>
                    <wps:bodyPr lIns="0" tIns="0" rIns="0" bIns="0" upright="1"/>
                  </wps:wsp>
                </a:graphicData>
              </a:graphic>
            </wp:anchor>
          </w:drawing>
        </mc:Choice>
        <mc:Fallback>
          <w:pict>
            <v:shape id="文本框 1027" o:spid="_x0000_s1026" o:spt="202" type="#_x0000_t202" style="position:absolute;left:0pt;margin-top:-29.9pt;height:40.75pt;width:16.5pt;mso-position-horizontal:center;mso-position-horizontal-relative:margin;z-index:251657216;mso-width-relative:page;mso-height-relative:page;" filled="f" stroked="f" coordsize="21600,21600" o:gfxdata="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KOtk9UAAAAGAQAADwAAAAAAAAABACAAAAAiAAAAZHJzL2Rvd25yZXYueG1s&#10;UEsBAhQAFAAAAAgAh07iQM9l3AvCAQAAfQMAAA4AAAAAAAAAAQAgAAAAJAEAAGRycy9lMm9Eb2Mu&#10;eG1sUEsFBgAAAAAGAAYAWQEAAFgFAAAAAA==&#10;">
              <v:fill on="f" focussize="0,0"/>
              <v:stroke on="f" weight="0.5pt"/>
              <v:imagedata o:title=""/>
              <o:lock v:ext="edit" aspectratio="f"/>
              <v:textbox inset="0mm,0mm,0mm,0mm">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4153"/>
        <w:tab w:val="left" w:pos="4320"/>
      </w:tabs>
      <w:ind w:right="3992"/>
      <w:jc w:val="right"/>
    </w:pPr>
    <w:r>
      <mc:AlternateContent>
        <mc:Choice Requires="wps">
          <w:drawing>
            <wp:anchor distT="0" distB="0" distL="114300" distR="114300" simplePos="0" relativeHeight="251658240" behindDoc="0" locked="0" layoutInCell="1" allowOverlap="1">
              <wp:simplePos x="0" y="0"/>
              <wp:positionH relativeFrom="margin">
                <wp:posOffset>2491740</wp:posOffset>
              </wp:positionH>
              <wp:positionV relativeFrom="paragraph">
                <wp:posOffset>-438150</wp:posOffset>
              </wp:positionV>
              <wp:extent cx="176530" cy="565785"/>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76530" cy="565785"/>
                      </a:xfrm>
                      <a:prstGeom prst="rect">
                        <a:avLst/>
                      </a:prstGeom>
                      <a:noFill/>
                      <a:ln w="6350">
                        <a:noFill/>
                      </a:ln>
                    </wps:spPr>
                    <wps:txbx>
                      <w:txbxContent>
                        <w:p>
                          <w:pPr>
                            <w:pStyle w:val="11"/>
                          </w:pPr>
                          <w:r>
                            <w:fldChar w:fldCharType="begin"/>
                          </w:r>
                          <w:r>
                            <w:instrText xml:space="preserve"> PAGE  \* MERGEFORMAT </w:instrText>
                          </w:r>
                          <w:r>
                            <w:fldChar w:fldCharType="separate"/>
                          </w:r>
                          <w:r>
                            <w:t>54</w:t>
                          </w:r>
                          <w:r>
                            <w:fldChar w:fldCharType="end"/>
                          </w:r>
                        </w:p>
                      </w:txbxContent>
                    </wps:txbx>
                    <wps:bodyPr lIns="0" tIns="0" rIns="0" bIns="0" upright="1"/>
                  </wps:wsp>
                </a:graphicData>
              </a:graphic>
            </wp:anchor>
          </w:drawing>
        </mc:Choice>
        <mc:Fallback>
          <w:pict>
            <v:shape id="文本框 1028" o:spid="_x0000_s1026" o:spt="202" type="#_x0000_t202" style="position:absolute;left:0pt;margin-left:196.2pt;margin-top:-34.5pt;height:44.55pt;width:13.9pt;mso-position-horizontal-relative:margin;z-index:251658240;mso-width-relative:page;mso-height-relative:page;" filled="f" stroked="f" coordsize="21600,21600" o:gfxdata="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mkiFR2QAAAAoBAAAPAAAAAAAAAAEAIAAAACIAAABkcnMvZG93bnJl&#10;di54bWxQSwECFAAUAAAACACHTuJAT+20ZcMBAAB9AwAADgAAAAAAAAABACAAAAAoAQAAZHJzL2Uy&#10;b0RvYy54bWxQSwUGAAAAAAYABgBZAQAAXQUAAAAA&#10;">
              <v:fill on="f" focussize="0,0"/>
              <v:stroke on="f" weight="0.5pt"/>
              <v:imagedata o:title=""/>
              <o:lock v:ext="edit" aspectratio="f"/>
              <v:textbox inset="0mm,0mm,0mm,0mm">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cs="宋体"/>
        <w:b/>
        <w:bCs/>
        <w:sz w:val="20"/>
        <w:szCs w:val="20"/>
      </w:rPr>
      <w:t>项目名称：</w:t>
    </w:r>
    <w:r>
      <w:rPr>
        <w:rFonts w:hint="eastAsia" w:cs="宋体"/>
        <w:b/>
        <w:bCs/>
        <w:sz w:val="20"/>
        <w:szCs w:val="20"/>
        <w:lang w:eastAsia="zh-CN"/>
      </w:rPr>
      <w:t>一品江山二次加压设备采购</w:t>
    </w:r>
  </w:p>
  <w:p>
    <w:pPr>
      <w:pStyle w:val="12"/>
      <w:spacing w:line="300" w:lineRule="exact"/>
      <w:jc w:val="left"/>
      <w:rPr>
        <w:rFonts w:hint="eastAsia" w:eastAsia="宋体"/>
        <w:b/>
        <w:bCs/>
        <w:sz w:val="20"/>
        <w:szCs w:val="20"/>
        <w:lang w:eastAsia="zh-CN"/>
      </w:rPr>
    </w:pPr>
    <w:r>
      <w:rPr>
        <w:rFonts w:hint="eastAsia" w:cs="宋体"/>
        <w:b/>
        <w:bCs/>
        <w:sz w:val="20"/>
        <w:szCs w:val="20"/>
      </w:rPr>
      <w:t>项目编号：</w:t>
    </w:r>
    <w:r>
      <w:rPr>
        <w:rFonts w:hint="eastAsia"/>
        <w:b/>
        <w:bCs/>
        <w:sz w:val="20"/>
        <w:szCs w:val="20"/>
        <w:lang w:eastAsia="zh-CN"/>
      </w:rPr>
      <w:t>Zjjry2020-Z087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cs="宋体"/>
        <w:b/>
        <w:bCs/>
        <w:sz w:val="20"/>
        <w:szCs w:val="20"/>
      </w:rPr>
      <w:t>项目名称：</w:t>
    </w:r>
    <w:r>
      <w:rPr>
        <w:rFonts w:hint="eastAsia" w:cs="宋体"/>
        <w:b/>
        <w:bCs/>
        <w:sz w:val="20"/>
        <w:szCs w:val="20"/>
        <w:lang w:eastAsia="zh-CN"/>
      </w:rPr>
      <w:t>一品江山二次加压设备采购</w:t>
    </w:r>
  </w:p>
  <w:p>
    <w:pPr>
      <w:pStyle w:val="12"/>
      <w:spacing w:line="300" w:lineRule="exact"/>
      <w:jc w:val="left"/>
      <w:rPr>
        <w:rFonts w:hint="eastAsia" w:eastAsia="宋体"/>
        <w:lang w:eastAsia="zh-CN"/>
      </w:rPr>
    </w:pPr>
    <w:r>
      <w:rPr>
        <w:rFonts w:hint="eastAsia" w:cs="宋体"/>
        <w:b/>
        <w:bCs/>
        <w:sz w:val="20"/>
        <w:szCs w:val="20"/>
      </w:rPr>
      <w:t>项目编号：</w:t>
    </w:r>
    <w:r>
      <w:rPr>
        <w:rFonts w:hint="eastAsia"/>
        <w:b/>
        <w:bCs/>
        <w:sz w:val="20"/>
        <w:szCs w:val="20"/>
        <w:lang w:eastAsia="zh-CN"/>
      </w:rPr>
      <w:t>Zjjry2020-Z087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新宋体" w:eastAsia="宋体"/>
        <w:b/>
        <w:bCs/>
        <w:sz w:val="30"/>
        <w:szCs w:val="30"/>
        <w:lang w:eastAsia="zh-CN"/>
      </w:rPr>
    </w:pPr>
    <w:r>
      <w:rPr>
        <w:rFonts w:hint="eastAsia"/>
        <w:b/>
        <w:bCs/>
        <w:sz w:val="20"/>
        <w:szCs w:val="20"/>
      </w:rPr>
      <w:t>项目名称：</w:t>
    </w:r>
    <w:r>
      <w:rPr>
        <w:rFonts w:hint="eastAsia"/>
        <w:b/>
        <w:bCs/>
        <w:sz w:val="20"/>
        <w:szCs w:val="20"/>
        <w:lang w:eastAsia="zh-CN"/>
      </w:rPr>
      <w:t>一品江山二次加压设备采购</w:t>
    </w:r>
  </w:p>
  <w:p>
    <w:pPr>
      <w:pStyle w:val="12"/>
      <w:spacing w:line="300" w:lineRule="exact"/>
      <w:jc w:val="left"/>
      <w:rPr>
        <w:b/>
        <w:bCs/>
        <w:sz w:val="20"/>
        <w:szCs w:val="20"/>
      </w:rPr>
    </w:pPr>
    <w:r>
      <w:rPr>
        <w:rFonts w:hint="eastAsia" w:cs="宋体"/>
        <w:b/>
        <w:bCs/>
        <w:sz w:val="20"/>
        <w:szCs w:val="20"/>
      </w:rPr>
      <w:t>项目编号：</w:t>
    </w:r>
    <w:r>
      <w:rPr>
        <w:b/>
        <w:bCs/>
        <w:sz w:val="20"/>
        <w:szCs w:val="20"/>
      </w:rPr>
      <w:t>Zjjry2020-Z003</w:t>
    </w:r>
  </w:p>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EnclosedCircle"/>
      <w:lvlText w:val="%1"/>
      <w:lvlJc w:val="left"/>
      <w:pPr>
        <w:ind w:left="1060" w:hanging="360"/>
      </w:pPr>
      <w:rPr>
        <w:rFonts w:hint="default" w:cs="Times New Roman"/>
      </w:rPr>
    </w:lvl>
    <w:lvl w:ilvl="1" w:tentative="0">
      <w:start w:val="1"/>
      <w:numFmt w:val="lowerLetter"/>
      <w:lvlText w:val="%2)"/>
      <w:lvlJc w:val="left"/>
      <w:pPr>
        <w:ind w:left="1540" w:hanging="420"/>
      </w:pPr>
      <w:rPr>
        <w:rFonts w:cs="Times New Roman"/>
      </w:rPr>
    </w:lvl>
    <w:lvl w:ilvl="2" w:tentative="0">
      <w:start w:val="1"/>
      <w:numFmt w:val="lowerRoman"/>
      <w:lvlText w:val="%3."/>
      <w:lvlJc w:val="right"/>
      <w:pPr>
        <w:ind w:left="1960" w:hanging="420"/>
      </w:pPr>
      <w:rPr>
        <w:rFonts w:cs="Times New Roman"/>
      </w:rPr>
    </w:lvl>
    <w:lvl w:ilvl="3" w:tentative="0">
      <w:start w:val="1"/>
      <w:numFmt w:val="decimal"/>
      <w:lvlText w:val="%4."/>
      <w:lvlJc w:val="left"/>
      <w:pPr>
        <w:ind w:left="2380" w:hanging="420"/>
      </w:pPr>
      <w:rPr>
        <w:rFonts w:cs="Times New Roman"/>
      </w:rPr>
    </w:lvl>
    <w:lvl w:ilvl="4" w:tentative="0">
      <w:start w:val="1"/>
      <w:numFmt w:val="lowerLetter"/>
      <w:lvlText w:val="%5)"/>
      <w:lvlJc w:val="left"/>
      <w:pPr>
        <w:ind w:left="2800" w:hanging="420"/>
      </w:pPr>
      <w:rPr>
        <w:rFonts w:cs="Times New Roman"/>
      </w:rPr>
    </w:lvl>
    <w:lvl w:ilvl="5" w:tentative="0">
      <w:start w:val="1"/>
      <w:numFmt w:val="lowerRoman"/>
      <w:lvlText w:val="%6."/>
      <w:lvlJc w:val="right"/>
      <w:pPr>
        <w:ind w:left="3220" w:hanging="420"/>
      </w:pPr>
      <w:rPr>
        <w:rFonts w:cs="Times New Roman"/>
      </w:rPr>
    </w:lvl>
    <w:lvl w:ilvl="6" w:tentative="0">
      <w:start w:val="1"/>
      <w:numFmt w:val="decimal"/>
      <w:lvlText w:val="%7."/>
      <w:lvlJc w:val="left"/>
      <w:pPr>
        <w:ind w:left="3640" w:hanging="420"/>
      </w:pPr>
      <w:rPr>
        <w:rFonts w:cs="Times New Roman"/>
      </w:rPr>
    </w:lvl>
    <w:lvl w:ilvl="7" w:tentative="0">
      <w:start w:val="1"/>
      <w:numFmt w:val="lowerLetter"/>
      <w:lvlText w:val="%8)"/>
      <w:lvlJc w:val="left"/>
      <w:pPr>
        <w:ind w:left="4060" w:hanging="420"/>
      </w:pPr>
      <w:rPr>
        <w:rFonts w:cs="Times New Roman"/>
      </w:rPr>
    </w:lvl>
    <w:lvl w:ilvl="8" w:tentative="0">
      <w:start w:val="1"/>
      <w:numFmt w:val="lowerRoman"/>
      <w:lvlText w:val="%9."/>
      <w:lvlJc w:val="right"/>
      <w:pPr>
        <w:ind w:left="4480" w:hanging="420"/>
      </w:pPr>
      <w:rPr>
        <w:rFonts w:cs="Times New Roman"/>
      </w:rPr>
    </w:lvl>
  </w:abstractNum>
  <w:abstractNum w:abstractNumId="1">
    <w:nsid w:val="0FC7A5A6"/>
    <w:multiLevelType w:val="singleLevel"/>
    <w:tmpl w:val="0FC7A5A6"/>
    <w:lvl w:ilvl="0" w:tentative="0">
      <w:start w:val="2"/>
      <w:numFmt w:val="chineseCounting"/>
      <w:suff w:val="nothing"/>
      <w:lvlText w:val="%1、"/>
      <w:lvlJc w:val="left"/>
      <w:rPr>
        <w:rFonts w:hint="eastAsia" w:cs="Times New Roman"/>
      </w:rPr>
    </w:lvl>
  </w:abstractNum>
  <w:abstractNum w:abstractNumId="2">
    <w:nsid w:val="627F7A95"/>
    <w:multiLevelType w:val="multilevel"/>
    <w:tmpl w:val="627F7A95"/>
    <w:lvl w:ilvl="0" w:tentative="0">
      <w:start w:val="0"/>
      <w:numFmt w:val="bullet"/>
      <w:lvlText w:val=""/>
      <w:lvlJc w:val="left"/>
      <w:pPr>
        <w:ind w:left="318" w:hanging="215"/>
      </w:pPr>
      <w:rPr>
        <w:rFonts w:hint="default" w:ascii="Wingdings" w:hAnsi="Wingdings" w:eastAsia="Times New Roman"/>
        <w:spacing w:val="-1"/>
        <w:w w:val="100"/>
        <w:sz w:val="22"/>
      </w:rPr>
    </w:lvl>
    <w:lvl w:ilvl="1" w:tentative="0">
      <w:start w:val="0"/>
      <w:numFmt w:val="bullet"/>
      <w:lvlText w:val="•"/>
      <w:lvlJc w:val="left"/>
      <w:pPr>
        <w:ind w:left="1007" w:hanging="215"/>
      </w:pPr>
      <w:rPr>
        <w:rFonts w:hint="default"/>
      </w:rPr>
    </w:lvl>
    <w:lvl w:ilvl="2" w:tentative="0">
      <w:start w:val="0"/>
      <w:numFmt w:val="bullet"/>
      <w:lvlText w:val="•"/>
      <w:lvlJc w:val="left"/>
      <w:pPr>
        <w:ind w:left="1695" w:hanging="215"/>
      </w:pPr>
      <w:rPr>
        <w:rFonts w:hint="default"/>
      </w:rPr>
    </w:lvl>
    <w:lvl w:ilvl="3" w:tentative="0">
      <w:start w:val="0"/>
      <w:numFmt w:val="bullet"/>
      <w:lvlText w:val="•"/>
      <w:lvlJc w:val="left"/>
      <w:pPr>
        <w:ind w:left="2383" w:hanging="215"/>
      </w:pPr>
      <w:rPr>
        <w:rFonts w:hint="default"/>
      </w:rPr>
    </w:lvl>
    <w:lvl w:ilvl="4" w:tentative="0">
      <w:start w:val="0"/>
      <w:numFmt w:val="bullet"/>
      <w:lvlText w:val="•"/>
      <w:lvlJc w:val="left"/>
      <w:pPr>
        <w:ind w:left="3071" w:hanging="215"/>
      </w:pPr>
      <w:rPr>
        <w:rFonts w:hint="default"/>
      </w:rPr>
    </w:lvl>
    <w:lvl w:ilvl="5" w:tentative="0">
      <w:start w:val="0"/>
      <w:numFmt w:val="bullet"/>
      <w:lvlText w:val="•"/>
      <w:lvlJc w:val="left"/>
      <w:pPr>
        <w:ind w:left="3759" w:hanging="215"/>
      </w:pPr>
      <w:rPr>
        <w:rFonts w:hint="default"/>
      </w:rPr>
    </w:lvl>
    <w:lvl w:ilvl="6" w:tentative="0">
      <w:start w:val="0"/>
      <w:numFmt w:val="bullet"/>
      <w:lvlText w:val="•"/>
      <w:lvlJc w:val="left"/>
      <w:pPr>
        <w:ind w:left="4447" w:hanging="215"/>
      </w:pPr>
      <w:rPr>
        <w:rFonts w:hint="default"/>
      </w:rPr>
    </w:lvl>
    <w:lvl w:ilvl="7" w:tentative="0">
      <w:start w:val="0"/>
      <w:numFmt w:val="bullet"/>
      <w:lvlText w:val="•"/>
      <w:lvlJc w:val="left"/>
      <w:pPr>
        <w:ind w:left="5135" w:hanging="215"/>
      </w:pPr>
      <w:rPr>
        <w:rFonts w:hint="default"/>
      </w:rPr>
    </w:lvl>
    <w:lvl w:ilvl="8" w:tentative="0">
      <w:start w:val="0"/>
      <w:numFmt w:val="bullet"/>
      <w:lvlText w:val="•"/>
      <w:lvlJc w:val="left"/>
      <w:pPr>
        <w:ind w:left="5823" w:hanging="215"/>
      </w:pPr>
      <w:rPr>
        <w:rFonts w:hint="default"/>
      </w:rPr>
    </w:lvl>
  </w:abstractNum>
  <w:abstractNum w:abstractNumId="3">
    <w:nsid w:val="6FF3F421"/>
    <w:multiLevelType w:val="singleLevel"/>
    <w:tmpl w:val="6FF3F421"/>
    <w:lvl w:ilvl="0" w:tentative="0">
      <w:start w:val="9"/>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96DB5"/>
    <w:rsid w:val="000866E9"/>
    <w:rsid w:val="0026430E"/>
    <w:rsid w:val="00313361"/>
    <w:rsid w:val="00541DFD"/>
    <w:rsid w:val="00662F1D"/>
    <w:rsid w:val="006D3A08"/>
    <w:rsid w:val="00751DC2"/>
    <w:rsid w:val="00803E51"/>
    <w:rsid w:val="00900D72"/>
    <w:rsid w:val="00AC2841"/>
    <w:rsid w:val="0178349C"/>
    <w:rsid w:val="019935E2"/>
    <w:rsid w:val="033D2C49"/>
    <w:rsid w:val="03A17EBF"/>
    <w:rsid w:val="045B29E0"/>
    <w:rsid w:val="04907D39"/>
    <w:rsid w:val="049665CE"/>
    <w:rsid w:val="06722422"/>
    <w:rsid w:val="06727E6A"/>
    <w:rsid w:val="0743549F"/>
    <w:rsid w:val="07DE0E60"/>
    <w:rsid w:val="08732F05"/>
    <w:rsid w:val="08F8756C"/>
    <w:rsid w:val="09B62576"/>
    <w:rsid w:val="0A2D3F18"/>
    <w:rsid w:val="0A6E2540"/>
    <w:rsid w:val="0A8778F3"/>
    <w:rsid w:val="0AB1229C"/>
    <w:rsid w:val="0C1D56D6"/>
    <w:rsid w:val="0C1D621A"/>
    <w:rsid w:val="0C532804"/>
    <w:rsid w:val="0D25387F"/>
    <w:rsid w:val="0D3D55F2"/>
    <w:rsid w:val="0D9771DD"/>
    <w:rsid w:val="0DEF4D87"/>
    <w:rsid w:val="0E2812DB"/>
    <w:rsid w:val="0E4D0FB9"/>
    <w:rsid w:val="0E996DB5"/>
    <w:rsid w:val="0FD05BCE"/>
    <w:rsid w:val="104871EE"/>
    <w:rsid w:val="10DE6A3C"/>
    <w:rsid w:val="112A1D41"/>
    <w:rsid w:val="113F1D40"/>
    <w:rsid w:val="11945C04"/>
    <w:rsid w:val="11A831F1"/>
    <w:rsid w:val="12BB6C34"/>
    <w:rsid w:val="13745815"/>
    <w:rsid w:val="13B60893"/>
    <w:rsid w:val="142B12D4"/>
    <w:rsid w:val="14CB54DD"/>
    <w:rsid w:val="15990F9D"/>
    <w:rsid w:val="16023CF7"/>
    <w:rsid w:val="177241FF"/>
    <w:rsid w:val="17A8321E"/>
    <w:rsid w:val="1843764F"/>
    <w:rsid w:val="18974538"/>
    <w:rsid w:val="18F06885"/>
    <w:rsid w:val="19B45927"/>
    <w:rsid w:val="1A30377A"/>
    <w:rsid w:val="1A4D03E9"/>
    <w:rsid w:val="1A550605"/>
    <w:rsid w:val="1A77647A"/>
    <w:rsid w:val="1B2560B5"/>
    <w:rsid w:val="1B2A50F7"/>
    <w:rsid w:val="1B4C7C14"/>
    <w:rsid w:val="1BA62704"/>
    <w:rsid w:val="1CCA79EB"/>
    <w:rsid w:val="1D12081F"/>
    <w:rsid w:val="1D893CF7"/>
    <w:rsid w:val="1F111B41"/>
    <w:rsid w:val="1F733D4F"/>
    <w:rsid w:val="200875AB"/>
    <w:rsid w:val="201D0826"/>
    <w:rsid w:val="205E6CBF"/>
    <w:rsid w:val="207641E2"/>
    <w:rsid w:val="210B6CD4"/>
    <w:rsid w:val="222A39F5"/>
    <w:rsid w:val="22C51A88"/>
    <w:rsid w:val="22D071A8"/>
    <w:rsid w:val="237A4CBE"/>
    <w:rsid w:val="24500081"/>
    <w:rsid w:val="25C47CF8"/>
    <w:rsid w:val="266A4788"/>
    <w:rsid w:val="26A13037"/>
    <w:rsid w:val="26C22659"/>
    <w:rsid w:val="26D05044"/>
    <w:rsid w:val="26F83E41"/>
    <w:rsid w:val="27646FD4"/>
    <w:rsid w:val="28060A9C"/>
    <w:rsid w:val="28275D43"/>
    <w:rsid w:val="294C7B9F"/>
    <w:rsid w:val="298C77A5"/>
    <w:rsid w:val="2AC81053"/>
    <w:rsid w:val="2BD374B6"/>
    <w:rsid w:val="2C07363E"/>
    <w:rsid w:val="2C0C19C9"/>
    <w:rsid w:val="2C4A4589"/>
    <w:rsid w:val="2CF62FFD"/>
    <w:rsid w:val="2D1D2DE7"/>
    <w:rsid w:val="2E904561"/>
    <w:rsid w:val="2E951DC6"/>
    <w:rsid w:val="2F3F2469"/>
    <w:rsid w:val="301A6503"/>
    <w:rsid w:val="30AE7C7F"/>
    <w:rsid w:val="310420A4"/>
    <w:rsid w:val="313B5A7B"/>
    <w:rsid w:val="31CB26F3"/>
    <w:rsid w:val="32242EF7"/>
    <w:rsid w:val="33353E76"/>
    <w:rsid w:val="333D669F"/>
    <w:rsid w:val="33426F00"/>
    <w:rsid w:val="3358794B"/>
    <w:rsid w:val="33950632"/>
    <w:rsid w:val="34027EFC"/>
    <w:rsid w:val="340A3EB3"/>
    <w:rsid w:val="34287FAF"/>
    <w:rsid w:val="34E66328"/>
    <w:rsid w:val="34EB779E"/>
    <w:rsid w:val="350A70AB"/>
    <w:rsid w:val="35DA4D1E"/>
    <w:rsid w:val="367C6AEB"/>
    <w:rsid w:val="36AA538E"/>
    <w:rsid w:val="36E130F6"/>
    <w:rsid w:val="373925E0"/>
    <w:rsid w:val="377A7E92"/>
    <w:rsid w:val="378A3A88"/>
    <w:rsid w:val="38031CE8"/>
    <w:rsid w:val="38C13476"/>
    <w:rsid w:val="3B0F2792"/>
    <w:rsid w:val="3B966DE3"/>
    <w:rsid w:val="3BE40B49"/>
    <w:rsid w:val="3C282932"/>
    <w:rsid w:val="3C423FAE"/>
    <w:rsid w:val="3CB37602"/>
    <w:rsid w:val="3D1A5C6A"/>
    <w:rsid w:val="3D7A2A81"/>
    <w:rsid w:val="3D905A5F"/>
    <w:rsid w:val="3DB00532"/>
    <w:rsid w:val="3E166BD6"/>
    <w:rsid w:val="3EBA1CA5"/>
    <w:rsid w:val="3EE14071"/>
    <w:rsid w:val="3F1A59DA"/>
    <w:rsid w:val="4005289B"/>
    <w:rsid w:val="40B95513"/>
    <w:rsid w:val="41884EC3"/>
    <w:rsid w:val="41E37FD0"/>
    <w:rsid w:val="41E45F96"/>
    <w:rsid w:val="439847EA"/>
    <w:rsid w:val="43A312EA"/>
    <w:rsid w:val="44064291"/>
    <w:rsid w:val="448326DE"/>
    <w:rsid w:val="44CA7182"/>
    <w:rsid w:val="44E70A94"/>
    <w:rsid w:val="44E75E5F"/>
    <w:rsid w:val="45815E3A"/>
    <w:rsid w:val="45861E63"/>
    <w:rsid w:val="458A63E5"/>
    <w:rsid w:val="45D15AAD"/>
    <w:rsid w:val="45F94047"/>
    <w:rsid w:val="4659176E"/>
    <w:rsid w:val="466127B4"/>
    <w:rsid w:val="466D556D"/>
    <w:rsid w:val="469D0F00"/>
    <w:rsid w:val="46E34933"/>
    <w:rsid w:val="4721554D"/>
    <w:rsid w:val="49962BCD"/>
    <w:rsid w:val="49BB2131"/>
    <w:rsid w:val="4A7D76CA"/>
    <w:rsid w:val="4B1F301E"/>
    <w:rsid w:val="4BEE51A2"/>
    <w:rsid w:val="4C49172F"/>
    <w:rsid w:val="4CC220EE"/>
    <w:rsid w:val="4CF97B50"/>
    <w:rsid w:val="4D5D1DB1"/>
    <w:rsid w:val="4FE92042"/>
    <w:rsid w:val="501D718C"/>
    <w:rsid w:val="50481882"/>
    <w:rsid w:val="50B91421"/>
    <w:rsid w:val="50FB65CE"/>
    <w:rsid w:val="51B40EFC"/>
    <w:rsid w:val="524207A9"/>
    <w:rsid w:val="526F047A"/>
    <w:rsid w:val="529174FC"/>
    <w:rsid w:val="53BF1742"/>
    <w:rsid w:val="540B1E1B"/>
    <w:rsid w:val="542F0EBF"/>
    <w:rsid w:val="548A0397"/>
    <w:rsid w:val="55DC10FF"/>
    <w:rsid w:val="5603567F"/>
    <w:rsid w:val="56056795"/>
    <w:rsid w:val="56796CC9"/>
    <w:rsid w:val="57442FE3"/>
    <w:rsid w:val="5911444A"/>
    <w:rsid w:val="59736751"/>
    <w:rsid w:val="59CB62BE"/>
    <w:rsid w:val="59E74DBD"/>
    <w:rsid w:val="59FC62BC"/>
    <w:rsid w:val="5A9000B6"/>
    <w:rsid w:val="5A9916C9"/>
    <w:rsid w:val="5C3D3684"/>
    <w:rsid w:val="5DB01864"/>
    <w:rsid w:val="5DB71CBF"/>
    <w:rsid w:val="5EFE0F09"/>
    <w:rsid w:val="5F151ED2"/>
    <w:rsid w:val="5F670592"/>
    <w:rsid w:val="5F761CE3"/>
    <w:rsid w:val="6072310B"/>
    <w:rsid w:val="61224980"/>
    <w:rsid w:val="619C23D2"/>
    <w:rsid w:val="61AA41E2"/>
    <w:rsid w:val="620464DD"/>
    <w:rsid w:val="620C5B3F"/>
    <w:rsid w:val="625F04AC"/>
    <w:rsid w:val="62A460FB"/>
    <w:rsid w:val="636173EB"/>
    <w:rsid w:val="636B184F"/>
    <w:rsid w:val="63A0064F"/>
    <w:rsid w:val="644707D7"/>
    <w:rsid w:val="653C6BD7"/>
    <w:rsid w:val="661C51F3"/>
    <w:rsid w:val="670472ED"/>
    <w:rsid w:val="670C44AC"/>
    <w:rsid w:val="674D4961"/>
    <w:rsid w:val="683A73B7"/>
    <w:rsid w:val="68624F17"/>
    <w:rsid w:val="695F67D1"/>
    <w:rsid w:val="69D01FD4"/>
    <w:rsid w:val="69FF7E86"/>
    <w:rsid w:val="6A906E84"/>
    <w:rsid w:val="6B0E37F6"/>
    <w:rsid w:val="6B567660"/>
    <w:rsid w:val="6C500EBE"/>
    <w:rsid w:val="6CC87643"/>
    <w:rsid w:val="6CFE38A2"/>
    <w:rsid w:val="6DD0677A"/>
    <w:rsid w:val="6E2B3F7B"/>
    <w:rsid w:val="6E6407C4"/>
    <w:rsid w:val="6EBE5C35"/>
    <w:rsid w:val="6EEA1D37"/>
    <w:rsid w:val="6F3E375E"/>
    <w:rsid w:val="6FD14FD9"/>
    <w:rsid w:val="705D4376"/>
    <w:rsid w:val="709C1EF4"/>
    <w:rsid w:val="70ED13BD"/>
    <w:rsid w:val="72945D30"/>
    <w:rsid w:val="72994B76"/>
    <w:rsid w:val="72CC526D"/>
    <w:rsid w:val="72DF3364"/>
    <w:rsid w:val="72E277FE"/>
    <w:rsid w:val="739A6991"/>
    <w:rsid w:val="74202ACC"/>
    <w:rsid w:val="759B1FF4"/>
    <w:rsid w:val="76BB4802"/>
    <w:rsid w:val="76F904C5"/>
    <w:rsid w:val="77546E54"/>
    <w:rsid w:val="77C074DC"/>
    <w:rsid w:val="77D676D4"/>
    <w:rsid w:val="77E128C6"/>
    <w:rsid w:val="785779D3"/>
    <w:rsid w:val="79536705"/>
    <w:rsid w:val="795948B2"/>
    <w:rsid w:val="7985255F"/>
    <w:rsid w:val="7A3A6CCD"/>
    <w:rsid w:val="7A6E7D19"/>
    <w:rsid w:val="7AED5A39"/>
    <w:rsid w:val="7AF46FFD"/>
    <w:rsid w:val="7BF06739"/>
    <w:rsid w:val="7C8373A0"/>
    <w:rsid w:val="7CAC3AA0"/>
    <w:rsid w:val="7E2B1375"/>
    <w:rsid w:val="7E782B3C"/>
    <w:rsid w:val="7ED22FCB"/>
    <w:rsid w:val="7F270E7D"/>
    <w:rsid w:val="7F686942"/>
    <w:rsid w:val="7FAC50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0"/>
    <w:qFormat/>
    <w:uiPriority w:val="99"/>
    <w:pPr>
      <w:spacing w:line="360" w:lineRule="auto"/>
      <w:jc w:val="center"/>
      <w:outlineLvl w:val="0"/>
    </w:pPr>
    <w:rPr>
      <w:rFonts w:ascii="新宋体" w:hAnsi="新宋体" w:eastAsia="新宋体" w:cs="新宋体"/>
      <w:b/>
      <w:bCs/>
      <w:sz w:val="32"/>
      <w:szCs w:val="32"/>
    </w:rPr>
  </w:style>
  <w:style w:type="paragraph" w:styleId="4">
    <w:name w:val="heading 2"/>
    <w:basedOn w:val="1"/>
    <w:next w:val="1"/>
    <w:link w:val="21"/>
    <w:qFormat/>
    <w:uiPriority w:val="99"/>
    <w:pPr>
      <w:keepNext/>
      <w:keepLines/>
      <w:spacing w:before="260" w:after="260" w:line="415" w:lineRule="auto"/>
      <w:outlineLvl w:val="1"/>
    </w:pPr>
    <w:rPr>
      <w:rFonts w:ascii="Arial" w:hAnsi="Arial" w:eastAsia="黑体" w:cs="Arial"/>
      <w:b/>
      <w:bCs/>
      <w:sz w:val="32"/>
      <w:szCs w:val="32"/>
    </w:rPr>
  </w:style>
  <w:style w:type="paragraph" w:styleId="5">
    <w:name w:val="heading 4"/>
    <w:basedOn w:val="1"/>
    <w:next w:val="1"/>
    <w:qFormat/>
    <w:locked/>
    <w:uiPriority w:val="99"/>
    <w:pPr>
      <w:keepNext/>
      <w:tabs>
        <w:tab w:val="left" w:pos="864"/>
      </w:tabs>
      <w:snapToGrid w:val="0"/>
      <w:spacing w:before="240" w:after="120" w:line="240" w:lineRule="atLeast"/>
      <w:ind w:left="864" w:hanging="864"/>
      <w:outlineLvl w:val="3"/>
    </w:pPr>
    <w:rPr>
      <w:rFonts w:eastAsia="黑体"/>
      <w:b/>
      <w:bCs/>
      <w:kern w:val="21"/>
    </w:rPr>
  </w:style>
  <w:style w:type="character" w:default="1" w:styleId="18">
    <w:name w:val="Default Paragraph Font"/>
    <w:semiHidden/>
    <w:qFormat/>
    <w:uiPriority w:val="99"/>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rPr>
      <w:rFonts w:ascii="新宋体" w:hAnsi="新宋体" w:eastAsia="新宋体" w:cs="新宋体"/>
      <w:sz w:val="24"/>
      <w:szCs w:val="24"/>
    </w:rPr>
  </w:style>
  <w:style w:type="paragraph" w:styleId="6">
    <w:name w:val="Normal Indent"/>
    <w:basedOn w:val="1"/>
    <w:qFormat/>
    <w:uiPriority w:val="99"/>
    <w:pPr>
      <w:ind w:firstLine="420"/>
    </w:pPr>
  </w:style>
  <w:style w:type="paragraph" w:styleId="7">
    <w:name w:val="annotation text"/>
    <w:basedOn w:val="1"/>
    <w:link w:val="23"/>
    <w:qFormat/>
    <w:uiPriority w:val="99"/>
    <w:pPr>
      <w:jc w:val="left"/>
    </w:pPr>
  </w:style>
  <w:style w:type="paragraph" w:styleId="8">
    <w:name w:val="Body Text Indent"/>
    <w:basedOn w:val="1"/>
    <w:link w:val="24"/>
    <w:qFormat/>
    <w:uiPriority w:val="99"/>
    <w:pPr>
      <w:spacing w:line="240" w:lineRule="atLeast"/>
      <w:ind w:firstLine="390"/>
    </w:pPr>
    <w:rPr>
      <w:rFonts w:ascii="宋体" w:hAnsi="宋体" w:eastAsia="仿宋_GB2312" w:cs="宋体"/>
    </w:rPr>
  </w:style>
  <w:style w:type="paragraph" w:styleId="9">
    <w:name w:val="Plain Text"/>
    <w:basedOn w:val="1"/>
    <w:next w:val="1"/>
    <w:link w:val="25"/>
    <w:qFormat/>
    <w:uiPriority w:val="99"/>
    <w:rPr>
      <w:rFonts w:ascii="宋体" w:cs="宋体"/>
    </w:rPr>
  </w:style>
  <w:style w:type="paragraph" w:styleId="10">
    <w:name w:val="Balloon Text"/>
    <w:basedOn w:val="1"/>
    <w:link w:val="26"/>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rPr>
      <w:sz w:val="24"/>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Heading 1 Char"/>
    <w:basedOn w:val="18"/>
    <w:link w:val="3"/>
    <w:qFormat/>
    <w:uiPriority w:val="9"/>
    <w:rPr>
      <w:b/>
      <w:bCs/>
      <w:kern w:val="44"/>
      <w:sz w:val="44"/>
      <w:szCs w:val="44"/>
    </w:rPr>
  </w:style>
  <w:style w:type="character" w:customStyle="1" w:styleId="21">
    <w:name w:val="Heading 2 Char"/>
    <w:basedOn w:val="18"/>
    <w:link w:val="4"/>
    <w:semiHidden/>
    <w:qFormat/>
    <w:uiPriority w:val="9"/>
    <w:rPr>
      <w:rFonts w:asciiTheme="majorHAnsi" w:hAnsiTheme="majorHAnsi" w:eastAsiaTheme="majorEastAsia" w:cstheme="majorBidi"/>
      <w:b/>
      <w:bCs/>
      <w:sz w:val="32"/>
      <w:szCs w:val="32"/>
    </w:rPr>
  </w:style>
  <w:style w:type="character" w:customStyle="1" w:styleId="22">
    <w:name w:val="Body Text Char"/>
    <w:basedOn w:val="18"/>
    <w:link w:val="2"/>
    <w:qFormat/>
    <w:locked/>
    <w:uiPriority w:val="99"/>
    <w:rPr>
      <w:rFonts w:ascii="Times New Roman" w:hAnsi="Times New Roman" w:eastAsia="宋体" w:cs="Times New Roman"/>
      <w:sz w:val="21"/>
      <w:szCs w:val="21"/>
    </w:rPr>
  </w:style>
  <w:style w:type="character" w:customStyle="1" w:styleId="23">
    <w:name w:val="Comment Text Char"/>
    <w:basedOn w:val="18"/>
    <w:link w:val="7"/>
    <w:semiHidden/>
    <w:qFormat/>
    <w:uiPriority w:val="99"/>
    <w:rPr>
      <w:szCs w:val="21"/>
    </w:rPr>
  </w:style>
  <w:style w:type="character" w:customStyle="1" w:styleId="24">
    <w:name w:val="Body Text Indent Char"/>
    <w:basedOn w:val="18"/>
    <w:link w:val="8"/>
    <w:semiHidden/>
    <w:qFormat/>
    <w:uiPriority w:val="99"/>
    <w:rPr>
      <w:szCs w:val="21"/>
    </w:rPr>
  </w:style>
  <w:style w:type="character" w:customStyle="1" w:styleId="25">
    <w:name w:val="Plain Text Char"/>
    <w:basedOn w:val="18"/>
    <w:link w:val="9"/>
    <w:semiHidden/>
    <w:qFormat/>
    <w:uiPriority w:val="99"/>
    <w:rPr>
      <w:rFonts w:ascii="宋体" w:hAnsi="Courier New" w:cs="Courier New"/>
      <w:szCs w:val="21"/>
    </w:rPr>
  </w:style>
  <w:style w:type="character" w:customStyle="1" w:styleId="26">
    <w:name w:val="Balloon Text Char"/>
    <w:basedOn w:val="18"/>
    <w:link w:val="10"/>
    <w:qFormat/>
    <w:locked/>
    <w:uiPriority w:val="99"/>
    <w:rPr>
      <w:rFonts w:cs="Times New Roman"/>
      <w:kern w:val="2"/>
      <w:sz w:val="18"/>
      <w:szCs w:val="18"/>
    </w:rPr>
  </w:style>
  <w:style w:type="character" w:customStyle="1" w:styleId="27">
    <w:name w:val="Footer Char"/>
    <w:basedOn w:val="18"/>
    <w:link w:val="11"/>
    <w:semiHidden/>
    <w:qFormat/>
    <w:uiPriority w:val="99"/>
    <w:rPr>
      <w:sz w:val="18"/>
      <w:szCs w:val="18"/>
    </w:rPr>
  </w:style>
  <w:style w:type="character" w:customStyle="1" w:styleId="28">
    <w:name w:val="Header Char"/>
    <w:basedOn w:val="18"/>
    <w:link w:val="12"/>
    <w:semiHidden/>
    <w:qFormat/>
    <w:uiPriority w:val="99"/>
    <w:rPr>
      <w:sz w:val="18"/>
      <w:szCs w:val="18"/>
    </w:rPr>
  </w:style>
  <w:style w:type="paragraph" w:customStyle="1" w:styleId="29">
    <w:name w:val="文档正文"/>
    <w:basedOn w:val="6"/>
    <w:qFormat/>
    <w:uiPriority w:val="99"/>
    <w:pPr>
      <w:adjustRightInd w:val="0"/>
      <w:spacing w:line="480" w:lineRule="exact"/>
      <w:ind w:firstLine="200" w:firstLineChars="200"/>
      <w:textAlignment w:val="baseline"/>
    </w:pPr>
    <w:rPr>
      <w:rFonts w:ascii="宋体" w:cs="宋体"/>
      <w:kern w:val="0"/>
      <w:sz w:val="28"/>
      <w:szCs w:val="28"/>
    </w:rPr>
  </w:style>
  <w:style w:type="paragraph" w:customStyle="1" w:styleId="30">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31">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32">
    <w:name w:val="公正文"/>
    <w:basedOn w:val="6"/>
    <w:qFormat/>
    <w:uiPriority w:val="99"/>
    <w:pPr>
      <w:snapToGrid w:val="0"/>
      <w:spacing w:line="355" w:lineRule="auto"/>
      <w:ind w:firstLine="200" w:firstLineChars="200"/>
    </w:pPr>
    <w:rPr>
      <w:rFonts w:ascii="宋体" w:hAnsi="宋体" w:eastAsia="仿宋_GB2312" w:cs="宋体"/>
      <w:sz w:val="28"/>
      <w:szCs w:val="28"/>
    </w:rPr>
  </w:style>
  <w:style w:type="paragraph" w:customStyle="1" w:styleId="33">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正文缩进1"/>
    <w:basedOn w:val="1"/>
    <w:qFormat/>
    <w:uiPriority w:val="99"/>
    <w:pPr>
      <w:ind w:firstLine="420"/>
    </w:pPr>
  </w:style>
  <w:style w:type="paragraph" w:customStyle="1" w:styleId="35">
    <w:name w:val="正文文本 (17)"/>
    <w:basedOn w:val="1"/>
    <w:qFormat/>
    <w:uiPriority w:val="99"/>
    <w:pPr>
      <w:shd w:val="clear" w:color="auto" w:fill="FFFFFF"/>
      <w:spacing w:before="1080" w:after="1260" w:line="240" w:lineRule="atLeast"/>
      <w:jc w:val="left"/>
    </w:pPr>
    <w:rPr>
      <w:rFonts w:ascii="宋体" w:cs="宋体"/>
      <w:spacing w:val="-20"/>
      <w:kern w:val="0"/>
      <w:sz w:val="68"/>
      <w:szCs w:val="68"/>
    </w:rPr>
  </w:style>
  <w:style w:type="paragraph" w:customStyle="1" w:styleId="36">
    <w:name w:val="正文文本 (5)1"/>
    <w:basedOn w:val="1"/>
    <w:qFormat/>
    <w:uiPriority w:val="99"/>
    <w:pPr>
      <w:shd w:val="clear" w:color="auto" w:fill="FFFFFF"/>
      <w:spacing w:before="2340" w:line="581" w:lineRule="exact"/>
      <w:jc w:val="center"/>
    </w:pPr>
    <w:rPr>
      <w:rFonts w:ascii="宋体" w:cs="宋体"/>
      <w:kern w:val="0"/>
      <w:sz w:val="43"/>
      <w:szCs w:val="43"/>
    </w:rPr>
  </w:style>
  <w:style w:type="paragraph" w:customStyle="1" w:styleId="37">
    <w:name w:val="正文文本 (18)"/>
    <w:basedOn w:val="1"/>
    <w:qFormat/>
    <w:uiPriority w:val="99"/>
    <w:pPr>
      <w:shd w:val="clear" w:color="auto" w:fill="FFFFFF"/>
      <w:spacing w:before="1860" w:line="509" w:lineRule="exact"/>
      <w:jc w:val="left"/>
    </w:pPr>
    <w:rPr>
      <w:rFonts w:ascii="宋体" w:hAnsi="宋体" w:cs="宋体"/>
      <w:b/>
      <w:bCs/>
      <w:spacing w:val="10"/>
      <w:kern w:val="0"/>
      <w:sz w:val="31"/>
      <w:szCs w:val="31"/>
    </w:rPr>
  </w:style>
  <w:style w:type="paragraph" w:customStyle="1" w:styleId="38">
    <w:name w:val="正文文本 (7)1"/>
    <w:basedOn w:val="1"/>
    <w:qFormat/>
    <w:uiPriority w:val="99"/>
    <w:pPr>
      <w:shd w:val="clear" w:color="auto" w:fill="FFFFFF"/>
      <w:spacing w:before="540" w:line="499" w:lineRule="exact"/>
      <w:ind w:hanging="760"/>
      <w:jc w:val="distribute"/>
    </w:pPr>
    <w:rPr>
      <w:rFonts w:ascii="宋体" w:hAnsi="宋体" w:cs="宋体"/>
      <w:spacing w:val="20"/>
      <w:kern w:val="0"/>
      <w:sz w:val="26"/>
      <w:szCs w:val="26"/>
    </w:rPr>
  </w:style>
  <w:style w:type="paragraph" w:customStyle="1" w:styleId="39">
    <w:name w:val="标题 3_0"/>
    <w:basedOn w:val="40"/>
    <w:next w:val="40"/>
    <w:qFormat/>
    <w:uiPriority w:val="99"/>
    <w:pPr>
      <w:keepNext/>
      <w:keepLines/>
      <w:spacing w:before="260" w:after="260" w:line="416" w:lineRule="auto"/>
      <w:outlineLvl w:val="2"/>
    </w:pPr>
    <w:rPr>
      <w:b/>
      <w:bCs/>
      <w:sz w:val="32"/>
      <w:szCs w:val="32"/>
    </w:rPr>
  </w:style>
  <w:style w:type="paragraph" w:customStyle="1" w:styleId="40">
    <w:name w:val="正文_2"/>
    <w:qFormat/>
    <w:uiPriority w:val="99"/>
    <w:pPr>
      <w:widowControl w:val="0"/>
      <w:jc w:val="both"/>
    </w:pPr>
    <w:rPr>
      <w:rFonts w:ascii="Calibri" w:hAnsi="Calibri" w:eastAsia="宋体" w:cs="Calibri"/>
      <w:kern w:val="2"/>
      <w:sz w:val="21"/>
      <w:szCs w:val="21"/>
      <w:lang w:val="en-US" w:eastAsia="zh-CN" w:bidi="ar-SA"/>
    </w:rPr>
  </w:style>
  <w:style w:type="paragraph" w:customStyle="1" w:styleId="41">
    <w:name w:val="纯文本_0"/>
    <w:basedOn w:val="42"/>
    <w:qFormat/>
    <w:uiPriority w:val="99"/>
    <w:rPr>
      <w:rFonts w:ascii="宋体" w:hAnsi="Courier New" w:cs="宋体"/>
    </w:rPr>
  </w:style>
  <w:style w:type="paragraph" w:customStyle="1" w:styleId="42">
    <w:name w:val="正文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
    <w:name w:val="Table Paragraph"/>
    <w:basedOn w:val="1"/>
    <w:qFormat/>
    <w:uiPriority w:val="99"/>
  </w:style>
  <w:style w:type="table" w:customStyle="1" w:styleId="44">
    <w:name w:val="Table Normal1"/>
    <w:qFormat/>
    <w:uiPriority w:val="99"/>
    <w:rPr>
      <w:kern w:val="0"/>
      <w:sz w:val="20"/>
      <w:szCs w:val="20"/>
    </w:rPr>
    <w:tblPr>
      <w:tblCellMar>
        <w:top w:w="0" w:type="dxa"/>
        <w:left w:w="0" w:type="dxa"/>
        <w:bottom w:w="0" w:type="dxa"/>
        <w:right w:w="0" w:type="dxa"/>
      </w:tblCellMar>
    </w:tblPr>
  </w:style>
  <w:style w:type="paragraph" w:customStyle="1" w:styleId="45">
    <w:name w:val="列出段落1"/>
    <w:basedOn w:val="1"/>
    <w:qFormat/>
    <w:uiPriority w:val="99"/>
    <w:pPr>
      <w:ind w:left="615" w:firstLine="480"/>
    </w:pPr>
    <w:rPr>
      <w:rFonts w:ascii="新宋体" w:hAnsi="新宋体" w:eastAsia="新宋体" w:cs="新宋体"/>
    </w:rPr>
  </w:style>
  <w:style w:type="paragraph" w:customStyle="1" w:styleId="46">
    <w:name w:val="表格文本"/>
    <w:basedOn w:val="1"/>
    <w:qFormat/>
    <w:uiPriority w:val="99"/>
    <w:pPr>
      <w:jc w:val="center"/>
    </w:pPr>
    <w:rPr>
      <w:sz w:val="24"/>
    </w:rPr>
  </w:style>
  <w:style w:type="paragraph" w:customStyle="1" w:styleId="47">
    <w:name w:val="正文_0_1"/>
    <w:qFormat/>
    <w:uiPriority w:val="99"/>
    <w:pPr>
      <w:widowControl w:val="0"/>
      <w:jc w:val="both"/>
    </w:pPr>
    <w:rPr>
      <w:rFonts w:ascii="Calibri" w:hAnsi="Calibri" w:eastAsia="宋体" w:cs="Times New Roman"/>
      <w:kern w:val="2"/>
      <w:sz w:val="21"/>
      <w:szCs w:val="22"/>
      <w:lang w:val="en-US" w:eastAsia="zh-CN" w:bidi="ar-SA"/>
    </w:rPr>
  </w:style>
  <w:style w:type="table" w:customStyle="1" w:styleId="48">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56</Pages>
  <Words>5316</Words>
  <Characters>30304</Characters>
  <Lines>0</Lines>
  <Paragraphs>0</Paragraphs>
  <TotalTime>15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2019-11-11T00:12:00Z</dcterms:created>
  <dc:creator>NTKO</dc:creator>
  <cp:lastModifiedBy>小 师 弟</cp:lastModifiedBy>
  <cp:lastPrinted>2020-10-15T02:37:00Z</cp:lastPrinted>
  <dcterms:modified xsi:type="dcterms:W3CDTF">2020-12-21T01:00:00Z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