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1"/>
          <w:sz w:val="24"/>
          <w:szCs w:val="24"/>
          <w:lang w:eastAsia="zh-CN"/>
        </w:rPr>
      </w:pPr>
      <w:bookmarkStart w:id="1" w:name="_GoBack"/>
      <w:bookmarkStart w:id="0" w:name="_Toc2785_WPSOffice_Level1"/>
      <w:r>
        <w:rPr>
          <w:rFonts w:hint="eastAsia" w:ascii="方正小标宋简体" w:hAnsi="方正小标宋简体" w:eastAsia="方正小标宋简体" w:cs="方正小标宋简体"/>
          <w:kern w:val="1"/>
          <w:sz w:val="32"/>
          <w:szCs w:val="32"/>
          <w:lang w:eastAsia="zh-CN"/>
        </w:rPr>
        <w:t>省化小区加压设备控制系统要求及参数</w:t>
      </w:r>
    </w:p>
    <w:bookmarkEnd w:id="1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宋体"/>
          <w:b/>
          <w:bCs/>
          <w:color w:val="auto"/>
          <w:kern w:val="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一、设备技术规格要求</w:t>
      </w:r>
      <w:bookmarkEnd w:id="0"/>
    </w:p>
    <w:tbl>
      <w:tblPr>
        <w:tblStyle w:val="5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505"/>
        <w:gridCol w:w="1272"/>
        <w:gridCol w:w="217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1"/>
                <w:sz w:val="24"/>
                <w:szCs w:val="24"/>
              </w:rPr>
              <w:t>项目名称</w:t>
            </w:r>
          </w:p>
        </w:tc>
        <w:tc>
          <w:tcPr>
            <w:tcW w:w="2505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1"/>
                <w:sz w:val="24"/>
                <w:szCs w:val="24"/>
              </w:rPr>
              <w:t>规格参数</w:t>
            </w:r>
          </w:p>
        </w:tc>
        <w:tc>
          <w:tcPr>
            <w:tcW w:w="1272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1"/>
                <w:sz w:val="24"/>
                <w:szCs w:val="24"/>
              </w:rPr>
              <w:t>数量（套）</w:t>
            </w:r>
          </w:p>
        </w:tc>
        <w:tc>
          <w:tcPr>
            <w:tcW w:w="217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1"/>
                <w:sz w:val="24"/>
                <w:szCs w:val="24"/>
              </w:rPr>
              <w:t>选配标准化泵房</w:t>
            </w:r>
          </w:p>
        </w:tc>
        <w:tc>
          <w:tcPr>
            <w:tcW w:w="1774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168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hint="eastAsia" w:eastAsia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1"/>
                <w:sz w:val="24"/>
                <w:szCs w:val="24"/>
                <w:lang w:eastAsia="zh-CN"/>
              </w:rPr>
              <w:t>省化小区加压设备控制系统采购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74栋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32</w:t>
            </w:r>
            <w:r>
              <w:rPr>
                <w:rFonts w:ascii="仿宋" w:hAnsi="仿宋" w:eastAsia="仿宋" w:cs="仿宋"/>
                <w:b/>
                <w:bCs/>
              </w:rPr>
              <w:t>m</w:t>
            </w:r>
            <w:r>
              <w:rPr>
                <w:rFonts w:ascii="仿宋" w:hAnsi="仿宋" w:eastAsia="仿宋" w:cs="仿宋"/>
                <w:b/>
                <w:bCs/>
                <w:vertAlign w:val="superscript"/>
              </w:rPr>
              <w:t>3</w:t>
            </w:r>
            <w:r>
              <w:rPr>
                <w:rFonts w:ascii="仿宋" w:hAnsi="仿宋" w:eastAsia="仿宋" w:cs="仿宋"/>
                <w:b/>
                <w:bCs/>
              </w:rPr>
              <w:t>/h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b/>
                <w:bCs/>
              </w:rPr>
              <w:t>5m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水泵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（每台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val="en-US" w:eastAsia="zh-CN"/>
              </w:rPr>
              <w:t>15KW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</w:rPr>
              <w:t>变频，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用一备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  <w:r>
              <w:rPr>
                <w:rFonts w:eastAsia="宋体"/>
                <w:kern w:val="1"/>
                <w:sz w:val="24"/>
                <w:szCs w:val="24"/>
              </w:rPr>
              <w:t>1</w:t>
            </w:r>
          </w:p>
        </w:tc>
        <w:tc>
          <w:tcPr>
            <w:tcW w:w="217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kern w:val="1"/>
                <w:sz w:val="24"/>
                <w:szCs w:val="24"/>
              </w:rPr>
              <w:t>视频</w:t>
            </w:r>
            <w:r>
              <w:rPr>
                <w:rFonts w:hint="eastAsia" w:eastAsia="宋体"/>
                <w:kern w:val="1"/>
                <w:sz w:val="24"/>
                <w:szCs w:val="24"/>
                <w:lang w:eastAsia="zh-CN"/>
              </w:rPr>
              <w:t>监控</w:t>
            </w:r>
            <w:r>
              <w:rPr>
                <w:rFonts w:hint="eastAsia" w:eastAsia="宋体"/>
                <w:kern w:val="1"/>
                <w:sz w:val="24"/>
                <w:szCs w:val="24"/>
              </w:rPr>
              <w:t>系统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both"/>
              <w:rPr>
                <w:rFonts w:eastAsia="宋体"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kern w:val="1"/>
                <w:sz w:val="24"/>
                <w:szCs w:val="24"/>
                <w:lang w:eastAsia="zh-CN"/>
              </w:rPr>
              <w:t>单</w:t>
            </w:r>
            <w:r>
              <w:rPr>
                <w:rFonts w:hint="eastAsia" w:eastAsia="宋体"/>
                <w:kern w:val="1"/>
                <w:sz w:val="24"/>
                <w:szCs w:val="24"/>
              </w:rPr>
              <w:t>变频，</w:t>
            </w:r>
            <w:r>
              <w:rPr>
                <w:rFonts w:hint="eastAsia" w:eastAsia="宋体"/>
                <w:kern w:val="1"/>
                <w:sz w:val="24"/>
                <w:szCs w:val="24"/>
                <w:lang w:eastAsia="zh-CN"/>
              </w:rPr>
              <w:t>水泵一</w:t>
            </w:r>
            <w:r>
              <w:rPr>
                <w:rFonts w:hint="eastAsia" w:eastAsia="宋体"/>
                <w:kern w:val="1"/>
                <w:sz w:val="24"/>
                <w:szCs w:val="24"/>
              </w:rPr>
              <w:t>用一备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8" w:type="dxa"/>
            <w:vMerge w:val="continue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  <w:r>
              <w:rPr>
                <w:rFonts w:hint="eastAsia" w:eastAsia="宋体"/>
                <w:kern w:val="1"/>
                <w:sz w:val="24"/>
                <w:szCs w:val="24"/>
              </w:rPr>
              <w:t>数据采集传送系统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eastAsia="宋体"/>
                <w:kern w:val="1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加压设备控制系统</w:t>
      </w:r>
    </w:p>
    <w:tbl>
      <w:tblPr>
        <w:tblStyle w:val="6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412"/>
        <w:gridCol w:w="2414"/>
        <w:gridCol w:w="782"/>
        <w:gridCol w:w="7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4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241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规格性能</w:t>
            </w:r>
          </w:p>
        </w:tc>
        <w:tc>
          <w:tcPr>
            <w:tcW w:w="7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76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8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控制系统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A: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供水专用变频器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B: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供水专用智能控制集成系统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人机界面触摸屏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时控单元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PLC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控制器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模拟量输入与处理模块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过热保护系统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过流保护系统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超压保护系统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数据采集系统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智能数据存储系统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压力补偿系统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压力检测系统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水泵自动定时切换系统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软件包含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故障自动处理系统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C: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控制开关电源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D: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低压电器配电部分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断路器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交流接触器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中间继电器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热继电器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电流互感器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E: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双重防雷保护系统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F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：电气隔离系统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G: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远程监测、视频监控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数据检测处理模块、通讯接口、中心监控软件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H: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控制按钮操作单元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旋转开关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指示灯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数字电压表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数字电流表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I: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柜体及附件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喷塑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H: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座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控制柜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配套专用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设备配套仪表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设备整体配套专用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包含压力表、流量计等设备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压力开关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其它辅材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zh-CN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zh-CN" w:eastAsia="zh-CN" w:bidi="ar-SA"/>
        </w:rPr>
        <w:t>三、标准泵房清单表</w:t>
      </w:r>
    </w:p>
    <w:tbl>
      <w:tblPr>
        <w:tblStyle w:val="5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283"/>
        <w:gridCol w:w="1133"/>
        <w:gridCol w:w="2500"/>
        <w:gridCol w:w="920"/>
        <w:gridCol w:w="925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35" w:type="dxa"/>
          </w:tcPr>
          <w:p>
            <w:pPr>
              <w:pStyle w:val="9"/>
              <w:spacing w:before="163"/>
              <w:ind w:left="9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83" w:type="dxa"/>
          </w:tcPr>
          <w:p>
            <w:pPr>
              <w:pStyle w:val="9"/>
              <w:spacing w:before="163"/>
              <w:ind w:left="4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体系名称</w:t>
            </w:r>
          </w:p>
        </w:tc>
        <w:tc>
          <w:tcPr>
            <w:tcW w:w="1133" w:type="dxa"/>
          </w:tcPr>
          <w:p>
            <w:pPr>
              <w:pStyle w:val="9"/>
              <w:spacing w:before="163"/>
              <w:ind w:left="4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系统名称</w:t>
            </w:r>
          </w:p>
        </w:tc>
        <w:tc>
          <w:tcPr>
            <w:tcW w:w="2500" w:type="dxa"/>
          </w:tcPr>
          <w:p>
            <w:pPr>
              <w:pStyle w:val="9"/>
              <w:spacing w:before="163"/>
              <w:ind w:left="94" w:right="8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20" w:type="dxa"/>
          </w:tcPr>
          <w:p>
            <w:pPr>
              <w:pStyle w:val="9"/>
              <w:spacing w:before="163"/>
              <w:ind w:left="194" w:right="18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25" w:type="dxa"/>
          </w:tcPr>
          <w:p>
            <w:pPr>
              <w:pStyle w:val="9"/>
              <w:spacing w:before="163"/>
              <w:ind w:left="179" w:right="16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327" w:type="dxa"/>
          </w:tcPr>
          <w:p>
            <w:pPr>
              <w:pStyle w:val="9"/>
              <w:spacing w:before="163"/>
              <w:ind w:left="192" w:right="181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配置说明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35" w:type="dxa"/>
            <w:vMerge w:val="restart"/>
          </w:tcPr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83" w:type="dxa"/>
            <w:vMerge w:val="restart"/>
          </w:tcPr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安防视频监控体系</w:t>
            </w:r>
          </w:p>
        </w:tc>
        <w:tc>
          <w:tcPr>
            <w:tcW w:w="1133" w:type="dxa"/>
            <w:vMerge w:val="restart"/>
          </w:tcPr>
          <w:p>
            <w:pPr>
              <w:pStyle w:val="9"/>
              <w:spacing w:before="165" w:line="242" w:lineRule="auto"/>
              <w:ind w:right="32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165" w:line="242" w:lineRule="auto"/>
              <w:ind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视频监控系统</w:t>
            </w:r>
          </w:p>
        </w:tc>
        <w:tc>
          <w:tcPr>
            <w:tcW w:w="2500" w:type="dxa"/>
          </w:tcPr>
          <w:p>
            <w:pPr>
              <w:pStyle w:val="9"/>
              <w:spacing w:before="52"/>
              <w:ind w:left="94" w:right="8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球机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10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pStyle w:val="9"/>
              <w:spacing w:before="52"/>
              <w:ind w:left="190" w:right="181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像素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400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硬盘录像机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存储硬盘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辅材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  <w:vMerge w:val="restart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  <w:vMerge w:val="restart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配套摄像机安装的安装支架、电源、电线电缆等辅件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配件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35" w:type="dxa"/>
            <w:vMerge w:val="restart"/>
          </w:tcPr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ind w:left="11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ind w:left="11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ind w:left="11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ind w:left="11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283" w:type="dxa"/>
            <w:vMerge w:val="restart"/>
          </w:tcPr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11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数据采集及传输体系</w:t>
            </w:r>
          </w:p>
        </w:tc>
        <w:tc>
          <w:tcPr>
            <w:tcW w:w="1133" w:type="dxa"/>
            <w:vMerge w:val="restart"/>
          </w:tcPr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12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45" w:right="3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基础网络通信系统</w:t>
            </w:r>
          </w:p>
        </w:tc>
        <w:tc>
          <w:tcPr>
            <w:tcW w:w="2500" w:type="dxa"/>
            <w:vAlign w:val="center"/>
          </w:tcPr>
          <w:p>
            <w:pPr>
              <w:pStyle w:val="9"/>
              <w:spacing w:before="90"/>
              <w:ind w:right="82" w:firstLine="240" w:firstLineChars="10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独立控制柜柜体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pStyle w:val="9"/>
              <w:spacing w:before="90"/>
              <w:ind w:left="94" w:right="82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1.5mm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冷轧板喷涂，尺寸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400*700*1700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，带底座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液晶触摸屏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PLC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可编程控制器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交换机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VPN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路由器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流量、压力采集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配备压力表及流量计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35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基础网络链路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电信、移动、联通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83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电气元器件</w:t>
            </w:r>
          </w:p>
        </w:tc>
        <w:tc>
          <w:tcPr>
            <w:tcW w:w="920" w:type="dxa"/>
            <w:tcBorders>
              <w:bottom w:val="single" w:color="auto" w:sz="4" w:space="0"/>
            </w:tcBorders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925" w:type="dxa"/>
            <w:tcBorders>
              <w:bottom w:val="single" w:color="auto" w:sz="4" w:space="0"/>
            </w:tcBorders>
          </w:tcPr>
          <w:p>
            <w:pPr>
              <w:pStyle w:val="9"/>
              <w:spacing w:before="52"/>
              <w:ind w:left="9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施耐德为主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00F"/>
    <w:multiLevelType w:val="singleLevel"/>
    <w:tmpl w:val="5FFC100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1023"/>
    <w:rsid w:val="0E9D1B3F"/>
    <w:rsid w:val="0ED76223"/>
    <w:rsid w:val="12734EEF"/>
    <w:rsid w:val="1D7850CF"/>
    <w:rsid w:val="28EF0A2D"/>
    <w:rsid w:val="29384216"/>
    <w:rsid w:val="45FE17E8"/>
    <w:rsid w:val="544F1023"/>
    <w:rsid w:val="577F5225"/>
    <w:rsid w:val="6A340F88"/>
    <w:rsid w:val="6D4848B7"/>
    <w:rsid w:val="6FDC51C8"/>
    <w:rsid w:val="74644860"/>
    <w:rsid w:val="77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公正文"/>
    <w:basedOn w:val="3"/>
    <w:qFormat/>
    <w:uiPriority w:val="99"/>
    <w:pPr>
      <w:snapToGrid w:val="0"/>
      <w:spacing w:line="355" w:lineRule="auto"/>
      <w:ind w:firstLine="200" w:firstLineChars="200"/>
    </w:pPr>
    <w:rPr>
      <w:rFonts w:ascii="宋体" w:hAnsi="宋体" w:eastAsia="仿宋_GB2312" w:cs="宋体"/>
      <w:sz w:val="28"/>
      <w:szCs w:val="28"/>
    </w:rPr>
  </w:style>
  <w:style w:type="paragraph" w:customStyle="1" w:styleId="9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2021-01-11T08:02:00Z</dcterms:created>
  <dc:creator>Administrator</dc:creator>
  <cp:lastModifiedBy>雷雷</cp:lastModifiedBy>
  <dcterms:modified xsi:type="dcterms:W3CDTF">2021-01-22T07:31:22Z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