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新宋体" w:hAnsi="新宋体" w:eastAsia="新宋体" w:cs="新宋体"/>
          <w:b/>
          <w:bCs/>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新宋体" w:hAnsi="新宋体" w:eastAsia="新宋体"/>
          <w:b/>
          <w:bCs/>
          <w:color w:val="auto"/>
          <w:sz w:val="26"/>
          <w:szCs w:val="26"/>
          <w:highlight w:val="none"/>
        </w:rPr>
      </w:pPr>
      <w:r>
        <w:rPr>
          <w:rFonts w:hint="eastAsia" w:ascii="新宋体" w:hAnsi="新宋体" w:eastAsia="新宋体" w:cs="新宋体"/>
          <w:b/>
          <w:bCs/>
          <w:color w:val="auto"/>
          <w:sz w:val="52"/>
          <w:szCs w:val="52"/>
          <w:highlight w:val="none"/>
          <w:lang w:eastAsia="zh-CN"/>
        </w:rPr>
        <w:t>金润源、金源、国资中心财产保险采购</w:t>
      </w:r>
    </w:p>
    <w:p>
      <w:pPr>
        <w:tabs>
          <w:tab w:val="left" w:pos="6611"/>
        </w:tabs>
        <w:spacing w:before="240" w:line="1360" w:lineRule="exact"/>
        <w:rPr>
          <w:rFonts w:hint="eastAsia" w:ascii="新宋体" w:hAnsi="新宋体" w:eastAsia="新宋体"/>
          <w:b/>
          <w:bCs/>
          <w:color w:val="auto"/>
          <w:sz w:val="52"/>
          <w:szCs w:val="52"/>
          <w:highlight w:val="none"/>
          <w:lang w:eastAsia="zh-CN"/>
        </w:rPr>
      </w:pPr>
      <w:r>
        <w:rPr>
          <w:rFonts w:hint="eastAsia" w:ascii="新宋体" w:hAnsi="新宋体" w:eastAsia="新宋体"/>
          <w:b/>
          <w:bCs/>
          <w:color w:val="auto"/>
          <w:sz w:val="52"/>
          <w:szCs w:val="52"/>
          <w:highlight w:val="none"/>
          <w:lang w:eastAsia="zh-CN"/>
        </w:rPr>
        <w:tab/>
      </w:r>
    </w:p>
    <w:p>
      <w:pPr>
        <w:spacing w:before="240" w:line="1360" w:lineRule="exact"/>
        <w:jc w:val="center"/>
        <w:rPr>
          <w:rFonts w:ascii="新宋体" w:hAnsi="新宋体" w:eastAsia="新宋体"/>
          <w:b/>
          <w:bCs/>
          <w:color w:val="auto"/>
          <w:sz w:val="72"/>
          <w:szCs w:val="72"/>
          <w:highlight w:val="none"/>
        </w:rPr>
      </w:pPr>
      <w:r>
        <w:rPr>
          <w:rFonts w:hint="eastAsia" w:ascii="新宋体" w:hAnsi="新宋体" w:eastAsia="新宋体" w:cs="新宋体"/>
          <w:b/>
          <w:bCs/>
          <w:color w:val="auto"/>
          <w:sz w:val="72"/>
          <w:szCs w:val="72"/>
          <w:highlight w:val="none"/>
        </w:rPr>
        <w:t>竞争性磋商文件</w:t>
      </w:r>
    </w:p>
    <w:p>
      <w:pPr>
        <w:spacing w:before="240" w:line="1360" w:lineRule="exact"/>
        <w:jc w:val="center"/>
        <w:rPr>
          <w:rFonts w:hint="eastAsia" w:ascii="新宋体" w:hAnsi="新宋体" w:eastAsia="新宋体"/>
          <w:b/>
          <w:bCs/>
          <w:color w:val="auto"/>
          <w:sz w:val="72"/>
          <w:szCs w:val="72"/>
          <w:highlight w:val="none"/>
          <w:lang w:eastAsia="zh-CN"/>
        </w:rPr>
      </w:pPr>
      <w:r>
        <w:rPr>
          <w:rFonts w:hint="eastAsia" w:ascii="新宋体" w:hAnsi="新宋体" w:eastAsia="新宋体" w:cs="新宋体"/>
          <w:b/>
          <w:bCs/>
          <w:color w:val="auto"/>
          <w:sz w:val="36"/>
          <w:szCs w:val="36"/>
          <w:highlight w:val="none"/>
        </w:rPr>
        <w:t>项目编号：</w:t>
      </w:r>
      <w:r>
        <w:rPr>
          <w:rFonts w:hint="eastAsia" w:ascii="新宋体" w:hAnsi="新宋体" w:eastAsia="新宋体" w:cs="新宋体"/>
          <w:b/>
          <w:bCs/>
          <w:color w:val="auto"/>
          <w:sz w:val="36"/>
          <w:szCs w:val="36"/>
          <w:highlight w:val="none"/>
          <w:lang w:eastAsia="zh-CN"/>
        </w:rPr>
        <w:t>Zjjry2020-Z063</w:t>
      </w:r>
    </w:p>
    <w:p>
      <w:pPr>
        <w:jc w:val="center"/>
        <w:rPr>
          <w:rFonts w:ascii="新宋体" w:hAnsi="新宋体" w:eastAsia="新宋体"/>
          <w:color w:val="auto"/>
          <w:sz w:val="44"/>
          <w:szCs w:val="44"/>
          <w:highlight w:val="none"/>
        </w:rPr>
      </w:pPr>
    </w:p>
    <w:p>
      <w:pPr>
        <w:jc w:val="center"/>
        <w:rPr>
          <w:rFonts w:ascii="新宋体" w:hAnsi="新宋体" w:eastAsia="新宋体"/>
          <w:color w:val="auto"/>
          <w:sz w:val="44"/>
          <w:szCs w:val="44"/>
          <w:highlight w:val="none"/>
        </w:rPr>
      </w:pPr>
    </w:p>
    <w:p>
      <w:pPr>
        <w:jc w:val="center"/>
        <w:rPr>
          <w:rFonts w:ascii="新宋体" w:hAnsi="新宋体" w:eastAsia="新宋体"/>
          <w:color w:val="auto"/>
          <w:sz w:val="44"/>
          <w:szCs w:val="44"/>
          <w:highlight w:val="none"/>
        </w:rPr>
      </w:pPr>
    </w:p>
    <w:p>
      <w:pPr>
        <w:jc w:val="center"/>
        <w:rPr>
          <w:rFonts w:ascii="新宋体" w:hAnsi="新宋体" w:eastAsia="新宋体"/>
          <w:color w:val="auto"/>
          <w:sz w:val="44"/>
          <w:szCs w:val="44"/>
          <w:highlight w:val="none"/>
        </w:rPr>
      </w:pPr>
    </w:p>
    <w:p>
      <w:pPr>
        <w:jc w:val="center"/>
        <w:rPr>
          <w:rFonts w:ascii="新宋体" w:hAnsi="新宋体" w:eastAsia="新宋体"/>
          <w:color w:val="auto"/>
          <w:sz w:val="44"/>
          <w:szCs w:val="44"/>
          <w:highlight w:val="none"/>
        </w:rPr>
      </w:pPr>
    </w:p>
    <w:p>
      <w:pPr>
        <w:pStyle w:val="2"/>
      </w:pPr>
    </w:p>
    <w:p>
      <w:pPr>
        <w:spacing w:line="500" w:lineRule="exact"/>
        <w:jc w:val="center"/>
        <w:rPr>
          <w:rFonts w:hint="eastAsia" w:ascii="新宋体" w:hAnsi="新宋体" w:eastAsia="新宋体"/>
          <w:b/>
          <w:bCs/>
          <w:color w:val="auto"/>
          <w:spacing w:val="-10"/>
          <w:sz w:val="32"/>
          <w:szCs w:val="32"/>
          <w:highlight w:val="none"/>
          <w:lang w:eastAsia="zh-CN"/>
        </w:rPr>
      </w:pPr>
      <w:r>
        <w:rPr>
          <w:rFonts w:hint="eastAsia" w:ascii="新宋体" w:hAnsi="新宋体" w:eastAsia="新宋体" w:cs="新宋体"/>
          <w:b/>
          <w:bCs/>
          <w:color w:val="auto"/>
          <w:spacing w:val="-10"/>
          <w:sz w:val="32"/>
          <w:szCs w:val="32"/>
          <w:highlight w:val="none"/>
        </w:rPr>
        <w:t>采购人：</w:t>
      </w:r>
      <w:r>
        <w:rPr>
          <w:rFonts w:hint="eastAsia" w:ascii="新宋体" w:hAnsi="新宋体" w:eastAsia="新宋体" w:cs="新宋体"/>
          <w:b/>
          <w:bCs/>
          <w:color w:val="auto"/>
          <w:spacing w:val="-10"/>
          <w:sz w:val="32"/>
          <w:szCs w:val="32"/>
          <w:highlight w:val="none"/>
          <w:lang w:eastAsia="zh-CN"/>
        </w:rPr>
        <w:t>枝江金润源建设投资控股集团有限公司</w:t>
      </w:r>
    </w:p>
    <w:p>
      <w:pPr>
        <w:spacing w:line="800" w:lineRule="exact"/>
        <w:jc w:val="center"/>
        <w:rPr>
          <w:rFonts w:ascii="新宋体" w:hAnsi="新宋体" w:eastAsia="新宋体"/>
          <w:b/>
          <w:bCs/>
          <w:color w:val="auto"/>
          <w:spacing w:val="-10"/>
          <w:sz w:val="32"/>
          <w:szCs w:val="32"/>
          <w:highlight w:val="none"/>
        </w:rPr>
      </w:pPr>
      <w:r>
        <w:rPr>
          <w:rFonts w:hint="eastAsia" w:ascii="新宋体" w:hAnsi="新宋体" w:eastAsia="新宋体" w:cs="新宋体"/>
          <w:b/>
          <w:bCs/>
          <w:color w:val="auto"/>
          <w:spacing w:val="-10"/>
          <w:sz w:val="32"/>
          <w:szCs w:val="32"/>
          <w:highlight w:val="none"/>
        </w:rPr>
        <w:t>采购代理机构：湖北恒基建设工程项目管理有限公司</w:t>
      </w:r>
    </w:p>
    <w:p>
      <w:pPr>
        <w:spacing w:line="700" w:lineRule="exact"/>
        <w:jc w:val="center"/>
        <w:rPr>
          <w:rFonts w:hint="default" w:ascii="新宋体" w:hAnsi="新宋体" w:eastAsia="新宋体"/>
          <w:b/>
          <w:bCs/>
          <w:color w:val="auto"/>
          <w:sz w:val="32"/>
          <w:szCs w:val="32"/>
          <w:highlight w:val="none"/>
          <w:lang w:val="en-US" w:eastAsia="zh-CN"/>
        </w:rPr>
        <w:sectPr>
          <w:headerReference r:id="rId4" w:type="first"/>
          <w:footerReference r:id="rId6" w:type="first"/>
          <w:headerReference r:id="rId3" w:type="default"/>
          <w:footerReference r:id="rId5" w:type="default"/>
          <w:pgSz w:w="11909" w:h="16840"/>
          <w:pgMar w:top="1474" w:right="1474" w:bottom="1474" w:left="1474" w:header="454" w:footer="6" w:gutter="0"/>
          <w:pgNumType w:start="1"/>
          <w:cols w:space="720" w:num="1"/>
          <w:titlePg/>
          <w:docGrid w:linePitch="360" w:charSpace="0"/>
        </w:sectPr>
      </w:pPr>
      <w:r>
        <w:rPr>
          <w:rFonts w:hint="eastAsia" w:ascii="新宋体" w:hAnsi="新宋体" w:eastAsia="新宋体" w:cs="新宋体"/>
          <w:b/>
          <w:bCs/>
          <w:color w:val="auto"/>
          <w:spacing w:val="-10"/>
          <w:sz w:val="32"/>
          <w:szCs w:val="32"/>
          <w:highlight w:val="none"/>
        </w:rPr>
        <w:t>二零</w:t>
      </w:r>
      <w:r>
        <w:rPr>
          <w:rFonts w:hint="eastAsia" w:ascii="新宋体" w:hAnsi="新宋体" w:eastAsia="新宋体" w:cs="新宋体"/>
          <w:b/>
          <w:bCs/>
          <w:color w:val="auto"/>
          <w:spacing w:val="-10"/>
          <w:sz w:val="32"/>
          <w:szCs w:val="32"/>
          <w:highlight w:val="none"/>
          <w:lang w:eastAsia="zh-CN"/>
        </w:rPr>
        <w:t>二零年十</w:t>
      </w:r>
      <w:r>
        <w:rPr>
          <w:rFonts w:hint="eastAsia" w:ascii="新宋体" w:hAnsi="新宋体" w:eastAsia="新宋体" w:cs="新宋体"/>
          <w:b/>
          <w:bCs/>
          <w:color w:val="auto"/>
          <w:spacing w:val="-10"/>
          <w:sz w:val="32"/>
          <w:szCs w:val="32"/>
          <w:highlight w:val="none"/>
          <w:lang w:val="en-US" w:eastAsia="zh-CN"/>
        </w:rPr>
        <w:t>一月</w:t>
      </w:r>
    </w:p>
    <w:p>
      <w:pPr>
        <w:pStyle w:val="24"/>
        <w:tabs>
          <w:tab w:val="right" w:leader="dot" w:pos="8961"/>
        </w:tabs>
        <w:jc w:val="both"/>
        <w:rPr>
          <w:b/>
          <w:bCs/>
          <w:color w:val="auto"/>
          <w:highlight w:val="none"/>
        </w:rPr>
      </w:pPr>
    </w:p>
    <w:p>
      <w:pPr>
        <w:pStyle w:val="3"/>
        <w:kinsoku w:val="0"/>
        <w:overflowPunct w:val="0"/>
        <w:autoSpaceDE w:val="0"/>
        <w:autoSpaceDN w:val="0"/>
        <w:adjustRightInd w:val="0"/>
        <w:snapToGrid w:val="0"/>
        <w:spacing w:line="240" w:lineRule="auto"/>
        <w:jc w:val="center"/>
        <w:rPr>
          <w:rFonts w:ascii="宋体" w:eastAsia="宋体" w:cs="Times New Roman"/>
          <w:color w:val="auto"/>
          <w:kern w:val="1"/>
          <w:sz w:val="36"/>
          <w:szCs w:val="36"/>
          <w:highlight w:val="none"/>
        </w:rPr>
      </w:pPr>
      <w:bookmarkStart w:id="0" w:name="_Toc6578153"/>
      <w:bookmarkStart w:id="1" w:name="_Toc31221"/>
      <w:r>
        <w:rPr>
          <w:rFonts w:hint="eastAsia" w:ascii="宋体" w:hAnsi="宋体"/>
          <w:color w:val="auto"/>
          <w:kern w:val="1"/>
          <w:sz w:val="36"/>
          <w:szCs w:val="36"/>
          <w:highlight w:val="none"/>
        </w:rPr>
        <w:t>前</w:t>
      </w:r>
      <w:r>
        <w:rPr>
          <w:rFonts w:ascii="宋体" w:hAnsi="宋体" w:cs="宋体"/>
          <w:color w:val="auto"/>
          <w:kern w:val="1"/>
          <w:sz w:val="36"/>
          <w:szCs w:val="36"/>
          <w:highlight w:val="none"/>
        </w:rPr>
        <w:t xml:space="preserve">    </w:t>
      </w:r>
      <w:r>
        <w:rPr>
          <w:rFonts w:hint="eastAsia" w:ascii="宋体" w:hAnsi="宋体"/>
          <w:color w:val="auto"/>
          <w:kern w:val="1"/>
          <w:sz w:val="36"/>
          <w:szCs w:val="36"/>
          <w:highlight w:val="none"/>
        </w:rPr>
        <w:t>附</w:t>
      </w:r>
      <w:r>
        <w:rPr>
          <w:rFonts w:ascii="宋体" w:hAnsi="宋体" w:cs="宋体"/>
          <w:color w:val="auto"/>
          <w:kern w:val="1"/>
          <w:sz w:val="36"/>
          <w:szCs w:val="36"/>
          <w:highlight w:val="none"/>
        </w:rPr>
        <w:t xml:space="preserve">   </w:t>
      </w:r>
      <w:r>
        <w:rPr>
          <w:rFonts w:hint="eastAsia" w:ascii="宋体" w:hAnsi="宋体"/>
          <w:color w:val="auto"/>
          <w:kern w:val="1"/>
          <w:sz w:val="36"/>
          <w:szCs w:val="36"/>
          <w:highlight w:val="none"/>
        </w:rPr>
        <w:t>表</w:t>
      </w:r>
      <w:bookmarkEnd w:id="0"/>
      <w:bookmarkEnd w:id="1"/>
    </w:p>
    <w:p>
      <w:pPr>
        <w:rPr>
          <w:color w:val="auto"/>
          <w:highlight w:val="none"/>
        </w:rPr>
      </w:pPr>
    </w:p>
    <w:tbl>
      <w:tblPr>
        <w:tblStyle w:val="19"/>
        <w:tblW w:w="8516" w:type="dxa"/>
        <w:jc w:val="center"/>
        <w:tblLayout w:type="fixed"/>
        <w:tblCellMar>
          <w:top w:w="0" w:type="dxa"/>
          <w:left w:w="108" w:type="dxa"/>
          <w:bottom w:w="0" w:type="dxa"/>
          <w:right w:w="108" w:type="dxa"/>
        </w:tblCellMar>
      </w:tblPr>
      <w:tblGrid>
        <w:gridCol w:w="610"/>
        <w:gridCol w:w="1310"/>
        <w:gridCol w:w="6596"/>
      </w:tblGrid>
      <w:tr>
        <w:tblPrEx>
          <w:tblCellMar>
            <w:top w:w="0" w:type="dxa"/>
            <w:left w:w="108" w:type="dxa"/>
            <w:bottom w:w="0" w:type="dxa"/>
            <w:right w:w="108" w:type="dxa"/>
          </w:tblCellMar>
        </w:tblPrEx>
        <w:trPr>
          <w:trHeight w:val="799"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b/>
                <w:bCs/>
                <w:color w:val="auto"/>
                <w:kern w:val="1"/>
                <w:sz w:val="24"/>
                <w:szCs w:val="24"/>
                <w:highlight w:val="none"/>
              </w:rPr>
            </w:pPr>
            <w:r>
              <w:rPr>
                <w:rFonts w:hint="eastAsia" w:ascii="宋体" w:hAnsi="宋体" w:cs="宋体"/>
                <w:b/>
                <w:bCs/>
                <w:color w:val="auto"/>
                <w:kern w:val="1"/>
                <w:sz w:val="24"/>
                <w:szCs w:val="24"/>
                <w:highlight w:val="none"/>
              </w:rPr>
              <w:t>序号</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b/>
                <w:bCs/>
                <w:color w:val="auto"/>
                <w:kern w:val="1"/>
                <w:sz w:val="24"/>
                <w:szCs w:val="24"/>
                <w:highlight w:val="none"/>
              </w:rPr>
            </w:pPr>
            <w:r>
              <w:rPr>
                <w:rFonts w:hint="eastAsia" w:ascii="宋体" w:hAnsi="宋体" w:cs="宋体"/>
                <w:b/>
                <w:bCs/>
                <w:color w:val="auto"/>
                <w:kern w:val="1"/>
                <w:sz w:val="24"/>
                <w:szCs w:val="24"/>
                <w:highlight w:val="none"/>
              </w:rPr>
              <w:t>内</w:t>
            </w:r>
            <w:r>
              <w:rPr>
                <w:rFonts w:ascii="宋体" w:hAnsi="宋体" w:cs="宋体"/>
                <w:b/>
                <w:bCs/>
                <w:color w:val="auto"/>
                <w:kern w:val="1"/>
                <w:sz w:val="24"/>
                <w:szCs w:val="24"/>
                <w:highlight w:val="none"/>
              </w:rPr>
              <w:t xml:space="preserve">    </w:t>
            </w:r>
            <w:r>
              <w:rPr>
                <w:rFonts w:hint="eastAsia" w:ascii="宋体" w:hAnsi="宋体" w:cs="宋体"/>
                <w:b/>
                <w:bCs/>
                <w:color w:val="auto"/>
                <w:kern w:val="1"/>
                <w:sz w:val="24"/>
                <w:szCs w:val="24"/>
                <w:highlight w:val="none"/>
              </w:rPr>
              <w:t>容</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1180"/>
              </w:tabs>
              <w:wordWrap/>
              <w:overflowPunct/>
              <w:topLinePunct w:val="0"/>
              <w:bidi w:val="0"/>
              <w:adjustRightInd/>
              <w:spacing w:line="0" w:lineRule="atLeast"/>
              <w:jc w:val="center"/>
              <w:textAlignment w:val="auto"/>
              <w:rPr>
                <w:rFonts w:ascii="宋体"/>
                <w:b/>
                <w:bCs/>
                <w:color w:val="auto"/>
                <w:kern w:val="1"/>
                <w:sz w:val="24"/>
                <w:szCs w:val="24"/>
                <w:highlight w:val="none"/>
              </w:rPr>
            </w:pPr>
            <w:r>
              <w:rPr>
                <w:rFonts w:hint="eastAsia" w:ascii="宋体" w:hAnsi="宋体" w:cs="宋体"/>
                <w:b/>
                <w:bCs/>
                <w:color w:val="auto"/>
                <w:kern w:val="1"/>
                <w:sz w:val="24"/>
                <w:szCs w:val="24"/>
                <w:highlight w:val="none"/>
              </w:rPr>
              <w:t>说明与要求</w:t>
            </w:r>
          </w:p>
        </w:tc>
      </w:tr>
      <w:tr>
        <w:tblPrEx>
          <w:tblCellMar>
            <w:top w:w="0" w:type="dxa"/>
            <w:left w:w="108" w:type="dxa"/>
            <w:bottom w:w="0" w:type="dxa"/>
            <w:right w:w="108" w:type="dxa"/>
          </w:tblCellMar>
        </w:tblPrEx>
        <w:trPr>
          <w:trHeight w:val="609"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ascii="宋体" w:hAnsi="宋体" w:cs="宋体"/>
                <w:color w:val="auto"/>
                <w:kern w:val="1"/>
                <w:sz w:val="24"/>
                <w:szCs w:val="24"/>
                <w:highlight w:val="none"/>
              </w:rPr>
              <w:t>1</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项目名称</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eastAsia" w:ascii="宋体" w:eastAsia="宋体"/>
                <w:color w:val="auto"/>
                <w:kern w:val="1"/>
                <w:sz w:val="24"/>
                <w:szCs w:val="24"/>
                <w:highlight w:val="none"/>
                <w:lang w:eastAsia="zh-CN"/>
              </w:rPr>
            </w:pPr>
            <w:r>
              <w:rPr>
                <w:rFonts w:hint="eastAsia" w:ascii="宋体" w:hAnsi="宋体" w:cs="宋体"/>
                <w:color w:val="auto"/>
                <w:kern w:val="1"/>
                <w:sz w:val="24"/>
                <w:szCs w:val="24"/>
                <w:highlight w:val="none"/>
                <w:lang w:eastAsia="zh-CN"/>
              </w:rPr>
              <w:t>金润源、金源、国资中心财产保险采购</w:t>
            </w:r>
          </w:p>
        </w:tc>
      </w:tr>
      <w:tr>
        <w:tblPrEx>
          <w:tblCellMar>
            <w:top w:w="0" w:type="dxa"/>
            <w:left w:w="108" w:type="dxa"/>
            <w:bottom w:w="0" w:type="dxa"/>
            <w:right w:w="108" w:type="dxa"/>
          </w:tblCellMar>
        </w:tblPrEx>
        <w:trPr>
          <w:trHeight w:val="765"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ascii="宋体" w:hAnsi="宋体" w:cs="宋体"/>
                <w:color w:val="auto"/>
                <w:kern w:val="1"/>
                <w:sz w:val="24"/>
                <w:szCs w:val="24"/>
                <w:highlight w:val="none"/>
              </w:rPr>
              <w:t>2</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eastAsia" w:ascii="宋体" w:hAnsi="宋体" w:cs="宋体"/>
                <w:color w:val="auto"/>
                <w:kern w:val="1"/>
                <w:sz w:val="24"/>
                <w:szCs w:val="24"/>
                <w:highlight w:val="none"/>
                <w:lang w:eastAsia="zh-CN"/>
              </w:rPr>
            </w:pPr>
            <w:r>
              <w:rPr>
                <w:rFonts w:hint="eastAsia" w:ascii="宋体" w:hAnsi="宋体" w:cs="宋体"/>
                <w:color w:val="auto"/>
                <w:kern w:val="1"/>
                <w:sz w:val="24"/>
                <w:szCs w:val="24"/>
                <w:highlight w:val="none"/>
              </w:rPr>
              <w:t>采购内容</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eastAsia" w:ascii="宋体" w:hAnsi="宋体" w:cs="宋体"/>
                <w:color w:val="auto"/>
                <w:kern w:val="1"/>
                <w:sz w:val="24"/>
                <w:szCs w:val="24"/>
                <w:highlight w:val="none"/>
                <w:lang w:eastAsia="zh-CN"/>
              </w:rPr>
            </w:pPr>
            <w:r>
              <w:rPr>
                <w:rFonts w:hint="eastAsia" w:ascii="宋体" w:hAnsi="宋体" w:cs="宋体"/>
                <w:color w:val="auto"/>
                <w:kern w:val="1"/>
                <w:sz w:val="24"/>
                <w:szCs w:val="24"/>
                <w:highlight w:val="none"/>
                <w:lang w:eastAsia="zh-CN"/>
              </w:rPr>
              <w:t>本项目拟采购一家保险公司，购买金润源、金源、国资中心财产保险，投保险种为财产综合险。</w:t>
            </w:r>
          </w:p>
        </w:tc>
      </w:tr>
      <w:tr>
        <w:tblPrEx>
          <w:tblCellMar>
            <w:top w:w="0" w:type="dxa"/>
            <w:left w:w="108" w:type="dxa"/>
            <w:bottom w:w="0" w:type="dxa"/>
            <w:right w:w="108" w:type="dxa"/>
          </w:tblCellMar>
        </w:tblPrEx>
        <w:trPr>
          <w:trHeight w:val="520"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ascii="宋体" w:hAnsi="宋体" w:cs="宋体"/>
                <w:color w:val="auto"/>
                <w:kern w:val="1"/>
                <w:sz w:val="24"/>
                <w:szCs w:val="24"/>
                <w:highlight w:val="none"/>
              </w:rPr>
              <w:t>3</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采购方式</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ascii="宋体"/>
                <w:color w:val="auto"/>
                <w:kern w:val="1"/>
                <w:sz w:val="24"/>
                <w:szCs w:val="24"/>
                <w:highlight w:val="none"/>
              </w:rPr>
            </w:pPr>
            <w:r>
              <w:rPr>
                <w:rFonts w:hint="eastAsia" w:ascii="宋体" w:hAnsi="宋体" w:cs="宋体"/>
                <w:color w:val="auto"/>
                <w:kern w:val="1"/>
                <w:sz w:val="24"/>
                <w:szCs w:val="24"/>
                <w:highlight w:val="none"/>
              </w:rPr>
              <w:t>竞争性磋商</w:t>
            </w:r>
          </w:p>
        </w:tc>
      </w:tr>
      <w:tr>
        <w:tblPrEx>
          <w:tblCellMar>
            <w:top w:w="0" w:type="dxa"/>
            <w:left w:w="108" w:type="dxa"/>
            <w:bottom w:w="0" w:type="dxa"/>
            <w:right w:w="108" w:type="dxa"/>
          </w:tblCellMar>
        </w:tblPrEx>
        <w:trPr>
          <w:trHeight w:val="505"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ascii="宋体" w:hAnsi="宋体" w:cs="宋体"/>
                <w:color w:val="auto"/>
                <w:kern w:val="1"/>
                <w:sz w:val="24"/>
                <w:szCs w:val="24"/>
                <w:highlight w:val="none"/>
              </w:rPr>
              <w:t>4</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资金来源</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ascii="宋体"/>
                <w:color w:val="auto"/>
                <w:kern w:val="1"/>
                <w:sz w:val="24"/>
                <w:szCs w:val="24"/>
                <w:highlight w:val="none"/>
              </w:rPr>
            </w:pPr>
            <w:r>
              <w:rPr>
                <w:rFonts w:hint="eastAsia" w:ascii="宋体" w:hAnsi="宋体" w:cs="宋体"/>
                <w:color w:val="auto"/>
                <w:kern w:val="1"/>
                <w:sz w:val="24"/>
                <w:szCs w:val="24"/>
                <w:highlight w:val="none"/>
              </w:rPr>
              <w:t>企业自筹资金</w:t>
            </w:r>
          </w:p>
        </w:tc>
      </w:tr>
      <w:tr>
        <w:tblPrEx>
          <w:tblCellMar>
            <w:top w:w="0" w:type="dxa"/>
            <w:left w:w="108" w:type="dxa"/>
            <w:bottom w:w="0" w:type="dxa"/>
            <w:right w:w="108" w:type="dxa"/>
          </w:tblCellMar>
        </w:tblPrEx>
        <w:trPr>
          <w:trHeight w:val="455"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ascii="宋体" w:hAnsi="宋体" w:cs="宋体"/>
                <w:color w:val="auto"/>
                <w:kern w:val="1"/>
                <w:sz w:val="24"/>
                <w:szCs w:val="24"/>
                <w:highlight w:val="none"/>
              </w:rPr>
              <w:t>5</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eastAsia" w:ascii="宋体" w:hAnsi="宋体" w:eastAsia="宋体" w:cs="宋体"/>
                <w:color w:val="auto"/>
                <w:kern w:val="1"/>
                <w:sz w:val="24"/>
                <w:szCs w:val="24"/>
                <w:highlight w:val="none"/>
                <w:lang w:eastAsia="zh-CN"/>
              </w:rPr>
            </w:pPr>
            <w:r>
              <w:rPr>
                <w:rFonts w:hint="eastAsia" w:ascii="宋体" w:hAnsi="宋体" w:cs="宋体"/>
                <w:color w:val="auto"/>
                <w:kern w:val="1"/>
                <w:sz w:val="24"/>
                <w:szCs w:val="24"/>
                <w:highlight w:val="none"/>
                <w:lang w:val="en-US" w:eastAsia="zh-CN"/>
              </w:rPr>
              <w:t>保险</w:t>
            </w:r>
            <w:r>
              <w:rPr>
                <w:rFonts w:hint="eastAsia" w:ascii="宋体" w:hAnsi="宋体" w:cs="宋体"/>
                <w:color w:val="auto"/>
                <w:kern w:val="1"/>
                <w:sz w:val="24"/>
                <w:szCs w:val="24"/>
                <w:highlight w:val="none"/>
                <w:lang w:eastAsia="zh-CN"/>
              </w:rPr>
              <w:t>期限</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eastAsia" w:ascii="宋体" w:hAnsi="宋体" w:eastAsia="宋体" w:cs="宋体"/>
                <w:color w:val="auto"/>
                <w:kern w:val="1"/>
                <w:sz w:val="24"/>
                <w:szCs w:val="24"/>
                <w:highlight w:val="none"/>
                <w:lang w:eastAsia="zh-CN"/>
              </w:rPr>
            </w:pPr>
            <w:r>
              <w:rPr>
                <w:rFonts w:hint="eastAsia" w:ascii="宋体" w:hAnsi="宋体" w:cs="宋体"/>
                <w:color w:val="auto"/>
                <w:kern w:val="1"/>
                <w:sz w:val="24"/>
                <w:szCs w:val="24"/>
                <w:highlight w:val="none"/>
                <w:lang w:val="en-US" w:eastAsia="zh-CN"/>
              </w:rPr>
              <w:t>一年</w:t>
            </w:r>
          </w:p>
        </w:tc>
      </w:tr>
      <w:tr>
        <w:tblPrEx>
          <w:tblCellMar>
            <w:top w:w="0" w:type="dxa"/>
            <w:left w:w="108" w:type="dxa"/>
            <w:bottom w:w="0" w:type="dxa"/>
            <w:right w:w="108" w:type="dxa"/>
          </w:tblCellMar>
        </w:tblPrEx>
        <w:trPr>
          <w:trHeight w:val="1221"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eastAsia="宋体"/>
                <w:color w:val="auto"/>
                <w:kern w:val="1"/>
                <w:sz w:val="24"/>
                <w:szCs w:val="24"/>
                <w:highlight w:val="none"/>
                <w:lang w:val="en-US" w:eastAsia="zh-CN"/>
              </w:rPr>
            </w:pPr>
            <w:r>
              <w:rPr>
                <w:rFonts w:hint="eastAsia" w:ascii="宋体"/>
                <w:color w:val="auto"/>
                <w:kern w:val="1"/>
                <w:sz w:val="24"/>
                <w:szCs w:val="24"/>
                <w:highlight w:val="none"/>
                <w:lang w:val="en-US" w:eastAsia="zh-CN"/>
              </w:rPr>
              <w:t>6</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供应商</w:t>
            </w:r>
          </w:p>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资格要求</w:t>
            </w:r>
          </w:p>
        </w:tc>
        <w:tc>
          <w:tcPr>
            <w:tcW w:w="6596" w:type="dxa"/>
            <w:tcBorders>
              <w:top w:val="single" w:color="000000" w:sz="4" w:space="0"/>
              <w:left w:val="single" w:color="000000" w:sz="4" w:space="0"/>
              <w:bottom w:val="single" w:color="000000" w:sz="4" w:space="0"/>
              <w:right w:val="single" w:color="000000" w:sz="4" w:space="0"/>
            </w:tcBorders>
            <w:vAlign w:val="center"/>
          </w:tcPr>
          <w:p>
            <w:pPr>
              <w:pStyle w:val="2"/>
              <w:kinsoku w:val="0"/>
              <w:autoSpaceDE w:val="0"/>
              <w:autoSpaceDN w:val="0"/>
              <w:spacing w:line="288" w:lineRule="auto"/>
              <w:ind w:firstLine="240" w:firstLineChars="100"/>
              <w:rPr>
                <w:rFonts w:ascii="宋体" w:eastAsia="宋体"/>
                <w:color w:val="auto"/>
                <w:highlight w:val="none"/>
              </w:rPr>
            </w:pPr>
            <w:r>
              <w:rPr>
                <w:rFonts w:hint="eastAsia" w:ascii="宋体" w:eastAsia="宋体"/>
                <w:color w:val="auto"/>
                <w:highlight w:val="none"/>
              </w:rPr>
              <w:t>1、供应商应具备《政府采购法》第二十二条第一款规定的条件；</w:t>
            </w:r>
          </w:p>
          <w:p>
            <w:pPr>
              <w:pStyle w:val="2"/>
              <w:kinsoku w:val="0"/>
              <w:autoSpaceDE w:val="0"/>
              <w:autoSpaceDN w:val="0"/>
              <w:spacing w:line="288" w:lineRule="auto"/>
              <w:ind w:firstLine="240" w:firstLineChars="100"/>
              <w:rPr>
                <w:rFonts w:hint="eastAsia" w:ascii="宋体" w:eastAsia="宋体"/>
                <w:color w:val="auto"/>
                <w:highlight w:val="none"/>
              </w:rPr>
            </w:pPr>
            <w:r>
              <w:rPr>
                <w:rFonts w:hint="eastAsia" w:ascii="宋体" w:eastAsia="宋体"/>
                <w:color w:val="auto"/>
                <w:highlight w:val="none"/>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2"/>
              <w:kinsoku w:val="0"/>
              <w:autoSpaceDE w:val="0"/>
              <w:autoSpaceDN w:val="0"/>
              <w:spacing w:line="288" w:lineRule="auto"/>
              <w:ind w:firstLine="240" w:firstLineChars="100"/>
              <w:rPr>
                <w:rFonts w:hint="eastAsia" w:ascii="宋体" w:eastAsia="宋体"/>
                <w:color w:val="auto"/>
                <w:highlight w:val="none"/>
              </w:rPr>
            </w:pPr>
            <w:r>
              <w:rPr>
                <w:rFonts w:hint="eastAsia" w:ascii="宋体" w:eastAsia="宋体"/>
                <w:color w:val="auto"/>
                <w:highlight w:val="none"/>
                <w:lang w:val="en-US" w:eastAsia="zh-CN"/>
              </w:rPr>
              <w:t>3</w:t>
            </w:r>
            <w:r>
              <w:rPr>
                <w:rFonts w:hint="eastAsia" w:ascii="宋体" w:eastAsia="宋体"/>
                <w:color w:val="auto"/>
                <w:highlight w:val="none"/>
              </w:rPr>
              <w:t>、</w:t>
            </w:r>
            <w:r>
              <w:rPr>
                <w:rFonts w:hint="eastAsia" w:ascii="宋体" w:eastAsia="宋体"/>
                <w:color w:val="auto"/>
                <w:highlight w:val="none"/>
                <w:lang w:val="en-US" w:eastAsia="zh-CN"/>
              </w:rPr>
              <w:t>供应商</w:t>
            </w:r>
            <w:r>
              <w:rPr>
                <w:rFonts w:hint="eastAsia" w:ascii="宋体" w:eastAsia="宋体"/>
                <w:color w:val="auto"/>
                <w:highlight w:val="none"/>
                <w:lang w:val="zh-CN" w:eastAsia="zh-CN"/>
              </w:rPr>
              <w:t>须具备中国保险监督管理委员会颁发的《中华人民共和国经营保险业务许可证》；</w:t>
            </w:r>
          </w:p>
          <w:p>
            <w:pPr>
              <w:pStyle w:val="2"/>
              <w:kinsoku w:val="0"/>
              <w:autoSpaceDE w:val="0"/>
              <w:autoSpaceDN w:val="0"/>
              <w:spacing w:line="288" w:lineRule="auto"/>
              <w:ind w:firstLine="240" w:firstLineChars="100"/>
              <w:rPr>
                <w:rFonts w:hint="eastAsia" w:ascii="宋体" w:eastAsia="宋体"/>
                <w:color w:val="auto"/>
                <w:highlight w:val="none"/>
                <w:lang w:val="zh-CN" w:eastAsia="zh-CN"/>
              </w:rPr>
            </w:pPr>
            <w:r>
              <w:rPr>
                <w:rFonts w:hint="eastAsia" w:ascii="宋体" w:eastAsia="宋体"/>
                <w:color w:val="auto"/>
                <w:highlight w:val="none"/>
                <w:lang w:val="en-US" w:eastAsia="zh-CN"/>
              </w:rPr>
              <w:t>4</w:t>
            </w:r>
            <w:r>
              <w:rPr>
                <w:rFonts w:hint="eastAsia" w:ascii="宋体" w:eastAsia="宋体"/>
                <w:color w:val="auto"/>
                <w:highlight w:val="none"/>
              </w:rPr>
              <w:t>、</w:t>
            </w:r>
            <w:r>
              <w:rPr>
                <w:rFonts w:hint="eastAsia" w:ascii="宋体" w:eastAsia="宋体"/>
                <w:color w:val="auto"/>
                <w:highlight w:val="none"/>
                <w:lang w:val="zh-CN" w:eastAsia="zh-CN"/>
              </w:rPr>
              <w:t>本项目接受分公司（支公司）参加</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，每家保险公司只能有一个分公司（支公司）参加</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；应经上级保险公司批准同意，并由上级公司出具相应的授权证明；</w:t>
            </w:r>
          </w:p>
          <w:p>
            <w:pPr>
              <w:pStyle w:val="2"/>
              <w:kinsoku w:val="0"/>
              <w:autoSpaceDE w:val="0"/>
              <w:autoSpaceDN w:val="0"/>
              <w:spacing w:line="288" w:lineRule="auto"/>
              <w:ind w:firstLine="240" w:firstLineChars="100"/>
              <w:rPr>
                <w:rFonts w:hint="eastAsia" w:ascii="宋体" w:eastAsia="宋体"/>
                <w:color w:val="auto"/>
                <w:highlight w:val="none"/>
                <w:lang w:val="zh-CN" w:eastAsia="zh-CN"/>
              </w:rPr>
            </w:pPr>
            <w:r>
              <w:rPr>
                <w:rFonts w:hint="eastAsia" w:ascii="宋体" w:eastAsia="宋体"/>
                <w:color w:val="auto"/>
                <w:highlight w:val="none"/>
                <w:lang w:val="en-US" w:eastAsia="zh-CN"/>
              </w:rPr>
              <w:t>5</w:t>
            </w:r>
            <w:r>
              <w:rPr>
                <w:rFonts w:hint="eastAsia" w:ascii="宋体" w:eastAsia="宋体"/>
                <w:color w:val="auto"/>
                <w:highlight w:val="none"/>
                <w:lang w:val="zh-CN" w:eastAsia="zh-CN"/>
              </w:rPr>
              <w:t>、本项目不接受联合体</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w:t>
            </w:r>
          </w:p>
          <w:p>
            <w:pPr>
              <w:rPr>
                <w:rFonts w:ascii="宋体" w:hAnsi="宋体" w:cs="宋体"/>
                <w:color w:val="auto"/>
                <w:sz w:val="24"/>
                <w:szCs w:val="24"/>
                <w:highlight w:val="none"/>
              </w:rPr>
            </w:pPr>
            <w:r>
              <w:rPr>
                <w:rFonts w:hint="eastAsia" w:ascii="宋体" w:hAnsi="宋体" w:cs="宋体"/>
                <w:color w:val="auto"/>
                <w:sz w:val="24"/>
                <w:szCs w:val="24"/>
                <w:highlight w:val="none"/>
              </w:rPr>
              <w:t>备注：①以上证明资料不单独提交磋商小组备查。</w:t>
            </w:r>
          </w:p>
          <w:p>
            <w:pPr>
              <w:keepNext w:val="0"/>
              <w:keepLines w:val="0"/>
              <w:pageBreakBefore w:val="0"/>
              <w:wordWrap/>
              <w:overflowPunct/>
              <w:topLinePunct w:val="0"/>
              <w:bidi w:val="0"/>
              <w:adjustRightInd/>
              <w:spacing w:line="0" w:lineRule="atLeast"/>
              <w:ind w:firstLine="480" w:firstLineChars="200"/>
              <w:textAlignment w:val="auto"/>
              <w:rPr>
                <w:rFonts w:ascii="宋体"/>
                <w:color w:val="auto"/>
                <w:sz w:val="24"/>
                <w:szCs w:val="24"/>
                <w:highlight w:val="none"/>
              </w:rPr>
            </w:pPr>
            <w:r>
              <w:rPr>
                <w:rFonts w:hint="eastAsia" w:ascii="宋体" w:hAnsi="宋体" w:cs="宋体"/>
                <w:color w:val="auto"/>
                <w:sz w:val="24"/>
                <w:szCs w:val="24"/>
                <w:highlight w:val="none"/>
              </w:rPr>
              <w:t>②供应商在制作响应文件时所粘贴的相关证明资料为原件彩色扫描件并加盖公章，否则磋商委员会和采购人将不予采信，只有符合以上所有条件的供应商才能通过资格审查。</w:t>
            </w:r>
          </w:p>
        </w:tc>
      </w:tr>
      <w:tr>
        <w:tblPrEx>
          <w:tblCellMar>
            <w:top w:w="0" w:type="dxa"/>
            <w:left w:w="108" w:type="dxa"/>
            <w:bottom w:w="0" w:type="dxa"/>
            <w:right w:w="108" w:type="dxa"/>
          </w:tblCellMar>
        </w:tblPrEx>
        <w:trPr>
          <w:trHeight w:val="90"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hint="eastAsia" w:ascii="宋体"/>
                <w:color w:val="auto"/>
                <w:kern w:val="1"/>
                <w:sz w:val="24"/>
                <w:szCs w:val="24"/>
                <w:highlight w:val="none"/>
                <w:lang w:val="en-US" w:eastAsia="zh-CN"/>
              </w:rPr>
              <w:t>8</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资格审查</w:t>
            </w:r>
          </w:p>
          <w:p>
            <w:pPr>
              <w:keepNext w:val="0"/>
              <w:keepLines w:val="0"/>
              <w:pageBreakBefore w:val="0"/>
              <w:wordWrap/>
              <w:overflowPunct/>
              <w:topLinePunct w:val="0"/>
              <w:bidi w:val="0"/>
              <w:adjustRightInd/>
              <w:spacing w:line="0" w:lineRule="atLeas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方式</w:t>
            </w:r>
          </w:p>
        </w:tc>
        <w:tc>
          <w:tcPr>
            <w:tcW w:w="659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wordWrap/>
              <w:overflowPunct/>
              <w:topLinePunct w:val="0"/>
              <w:bidi w:val="0"/>
              <w:adjustRightInd/>
              <w:spacing w:line="0" w:lineRule="atLeast"/>
              <w:textAlignment w:val="auto"/>
              <w:rPr>
                <w:rFonts w:ascii="宋体"/>
                <w:color w:val="auto"/>
                <w:kern w:val="1"/>
                <w:sz w:val="24"/>
                <w:szCs w:val="24"/>
                <w:highlight w:val="none"/>
              </w:rPr>
            </w:pPr>
            <w:r>
              <w:rPr>
                <w:rFonts w:hint="eastAsia" w:ascii="宋体" w:hAnsi="宋体" w:cs="宋体"/>
                <w:color w:val="auto"/>
                <w:sz w:val="24"/>
                <w:szCs w:val="24"/>
                <w:highlight w:val="none"/>
              </w:rPr>
              <w:t>资格后审</w:t>
            </w:r>
          </w:p>
        </w:tc>
      </w:tr>
      <w:tr>
        <w:tblPrEx>
          <w:tblCellMar>
            <w:top w:w="0" w:type="dxa"/>
            <w:left w:w="108" w:type="dxa"/>
            <w:bottom w:w="0" w:type="dxa"/>
            <w:right w:w="108" w:type="dxa"/>
          </w:tblCellMar>
        </w:tblPrEx>
        <w:trPr>
          <w:trHeight w:val="683"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eastAsia="宋体"/>
                <w:color w:val="auto"/>
                <w:kern w:val="1"/>
                <w:sz w:val="24"/>
                <w:szCs w:val="24"/>
                <w:highlight w:val="none"/>
                <w:lang w:val="en-US" w:eastAsia="zh-CN"/>
              </w:rPr>
            </w:pPr>
            <w:r>
              <w:rPr>
                <w:rFonts w:hint="eastAsia" w:ascii="宋体"/>
                <w:color w:val="auto"/>
                <w:kern w:val="1"/>
                <w:sz w:val="24"/>
                <w:szCs w:val="24"/>
                <w:highlight w:val="none"/>
                <w:lang w:val="en-US" w:eastAsia="zh-CN"/>
              </w:rPr>
              <w:t>7</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最高磋商限价</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20万元</w:t>
            </w:r>
          </w:p>
        </w:tc>
      </w:tr>
      <w:tr>
        <w:tblPrEx>
          <w:tblCellMar>
            <w:top w:w="0" w:type="dxa"/>
            <w:left w:w="108" w:type="dxa"/>
            <w:bottom w:w="0" w:type="dxa"/>
            <w:right w:w="108" w:type="dxa"/>
          </w:tblCellMar>
        </w:tblPrEx>
        <w:trPr>
          <w:trHeight w:val="730"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eastAsia="宋体"/>
                <w:color w:val="auto"/>
                <w:kern w:val="1"/>
                <w:sz w:val="24"/>
                <w:szCs w:val="24"/>
                <w:highlight w:val="none"/>
                <w:lang w:val="en-US" w:eastAsia="zh-CN"/>
              </w:rPr>
            </w:pPr>
            <w:r>
              <w:rPr>
                <w:rFonts w:hint="eastAsia" w:ascii="宋体"/>
                <w:color w:val="auto"/>
                <w:kern w:val="1"/>
                <w:sz w:val="24"/>
                <w:szCs w:val="24"/>
                <w:highlight w:val="none"/>
                <w:lang w:val="en-US" w:eastAsia="zh-CN"/>
              </w:rPr>
              <w:t>8</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磋商</w:t>
            </w:r>
          </w:p>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有效期</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ascii="宋体"/>
                <w:color w:val="auto"/>
                <w:kern w:val="1"/>
                <w:sz w:val="24"/>
                <w:szCs w:val="24"/>
                <w:highlight w:val="none"/>
              </w:rPr>
            </w:pPr>
            <w:r>
              <w:rPr>
                <w:rFonts w:hint="eastAsia" w:ascii="宋体" w:hAnsi="宋体" w:cs="宋体"/>
                <w:color w:val="auto"/>
                <w:kern w:val="1"/>
                <w:sz w:val="24"/>
                <w:szCs w:val="24"/>
                <w:highlight w:val="none"/>
              </w:rPr>
              <w:t>投标截止后</w:t>
            </w:r>
            <w:r>
              <w:rPr>
                <w:rFonts w:ascii="宋体" w:hAnsi="宋体" w:cs="宋体"/>
                <w:color w:val="auto"/>
                <w:kern w:val="1"/>
                <w:sz w:val="24"/>
                <w:szCs w:val="24"/>
                <w:highlight w:val="none"/>
              </w:rPr>
              <w:t>9</w:t>
            </w:r>
            <w:r>
              <w:rPr>
                <w:rFonts w:ascii="宋体" w:cs="宋体"/>
                <w:color w:val="auto"/>
                <w:kern w:val="1"/>
                <w:sz w:val="24"/>
                <w:szCs w:val="24"/>
                <w:highlight w:val="none"/>
              </w:rPr>
              <w:t>0</w:t>
            </w:r>
            <w:r>
              <w:rPr>
                <w:rFonts w:hint="eastAsia" w:ascii="宋体" w:hAnsi="宋体" w:cs="宋体"/>
                <w:color w:val="auto"/>
                <w:kern w:val="1"/>
                <w:sz w:val="24"/>
                <w:szCs w:val="24"/>
                <w:highlight w:val="none"/>
              </w:rPr>
              <w:t>日内有效</w:t>
            </w:r>
          </w:p>
        </w:tc>
      </w:tr>
      <w:tr>
        <w:tblPrEx>
          <w:tblCellMar>
            <w:top w:w="0" w:type="dxa"/>
            <w:left w:w="108" w:type="dxa"/>
            <w:bottom w:w="0" w:type="dxa"/>
            <w:right w:w="108" w:type="dxa"/>
          </w:tblCellMar>
        </w:tblPrEx>
        <w:trPr>
          <w:trHeight w:val="673"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eastAsia="宋体"/>
                <w:color w:val="auto"/>
                <w:kern w:val="1"/>
                <w:sz w:val="24"/>
                <w:szCs w:val="24"/>
                <w:highlight w:val="none"/>
                <w:lang w:val="en-US" w:eastAsia="zh-CN"/>
              </w:rPr>
            </w:pPr>
            <w:r>
              <w:rPr>
                <w:rFonts w:hint="eastAsia" w:ascii="宋体"/>
                <w:color w:val="auto"/>
                <w:kern w:val="1"/>
                <w:sz w:val="24"/>
                <w:szCs w:val="24"/>
                <w:highlight w:val="none"/>
                <w:lang w:val="en-US" w:eastAsia="zh-CN"/>
              </w:rPr>
              <w:t>9</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磋商</w:t>
            </w:r>
          </w:p>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保证金</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hint="default" w:ascii="宋体" w:eastAsia="宋体"/>
                <w:color w:val="auto"/>
                <w:kern w:val="1"/>
                <w:sz w:val="24"/>
                <w:szCs w:val="24"/>
                <w:highlight w:val="none"/>
                <w:lang w:val="en-US" w:eastAsia="zh-CN"/>
              </w:rPr>
            </w:pPr>
            <w:r>
              <w:rPr>
                <w:rFonts w:hint="eastAsia" w:ascii="宋体" w:hAnsi="宋体" w:cs="宋体"/>
                <w:color w:val="auto"/>
                <w:kern w:val="1"/>
                <w:sz w:val="24"/>
                <w:szCs w:val="24"/>
                <w:highlight w:val="none"/>
                <w:lang w:val="en-US" w:eastAsia="zh-CN"/>
              </w:rPr>
              <w:t>本项目不提交磋商保证金</w:t>
            </w:r>
          </w:p>
        </w:tc>
      </w:tr>
      <w:tr>
        <w:tblPrEx>
          <w:tblCellMar>
            <w:top w:w="0" w:type="dxa"/>
            <w:left w:w="108" w:type="dxa"/>
            <w:bottom w:w="0" w:type="dxa"/>
            <w:right w:w="108" w:type="dxa"/>
          </w:tblCellMar>
        </w:tblPrEx>
        <w:trPr>
          <w:trHeight w:val="3023"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ascii="宋体" w:hAnsi="宋体" w:cs="宋体"/>
                <w:color w:val="auto"/>
                <w:kern w:val="1"/>
                <w:sz w:val="24"/>
                <w:szCs w:val="24"/>
                <w:highlight w:val="none"/>
              </w:rPr>
              <w:t>1</w:t>
            </w:r>
            <w:r>
              <w:rPr>
                <w:rFonts w:hint="eastAsia" w:ascii="宋体" w:hAnsi="宋体" w:cs="宋体"/>
                <w:color w:val="auto"/>
                <w:kern w:val="1"/>
                <w:sz w:val="24"/>
                <w:szCs w:val="24"/>
                <w:highlight w:val="none"/>
                <w:lang w:val="en-US" w:eastAsia="zh-CN"/>
              </w:rPr>
              <w:t>0</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磋商文件的澄清、修改和补充</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ind w:left="240" w:right="-57" w:hanging="240" w:hangingChars="100"/>
              <w:textAlignment w:val="auto"/>
              <w:rPr>
                <w:rFonts w:ascii="宋体"/>
                <w:color w:val="auto"/>
                <w:sz w:val="24"/>
                <w:szCs w:val="24"/>
                <w:highlight w:val="none"/>
              </w:rPr>
            </w:pPr>
            <w:r>
              <w:rPr>
                <w:rFonts w:hint="eastAsia" w:ascii="宋体" w:hAnsi="宋体" w:cs="宋体"/>
                <w:color w:val="auto"/>
                <w:sz w:val="24"/>
                <w:szCs w:val="24"/>
                <w:highlight w:val="none"/>
              </w:rPr>
              <w:t xml:space="preserve">采购人不集中组织答疑会，供应商如有疑问，需在 </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30分</w:t>
            </w:r>
            <w:r>
              <w:rPr>
                <w:rFonts w:hint="eastAsia" w:ascii="宋体" w:hAnsi="宋体" w:cs="宋体"/>
                <w:color w:val="auto"/>
                <w:sz w:val="24"/>
                <w:szCs w:val="24"/>
                <w:highlight w:val="none"/>
              </w:rPr>
              <w:t>前向招标代理公司通过</w:t>
            </w:r>
            <w:r>
              <w:rPr>
                <w:rFonts w:ascii="宋体" w:hAnsi="宋体" w:cs="宋体"/>
                <w:color w:val="auto"/>
                <w:sz w:val="24"/>
                <w:szCs w:val="24"/>
                <w:highlight w:val="none"/>
              </w:rPr>
              <w:t xml:space="preserve">Email: </w:t>
            </w:r>
            <w:r>
              <w:rPr>
                <w:rFonts w:hint="eastAsia" w:ascii="宋体" w:hAnsi="宋体" w:cs="宋体"/>
                <w:color w:val="auto"/>
                <w:sz w:val="24"/>
                <w:szCs w:val="24"/>
                <w:highlight w:val="none"/>
              </w:rPr>
              <w:t>690986347</w:t>
            </w:r>
            <w:r>
              <w:rPr>
                <w:rFonts w:ascii="宋体" w:hAnsi="宋体" w:cs="宋体"/>
                <w:color w:val="auto"/>
                <w:sz w:val="24"/>
                <w:szCs w:val="24"/>
                <w:highlight w:val="none"/>
              </w:rPr>
              <w:t>@qq.com</w:t>
            </w:r>
            <w:r>
              <w:rPr>
                <w:rFonts w:hint="eastAsia" w:ascii="宋体" w:hAnsi="宋体" w:cs="宋体"/>
                <w:color w:val="auto"/>
                <w:sz w:val="24"/>
                <w:szCs w:val="24"/>
                <w:highlight w:val="none"/>
              </w:rPr>
              <w:t>匿名提交磋商事宜的质疑，代理公司在规定时间内对问题作出整理后，将在</w:t>
            </w:r>
            <w:r>
              <w:rPr>
                <w:rFonts w:hint="eastAsia" w:ascii="宋体" w:hAnsi="宋体" w:eastAsia="宋体" w:cs="宋体"/>
                <w:color w:val="auto"/>
                <w:sz w:val="24"/>
                <w:szCs w:val="24"/>
                <w:highlight w:val="none"/>
              </w:rPr>
              <w:t>枝江金润源建设投资控股集团有限公司官网</w:t>
            </w:r>
            <w:r>
              <w:rPr>
                <w:rFonts w:hint="eastAsia" w:ascii="宋体" w:hAnsi="宋体" w:eastAsia="宋体" w:cs="宋体"/>
                <w:color w:val="auto"/>
                <w:sz w:val="24"/>
                <w:szCs w:val="24"/>
                <w:highlight w:val="none"/>
                <w:lang w:eastAsia="zh-CN"/>
              </w:rPr>
              <w:t>（http://www.zjjryjt.cn/）</w:t>
            </w:r>
            <w:r>
              <w:rPr>
                <w:rFonts w:hint="eastAsia" w:ascii="宋体" w:hAnsi="宋体" w:cs="宋体"/>
                <w:color w:val="auto"/>
                <w:sz w:val="24"/>
                <w:szCs w:val="24"/>
                <w:highlight w:val="none"/>
              </w:rPr>
              <w:t>上公布答疑回复。</w:t>
            </w:r>
          </w:p>
          <w:p>
            <w:pPr>
              <w:keepNext w:val="0"/>
              <w:keepLines w:val="0"/>
              <w:pageBreakBefore w:val="0"/>
              <w:wordWrap/>
              <w:overflowPunct/>
              <w:topLinePunct w:val="0"/>
              <w:bidi w:val="0"/>
              <w:adjustRightInd/>
              <w:spacing w:line="0" w:lineRule="atLeast"/>
              <w:ind w:left="438" w:leftChars="-20" w:right="-57" w:hanging="480" w:hangingChars="200"/>
              <w:textAlignment w:val="auto"/>
              <w:rPr>
                <w:rFonts w:hint="default" w:ascii="宋体" w:eastAsia="宋体"/>
                <w:color w:val="auto"/>
                <w:sz w:val="24"/>
                <w:szCs w:val="24"/>
                <w:highlight w:val="none"/>
                <w:lang w:val="en-US" w:eastAsia="zh-CN"/>
              </w:rPr>
            </w:pPr>
            <w:r>
              <w:rPr>
                <w:rFonts w:hint="eastAsia" w:ascii="宋体" w:hAnsi="宋体" w:cs="宋体"/>
                <w:color w:val="auto"/>
                <w:sz w:val="24"/>
                <w:szCs w:val="24"/>
                <w:highlight w:val="none"/>
              </w:rPr>
              <w:t xml:space="preserve">答疑提问开始时间： </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 xml:space="preserve"> 年</w:t>
            </w:r>
            <w:r>
              <w:rPr>
                <w:rFonts w:hint="eastAsia" w:ascii="宋体" w:hAnsi="宋体" w:cs="宋体"/>
                <w:color w:val="auto"/>
                <w:sz w:val="24"/>
                <w:szCs w:val="24"/>
                <w:highlight w:val="none"/>
                <w:lang w:val="en-US" w:eastAsia="zh-CN"/>
              </w:rPr>
              <w:t xml:space="preserve">11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日</w:t>
            </w:r>
            <w:r>
              <w:rPr>
                <w:rFonts w:ascii="宋体" w:hAnsi="宋体" w:cs="宋体"/>
                <w:color w:val="auto"/>
                <w:sz w:val="24"/>
                <w:szCs w:val="24"/>
                <w:highlight w:val="none"/>
              </w:rPr>
              <w:t>8</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00分</w:t>
            </w:r>
          </w:p>
          <w:p>
            <w:pPr>
              <w:keepNext w:val="0"/>
              <w:keepLines w:val="0"/>
              <w:pageBreakBefore w:val="0"/>
              <w:wordWrap/>
              <w:overflowPunct/>
              <w:topLinePunct w:val="0"/>
              <w:bidi w:val="0"/>
              <w:adjustRightInd/>
              <w:spacing w:line="0" w:lineRule="atLeast"/>
              <w:ind w:left="438" w:leftChars="-20" w:right="-57" w:hanging="480" w:hangingChars="200"/>
              <w:textAlignment w:val="auto"/>
              <w:rPr>
                <w:rFonts w:hint="default" w:ascii="宋体" w:eastAsia="宋体"/>
                <w:color w:val="auto"/>
                <w:sz w:val="24"/>
                <w:szCs w:val="24"/>
                <w:highlight w:val="none"/>
                <w:lang w:val="en-US" w:eastAsia="zh-CN"/>
              </w:rPr>
            </w:pPr>
            <w:r>
              <w:rPr>
                <w:rFonts w:hint="eastAsia" w:ascii="宋体" w:hAnsi="宋体" w:cs="宋体"/>
                <w:color w:val="auto"/>
                <w:sz w:val="24"/>
                <w:szCs w:val="24"/>
                <w:highlight w:val="none"/>
              </w:rPr>
              <w:t xml:space="preserve">答疑提问结束时间： </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 xml:space="preserve">11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30分</w:t>
            </w:r>
          </w:p>
          <w:p>
            <w:pPr>
              <w:keepNext w:val="0"/>
              <w:keepLines w:val="0"/>
              <w:pageBreakBefore w:val="0"/>
              <w:wordWrap/>
              <w:overflowPunct/>
              <w:topLinePunct w:val="0"/>
              <w:bidi w:val="0"/>
              <w:adjustRightInd/>
              <w:spacing w:line="0" w:lineRule="atLeast"/>
              <w:ind w:left="438" w:leftChars="-20" w:right="-57" w:hanging="480" w:hangingChars="200"/>
              <w:textAlignment w:val="auto"/>
              <w:rPr>
                <w:rFonts w:ascii="宋体"/>
                <w:color w:val="auto"/>
                <w:sz w:val="24"/>
                <w:szCs w:val="24"/>
                <w:highlight w:val="none"/>
              </w:rPr>
            </w:pPr>
            <w:r>
              <w:rPr>
                <w:rFonts w:hint="eastAsia" w:ascii="宋体" w:hAnsi="宋体" w:cs="宋体"/>
                <w:color w:val="auto"/>
                <w:sz w:val="24"/>
                <w:szCs w:val="24"/>
                <w:highlight w:val="none"/>
              </w:rPr>
              <w:t>答疑回复时间：</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 xml:space="preserve">11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 xml:space="preserve"> 18</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00分</w:t>
            </w:r>
            <w:r>
              <w:rPr>
                <w:rFonts w:hint="eastAsia" w:ascii="宋体" w:hAnsi="宋体" w:cs="宋体"/>
                <w:color w:val="auto"/>
                <w:sz w:val="24"/>
                <w:szCs w:val="24"/>
                <w:highlight w:val="none"/>
              </w:rPr>
              <w:t>前</w:t>
            </w:r>
          </w:p>
        </w:tc>
      </w:tr>
      <w:tr>
        <w:tblPrEx>
          <w:tblCellMar>
            <w:top w:w="0" w:type="dxa"/>
            <w:left w:w="108" w:type="dxa"/>
            <w:bottom w:w="0" w:type="dxa"/>
            <w:right w:w="108" w:type="dxa"/>
          </w:tblCellMar>
        </w:tblPrEx>
        <w:trPr>
          <w:trHeight w:val="90"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ascii="宋体" w:hAnsi="宋体" w:cs="宋体"/>
                <w:color w:val="auto"/>
                <w:kern w:val="1"/>
                <w:sz w:val="24"/>
                <w:szCs w:val="24"/>
                <w:highlight w:val="none"/>
              </w:rPr>
              <w:t>1</w:t>
            </w:r>
            <w:r>
              <w:rPr>
                <w:rFonts w:hint="eastAsia" w:ascii="宋体" w:hAnsi="宋体" w:cs="宋体"/>
                <w:color w:val="auto"/>
                <w:kern w:val="1"/>
                <w:sz w:val="24"/>
                <w:szCs w:val="24"/>
                <w:highlight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磋商响应文件份数、规格</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ind w:left="438" w:leftChars="-20" w:right="-57" w:hanging="480" w:hangingChars="200"/>
              <w:jc w:val="left"/>
              <w:textAlignment w:val="auto"/>
              <w:rPr>
                <w:rFonts w:ascii="宋体"/>
                <w:color w:val="auto"/>
                <w:sz w:val="24"/>
                <w:szCs w:val="24"/>
                <w:highlight w:val="none"/>
              </w:rPr>
            </w:pPr>
            <w:r>
              <w:rPr>
                <w:rFonts w:hint="eastAsia" w:ascii="宋体" w:hAnsi="宋体" w:cs="宋体"/>
                <w:color w:val="auto"/>
                <w:sz w:val="24"/>
                <w:szCs w:val="24"/>
                <w:highlight w:val="none"/>
              </w:rPr>
              <w:t>磋商响应性文件份数：</w:t>
            </w:r>
          </w:p>
          <w:p>
            <w:pPr>
              <w:keepNext w:val="0"/>
              <w:keepLines w:val="0"/>
              <w:pageBreakBefore w:val="0"/>
              <w:wordWrap/>
              <w:overflowPunct/>
              <w:topLinePunct w:val="0"/>
              <w:bidi w:val="0"/>
              <w:adjustRightInd/>
              <w:spacing w:line="0" w:lineRule="atLeast"/>
              <w:ind w:left="438" w:leftChars="-20" w:right="-57" w:hanging="480" w:hangingChars="200"/>
              <w:jc w:val="left"/>
              <w:textAlignment w:val="auto"/>
              <w:rPr>
                <w:rFonts w:ascii="宋体"/>
                <w:color w:val="auto"/>
                <w:sz w:val="24"/>
                <w:szCs w:val="24"/>
                <w:highlight w:val="none"/>
              </w:rPr>
            </w:pPr>
            <w:r>
              <w:rPr>
                <w:rFonts w:hint="eastAsia" w:ascii="宋体" w:hAnsi="宋体" w:cs="宋体"/>
                <w:color w:val="auto"/>
                <w:sz w:val="24"/>
                <w:szCs w:val="24"/>
                <w:highlight w:val="none"/>
              </w:rPr>
              <w:t>纸质磋商响应性文件二份，其中正本一份，副本一份；</w:t>
            </w:r>
          </w:p>
          <w:p>
            <w:pPr>
              <w:keepNext w:val="0"/>
              <w:keepLines w:val="0"/>
              <w:pageBreakBefore w:val="0"/>
              <w:wordWrap/>
              <w:overflowPunct/>
              <w:topLinePunct w:val="0"/>
              <w:bidi w:val="0"/>
              <w:adjustRightInd/>
              <w:spacing w:line="0" w:lineRule="atLeast"/>
              <w:textAlignment w:val="auto"/>
              <w:rPr>
                <w:rFonts w:ascii="宋体"/>
                <w:color w:val="auto"/>
                <w:sz w:val="24"/>
                <w:szCs w:val="24"/>
                <w:highlight w:val="none"/>
              </w:rPr>
            </w:pPr>
            <w:r>
              <w:rPr>
                <w:rFonts w:hint="eastAsia" w:ascii="宋体" w:hAnsi="宋体" w:cs="宋体"/>
                <w:color w:val="auto"/>
                <w:sz w:val="24"/>
                <w:szCs w:val="24"/>
                <w:highlight w:val="none"/>
              </w:rPr>
              <w:t>电子磋商响应性文件一份（</w:t>
            </w:r>
            <w:r>
              <w:rPr>
                <w:rFonts w:ascii="宋体" w:hAnsi="宋体" w:cs="宋体"/>
                <w:color w:val="auto"/>
                <w:sz w:val="24"/>
                <w:szCs w:val="24"/>
                <w:highlight w:val="none"/>
              </w:rPr>
              <w:t>U</w:t>
            </w:r>
            <w:r>
              <w:rPr>
                <w:rFonts w:hint="eastAsia" w:ascii="宋体" w:hAnsi="宋体" w:cs="宋体"/>
                <w:color w:val="auto"/>
                <w:sz w:val="24"/>
                <w:szCs w:val="24"/>
                <w:highlight w:val="none"/>
              </w:rPr>
              <w:t>盘拷贝）。</w:t>
            </w:r>
          </w:p>
        </w:tc>
      </w:tr>
      <w:tr>
        <w:tblPrEx>
          <w:tblCellMar>
            <w:top w:w="0" w:type="dxa"/>
            <w:left w:w="108" w:type="dxa"/>
            <w:bottom w:w="0" w:type="dxa"/>
            <w:right w:w="108" w:type="dxa"/>
          </w:tblCellMar>
        </w:tblPrEx>
        <w:trPr>
          <w:trHeight w:val="1846"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ascii="宋体" w:hAnsi="宋体" w:cs="宋体"/>
                <w:color w:val="auto"/>
                <w:kern w:val="1"/>
                <w:sz w:val="24"/>
                <w:szCs w:val="24"/>
                <w:highlight w:val="none"/>
              </w:rPr>
              <w:t>1</w:t>
            </w:r>
            <w:r>
              <w:rPr>
                <w:rFonts w:hint="eastAsia" w:ascii="宋体" w:hAnsi="宋体" w:cs="宋体"/>
                <w:color w:val="auto"/>
                <w:kern w:val="1"/>
                <w:sz w:val="24"/>
                <w:szCs w:val="24"/>
                <w:highlight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磋商响应文件的递交地点及截止时间</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ascii="宋体"/>
                <w:color w:val="auto"/>
                <w:sz w:val="24"/>
                <w:szCs w:val="24"/>
                <w:highlight w:val="none"/>
              </w:rPr>
            </w:pPr>
            <w:r>
              <w:rPr>
                <w:rFonts w:hint="eastAsia" w:ascii="宋体" w:hAnsi="宋体" w:cs="宋体"/>
                <w:color w:val="auto"/>
                <w:sz w:val="24"/>
                <w:szCs w:val="24"/>
                <w:highlight w:val="none"/>
              </w:rPr>
              <w:t>磋商响应文件递交时间：</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 xml:space="preserve"> 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 xml:space="preserve"> 时</w:t>
            </w:r>
            <w:r>
              <w:rPr>
                <w:rFonts w:hint="eastAsia" w:ascii="宋体" w:hAnsi="宋体" w:cs="宋体"/>
                <w:color w:val="auto"/>
                <w:sz w:val="24"/>
                <w:szCs w:val="24"/>
                <w:highlight w:val="none"/>
                <w:lang w:val="en-US" w:eastAsia="zh-CN"/>
              </w:rPr>
              <w:t>3</w:t>
            </w:r>
            <w:r>
              <w:rPr>
                <w:rFonts w:hint="eastAsia" w:ascii="新宋体" w:hAnsi="新宋体" w:eastAsia="新宋体" w:cs="新宋体"/>
                <w:color w:val="auto"/>
                <w:sz w:val="24"/>
                <w:szCs w:val="24"/>
                <w:highlight w:val="none"/>
              </w:rPr>
              <w:t>止</w:t>
            </w:r>
            <w:r>
              <w:rPr>
                <w:rFonts w:hint="eastAsia" w:ascii="宋体" w:hAnsi="宋体" w:cs="宋体"/>
                <w:color w:val="auto"/>
                <w:sz w:val="24"/>
                <w:szCs w:val="24"/>
                <w:highlight w:val="none"/>
                <w:lang w:val="en-US" w:eastAsia="zh-CN"/>
              </w:rPr>
              <w:t>- 09</w:t>
            </w:r>
            <w:r>
              <w:rPr>
                <w:rFonts w:hint="eastAsia" w:ascii="宋体" w:hAnsi="宋体" w:cs="宋体"/>
                <w:color w:val="auto"/>
                <w:sz w:val="24"/>
                <w:szCs w:val="24"/>
                <w:highlight w:val="none"/>
              </w:rPr>
              <w:t>时</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分</w:t>
            </w:r>
          </w:p>
          <w:p>
            <w:pPr>
              <w:keepNext w:val="0"/>
              <w:keepLines w:val="0"/>
              <w:pageBreakBefore w:val="0"/>
              <w:wordWrap/>
              <w:overflowPunct/>
              <w:topLinePunct w:val="0"/>
              <w:bidi w:val="0"/>
              <w:adjustRightInd/>
              <w:spacing w:line="0" w:lineRule="atLeast"/>
              <w:textAlignment w:val="auto"/>
              <w:rPr>
                <w:rFonts w:ascii="新宋体" w:eastAsia="新宋体"/>
                <w:color w:val="auto"/>
                <w:sz w:val="24"/>
                <w:szCs w:val="24"/>
                <w:highlight w:val="none"/>
              </w:rPr>
            </w:pPr>
            <w:r>
              <w:rPr>
                <w:rFonts w:hint="eastAsia" w:ascii="宋体" w:hAnsi="宋体" w:cs="宋体"/>
                <w:color w:val="auto"/>
                <w:sz w:val="24"/>
                <w:szCs w:val="24"/>
                <w:highlight w:val="none"/>
              </w:rPr>
              <w:t>磋商响应文件递交地点：枝江金润源集团公司</w:t>
            </w:r>
            <w:r>
              <w:rPr>
                <w:rFonts w:ascii="宋体" w:hAnsi="宋体" w:cs="宋体"/>
                <w:color w:val="auto"/>
                <w:sz w:val="24"/>
                <w:szCs w:val="24"/>
                <w:highlight w:val="none"/>
              </w:rPr>
              <w:t>(</w:t>
            </w:r>
            <w:r>
              <w:rPr>
                <w:rFonts w:hint="eastAsia" w:ascii="宋体" w:hAnsi="宋体" w:cs="宋体"/>
                <w:color w:val="auto"/>
                <w:sz w:val="24"/>
                <w:szCs w:val="24"/>
                <w:highlight w:val="none"/>
              </w:rPr>
              <w:t>枝江市友谊大道</w:t>
            </w:r>
            <w:r>
              <w:rPr>
                <w:rFonts w:ascii="宋体" w:hAnsi="宋体" w:cs="宋体"/>
                <w:color w:val="auto"/>
                <w:sz w:val="24"/>
                <w:szCs w:val="24"/>
                <w:highlight w:val="none"/>
              </w:rPr>
              <w:t>19</w:t>
            </w:r>
            <w:r>
              <w:rPr>
                <w:rFonts w:hint="eastAsia" w:ascii="宋体" w:hAnsi="宋体" w:cs="宋体"/>
                <w:color w:val="auto"/>
                <w:sz w:val="24"/>
                <w:szCs w:val="24"/>
                <w:highlight w:val="none"/>
              </w:rPr>
              <w:t>号</w:t>
            </w:r>
            <w:r>
              <w:rPr>
                <w:rFonts w:ascii="宋体" w:hAnsi="宋体" w:cs="宋体"/>
                <w:color w:val="auto"/>
                <w:sz w:val="24"/>
                <w:szCs w:val="24"/>
                <w:highlight w:val="none"/>
              </w:rPr>
              <w:t>)3</w:t>
            </w:r>
            <w:r>
              <w:rPr>
                <w:rFonts w:hint="eastAsia" w:ascii="宋体" w:hAnsi="宋体" w:cs="宋体"/>
                <w:color w:val="auto"/>
                <w:sz w:val="24"/>
                <w:szCs w:val="24"/>
                <w:highlight w:val="none"/>
              </w:rPr>
              <w:t>楼开标室</w:t>
            </w:r>
          </w:p>
          <w:p>
            <w:pPr>
              <w:keepNext w:val="0"/>
              <w:keepLines w:val="0"/>
              <w:pageBreakBefore w:val="0"/>
              <w:wordWrap/>
              <w:overflowPunct/>
              <w:topLinePunct w:val="0"/>
              <w:bidi w:val="0"/>
              <w:adjustRightInd/>
              <w:spacing w:line="0" w:lineRule="atLeast"/>
              <w:textAlignment w:val="auto"/>
              <w:rPr>
                <w:rFonts w:ascii="宋体"/>
                <w:color w:val="auto"/>
                <w:sz w:val="24"/>
                <w:szCs w:val="24"/>
                <w:highlight w:val="none"/>
              </w:rPr>
            </w:pPr>
            <w:r>
              <w:rPr>
                <w:rFonts w:hint="eastAsia" w:ascii="宋体" w:hAnsi="宋体" w:cs="宋体"/>
                <w:color w:val="auto"/>
                <w:sz w:val="24"/>
                <w:szCs w:val="24"/>
                <w:highlight w:val="none"/>
              </w:rPr>
              <w:t>磋商响应文件签收单位：湖北恒基建设工程项目管理有限公司</w:t>
            </w:r>
          </w:p>
        </w:tc>
      </w:tr>
      <w:tr>
        <w:tblPrEx>
          <w:tblCellMar>
            <w:top w:w="0" w:type="dxa"/>
            <w:left w:w="108" w:type="dxa"/>
            <w:bottom w:w="0" w:type="dxa"/>
            <w:right w:w="108" w:type="dxa"/>
          </w:tblCellMar>
        </w:tblPrEx>
        <w:trPr>
          <w:cantSplit/>
          <w:trHeight w:val="1097"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ascii="宋体" w:hAnsi="宋体" w:cs="宋体"/>
                <w:color w:val="auto"/>
                <w:kern w:val="1"/>
                <w:sz w:val="24"/>
                <w:szCs w:val="24"/>
                <w:highlight w:val="none"/>
              </w:rPr>
              <w:t>1</w:t>
            </w:r>
            <w:r>
              <w:rPr>
                <w:rFonts w:hint="eastAsia" w:ascii="宋体" w:hAnsi="宋体" w:cs="宋体"/>
                <w:color w:val="auto"/>
                <w:kern w:val="1"/>
                <w:sz w:val="24"/>
                <w:szCs w:val="24"/>
                <w:highlight w:val="none"/>
                <w:lang w:val="en-US" w:eastAsia="zh-CN"/>
              </w:rPr>
              <w:t>3</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color w:val="auto"/>
                <w:kern w:val="1"/>
                <w:sz w:val="24"/>
                <w:szCs w:val="24"/>
                <w:highlight w:val="none"/>
              </w:rPr>
            </w:pPr>
            <w:r>
              <w:rPr>
                <w:rFonts w:hint="eastAsia" w:ascii="宋体" w:hAnsi="宋体" w:cs="宋体"/>
                <w:color w:val="auto"/>
                <w:kern w:val="1"/>
                <w:sz w:val="24"/>
                <w:szCs w:val="24"/>
                <w:highlight w:val="none"/>
              </w:rPr>
              <w:t>开标会</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textAlignment w:val="auto"/>
              <w:rPr>
                <w:rFonts w:ascii="宋体"/>
                <w:color w:val="auto"/>
                <w:sz w:val="24"/>
                <w:szCs w:val="24"/>
                <w:highlight w:val="none"/>
              </w:rPr>
            </w:pPr>
            <w:r>
              <w:rPr>
                <w:rFonts w:hint="eastAsia" w:ascii="宋体" w:hAnsi="宋体" w:cs="宋体"/>
                <w:color w:val="auto"/>
                <w:kern w:val="1"/>
                <w:sz w:val="24"/>
                <w:szCs w:val="24"/>
                <w:highlight w:val="none"/>
              </w:rPr>
              <w:t>开标地点：</w:t>
            </w:r>
            <w:r>
              <w:rPr>
                <w:rFonts w:hint="eastAsia" w:ascii="宋体" w:hAnsi="宋体" w:cs="宋体"/>
                <w:color w:val="auto"/>
                <w:sz w:val="24"/>
                <w:szCs w:val="24"/>
                <w:highlight w:val="none"/>
              </w:rPr>
              <w:t>枝江金润源集团公司</w:t>
            </w:r>
            <w:r>
              <w:rPr>
                <w:rFonts w:ascii="宋体" w:hAnsi="宋体" w:cs="宋体"/>
                <w:color w:val="auto"/>
                <w:sz w:val="24"/>
                <w:szCs w:val="24"/>
                <w:highlight w:val="none"/>
              </w:rPr>
              <w:t>(</w:t>
            </w:r>
            <w:r>
              <w:rPr>
                <w:rFonts w:hint="eastAsia" w:ascii="宋体" w:hAnsi="宋体" w:cs="宋体"/>
                <w:color w:val="auto"/>
                <w:sz w:val="24"/>
                <w:szCs w:val="24"/>
                <w:highlight w:val="none"/>
              </w:rPr>
              <w:t>枝江市友谊大道</w:t>
            </w:r>
            <w:r>
              <w:rPr>
                <w:rFonts w:ascii="宋体" w:hAnsi="宋体" w:cs="宋体"/>
                <w:color w:val="auto"/>
                <w:sz w:val="24"/>
                <w:szCs w:val="24"/>
                <w:highlight w:val="none"/>
              </w:rPr>
              <w:t>19</w:t>
            </w:r>
            <w:r>
              <w:rPr>
                <w:rFonts w:hint="eastAsia" w:ascii="宋体" w:hAnsi="宋体" w:cs="宋体"/>
                <w:color w:val="auto"/>
                <w:sz w:val="24"/>
                <w:szCs w:val="24"/>
                <w:highlight w:val="none"/>
              </w:rPr>
              <w:t>号</w:t>
            </w:r>
            <w:r>
              <w:rPr>
                <w:rFonts w:ascii="宋体" w:hAnsi="宋体" w:cs="宋体"/>
                <w:color w:val="auto"/>
                <w:sz w:val="24"/>
                <w:szCs w:val="24"/>
                <w:highlight w:val="none"/>
              </w:rPr>
              <w:t>)3</w:t>
            </w:r>
            <w:r>
              <w:rPr>
                <w:rFonts w:hint="eastAsia" w:ascii="宋体" w:hAnsi="宋体" w:cs="宋体"/>
                <w:color w:val="auto"/>
                <w:sz w:val="24"/>
                <w:szCs w:val="24"/>
                <w:highlight w:val="none"/>
              </w:rPr>
              <w:t>楼开标室</w:t>
            </w:r>
          </w:p>
          <w:p>
            <w:pPr>
              <w:keepNext w:val="0"/>
              <w:keepLines w:val="0"/>
              <w:pageBreakBefore w:val="0"/>
              <w:wordWrap/>
              <w:overflowPunct/>
              <w:topLinePunct w:val="0"/>
              <w:bidi w:val="0"/>
              <w:adjustRightInd/>
              <w:spacing w:line="0" w:lineRule="atLeast"/>
              <w:textAlignment w:val="auto"/>
              <w:rPr>
                <w:rFonts w:ascii="宋体"/>
                <w:color w:val="auto"/>
                <w:kern w:val="1"/>
                <w:sz w:val="24"/>
                <w:szCs w:val="24"/>
                <w:highlight w:val="none"/>
              </w:rPr>
            </w:pPr>
            <w:r>
              <w:rPr>
                <w:rFonts w:hint="eastAsia" w:ascii="宋体" w:hAnsi="宋体" w:cs="宋体"/>
                <w:color w:val="auto"/>
                <w:kern w:val="1"/>
                <w:sz w:val="24"/>
                <w:szCs w:val="24"/>
                <w:highlight w:val="none"/>
              </w:rPr>
              <w:t>开标时间：</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 xml:space="preserve"> 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 xml:space="preserve"> 时</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 xml:space="preserve"> </w:t>
            </w:r>
            <w:r>
              <w:rPr>
                <w:rFonts w:hint="eastAsia" w:ascii="新宋体" w:hAnsi="新宋体" w:eastAsia="新宋体" w:cs="新宋体"/>
                <w:color w:val="auto"/>
                <w:sz w:val="24"/>
                <w:szCs w:val="24"/>
                <w:highlight w:val="none"/>
              </w:rPr>
              <w:t>止</w:t>
            </w:r>
          </w:p>
        </w:tc>
      </w:tr>
      <w:tr>
        <w:tblPrEx>
          <w:tblCellMar>
            <w:top w:w="0" w:type="dxa"/>
            <w:left w:w="108" w:type="dxa"/>
            <w:bottom w:w="0" w:type="dxa"/>
            <w:right w:w="108" w:type="dxa"/>
          </w:tblCellMar>
        </w:tblPrEx>
        <w:trPr>
          <w:trHeight w:val="631"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eastAsia" w:ascii="宋体" w:eastAsia="宋体"/>
                <w:color w:val="auto"/>
                <w:kern w:val="1"/>
                <w:sz w:val="24"/>
                <w:szCs w:val="24"/>
                <w:highlight w:val="none"/>
                <w:lang w:val="en-US" w:eastAsia="zh-CN"/>
              </w:rPr>
            </w:pPr>
            <w:r>
              <w:rPr>
                <w:rFonts w:ascii="宋体" w:hAnsi="宋体" w:cs="宋体"/>
                <w:color w:val="auto"/>
                <w:kern w:val="1"/>
                <w:sz w:val="24"/>
                <w:szCs w:val="24"/>
                <w:highlight w:val="none"/>
              </w:rPr>
              <w:t>1</w:t>
            </w:r>
            <w:r>
              <w:rPr>
                <w:rFonts w:hint="eastAsia" w:ascii="宋体" w:hAnsi="宋体" w:cs="宋体"/>
                <w:color w:val="auto"/>
                <w:kern w:val="1"/>
                <w:sz w:val="24"/>
                <w:szCs w:val="24"/>
                <w:highlight w:val="none"/>
                <w:lang w:val="en-US" w:eastAsia="zh-CN"/>
              </w:rPr>
              <w:t>4</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center"/>
              <w:textAlignment w:val="auto"/>
              <w:rPr>
                <w:rFonts w:ascii="Times New Roman" w:hAnsi="Times New Roman" w:cs="Times New Roman"/>
                <w:color w:val="auto"/>
                <w:sz w:val="24"/>
                <w:szCs w:val="21"/>
                <w:highlight w:val="none"/>
              </w:rPr>
            </w:pPr>
            <w:r>
              <w:rPr>
                <w:rFonts w:hint="eastAsia" w:ascii="Times New Roman" w:hAnsi="Times New Roman" w:cs="Times New Roman"/>
                <w:color w:val="auto"/>
                <w:sz w:val="24"/>
                <w:szCs w:val="21"/>
                <w:highlight w:val="none"/>
              </w:rPr>
              <w:t>付款方式</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left"/>
              <w:textAlignment w:val="auto"/>
              <w:rPr>
                <w:rFonts w:hint="default" w:ascii="Times New Roman" w:hAnsi="Times New Roman" w:eastAsia="宋体" w:cs="Times New Roman"/>
                <w:color w:val="auto"/>
                <w:sz w:val="24"/>
                <w:szCs w:val="21"/>
                <w:highlight w:val="none"/>
                <w:lang w:val="en-US" w:eastAsia="zh-CN"/>
              </w:rPr>
            </w:pPr>
            <w:r>
              <w:rPr>
                <w:rFonts w:hint="eastAsia" w:ascii="宋体" w:hAnsi="宋体" w:cs="宋体"/>
                <w:color w:val="auto"/>
                <w:sz w:val="24"/>
                <w:szCs w:val="24"/>
                <w:highlight w:val="none"/>
                <w:lang w:eastAsia="zh-CN"/>
              </w:rPr>
              <w:t>保险合同签订后一次性支付全额保险费。注：采用现金或银行保兑（商业汇票）方式付款，以上未付款项均不计利息。</w:t>
            </w:r>
          </w:p>
        </w:tc>
      </w:tr>
      <w:tr>
        <w:tblPrEx>
          <w:tblCellMar>
            <w:top w:w="0" w:type="dxa"/>
            <w:left w:w="108" w:type="dxa"/>
            <w:bottom w:w="0" w:type="dxa"/>
            <w:right w:w="108" w:type="dxa"/>
          </w:tblCellMar>
        </w:tblPrEx>
        <w:trPr>
          <w:trHeight w:val="1342"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hAnsi="宋体" w:eastAsia="宋体" w:cs="宋体"/>
                <w:color w:val="auto"/>
                <w:kern w:val="1"/>
                <w:sz w:val="24"/>
                <w:szCs w:val="24"/>
                <w:highlight w:val="none"/>
                <w:lang w:val="en-US" w:eastAsia="zh-CN"/>
              </w:rPr>
            </w:pPr>
            <w:r>
              <w:rPr>
                <w:rFonts w:hint="eastAsia" w:ascii="宋体" w:hAnsi="宋体" w:cs="宋体"/>
                <w:color w:val="auto"/>
                <w:kern w:val="1"/>
                <w:sz w:val="24"/>
                <w:szCs w:val="24"/>
                <w:highlight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ascii="宋体" w:hAnsi="宋体" w:cs="宋体"/>
                <w:color w:val="auto"/>
                <w:kern w:val="1"/>
                <w:sz w:val="24"/>
                <w:szCs w:val="24"/>
                <w:highlight w:val="none"/>
              </w:rPr>
            </w:pPr>
            <w:r>
              <w:rPr>
                <w:rFonts w:hint="eastAsia" w:ascii="宋体" w:hAnsi="宋体" w:cs="宋体"/>
                <w:color w:val="auto"/>
                <w:kern w:val="1"/>
                <w:sz w:val="24"/>
                <w:szCs w:val="24"/>
                <w:highlight w:val="none"/>
              </w:rPr>
              <w:t>招标代理费</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left"/>
              <w:textAlignment w:val="auto"/>
              <w:rPr>
                <w:color w:val="auto"/>
                <w:sz w:val="21"/>
                <w:szCs w:val="21"/>
                <w:highlight w:val="none"/>
              </w:rPr>
            </w:pPr>
            <w:r>
              <w:rPr>
                <w:rFonts w:hint="eastAsia" w:ascii="宋体" w:hAnsi="宋体" w:cs="宋体"/>
                <w:color w:val="auto"/>
                <w:kern w:val="1"/>
                <w:sz w:val="24"/>
                <w:szCs w:val="24"/>
                <w:highlight w:val="none"/>
              </w:rPr>
              <w:t>代理服务费</w:t>
            </w:r>
            <w:r>
              <w:rPr>
                <w:rFonts w:hint="eastAsia" w:ascii="宋体" w:hAnsi="宋体" w:cs="宋体"/>
                <w:color w:val="auto"/>
                <w:kern w:val="1"/>
                <w:sz w:val="24"/>
                <w:szCs w:val="24"/>
                <w:highlight w:val="none"/>
                <w:lang w:val="en-US" w:eastAsia="zh-CN"/>
              </w:rPr>
              <w:t>30</w:t>
            </w:r>
            <w:r>
              <w:rPr>
                <w:rFonts w:hint="eastAsia" w:ascii="宋体" w:hAnsi="宋体" w:cs="宋体"/>
                <w:color w:val="auto"/>
                <w:kern w:val="1"/>
                <w:sz w:val="24"/>
                <w:szCs w:val="24"/>
                <w:highlight w:val="none"/>
              </w:rPr>
              <w:t>00.00元由成交供应商向代理公司交纳，供应商报价时应考虑招标代理服务费，本费用不列入报价单内，由成交供应商在领取成交通知书时向代理机构交纳。</w:t>
            </w:r>
          </w:p>
        </w:tc>
      </w:tr>
      <w:tr>
        <w:tblPrEx>
          <w:tblCellMar>
            <w:top w:w="0" w:type="dxa"/>
            <w:left w:w="108" w:type="dxa"/>
            <w:bottom w:w="0" w:type="dxa"/>
            <w:right w:w="108" w:type="dxa"/>
          </w:tblCellMar>
        </w:tblPrEx>
        <w:trPr>
          <w:trHeight w:val="2118"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adjustRightInd/>
              <w:spacing w:line="0" w:lineRule="atLeast"/>
              <w:jc w:val="center"/>
              <w:textAlignment w:val="auto"/>
              <w:rPr>
                <w:rFonts w:hint="default" w:ascii="宋体" w:hAnsi="宋体" w:cs="宋体"/>
                <w:color w:val="auto"/>
                <w:kern w:val="1"/>
                <w:sz w:val="24"/>
                <w:szCs w:val="24"/>
                <w:highlight w:val="none"/>
                <w:lang w:val="en-US" w:eastAsia="zh-CN"/>
              </w:rPr>
            </w:pPr>
            <w:r>
              <w:rPr>
                <w:rFonts w:hint="eastAsia" w:ascii="宋体" w:hAnsi="宋体" w:cs="宋体"/>
                <w:color w:val="auto"/>
                <w:kern w:val="1"/>
                <w:sz w:val="24"/>
                <w:szCs w:val="24"/>
                <w:highlight w:val="none"/>
                <w:lang w:val="en-US" w:eastAsia="zh-CN"/>
              </w:rPr>
              <w:t>19</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center"/>
              <w:textAlignment w:val="auto"/>
              <w:rPr>
                <w:rFonts w:hint="eastAsia" w:ascii="宋体" w:hAnsi="宋体" w:cs="宋体"/>
                <w:color w:val="auto"/>
                <w:kern w:val="1"/>
                <w:sz w:val="24"/>
                <w:szCs w:val="24"/>
                <w:highlight w:val="none"/>
              </w:rPr>
            </w:pPr>
            <w:r>
              <w:rPr>
                <w:rFonts w:hint="eastAsia" w:ascii="宋体" w:hAnsi="宋体" w:cs="宋体"/>
                <w:color w:val="auto"/>
                <w:kern w:val="1"/>
                <w:sz w:val="24"/>
                <w:szCs w:val="24"/>
                <w:highlight w:val="none"/>
              </w:rPr>
              <w:t>磋商小组的组建及评审专家的确定方式</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left"/>
              <w:textAlignment w:val="auto"/>
              <w:rPr>
                <w:rFonts w:hint="eastAsia" w:ascii="宋体" w:hAnsi="宋体" w:cs="宋体"/>
                <w:color w:val="auto"/>
                <w:kern w:val="1"/>
                <w:sz w:val="24"/>
                <w:szCs w:val="24"/>
                <w:highlight w:val="none"/>
              </w:rPr>
            </w:pPr>
            <w:r>
              <w:rPr>
                <w:rFonts w:hint="eastAsia" w:ascii="宋体" w:hAnsi="宋体" w:cs="宋体"/>
                <w:color w:val="auto"/>
                <w:kern w:val="1"/>
                <w:sz w:val="24"/>
                <w:szCs w:val="24"/>
                <w:highlight w:val="none"/>
              </w:rPr>
              <w:t>采购单位依法组建磋商小组，共</w:t>
            </w:r>
            <w:bookmarkStart w:id="2" w:name="EB679055080b934cb8907dbf9a52179552"/>
            <w:r>
              <w:rPr>
                <w:rFonts w:hint="eastAsia" w:ascii="宋体" w:hAnsi="宋体" w:cs="宋体"/>
                <w:color w:val="auto"/>
                <w:kern w:val="1"/>
                <w:sz w:val="24"/>
                <w:szCs w:val="24"/>
                <w:highlight w:val="none"/>
              </w:rPr>
              <w:t>3</w:t>
            </w:r>
            <w:bookmarkEnd w:id="2"/>
            <w:r>
              <w:rPr>
                <w:rFonts w:hint="eastAsia" w:ascii="宋体" w:hAnsi="宋体" w:cs="宋体"/>
                <w:color w:val="auto"/>
                <w:kern w:val="1"/>
                <w:sz w:val="24"/>
                <w:szCs w:val="24"/>
                <w:highlight w:val="none"/>
              </w:rPr>
              <w:t>人组成，其中采购人代表</w:t>
            </w:r>
            <w:r>
              <w:rPr>
                <w:rFonts w:hint="eastAsia" w:ascii="宋体" w:hAnsi="宋体" w:cs="宋体"/>
                <w:color w:val="auto"/>
                <w:kern w:val="1"/>
                <w:sz w:val="24"/>
                <w:szCs w:val="24"/>
                <w:highlight w:val="none"/>
                <w:lang w:val="en-US" w:eastAsia="zh-CN"/>
              </w:rPr>
              <w:t>0</w:t>
            </w:r>
            <w:r>
              <w:rPr>
                <w:rFonts w:hint="eastAsia" w:ascii="宋体" w:hAnsi="宋体" w:cs="宋体"/>
                <w:color w:val="auto"/>
                <w:kern w:val="1"/>
                <w:sz w:val="24"/>
                <w:szCs w:val="24"/>
                <w:highlight w:val="none"/>
              </w:rPr>
              <w:t>人和专家评委</w:t>
            </w:r>
            <w:r>
              <w:rPr>
                <w:rFonts w:hint="eastAsia" w:ascii="宋体" w:hAnsi="宋体" w:cs="宋体"/>
                <w:color w:val="auto"/>
                <w:kern w:val="1"/>
                <w:sz w:val="24"/>
                <w:szCs w:val="24"/>
                <w:highlight w:val="none"/>
                <w:lang w:val="en-US" w:eastAsia="zh-CN"/>
              </w:rPr>
              <w:t>3</w:t>
            </w:r>
            <w:r>
              <w:rPr>
                <w:rFonts w:hint="eastAsia" w:ascii="宋体" w:hAnsi="宋体" w:cs="宋体"/>
                <w:color w:val="auto"/>
                <w:kern w:val="1"/>
                <w:sz w:val="24"/>
                <w:szCs w:val="24"/>
                <w:highlight w:val="none"/>
              </w:rPr>
              <w:t>人。</w:t>
            </w:r>
          </w:p>
          <w:p>
            <w:pPr>
              <w:keepNext w:val="0"/>
              <w:keepLines w:val="0"/>
              <w:pageBreakBefore w:val="0"/>
              <w:widowControl/>
              <w:wordWrap/>
              <w:overflowPunct/>
              <w:topLinePunct w:val="0"/>
              <w:bidi w:val="0"/>
              <w:adjustRightInd/>
              <w:snapToGrid w:val="0"/>
              <w:spacing w:line="0" w:lineRule="atLeast"/>
              <w:jc w:val="left"/>
              <w:textAlignment w:val="auto"/>
              <w:rPr>
                <w:rFonts w:hint="eastAsia" w:ascii="宋体" w:hAnsi="宋体" w:cs="宋体"/>
                <w:color w:val="auto"/>
                <w:kern w:val="1"/>
                <w:sz w:val="24"/>
                <w:szCs w:val="24"/>
                <w:highlight w:val="none"/>
              </w:rPr>
            </w:pPr>
            <w:r>
              <w:rPr>
                <w:rFonts w:hint="eastAsia" w:ascii="宋体" w:hAnsi="宋体" w:cs="宋体"/>
                <w:color w:val="auto"/>
                <w:kern w:val="1"/>
                <w:sz w:val="24"/>
                <w:szCs w:val="24"/>
                <w:highlight w:val="none"/>
              </w:rPr>
              <w:t>评审专家确定方式：</w:t>
            </w:r>
          </w:p>
          <w:p>
            <w:pPr>
              <w:keepNext w:val="0"/>
              <w:keepLines w:val="0"/>
              <w:pageBreakBefore w:val="0"/>
              <w:widowControl/>
              <w:wordWrap/>
              <w:overflowPunct/>
              <w:topLinePunct w:val="0"/>
              <w:bidi w:val="0"/>
              <w:adjustRightInd/>
              <w:snapToGrid w:val="0"/>
              <w:spacing w:line="0" w:lineRule="atLeast"/>
              <w:jc w:val="left"/>
              <w:textAlignment w:val="auto"/>
              <w:rPr>
                <w:rFonts w:hint="eastAsia" w:ascii="宋体" w:hAnsi="宋体" w:cs="宋体"/>
                <w:color w:val="auto"/>
                <w:kern w:val="1"/>
                <w:sz w:val="24"/>
                <w:szCs w:val="24"/>
                <w:highlight w:val="none"/>
              </w:rPr>
            </w:pPr>
            <w:bookmarkStart w:id="3" w:name="EBce4bd580abb1480c94d74e02f2cbd9b6"/>
            <w:r>
              <w:rPr>
                <w:rFonts w:hint="eastAsia" w:ascii="宋体" w:hAnsi="宋体" w:cs="宋体"/>
                <w:color w:val="auto"/>
                <w:kern w:val="1"/>
                <w:sz w:val="24"/>
                <w:szCs w:val="24"/>
                <w:highlight w:val="none"/>
              </w:rPr>
              <w:t xml:space="preserve">☑计算机随机抽取语音通知方式 </w:t>
            </w:r>
          </w:p>
          <w:p>
            <w:pPr>
              <w:keepNext w:val="0"/>
              <w:keepLines w:val="0"/>
              <w:pageBreakBefore w:val="0"/>
              <w:widowControl/>
              <w:wordWrap/>
              <w:overflowPunct/>
              <w:topLinePunct w:val="0"/>
              <w:bidi w:val="0"/>
              <w:adjustRightInd/>
              <w:snapToGrid w:val="0"/>
              <w:spacing w:line="0" w:lineRule="atLeast"/>
              <w:jc w:val="left"/>
              <w:textAlignment w:val="auto"/>
              <w:rPr>
                <w:rFonts w:hint="eastAsia" w:ascii="宋体" w:hAnsi="宋体" w:cs="宋体"/>
                <w:color w:val="auto"/>
                <w:kern w:val="1"/>
                <w:sz w:val="24"/>
                <w:szCs w:val="24"/>
                <w:highlight w:val="none"/>
              </w:rPr>
            </w:pPr>
            <w:r>
              <w:rPr>
                <w:rFonts w:hint="eastAsia" w:ascii="宋体" w:hAnsi="宋体" w:cs="宋体"/>
                <w:color w:val="auto"/>
                <w:kern w:val="1"/>
                <w:sz w:val="24"/>
                <w:szCs w:val="24"/>
                <w:highlight w:val="none"/>
              </w:rPr>
              <w:t>□其他方式</w:t>
            </w:r>
            <w:bookmarkEnd w:id="3"/>
          </w:p>
          <w:p>
            <w:pPr>
              <w:keepNext w:val="0"/>
              <w:keepLines w:val="0"/>
              <w:pageBreakBefore w:val="0"/>
              <w:widowControl/>
              <w:wordWrap/>
              <w:overflowPunct/>
              <w:topLinePunct w:val="0"/>
              <w:bidi w:val="0"/>
              <w:adjustRightInd/>
              <w:snapToGrid w:val="0"/>
              <w:spacing w:line="0" w:lineRule="atLeast"/>
              <w:jc w:val="left"/>
              <w:textAlignment w:val="auto"/>
              <w:rPr>
                <w:rFonts w:hint="eastAsia" w:ascii="宋体" w:hAnsi="宋体" w:cs="宋体"/>
                <w:color w:val="auto"/>
                <w:kern w:val="1"/>
                <w:sz w:val="24"/>
                <w:szCs w:val="24"/>
                <w:highlight w:val="none"/>
              </w:rPr>
            </w:pPr>
            <w:r>
              <w:rPr>
                <w:rFonts w:hint="eastAsia" w:ascii="新宋体" w:hAnsi="新宋体" w:eastAsia="新宋体" w:cs="新宋体"/>
                <w:color w:val="auto"/>
                <w:sz w:val="24"/>
                <w:szCs w:val="24"/>
                <w:highlight w:val="none"/>
                <w:lang w:val="en-US" w:eastAsia="zh-CN"/>
              </w:rPr>
              <w:t>金润源集团公司采购部专家库中随机抽取</w:t>
            </w:r>
          </w:p>
        </w:tc>
      </w:tr>
      <w:tr>
        <w:tblPrEx>
          <w:tblCellMar>
            <w:top w:w="0" w:type="dxa"/>
            <w:left w:w="108" w:type="dxa"/>
            <w:bottom w:w="0" w:type="dxa"/>
            <w:right w:w="108" w:type="dxa"/>
          </w:tblCellMar>
        </w:tblPrEx>
        <w:trPr>
          <w:trHeight w:val="1166"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wordWrap/>
              <w:overflowPunct/>
              <w:topLinePunct w:val="0"/>
              <w:bidi w:val="0"/>
              <w:adjustRightInd/>
              <w:snapToGrid w:val="0"/>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信息公告媒体</w:t>
            </w:r>
          </w:p>
        </w:tc>
        <w:tc>
          <w:tcPr>
            <w:tcW w:w="6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val="0"/>
              <w:autoSpaceDE/>
              <w:autoSpaceDN/>
              <w:bidi w:val="0"/>
              <w:adjustRightInd/>
              <w:snapToGrid w:val="0"/>
              <w:spacing w:line="0" w:lineRule="atLeast"/>
              <w:jc w:val="left"/>
              <w:textAlignment w:val="auto"/>
              <w:rPr>
                <w:rFonts w:hint="eastAsia" w:ascii="宋体" w:hAnsi="宋体" w:cs="宋体"/>
                <w:color w:val="auto"/>
                <w:kern w:val="1"/>
                <w:sz w:val="24"/>
                <w:szCs w:val="24"/>
                <w:highlight w:val="none"/>
              </w:rPr>
            </w:pPr>
            <w:r>
              <w:rPr>
                <w:rFonts w:hint="eastAsia" w:ascii="宋体" w:hAnsi="宋体" w:eastAsia="宋体" w:cs="宋体"/>
                <w:color w:val="auto"/>
                <w:sz w:val="24"/>
                <w:szCs w:val="24"/>
                <w:highlight w:val="none"/>
              </w:rPr>
              <w:t>枝江金润源建设投资控股集团有限公司官网</w:t>
            </w:r>
            <w:r>
              <w:rPr>
                <w:rFonts w:hint="eastAsia" w:ascii="宋体" w:hAnsi="宋体" w:eastAsia="宋体" w:cs="宋体"/>
                <w:color w:val="auto"/>
                <w:sz w:val="24"/>
                <w:szCs w:val="24"/>
                <w:highlight w:val="none"/>
                <w:lang w:eastAsia="zh-CN"/>
              </w:rPr>
              <w:t>（http://www.zjjryjt.cn/）</w:t>
            </w:r>
          </w:p>
        </w:tc>
      </w:tr>
    </w:tbl>
    <w:p>
      <w:pPr>
        <w:pStyle w:val="2"/>
        <w:rPr>
          <w:color w:val="auto"/>
          <w:highlight w:val="none"/>
        </w:rPr>
      </w:pPr>
      <w:bookmarkStart w:id="4" w:name="_Toc6578154"/>
      <w:bookmarkStart w:id="5" w:name="_Toc522097479"/>
      <w:bookmarkStart w:id="6" w:name="_Toc8407"/>
      <w:bookmarkStart w:id="7" w:name="OLE_LINK6"/>
    </w:p>
    <w:p>
      <w:pPr>
        <w:pStyle w:val="3"/>
        <w:rPr>
          <w:rFonts w:hint="eastAsia" w:ascii="宋体" w:hAnsi="宋体"/>
          <w:color w:val="auto"/>
          <w:kern w:val="1"/>
          <w:sz w:val="44"/>
          <w:szCs w:val="44"/>
          <w:highlight w:val="none"/>
        </w:rPr>
      </w:pPr>
    </w:p>
    <w:p>
      <w:pPr>
        <w:pStyle w:val="3"/>
        <w:rPr>
          <w:rFonts w:hint="eastAsia" w:ascii="宋体" w:hAnsi="宋体"/>
          <w:color w:val="auto"/>
          <w:kern w:val="1"/>
          <w:sz w:val="44"/>
          <w:szCs w:val="44"/>
          <w:highlight w:val="none"/>
        </w:rPr>
      </w:pPr>
    </w:p>
    <w:p>
      <w:pPr>
        <w:pStyle w:val="3"/>
        <w:rPr>
          <w:rFonts w:ascii="宋体" w:eastAsia="宋体" w:cs="Times New Roman"/>
          <w:color w:val="auto"/>
          <w:kern w:val="1"/>
          <w:sz w:val="44"/>
          <w:szCs w:val="44"/>
          <w:highlight w:val="none"/>
        </w:rPr>
      </w:pPr>
      <w:r>
        <w:rPr>
          <w:rFonts w:hint="eastAsia" w:ascii="宋体" w:hAnsi="宋体"/>
          <w:color w:val="auto"/>
          <w:kern w:val="1"/>
          <w:sz w:val="44"/>
          <w:szCs w:val="44"/>
          <w:highlight w:val="none"/>
        </w:rPr>
        <w:t>第一章</w:t>
      </w:r>
      <w:r>
        <w:rPr>
          <w:rFonts w:ascii="宋体" w:hAnsi="宋体" w:cs="宋体"/>
          <w:color w:val="auto"/>
          <w:kern w:val="1"/>
          <w:sz w:val="44"/>
          <w:szCs w:val="44"/>
          <w:highlight w:val="none"/>
        </w:rPr>
        <w:t xml:space="preserve">    </w:t>
      </w:r>
      <w:r>
        <w:rPr>
          <w:rFonts w:hint="eastAsia" w:ascii="宋体" w:hAnsi="宋体"/>
          <w:color w:val="auto"/>
          <w:kern w:val="1"/>
          <w:sz w:val="44"/>
          <w:szCs w:val="44"/>
          <w:highlight w:val="none"/>
        </w:rPr>
        <w:t>竞争性磋商公告</w:t>
      </w:r>
      <w:bookmarkEnd w:id="4"/>
      <w:bookmarkEnd w:id="5"/>
      <w:bookmarkEnd w:id="6"/>
    </w:p>
    <w:p>
      <w:pPr>
        <w:spacing w:line="360" w:lineRule="exact"/>
        <w:ind w:firstLine="480" w:firstLineChars="200"/>
        <w:rPr>
          <w:rFonts w:ascii="宋体"/>
          <w:color w:val="auto"/>
          <w:sz w:val="24"/>
          <w:szCs w:val="24"/>
          <w:highlight w:val="none"/>
        </w:rPr>
      </w:pPr>
      <w:bookmarkStart w:id="8" w:name="OLE_LINK5"/>
      <w:bookmarkStart w:id="9" w:name="OLE_LINK7"/>
      <w:bookmarkStart w:id="10" w:name="_Toc465325105"/>
      <w:bookmarkStart w:id="11" w:name="_Toc465324871"/>
      <w:r>
        <w:rPr>
          <w:rFonts w:hint="eastAsia" w:ascii="宋体" w:hAnsi="宋体" w:cs="宋体"/>
          <w:color w:val="auto"/>
          <w:sz w:val="24"/>
          <w:szCs w:val="24"/>
          <w:highlight w:val="none"/>
          <w:lang w:eastAsia="zh-CN"/>
        </w:rPr>
        <w:t>金润源、金源、国资中心财产保险采购</w:t>
      </w:r>
      <w:r>
        <w:rPr>
          <w:rFonts w:hint="eastAsia" w:ascii="宋体" w:hAnsi="宋体" w:cs="宋体"/>
          <w:color w:val="auto"/>
          <w:sz w:val="24"/>
          <w:szCs w:val="24"/>
          <w:highlight w:val="none"/>
        </w:rPr>
        <w:t>已具备采购条件，湖北恒基建设工程项目管理有限公司受采购人委托作为本项目采购代理机构，现对本项目进行竞争性磋商采购，具体公告如下：</w:t>
      </w:r>
    </w:p>
    <w:p>
      <w:pPr>
        <w:spacing w:line="360" w:lineRule="exact"/>
        <w:ind w:firstLine="482" w:firstLineChars="200"/>
        <w:rPr>
          <w:rFonts w:hint="eastAsia" w:ascii="宋体" w:hAnsi="宋体" w:cs="宋体"/>
          <w:b/>
          <w:bCs/>
          <w:color w:val="auto"/>
          <w:kern w:val="1"/>
          <w:sz w:val="24"/>
          <w:szCs w:val="24"/>
          <w:highlight w:val="none"/>
        </w:rPr>
      </w:pPr>
      <w:bookmarkStart w:id="12" w:name="_Toc20634"/>
      <w:bookmarkStart w:id="13" w:name="_Toc32715_WPSOffice_Level2"/>
      <w:bookmarkStart w:id="14" w:name="_Toc26704_WPSOffice_Level2"/>
      <w:bookmarkStart w:id="15" w:name="_Toc32038"/>
      <w:r>
        <w:rPr>
          <w:rFonts w:hint="eastAsia" w:ascii="宋体" w:hAnsi="宋体" w:cs="宋体"/>
          <w:b/>
          <w:bCs/>
          <w:color w:val="auto"/>
          <w:kern w:val="1"/>
          <w:sz w:val="24"/>
          <w:szCs w:val="24"/>
          <w:highlight w:val="none"/>
        </w:rPr>
        <w:t>一、项目概况：</w:t>
      </w:r>
      <w:bookmarkEnd w:id="12"/>
      <w:bookmarkEnd w:id="13"/>
      <w:bookmarkEnd w:id="14"/>
      <w:bookmarkEnd w:id="15"/>
    </w:p>
    <w:p>
      <w:pPr>
        <w:spacing w:line="360" w:lineRule="exact"/>
        <w:ind w:firstLine="480" w:firstLineChars="200"/>
        <w:rPr>
          <w:rFonts w:hint="eastAsia" w:ascii="宋体" w:eastAsia="宋体"/>
          <w:color w:val="auto"/>
          <w:sz w:val="24"/>
          <w:szCs w:val="24"/>
          <w:highlight w:val="none"/>
          <w:lang w:eastAsia="zh-CN"/>
        </w:rPr>
      </w:pPr>
      <w:r>
        <w:rPr>
          <w:rFonts w:hint="eastAsia" w:ascii="宋体" w:hAnsi="宋体" w:cs="宋体"/>
          <w:color w:val="auto"/>
          <w:kern w:val="1"/>
          <w:sz w:val="24"/>
          <w:szCs w:val="24"/>
          <w:highlight w:val="none"/>
        </w:rPr>
        <w:t>1、项目名称：</w:t>
      </w:r>
      <w:r>
        <w:rPr>
          <w:rFonts w:hint="eastAsia" w:ascii="宋体" w:hAnsi="宋体" w:cs="宋体"/>
          <w:color w:val="auto"/>
          <w:kern w:val="1"/>
          <w:sz w:val="24"/>
          <w:szCs w:val="24"/>
          <w:highlight w:val="none"/>
          <w:lang w:eastAsia="zh-CN"/>
        </w:rPr>
        <w:t>金润源、金源、国资中心财产保险采购</w:t>
      </w:r>
    </w:p>
    <w:p>
      <w:pPr>
        <w:spacing w:line="360" w:lineRule="exact"/>
        <w:ind w:firstLine="480" w:firstLineChars="200"/>
        <w:rPr>
          <w:rFonts w:hint="eastAsia" w:ascii="宋体" w:hAnsi="宋体" w:eastAsia="宋体" w:cs="宋体"/>
          <w:color w:val="auto"/>
          <w:kern w:val="1"/>
          <w:sz w:val="24"/>
          <w:szCs w:val="24"/>
          <w:highlight w:val="none"/>
          <w:lang w:eastAsia="zh-CN"/>
        </w:rPr>
      </w:pPr>
      <w:r>
        <w:rPr>
          <w:rFonts w:hint="eastAsia" w:ascii="宋体" w:hAnsi="宋体" w:cs="宋体"/>
          <w:color w:val="auto"/>
          <w:kern w:val="1"/>
          <w:sz w:val="24"/>
          <w:szCs w:val="24"/>
          <w:highlight w:val="none"/>
        </w:rPr>
        <w:t>2、项目编号：</w:t>
      </w:r>
      <w:r>
        <w:rPr>
          <w:rFonts w:hint="eastAsia" w:ascii="宋体" w:hAnsi="宋体" w:cs="宋体"/>
          <w:color w:val="auto"/>
          <w:kern w:val="1"/>
          <w:sz w:val="24"/>
          <w:szCs w:val="24"/>
          <w:highlight w:val="none"/>
          <w:lang w:eastAsia="zh-CN"/>
        </w:rPr>
        <w:t>Zjjry2020-Z063</w:t>
      </w:r>
    </w:p>
    <w:p>
      <w:pPr>
        <w:spacing w:line="360" w:lineRule="exact"/>
        <w:ind w:firstLine="480" w:firstLineChars="200"/>
        <w:rPr>
          <w:rFonts w:hint="eastAsia" w:ascii="宋体" w:hAnsi="宋体" w:eastAsia="宋体" w:cs="宋体"/>
          <w:color w:val="auto"/>
          <w:kern w:val="1"/>
          <w:sz w:val="24"/>
          <w:szCs w:val="24"/>
          <w:highlight w:val="none"/>
          <w:lang w:val="en-US" w:eastAsia="zh-CN"/>
        </w:rPr>
      </w:pPr>
      <w:r>
        <w:rPr>
          <w:rFonts w:hint="eastAsia" w:ascii="宋体" w:hAnsi="宋体" w:cs="宋体"/>
          <w:color w:val="auto"/>
          <w:kern w:val="1"/>
          <w:sz w:val="24"/>
          <w:szCs w:val="24"/>
          <w:highlight w:val="none"/>
          <w:lang w:val="en-US" w:eastAsia="zh-CN"/>
        </w:rPr>
        <w:t>3</w:t>
      </w:r>
      <w:r>
        <w:rPr>
          <w:rFonts w:hint="eastAsia" w:ascii="宋体" w:hAnsi="宋体" w:cs="宋体"/>
          <w:color w:val="auto"/>
          <w:kern w:val="1"/>
          <w:sz w:val="24"/>
          <w:szCs w:val="24"/>
          <w:highlight w:val="none"/>
        </w:rPr>
        <w:t>、</w:t>
      </w:r>
      <w:r>
        <w:rPr>
          <w:rFonts w:hint="eastAsia" w:ascii="宋体" w:hAnsi="宋体" w:cs="宋体"/>
          <w:color w:val="auto"/>
          <w:kern w:val="1"/>
          <w:sz w:val="24"/>
          <w:szCs w:val="24"/>
          <w:highlight w:val="none"/>
          <w:lang w:val="en-US" w:eastAsia="zh-CN"/>
        </w:rPr>
        <w:t>采购内容</w:t>
      </w:r>
      <w:r>
        <w:rPr>
          <w:rFonts w:hint="eastAsia" w:ascii="宋体" w:hAnsi="宋体" w:cs="宋体"/>
          <w:color w:val="auto"/>
          <w:kern w:val="1"/>
          <w:sz w:val="24"/>
          <w:szCs w:val="24"/>
          <w:highlight w:val="none"/>
          <w:lang w:eastAsia="zh-CN"/>
        </w:rPr>
        <w:t>：本项目拟采购一家保险公司，购买金润源、金源、国资中心财产保险，投保险种为财产综合险</w:t>
      </w:r>
      <w:r>
        <w:rPr>
          <w:rFonts w:hint="eastAsia" w:ascii="宋体" w:hAnsi="宋体" w:cs="宋体"/>
          <w:color w:val="auto"/>
          <w:kern w:val="1"/>
          <w:sz w:val="24"/>
          <w:szCs w:val="24"/>
          <w:highlight w:val="none"/>
          <w:lang w:val="en-US" w:eastAsia="zh-CN"/>
        </w:rPr>
        <w:t>,</w:t>
      </w:r>
      <w:r>
        <w:rPr>
          <w:rFonts w:hint="eastAsia" w:ascii="宋体" w:hAnsi="宋体" w:cs="宋体"/>
          <w:color w:val="auto"/>
          <w:kern w:val="0"/>
          <w:sz w:val="24"/>
          <w:szCs w:val="24"/>
          <w:highlight w:val="none"/>
          <w:lang w:val="en-US" w:eastAsia="zh-CN" w:bidi="ar-SA"/>
        </w:rPr>
        <w:t>保险金额：约3.9亿元</w:t>
      </w:r>
      <w:r>
        <w:rPr>
          <w:rFonts w:hint="eastAsia" w:ascii="宋体" w:hAnsi="宋体" w:cs="宋体"/>
          <w:color w:val="auto"/>
          <w:kern w:val="1"/>
          <w:sz w:val="24"/>
          <w:szCs w:val="24"/>
          <w:highlight w:val="none"/>
          <w:lang w:eastAsia="zh-CN"/>
        </w:rPr>
        <w:t>。</w:t>
      </w:r>
      <w:r>
        <w:rPr>
          <w:rFonts w:hint="eastAsia" w:ascii="宋体" w:hAnsi="宋体" w:cs="宋体"/>
          <w:color w:val="auto"/>
          <w:kern w:val="1"/>
          <w:sz w:val="24"/>
          <w:szCs w:val="24"/>
          <w:highlight w:val="none"/>
          <w:lang w:val="en-US" w:eastAsia="zh-CN"/>
        </w:rPr>
        <w:t>(详细清单在开标现场发放）</w:t>
      </w:r>
    </w:p>
    <w:p>
      <w:pPr>
        <w:pStyle w:val="2"/>
        <w:kinsoku w:val="0"/>
        <w:autoSpaceDE w:val="0"/>
        <w:autoSpaceDN w:val="0"/>
        <w:spacing w:line="288" w:lineRule="auto"/>
        <w:ind w:firstLine="480" w:firstLineChars="200"/>
        <w:rPr>
          <w:rFonts w:hint="eastAsia" w:ascii="宋体" w:eastAsia="宋体"/>
          <w:color w:val="auto"/>
          <w:highlight w:val="none"/>
        </w:rPr>
      </w:pPr>
      <w:r>
        <w:rPr>
          <w:rFonts w:hint="eastAsia" w:ascii="宋体" w:hAnsi="宋体" w:cs="宋体"/>
          <w:color w:val="auto"/>
          <w:kern w:val="1"/>
          <w:sz w:val="24"/>
          <w:szCs w:val="24"/>
          <w:highlight w:val="none"/>
          <w:lang w:val="en-US" w:eastAsia="zh-CN"/>
        </w:rPr>
        <w:t>4</w:t>
      </w:r>
      <w:r>
        <w:rPr>
          <w:rFonts w:hint="eastAsia" w:ascii="宋体" w:hAnsi="宋体" w:cs="宋体"/>
          <w:color w:val="auto"/>
          <w:kern w:val="1"/>
          <w:sz w:val="24"/>
          <w:szCs w:val="24"/>
          <w:highlight w:val="none"/>
        </w:rPr>
        <w:t>、</w:t>
      </w:r>
      <w:r>
        <w:rPr>
          <w:rFonts w:hint="eastAsia" w:ascii="宋体" w:eastAsia="宋体"/>
          <w:color w:val="auto"/>
          <w:highlight w:val="none"/>
          <w:lang w:val="en-US" w:eastAsia="zh-CN"/>
        </w:rPr>
        <w:t>保险</w:t>
      </w:r>
      <w:r>
        <w:rPr>
          <w:rFonts w:hint="eastAsia" w:ascii="宋体" w:eastAsia="宋体"/>
          <w:color w:val="auto"/>
          <w:highlight w:val="none"/>
        </w:rPr>
        <w:t>期限：</w:t>
      </w:r>
      <w:r>
        <w:rPr>
          <w:rFonts w:hint="eastAsia" w:ascii="宋体" w:eastAsia="宋体"/>
          <w:color w:val="auto"/>
          <w:highlight w:val="none"/>
          <w:lang w:val="en-US" w:eastAsia="zh-CN"/>
        </w:rPr>
        <w:t>1年</w:t>
      </w:r>
      <w:r>
        <w:rPr>
          <w:rFonts w:hint="eastAsia" w:ascii="宋体" w:eastAsia="宋体"/>
          <w:color w:val="auto"/>
          <w:highlight w:val="none"/>
        </w:rPr>
        <w:t>。</w:t>
      </w:r>
    </w:p>
    <w:p>
      <w:pPr>
        <w:pStyle w:val="2"/>
        <w:kinsoku w:val="0"/>
        <w:autoSpaceDE w:val="0"/>
        <w:autoSpaceDN w:val="0"/>
        <w:spacing w:line="288" w:lineRule="auto"/>
        <w:ind w:firstLine="480" w:firstLineChars="200"/>
        <w:rPr>
          <w:rFonts w:hint="eastAsia" w:ascii="宋体" w:eastAsia="宋体"/>
          <w:color w:val="auto"/>
          <w:highlight w:val="none"/>
        </w:rPr>
      </w:pPr>
      <w:r>
        <w:rPr>
          <w:rFonts w:hint="eastAsia" w:ascii="宋体" w:eastAsia="宋体"/>
          <w:color w:val="auto"/>
          <w:highlight w:val="none"/>
          <w:lang w:val="en-US" w:eastAsia="zh-CN"/>
        </w:rPr>
        <w:t>5</w:t>
      </w:r>
      <w:bookmarkStart w:id="89" w:name="_GoBack"/>
      <w:bookmarkEnd w:id="89"/>
      <w:r>
        <w:rPr>
          <w:rFonts w:hint="eastAsia" w:ascii="宋体" w:eastAsia="宋体"/>
          <w:color w:val="auto"/>
          <w:highlight w:val="none"/>
        </w:rPr>
        <w:t>、本项目最高磋商报价为：</w:t>
      </w:r>
      <w:r>
        <w:rPr>
          <w:rFonts w:hint="eastAsia" w:ascii="宋体" w:eastAsia="宋体"/>
          <w:color w:val="auto"/>
          <w:highlight w:val="none"/>
          <w:lang w:val="en-US" w:eastAsia="zh-CN"/>
        </w:rPr>
        <w:t>20万元</w:t>
      </w:r>
      <w:r>
        <w:rPr>
          <w:rFonts w:hint="eastAsia" w:ascii="宋体" w:eastAsia="宋体"/>
          <w:color w:val="auto"/>
          <w:highlight w:val="none"/>
        </w:rPr>
        <w:t>。</w:t>
      </w:r>
    </w:p>
    <w:p>
      <w:pPr>
        <w:pStyle w:val="2"/>
        <w:kinsoku w:val="0"/>
        <w:autoSpaceDE w:val="0"/>
        <w:autoSpaceDN w:val="0"/>
        <w:spacing w:line="288" w:lineRule="auto"/>
        <w:ind w:firstLine="482" w:firstLineChars="200"/>
        <w:rPr>
          <w:rFonts w:hint="eastAsia" w:ascii="宋体" w:eastAsia="宋体"/>
          <w:b/>
          <w:bCs/>
          <w:color w:val="auto"/>
          <w:highlight w:val="none"/>
        </w:rPr>
      </w:pPr>
      <w:bookmarkStart w:id="16" w:name="_Toc13521"/>
      <w:bookmarkStart w:id="17" w:name="_Toc24711_WPSOffice_Level2"/>
      <w:bookmarkStart w:id="18" w:name="_Toc15689"/>
      <w:bookmarkStart w:id="19" w:name="_Toc25208_WPSOffice_Level2"/>
      <w:r>
        <w:rPr>
          <w:rFonts w:hint="eastAsia" w:ascii="宋体" w:eastAsia="宋体"/>
          <w:b/>
          <w:bCs/>
          <w:color w:val="auto"/>
          <w:highlight w:val="none"/>
        </w:rPr>
        <w:t>二、供应商资格:</w:t>
      </w:r>
      <w:bookmarkEnd w:id="16"/>
      <w:bookmarkEnd w:id="17"/>
      <w:bookmarkEnd w:id="18"/>
      <w:bookmarkEnd w:id="19"/>
    </w:p>
    <w:p>
      <w:pPr>
        <w:pStyle w:val="2"/>
        <w:kinsoku w:val="0"/>
        <w:autoSpaceDE w:val="0"/>
        <w:autoSpaceDN w:val="0"/>
        <w:spacing w:line="288" w:lineRule="auto"/>
        <w:ind w:firstLine="480" w:firstLineChars="200"/>
        <w:rPr>
          <w:rFonts w:ascii="宋体" w:eastAsia="宋体"/>
          <w:color w:val="auto"/>
          <w:highlight w:val="none"/>
        </w:rPr>
      </w:pPr>
      <w:bookmarkStart w:id="20" w:name="_Toc6668_WPSOffice_Level2"/>
      <w:bookmarkStart w:id="21" w:name="_Toc1993"/>
      <w:bookmarkStart w:id="22" w:name="_Toc14328_WPSOffice_Level2"/>
      <w:bookmarkStart w:id="23" w:name="_Toc22325"/>
      <w:r>
        <w:rPr>
          <w:rFonts w:hint="eastAsia" w:ascii="宋体" w:eastAsia="宋体"/>
          <w:color w:val="auto"/>
          <w:highlight w:val="none"/>
        </w:rPr>
        <w:t>1、供应商应具备《政府采购法》第二十二条第一款规定的条件；</w:t>
      </w:r>
    </w:p>
    <w:p>
      <w:pPr>
        <w:pStyle w:val="2"/>
        <w:kinsoku w:val="0"/>
        <w:autoSpaceDE w:val="0"/>
        <w:autoSpaceDN w:val="0"/>
        <w:spacing w:line="288" w:lineRule="auto"/>
        <w:ind w:firstLine="480" w:firstLineChars="200"/>
        <w:rPr>
          <w:rFonts w:hint="eastAsia" w:ascii="宋体" w:eastAsia="宋体"/>
          <w:color w:val="auto"/>
          <w:highlight w:val="none"/>
        </w:rPr>
      </w:pPr>
      <w:r>
        <w:rPr>
          <w:rFonts w:hint="eastAsia" w:ascii="宋体" w:eastAsia="宋体"/>
          <w:color w:val="auto"/>
          <w:highlight w:val="none"/>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2"/>
        <w:kinsoku w:val="0"/>
        <w:autoSpaceDE w:val="0"/>
        <w:autoSpaceDN w:val="0"/>
        <w:spacing w:line="288" w:lineRule="auto"/>
        <w:ind w:firstLine="480" w:firstLineChars="200"/>
        <w:rPr>
          <w:rFonts w:hint="eastAsia" w:ascii="宋体" w:eastAsia="宋体"/>
          <w:color w:val="auto"/>
          <w:highlight w:val="none"/>
        </w:rPr>
      </w:pPr>
      <w:r>
        <w:rPr>
          <w:rFonts w:hint="eastAsia" w:ascii="宋体" w:eastAsia="宋体"/>
          <w:color w:val="auto"/>
          <w:highlight w:val="none"/>
          <w:lang w:val="en-US" w:eastAsia="zh-CN"/>
        </w:rPr>
        <w:t>3</w:t>
      </w:r>
      <w:r>
        <w:rPr>
          <w:rFonts w:hint="eastAsia" w:ascii="宋体" w:eastAsia="宋体"/>
          <w:color w:val="auto"/>
          <w:highlight w:val="none"/>
        </w:rPr>
        <w:t>、</w:t>
      </w:r>
      <w:r>
        <w:rPr>
          <w:rFonts w:hint="eastAsia" w:ascii="宋体" w:eastAsia="宋体"/>
          <w:color w:val="auto"/>
          <w:highlight w:val="none"/>
          <w:lang w:val="en-US" w:eastAsia="zh-CN"/>
        </w:rPr>
        <w:t>供应商</w:t>
      </w:r>
      <w:r>
        <w:rPr>
          <w:rFonts w:hint="eastAsia" w:ascii="宋体" w:eastAsia="宋体"/>
          <w:color w:val="auto"/>
          <w:highlight w:val="none"/>
          <w:lang w:val="zh-CN" w:eastAsia="zh-CN"/>
        </w:rPr>
        <w:t>须具备中国保险监督管理委员会颁发的《中华人民共和国经营保险业务许可证》；</w:t>
      </w:r>
    </w:p>
    <w:p>
      <w:pPr>
        <w:pStyle w:val="2"/>
        <w:kinsoku w:val="0"/>
        <w:autoSpaceDE w:val="0"/>
        <w:autoSpaceDN w:val="0"/>
        <w:spacing w:line="288" w:lineRule="auto"/>
        <w:ind w:firstLine="480" w:firstLineChars="200"/>
        <w:rPr>
          <w:rFonts w:hint="eastAsia" w:ascii="宋体" w:eastAsia="宋体"/>
          <w:color w:val="auto"/>
          <w:highlight w:val="none"/>
          <w:lang w:val="zh-CN" w:eastAsia="zh-CN"/>
        </w:rPr>
      </w:pPr>
      <w:r>
        <w:rPr>
          <w:rFonts w:hint="eastAsia" w:ascii="宋体" w:eastAsia="宋体"/>
          <w:color w:val="auto"/>
          <w:highlight w:val="none"/>
          <w:lang w:val="en-US" w:eastAsia="zh-CN"/>
        </w:rPr>
        <w:t>4</w:t>
      </w:r>
      <w:r>
        <w:rPr>
          <w:rFonts w:hint="eastAsia" w:ascii="宋体" w:eastAsia="宋体"/>
          <w:color w:val="auto"/>
          <w:highlight w:val="none"/>
        </w:rPr>
        <w:t>、</w:t>
      </w:r>
      <w:r>
        <w:rPr>
          <w:rFonts w:hint="eastAsia" w:ascii="宋体" w:eastAsia="宋体"/>
          <w:color w:val="auto"/>
          <w:highlight w:val="none"/>
          <w:lang w:val="zh-CN" w:eastAsia="zh-CN"/>
        </w:rPr>
        <w:t>本项目接受分公司（支公司）参加</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，每家保险公司只能有一个分公司（支公司）参加</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；应经上级保险公司批准同意，并由上级公司出具相应的授权证明；</w:t>
      </w:r>
    </w:p>
    <w:p>
      <w:pPr>
        <w:pStyle w:val="2"/>
        <w:kinsoku w:val="0"/>
        <w:autoSpaceDE w:val="0"/>
        <w:autoSpaceDN w:val="0"/>
        <w:spacing w:line="288" w:lineRule="auto"/>
        <w:ind w:firstLine="480" w:firstLineChars="200"/>
        <w:rPr>
          <w:rFonts w:hint="eastAsia" w:ascii="宋体" w:eastAsia="宋体"/>
          <w:color w:val="auto"/>
          <w:highlight w:val="none"/>
          <w:lang w:val="zh-CN" w:eastAsia="zh-CN"/>
        </w:rPr>
      </w:pPr>
      <w:r>
        <w:rPr>
          <w:rFonts w:hint="eastAsia" w:ascii="宋体" w:eastAsia="宋体"/>
          <w:color w:val="auto"/>
          <w:highlight w:val="none"/>
          <w:lang w:val="en-US" w:eastAsia="zh-CN"/>
        </w:rPr>
        <w:t>5</w:t>
      </w:r>
      <w:r>
        <w:rPr>
          <w:rFonts w:hint="eastAsia" w:ascii="宋体" w:eastAsia="宋体"/>
          <w:color w:val="auto"/>
          <w:highlight w:val="none"/>
          <w:lang w:val="zh-CN" w:eastAsia="zh-CN"/>
        </w:rPr>
        <w:t>、本项目不接受联合体</w:t>
      </w:r>
      <w:r>
        <w:rPr>
          <w:rFonts w:hint="eastAsia" w:ascii="宋体" w:eastAsia="宋体"/>
          <w:color w:val="auto"/>
          <w:highlight w:val="none"/>
          <w:lang w:val="en-US" w:eastAsia="zh-CN"/>
        </w:rPr>
        <w:t>磋商</w:t>
      </w:r>
      <w:r>
        <w:rPr>
          <w:rFonts w:hint="eastAsia" w:ascii="宋体" w:eastAsia="宋体"/>
          <w:color w:val="auto"/>
          <w:highlight w:val="none"/>
          <w:lang w:val="zh-CN" w:eastAsia="zh-CN"/>
        </w:rPr>
        <w:t>；</w:t>
      </w:r>
    </w:p>
    <w:p>
      <w:pPr>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备注：①以上证明资料不单独提交磋商小组备查。</w:t>
      </w:r>
    </w:p>
    <w:p>
      <w:pPr>
        <w:spacing w:line="420" w:lineRule="exact"/>
        <w:ind w:firstLine="482" w:firstLineChars="200"/>
        <w:outlineLvl w:val="1"/>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②供应商在制作响应文件时所粘贴的相关证明资料为原件彩色扫描件并加盖公章，否则磋商委员会和采购人将不予采信，只有符合以上所有条件的供应商才能通过资格审查。</w:t>
      </w:r>
    </w:p>
    <w:p>
      <w:pPr>
        <w:spacing w:line="420" w:lineRule="exact"/>
        <w:ind w:firstLine="482" w:firstLineChars="200"/>
        <w:outlineLvl w:val="1"/>
        <w:rPr>
          <w:rFonts w:ascii="宋体"/>
          <w:b/>
          <w:bCs/>
          <w:color w:val="auto"/>
          <w:sz w:val="24"/>
          <w:szCs w:val="24"/>
          <w:highlight w:val="none"/>
        </w:rPr>
      </w:pPr>
      <w:r>
        <w:rPr>
          <w:rFonts w:hint="eastAsia" w:ascii="宋体" w:hAnsi="宋体" w:cs="宋体"/>
          <w:b/>
          <w:bCs/>
          <w:color w:val="auto"/>
          <w:sz w:val="24"/>
          <w:szCs w:val="24"/>
          <w:highlight w:val="none"/>
        </w:rPr>
        <w:t>三、竞争性磋商文件的发放：</w:t>
      </w:r>
      <w:bookmarkEnd w:id="20"/>
      <w:bookmarkEnd w:id="21"/>
      <w:bookmarkEnd w:id="22"/>
      <w:bookmarkEnd w:id="23"/>
    </w:p>
    <w:p>
      <w:pPr>
        <w:adjustRightInd w:val="0"/>
        <w:spacing w:line="380" w:lineRule="exact"/>
        <w:ind w:firstLine="480" w:firstLineChars="200"/>
        <w:jc w:val="left"/>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、下载方法：项目不进行现场报名、实行网上下载竞争性磋商文件，供应商需登录枝江金润源建设投资控股集团有限公司官网（</w:t>
      </w:r>
      <w:r>
        <w:rPr>
          <w:color w:val="auto"/>
          <w:highlight w:val="none"/>
        </w:rPr>
        <w:fldChar w:fldCharType="begin"/>
      </w:r>
      <w:r>
        <w:rPr>
          <w:color w:val="auto"/>
          <w:highlight w:val="none"/>
        </w:rPr>
        <w:instrText xml:space="preserve"> HYPERLINK "http://www.zjjryjt.com/" </w:instrText>
      </w:r>
      <w:r>
        <w:rPr>
          <w:color w:val="auto"/>
          <w:highlight w:val="none"/>
        </w:rPr>
        <w:fldChar w:fldCharType="separate"/>
      </w:r>
      <w:r>
        <w:rPr>
          <w:rFonts w:ascii="宋体" w:hAnsi="宋体" w:cs="宋体"/>
          <w:color w:val="auto"/>
          <w:sz w:val="24"/>
          <w:szCs w:val="24"/>
          <w:highlight w:val="none"/>
        </w:rPr>
        <w:t>http://www.zjjryjt.cn/</w:t>
      </w:r>
      <w:r>
        <w:rPr>
          <w:rFonts w:ascii="宋体" w:hAnsi="宋体" w:cs="宋体"/>
          <w:color w:val="auto"/>
          <w:sz w:val="24"/>
          <w:szCs w:val="24"/>
          <w:highlight w:val="none"/>
        </w:rPr>
        <w:fldChar w:fldCharType="end"/>
      </w:r>
      <w:r>
        <w:rPr>
          <w:rFonts w:hint="eastAsia" w:ascii="宋体" w:hAnsi="宋体" w:cs="宋体"/>
          <w:color w:val="auto"/>
          <w:sz w:val="24"/>
          <w:szCs w:val="24"/>
          <w:highlight w:val="none"/>
        </w:rPr>
        <w:t>）在公告附件中下载竞争性磋商文件和相关资料。</w:t>
      </w:r>
    </w:p>
    <w:p>
      <w:pPr>
        <w:adjustRightInd w:val="0"/>
        <w:spacing w:line="380" w:lineRule="exact"/>
        <w:ind w:firstLine="480" w:firstLineChars="200"/>
        <w:jc w:val="left"/>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、本项目磋商时间为</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 xml:space="preserve"> 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 xml:space="preserve"> 时</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 xml:space="preserve"> </w:t>
      </w:r>
      <w:r>
        <w:rPr>
          <w:rFonts w:hint="eastAsia" w:ascii="新宋体" w:hAnsi="新宋体" w:eastAsia="新宋体" w:cs="新宋体"/>
          <w:color w:val="auto"/>
          <w:sz w:val="24"/>
          <w:szCs w:val="24"/>
          <w:highlight w:val="none"/>
        </w:rPr>
        <w:t>止</w:t>
      </w:r>
      <w:r>
        <w:rPr>
          <w:rFonts w:hint="eastAsia" w:ascii="宋体" w:hAnsi="宋体" w:cs="宋体"/>
          <w:color w:val="auto"/>
          <w:sz w:val="24"/>
          <w:szCs w:val="24"/>
          <w:highlight w:val="none"/>
        </w:rPr>
        <w:t>，地点在枝江金润源建设投资控股集团有限公司</w:t>
      </w:r>
      <w:r>
        <w:rPr>
          <w:rFonts w:ascii="宋体" w:hAnsi="宋体" w:cs="宋体"/>
          <w:color w:val="auto"/>
          <w:sz w:val="24"/>
          <w:szCs w:val="24"/>
          <w:highlight w:val="none"/>
        </w:rPr>
        <w:t>(</w:t>
      </w:r>
      <w:r>
        <w:rPr>
          <w:rFonts w:hint="eastAsia" w:ascii="宋体" w:hAnsi="宋体" w:cs="宋体"/>
          <w:color w:val="auto"/>
          <w:sz w:val="24"/>
          <w:szCs w:val="24"/>
          <w:highlight w:val="none"/>
        </w:rPr>
        <w:t>枝江市友谊大道</w:t>
      </w:r>
      <w:r>
        <w:rPr>
          <w:rFonts w:ascii="宋体" w:hAnsi="宋体" w:cs="宋体"/>
          <w:color w:val="auto"/>
          <w:sz w:val="24"/>
          <w:szCs w:val="24"/>
          <w:highlight w:val="none"/>
        </w:rPr>
        <w:t>19</w:t>
      </w:r>
      <w:r>
        <w:rPr>
          <w:rFonts w:hint="eastAsia" w:ascii="宋体" w:hAnsi="宋体" w:cs="宋体"/>
          <w:color w:val="auto"/>
          <w:sz w:val="24"/>
          <w:szCs w:val="24"/>
          <w:highlight w:val="none"/>
        </w:rPr>
        <w:t>号</w:t>
      </w:r>
      <w:r>
        <w:rPr>
          <w:rFonts w:ascii="宋体" w:hAnsi="宋体" w:cs="宋体"/>
          <w:color w:val="auto"/>
          <w:sz w:val="24"/>
          <w:szCs w:val="24"/>
          <w:highlight w:val="none"/>
        </w:rPr>
        <w:t>)3</w:t>
      </w:r>
      <w:r>
        <w:rPr>
          <w:rFonts w:hint="eastAsia" w:ascii="宋体" w:hAnsi="宋体" w:cs="宋体"/>
          <w:color w:val="auto"/>
          <w:sz w:val="24"/>
          <w:szCs w:val="24"/>
          <w:highlight w:val="none"/>
        </w:rPr>
        <w:t>楼开标室。本项目实行资格后审，资格审查的标准、条件及方法详见竞争性磋商文件规定，资格后审不合格的供应商将作无效标处理，投标费用由供应商自己负责。</w:t>
      </w:r>
    </w:p>
    <w:p>
      <w:pPr>
        <w:adjustRightInd w:val="0"/>
        <w:snapToGrid w:val="0"/>
        <w:spacing w:line="360" w:lineRule="exact"/>
        <w:ind w:firstLine="482" w:firstLineChars="200"/>
        <w:rPr>
          <w:rFonts w:hint="default" w:ascii="宋体" w:hAnsi="宋体" w:cs="宋体"/>
          <w:b/>
          <w:bCs/>
          <w:color w:val="auto"/>
          <w:sz w:val="24"/>
          <w:szCs w:val="24"/>
          <w:highlight w:val="none"/>
          <w:lang w:val="en-US" w:eastAsia="zh-CN"/>
        </w:rPr>
      </w:pPr>
      <w:bookmarkStart w:id="24" w:name="_Toc29940_WPSOffice_Level2"/>
      <w:bookmarkStart w:id="25" w:name="_Toc20203"/>
      <w:bookmarkStart w:id="26" w:name="_Toc27018"/>
      <w:bookmarkStart w:id="27" w:name="_Toc19334_WPSOffice_Level2"/>
      <w:r>
        <w:rPr>
          <w:rFonts w:hint="eastAsia" w:ascii="宋体" w:hAnsi="宋体" w:cs="宋体"/>
          <w:b/>
          <w:bCs/>
          <w:color w:val="auto"/>
          <w:sz w:val="24"/>
          <w:szCs w:val="24"/>
          <w:highlight w:val="none"/>
          <w:lang w:val="en-US" w:eastAsia="zh-CN"/>
        </w:rPr>
        <w:t>四、开标会</w:t>
      </w:r>
    </w:p>
    <w:p>
      <w:pPr>
        <w:adjustRightInd w:val="0"/>
        <w:snapToGrid w:val="0"/>
        <w:spacing w:line="360" w:lineRule="exact"/>
        <w:ind w:firstLine="480" w:firstLineChars="200"/>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本项目开标会将于</w:t>
      </w:r>
      <w:r>
        <w:rPr>
          <w:rFonts w:hint="eastAsia" w:ascii="宋体" w:hAnsi="宋体" w:cs="宋体"/>
          <w:color w:val="auto"/>
          <w:sz w:val="24"/>
          <w:szCs w:val="24"/>
          <w:highlight w:val="none"/>
        </w:rPr>
        <w:t>磋商时间</w:t>
      </w:r>
      <w:r>
        <w:rPr>
          <w:rFonts w:hint="eastAsia" w:ascii="宋体" w:hAnsi="宋体" w:cs="宋体"/>
          <w:color w:val="auto"/>
          <w:sz w:val="24"/>
          <w:szCs w:val="24"/>
          <w:highlight w:val="none"/>
          <w:lang w:val="zh-CN" w:eastAsia="zh-CN"/>
        </w:rPr>
        <w:t>截止的同一时间在</w:t>
      </w:r>
      <w:r>
        <w:rPr>
          <w:rFonts w:hint="eastAsia" w:ascii="宋体" w:hAnsi="宋体" w:cs="宋体"/>
          <w:color w:val="auto"/>
          <w:sz w:val="24"/>
          <w:szCs w:val="24"/>
          <w:highlight w:val="none"/>
        </w:rPr>
        <w:t>枝江金润源建设投资控股集团有限公司</w:t>
      </w:r>
      <w:r>
        <w:rPr>
          <w:rFonts w:ascii="宋体" w:hAnsi="宋体" w:cs="宋体"/>
          <w:color w:val="auto"/>
          <w:sz w:val="24"/>
          <w:szCs w:val="24"/>
          <w:highlight w:val="none"/>
        </w:rPr>
        <w:t>(</w:t>
      </w:r>
      <w:r>
        <w:rPr>
          <w:rFonts w:hint="eastAsia" w:ascii="宋体" w:hAnsi="宋体" w:cs="宋体"/>
          <w:color w:val="auto"/>
          <w:sz w:val="24"/>
          <w:szCs w:val="24"/>
          <w:highlight w:val="none"/>
        </w:rPr>
        <w:t>枝江市友谊大道</w:t>
      </w:r>
      <w:r>
        <w:rPr>
          <w:rFonts w:ascii="宋体" w:hAnsi="宋体" w:cs="宋体"/>
          <w:color w:val="auto"/>
          <w:sz w:val="24"/>
          <w:szCs w:val="24"/>
          <w:highlight w:val="none"/>
        </w:rPr>
        <w:t>19</w:t>
      </w:r>
      <w:r>
        <w:rPr>
          <w:rFonts w:hint="eastAsia" w:ascii="宋体" w:hAnsi="宋体" w:cs="宋体"/>
          <w:color w:val="auto"/>
          <w:sz w:val="24"/>
          <w:szCs w:val="24"/>
          <w:highlight w:val="none"/>
        </w:rPr>
        <w:t>号</w:t>
      </w:r>
      <w:r>
        <w:rPr>
          <w:rFonts w:ascii="宋体" w:hAnsi="宋体" w:cs="宋体"/>
          <w:color w:val="auto"/>
          <w:sz w:val="24"/>
          <w:szCs w:val="24"/>
          <w:highlight w:val="none"/>
        </w:rPr>
        <w:t>)3</w:t>
      </w:r>
      <w:r>
        <w:rPr>
          <w:rFonts w:hint="eastAsia" w:ascii="宋体" w:hAnsi="宋体" w:cs="宋体"/>
          <w:color w:val="auto"/>
          <w:sz w:val="24"/>
          <w:szCs w:val="24"/>
          <w:highlight w:val="none"/>
        </w:rPr>
        <w:t>楼开标室</w:t>
      </w:r>
      <w:r>
        <w:rPr>
          <w:rFonts w:hint="eastAsia" w:ascii="宋体" w:hAnsi="宋体" w:cs="宋体"/>
          <w:color w:val="auto"/>
          <w:sz w:val="24"/>
          <w:szCs w:val="24"/>
          <w:highlight w:val="none"/>
          <w:lang w:val="zh-CN" w:eastAsia="zh-CN"/>
        </w:rPr>
        <w:t>公开进行，</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lang w:val="zh-CN" w:eastAsia="zh-CN"/>
        </w:rPr>
        <w:t>的法定代表人或其委托代理人应携带有效身份证明文件（法定代表人身份证明或法人授权委托书）和第二代身份证原件在投标截止时间前按时签到并参加开标会，否则将提交评标委员会按招标文件相关规定处理。</w:t>
      </w:r>
    </w:p>
    <w:p>
      <w:pPr>
        <w:adjustRightInd w:val="0"/>
        <w:snapToGrid w:val="0"/>
        <w:spacing w:line="36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五、联系人及方式：</w:t>
      </w:r>
      <w:bookmarkEnd w:id="24"/>
      <w:bookmarkEnd w:id="25"/>
      <w:bookmarkEnd w:id="26"/>
      <w:bookmarkEnd w:id="27"/>
    </w:p>
    <w:p>
      <w:pPr>
        <w:adjustRightInd w:val="0"/>
        <w:snapToGrid w:val="0"/>
        <w:spacing w:line="360" w:lineRule="exact"/>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采 购 人：枝江金润源建设投资控股集团有限公司</w:t>
      </w:r>
    </w:p>
    <w:p>
      <w:pPr>
        <w:adjustRightInd w:val="0"/>
        <w:snapToGrid w:val="0"/>
        <w:spacing w:line="360" w:lineRule="exact"/>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 xml:space="preserve">联 系 人：代凡鹏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联系电话：15090888837</w:t>
      </w:r>
    </w:p>
    <w:p>
      <w:pPr>
        <w:adjustRightInd w:val="0"/>
        <w:snapToGrid w:val="0"/>
        <w:spacing w:line="360" w:lineRule="exact"/>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联系地址：</w:t>
      </w:r>
      <w:r>
        <w:rPr>
          <w:rFonts w:hint="eastAsia" w:ascii="宋体" w:hAnsi="宋体" w:cs="宋体"/>
          <w:color w:val="auto"/>
          <w:sz w:val="24"/>
          <w:szCs w:val="24"/>
          <w:highlight w:val="none"/>
          <w:lang w:eastAsia="zh-CN"/>
        </w:rPr>
        <w:t>枝江市友谊大道19号</w:t>
      </w:r>
    </w:p>
    <w:p>
      <w:pPr>
        <w:adjustRightInd w:val="0"/>
        <w:snapToGrid w:val="0"/>
        <w:spacing w:line="360"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采购代理机构：湖北恒基建设工程项目管理有限公司</w:t>
      </w:r>
      <w:r>
        <w:rPr>
          <w:rFonts w:ascii="宋体" w:hAnsi="宋体" w:cs="宋体"/>
          <w:color w:val="auto"/>
          <w:sz w:val="24"/>
          <w:szCs w:val="24"/>
          <w:highlight w:val="none"/>
        </w:rPr>
        <w:t xml:space="preserve"> </w:t>
      </w:r>
    </w:p>
    <w:p>
      <w:pPr>
        <w:adjustRightInd w:val="0"/>
        <w:snapToGrid w:val="0"/>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系</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人：杨  丹</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 xml:space="preserve">     联系电话：15171779123</w:t>
      </w:r>
    </w:p>
    <w:p>
      <w:pPr>
        <w:adjustRightInd w:val="0"/>
        <w:snapToGrid w:val="0"/>
        <w:spacing w:line="360"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地址：枝江市沿江大道与建设路交汇处</w:t>
      </w:r>
      <w:r>
        <w:rPr>
          <w:rFonts w:ascii="宋体" w:hAnsi="宋体" w:cs="宋体"/>
          <w:color w:val="auto"/>
          <w:sz w:val="24"/>
          <w:szCs w:val="24"/>
          <w:highlight w:val="none"/>
        </w:rPr>
        <w:t xml:space="preserve">  </w:t>
      </w:r>
    </w:p>
    <w:p>
      <w:pPr>
        <w:widowControl/>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注：本磋商公告在枝江金润源集团公司官网（</w:t>
      </w:r>
      <w:r>
        <w:rPr>
          <w:rFonts w:ascii="宋体" w:hAnsi="宋体" w:cs="宋体"/>
          <w:color w:val="auto"/>
          <w:sz w:val="24"/>
          <w:szCs w:val="24"/>
          <w:highlight w:val="none"/>
        </w:rPr>
        <w:t>http://www.zjjryjt.cn/</w:t>
      </w:r>
      <w:r>
        <w:rPr>
          <w:rFonts w:hint="eastAsia" w:ascii="宋体" w:hAnsi="宋体" w:cs="宋体"/>
          <w:color w:val="auto"/>
          <w:sz w:val="24"/>
          <w:szCs w:val="24"/>
          <w:highlight w:val="none"/>
        </w:rPr>
        <w:t>）</w:t>
      </w:r>
      <w:r>
        <w:rPr>
          <w:rFonts w:hint="eastAsia" w:ascii="宋体" w:hAnsi="宋体" w:eastAsia="宋体" w:cs="宋体"/>
          <w:color w:val="auto"/>
          <w:sz w:val="24"/>
          <w:szCs w:val="24"/>
          <w:highlight w:val="none"/>
        </w:rPr>
        <w:t>上发布。</w:t>
      </w:r>
    </w:p>
    <w:p>
      <w:pPr>
        <w:spacing w:line="360" w:lineRule="exact"/>
        <w:ind w:right="480"/>
        <w:rPr>
          <w:rFonts w:ascii="宋体"/>
          <w:color w:val="auto"/>
          <w:sz w:val="24"/>
          <w:szCs w:val="24"/>
          <w:highlight w:val="none"/>
        </w:rPr>
      </w:pPr>
    </w:p>
    <w:p>
      <w:pPr>
        <w:spacing w:line="360" w:lineRule="exact"/>
        <w:ind w:right="360" w:firstLine="480"/>
        <w:jc w:val="right"/>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日</w:t>
      </w:r>
      <w:bookmarkEnd w:id="7"/>
      <w:bookmarkEnd w:id="8"/>
      <w:bookmarkEnd w:id="9"/>
    </w:p>
    <w:p>
      <w:pPr>
        <w:pStyle w:val="23"/>
        <w:ind w:firstLine="480"/>
        <w:rPr>
          <w:rFonts w:hAnsi="宋体"/>
          <w:color w:val="auto"/>
          <w:sz w:val="24"/>
          <w:szCs w:val="24"/>
          <w:highlight w:val="none"/>
        </w:rPr>
      </w:pPr>
    </w:p>
    <w:p>
      <w:pPr>
        <w:pStyle w:val="23"/>
        <w:ind w:firstLine="480"/>
        <w:rPr>
          <w:rFonts w:hAnsi="宋体"/>
          <w:color w:val="auto"/>
          <w:sz w:val="24"/>
          <w:szCs w:val="24"/>
          <w:highlight w:val="none"/>
        </w:rPr>
      </w:pPr>
    </w:p>
    <w:p>
      <w:pPr>
        <w:pStyle w:val="23"/>
        <w:ind w:firstLine="480"/>
        <w:rPr>
          <w:rFonts w:hAnsi="宋体"/>
          <w:color w:val="auto"/>
          <w:sz w:val="24"/>
          <w:szCs w:val="24"/>
          <w:highlight w:val="none"/>
        </w:rPr>
      </w:pPr>
    </w:p>
    <w:p>
      <w:pPr>
        <w:rPr>
          <w:color w:val="auto"/>
          <w:highlight w:val="none"/>
        </w:rPr>
      </w:pPr>
      <w:bookmarkStart w:id="28" w:name="_Toc522097480"/>
      <w:bookmarkStart w:id="29" w:name="_Toc6578155"/>
    </w:p>
    <w:p>
      <w:pPr>
        <w:pStyle w:val="4"/>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rPr>
          <w:rFonts w:ascii="宋体" w:hAnsi="宋体" w:eastAsia="宋体" w:cs="Times New Roman"/>
          <w:color w:val="auto"/>
          <w:kern w:val="1"/>
          <w:sz w:val="44"/>
          <w:szCs w:val="44"/>
          <w:highlight w:val="none"/>
        </w:rPr>
      </w:pPr>
      <w:bookmarkStart w:id="30" w:name="_Toc663"/>
      <w:r>
        <w:rPr>
          <w:rFonts w:hint="eastAsia" w:ascii="宋体" w:hAnsi="宋体" w:eastAsia="宋体" w:cs="宋体"/>
          <w:color w:val="auto"/>
          <w:kern w:val="1"/>
          <w:sz w:val="44"/>
          <w:szCs w:val="44"/>
          <w:highlight w:val="none"/>
        </w:rPr>
        <w:t>第二章</w:t>
      </w:r>
      <w:r>
        <w:rPr>
          <w:rFonts w:ascii="宋体" w:hAnsi="宋体" w:eastAsia="宋体" w:cs="宋体"/>
          <w:color w:val="auto"/>
          <w:kern w:val="1"/>
          <w:sz w:val="44"/>
          <w:szCs w:val="44"/>
          <w:highlight w:val="none"/>
        </w:rPr>
        <w:t xml:space="preserve">   </w:t>
      </w:r>
      <w:r>
        <w:rPr>
          <w:rFonts w:hint="eastAsia" w:ascii="宋体" w:hAnsi="宋体" w:eastAsia="宋体" w:cs="宋体"/>
          <w:color w:val="auto"/>
          <w:kern w:val="1"/>
          <w:sz w:val="44"/>
          <w:szCs w:val="44"/>
          <w:highlight w:val="none"/>
        </w:rPr>
        <w:t>磋商须知</w:t>
      </w:r>
      <w:bookmarkEnd w:id="10"/>
      <w:bookmarkEnd w:id="11"/>
      <w:bookmarkEnd w:id="28"/>
      <w:bookmarkEnd w:id="29"/>
      <w:bookmarkEnd w:id="30"/>
    </w:p>
    <w:p>
      <w:pPr>
        <w:pStyle w:val="4"/>
        <w:jc w:val="center"/>
        <w:rPr>
          <w:rFonts w:ascii="新宋体" w:hAnsi="新宋体" w:eastAsia="新宋体" w:cs="Times New Roman"/>
          <w:color w:val="auto"/>
          <w:sz w:val="28"/>
          <w:szCs w:val="28"/>
          <w:highlight w:val="none"/>
        </w:rPr>
      </w:pPr>
      <w:bookmarkStart w:id="31" w:name="_Toc6578156"/>
      <w:bookmarkStart w:id="32" w:name="_Toc4549"/>
      <w:bookmarkStart w:id="33" w:name="_Toc522097481"/>
      <w:r>
        <w:rPr>
          <w:rFonts w:hint="eastAsia" w:ascii="新宋体" w:hAnsi="新宋体" w:eastAsia="新宋体" w:cs="新宋体"/>
          <w:color w:val="auto"/>
          <w:sz w:val="28"/>
          <w:szCs w:val="28"/>
          <w:highlight w:val="none"/>
        </w:rPr>
        <w:t>一、总</w:t>
      </w:r>
      <w:r>
        <w:rPr>
          <w:rFonts w:ascii="新宋体" w:hAnsi="新宋体" w:eastAsia="新宋体" w:cs="新宋体"/>
          <w:color w:val="auto"/>
          <w:sz w:val="28"/>
          <w:szCs w:val="28"/>
          <w:highlight w:val="none"/>
        </w:rPr>
        <w:t xml:space="preserve"> </w:t>
      </w:r>
      <w:r>
        <w:rPr>
          <w:rFonts w:hint="eastAsia" w:ascii="新宋体" w:hAnsi="新宋体" w:eastAsia="新宋体" w:cs="新宋体"/>
          <w:color w:val="auto"/>
          <w:sz w:val="28"/>
          <w:szCs w:val="28"/>
          <w:highlight w:val="none"/>
        </w:rPr>
        <w:t>则</w:t>
      </w:r>
      <w:bookmarkEnd w:id="31"/>
      <w:bookmarkEnd w:id="32"/>
      <w:bookmarkEnd w:id="33"/>
    </w:p>
    <w:p>
      <w:pPr>
        <w:spacing w:line="360" w:lineRule="exac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1. </w:t>
      </w:r>
      <w:r>
        <w:rPr>
          <w:rFonts w:hint="eastAsia" w:ascii="新宋体" w:hAnsi="新宋体" w:eastAsia="新宋体" w:cs="新宋体"/>
          <w:b/>
          <w:bCs/>
          <w:color w:val="auto"/>
          <w:sz w:val="24"/>
          <w:szCs w:val="24"/>
          <w:highlight w:val="none"/>
        </w:rPr>
        <w:t>适用范围</w:t>
      </w:r>
    </w:p>
    <w:p>
      <w:pPr>
        <w:spacing w:line="360" w:lineRule="exact"/>
        <w:ind w:firstLine="458" w:firstLineChars="191"/>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本竞争性磋商文件适用于本项目竞争性磋商公告中所述的采购项目。</w:t>
      </w:r>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2. </w:t>
      </w:r>
      <w:r>
        <w:rPr>
          <w:rFonts w:hint="eastAsia" w:ascii="新宋体" w:hAnsi="新宋体" w:eastAsia="新宋体" w:cs="新宋体"/>
          <w:b/>
          <w:bCs/>
          <w:color w:val="auto"/>
          <w:sz w:val="24"/>
          <w:szCs w:val="24"/>
          <w:highlight w:val="none"/>
        </w:rPr>
        <w:t>定义</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rPr>
        <w:t>“采购人”是指</w:t>
      </w:r>
      <w:r>
        <w:rPr>
          <w:rFonts w:hint="eastAsia" w:ascii="新宋体" w:hAnsi="新宋体" w:eastAsia="新宋体" w:cs="新宋体"/>
          <w:color w:val="auto"/>
          <w:sz w:val="24"/>
          <w:szCs w:val="24"/>
          <w:highlight w:val="none"/>
          <w:lang w:eastAsia="zh-CN"/>
        </w:rPr>
        <w:t>枝江金润源建设投资控股集团有限公司</w:t>
      </w:r>
      <w:r>
        <w:rPr>
          <w:rFonts w:hint="eastAsia" w:ascii="新宋体" w:hAnsi="新宋体" w:eastAsia="新宋体" w:cs="新宋体"/>
          <w:color w:val="auto"/>
          <w:sz w:val="24"/>
          <w:szCs w:val="24"/>
          <w:highlight w:val="none"/>
        </w:rPr>
        <w:t>。</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2.2.</w:t>
      </w:r>
      <w:r>
        <w:rPr>
          <w:rFonts w:hint="eastAsia" w:ascii="新宋体" w:hAnsi="新宋体" w:eastAsia="新宋体" w:cs="新宋体"/>
          <w:color w:val="auto"/>
          <w:sz w:val="24"/>
          <w:szCs w:val="24"/>
          <w:highlight w:val="none"/>
        </w:rPr>
        <w:t>“磋商供应商”是指：符合本磋商文件规定并参加本项目磋商的供应商。</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2.3.</w:t>
      </w:r>
      <w:r>
        <w:rPr>
          <w:rFonts w:hint="eastAsia" w:ascii="新宋体" w:hAnsi="新宋体" w:eastAsia="新宋体" w:cs="新宋体"/>
          <w:color w:val="auto"/>
          <w:sz w:val="24"/>
          <w:szCs w:val="24"/>
          <w:highlight w:val="none"/>
        </w:rPr>
        <w:t>“监管部门”是指：枝江金润源建设投资控股集团有限公司监督部门。</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2.4.</w:t>
      </w:r>
      <w:r>
        <w:rPr>
          <w:rFonts w:hint="eastAsia" w:ascii="新宋体" w:hAnsi="新宋体" w:eastAsia="新宋体" w:cs="新宋体"/>
          <w:color w:val="auto"/>
          <w:sz w:val="24"/>
          <w:szCs w:val="24"/>
          <w:highlight w:val="none"/>
        </w:rPr>
        <w:t>“采购代理机构”是指：湖北恒基建设工程项目管理有限公司。</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2.5.</w:t>
      </w:r>
      <w:r>
        <w:rPr>
          <w:rFonts w:hint="eastAsia" w:ascii="新宋体" w:hAnsi="新宋体" w:eastAsia="新宋体" w:cs="新宋体"/>
          <w:color w:val="auto"/>
          <w:sz w:val="24"/>
          <w:szCs w:val="24"/>
          <w:highlight w:val="none"/>
        </w:rPr>
        <w:t>“成交供应商”是指：经磋商小组评审、推荐，采购人依法确定并签订合同的磋商供应商。</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2.6.</w:t>
      </w:r>
      <w:r>
        <w:rPr>
          <w:rFonts w:hint="eastAsia" w:ascii="新宋体" w:hAnsi="新宋体" w:eastAsia="新宋体" w:cs="新宋体"/>
          <w:color w:val="auto"/>
          <w:sz w:val="24"/>
          <w:szCs w:val="24"/>
          <w:highlight w:val="none"/>
        </w:rPr>
        <w:t>“磋商响应文件”是指：磋商供应商根据本文件要求，编制包含报价、技术和服务等所有内容的文件。</w:t>
      </w:r>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3. </w:t>
      </w:r>
      <w:r>
        <w:rPr>
          <w:rFonts w:hint="eastAsia" w:ascii="新宋体" w:hAnsi="新宋体" w:eastAsia="新宋体" w:cs="新宋体"/>
          <w:b/>
          <w:bCs/>
          <w:color w:val="auto"/>
          <w:sz w:val="24"/>
          <w:szCs w:val="24"/>
          <w:highlight w:val="none"/>
        </w:rPr>
        <w:t>磋商供应商必须具备的基本条件及踏勘要求</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3.1.</w:t>
      </w:r>
      <w:r>
        <w:rPr>
          <w:rFonts w:hint="eastAsia" w:ascii="新宋体" w:hAnsi="新宋体" w:eastAsia="新宋体" w:cs="新宋体"/>
          <w:color w:val="auto"/>
          <w:sz w:val="24"/>
          <w:szCs w:val="24"/>
          <w:highlight w:val="none"/>
        </w:rPr>
        <w:t>符合磋商文件“第一章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竞争性磋商公告”第二条所规定的供应商资格要求，有能力提供本项目服务的供应商。</w:t>
      </w:r>
    </w:p>
    <w:p>
      <w:pPr>
        <w:spacing w:line="360" w:lineRule="exact"/>
        <w:ind w:firstLine="460" w:firstLineChars="191"/>
        <w:rPr>
          <w:rFonts w:ascii="新宋体" w:hAnsi="新宋体" w:eastAsia="新宋体" w:cs="新宋体"/>
          <w:b/>
          <w:bCs/>
          <w:color w:val="auto"/>
          <w:sz w:val="24"/>
          <w:szCs w:val="24"/>
          <w:highlight w:val="none"/>
        </w:rPr>
      </w:pPr>
      <w:r>
        <w:rPr>
          <w:rFonts w:ascii="新宋体" w:hAnsi="新宋体" w:eastAsia="新宋体" w:cs="新宋体"/>
          <w:b/>
          <w:bCs/>
          <w:color w:val="auto"/>
          <w:sz w:val="24"/>
          <w:szCs w:val="24"/>
          <w:highlight w:val="none"/>
        </w:rPr>
        <w:t>3.2.</w:t>
      </w:r>
      <w:r>
        <w:rPr>
          <w:rFonts w:hint="eastAsia" w:ascii="新宋体" w:hAnsi="新宋体" w:eastAsia="新宋体" w:cs="新宋体"/>
          <w:b/>
          <w:bCs/>
          <w:color w:val="auto"/>
          <w:sz w:val="24"/>
          <w:szCs w:val="24"/>
          <w:highlight w:val="none"/>
        </w:rPr>
        <w:t>采购人不集中组织现场踏勘，磋商供应商可自行踏勘现场。</w:t>
      </w:r>
    </w:p>
    <w:p>
      <w:pPr>
        <w:spacing w:line="360" w:lineRule="exact"/>
        <w:ind w:firstLine="458" w:firstLineChars="191"/>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3.3.</w:t>
      </w:r>
      <w:r>
        <w:rPr>
          <w:rFonts w:hint="eastAsia" w:ascii="新宋体" w:hAnsi="新宋体" w:eastAsia="新宋体" w:cs="新宋体"/>
          <w:color w:val="auto"/>
          <w:sz w:val="24"/>
          <w:szCs w:val="24"/>
          <w:highlight w:val="none"/>
        </w:rPr>
        <w:t>磋商供应商可以踏勘为目的自行进入采购人的项目现场，但供应商不得因此使采购人承担有关的责任和蒙受损失，供应商应承担踏勘现场的责任和风险。</w:t>
      </w:r>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4. </w:t>
      </w:r>
      <w:r>
        <w:rPr>
          <w:rFonts w:hint="eastAsia" w:ascii="新宋体" w:hAnsi="新宋体" w:eastAsia="新宋体" w:cs="新宋体"/>
          <w:b/>
          <w:bCs/>
          <w:color w:val="auto"/>
          <w:sz w:val="24"/>
          <w:szCs w:val="24"/>
          <w:highlight w:val="none"/>
        </w:rPr>
        <w:t>磋商费用</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4.1.</w:t>
      </w:r>
      <w:r>
        <w:rPr>
          <w:rFonts w:hint="eastAsia" w:ascii="新宋体" w:hAnsi="新宋体" w:eastAsia="新宋体" w:cs="新宋体"/>
          <w:color w:val="auto"/>
          <w:sz w:val="24"/>
          <w:szCs w:val="24"/>
          <w:highlight w:val="none"/>
        </w:rPr>
        <w:t>磋商供应商应自行承担所有与编写和提交磋商响应文件有关的费用，不论磋商结果如何，采购人和采购代理机构在任何情况下无义务和责任承担此类费用。</w:t>
      </w:r>
    </w:p>
    <w:p>
      <w:pPr>
        <w:pStyle w:val="4"/>
        <w:jc w:val="center"/>
        <w:rPr>
          <w:rFonts w:ascii="新宋体" w:hAnsi="新宋体" w:eastAsia="新宋体" w:cs="Times New Roman"/>
          <w:color w:val="auto"/>
          <w:sz w:val="28"/>
          <w:szCs w:val="28"/>
          <w:highlight w:val="none"/>
        </w:rPr>
      </w:pPr>
      <w:bookmarkStart w:id="34" w:name="_Toc6578157"/>
      <w:bookmarkStart w:id="35" w:name="_Toc24294"/>
      <w:bookmarkStart w:id="36" w:name="_Toc522097482"/>
      <w:r>
        <w:rPr>
          <w:rFonts w:hint="eastAsia" w:ascii="新宋体" w:hAnsi="新宋体" w:eastAsia="新宋体" w:cs="新宋体"/>
          <w:color w:val="auto"/>
          <w:sz w:val="28"/>
          <w:szCs w:val="28"/>
          <w:highlight w:val="none"/>
        </w:rPr>
        <w:t>二、磋商文件说明</w:t>
      </w:r>
      <w:bookmarkEnd w:id="34"/>
      <w:bookmarkEnd w:id="35"/>
      <w:bookmarkEnd w:id="36"/>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5.</w:t>
      </w:r>
      <w:r>
        <w:rPr>
          <w:rFonts w:hint="eastAsia" w:ascii="新宋体" w:hAnsi="新宋体" w:eastAsia="新宋体" w:cs="新宋体"/>
          <w:b/>
          <w:bCs/>
          <w:color w:val="auto"/>
          <w:sz w:val="24"/>
          <w:szCs w:val="24"/>
          <w:highlight w:val="none"/>
        </w:rPr>
        <w:t>磋商文件的构成</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5.1.</w:t>
      </w:r>
      <w:r>
        <w:rPr>
          <w:rFonts w:hint="eastAsia" w:ascii="新宋体" w:hAnsi="新宋体" w:eastAsia="新宋体" w:cs="新宋体"/>
          <w:color w:val="auto"/>
          <w:sz w:val="24"/>
          <w:szCs w:val="24"/>
          <w:highlight w:val="none"/>
        </w:rPr>
        <w:t>磋商文件主要由下列部分组成：</w:t>
      </w:r>
    </w:p>
    <w:p>
      <w:pPr>
        <w:spacing w:line="36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第一章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竞争性磋商公告；</w:t>
      </w:r>
    </w:p>
    <w:p>
      <w:pPr>
        <w:spacing w:line="36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第二章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磋商须知；</w:t>
      </w:r>
    </w:p>
    <w:p>
      <w:pPr>
        <w:spacing w:line="36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第三章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采购要求；</w:t>
      </w:r>
    </w:p>
    <w:p>
      <w:pPr>
        <w:spacing w:line="36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第四章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磋商程序、最后报价及评分标准；</w:t>
      </w:r>
    </w:p>
    <w:p>
      <w:pPr>
        <w:spacing w:line="36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第五章</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磋商响应文件格式；</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5.2.</w:t>
      </w:r>
      <w:r>
        <w:rPr>
          <w:rFonts w:hint="eastAsia" w:ascii="新宋体" w:hAnsi="新宋体" w:eastAsia="新宋体" w:cs="新宋体"/>
          <w:color w:val="auto"/>
          <w:sz w:val="24"/>
          <w:szCs w:val="24"/>
          <w:highlight w:val="none"/>
        </w:rPr>
        <w:t>参加磋商的供应商应认真阅读磋商文件中所有的条款和要求。如果参加磋商的供应商没有按照磋商文件要求提交全部资料，或者磋商响应文件没有对磋商文件在各方面都做出实质性响应，其风险应由参加磋商的供应商承担。根据有关条款规定，没有实质性响应磋商文件要求的磋商将被拒绝。</w:t>
      </w:r>
    </w:p>
    <w:p>
      <w:pPr>
        <w:spacing w:line="360" w:lineRule="exact"/>
        <w:ind w:firstLine="482" w:firstLineChars="200"/>
        <w:jc w:val="left"/>
        <w:rPr>
          <w:rFonts w:ascii="新宋体" w:hAnsi="新宋体" w:eastAsia="新宋体"/>
          <w:color w:val="auto"/>
          <w:sz w:val="24"/>
          <w:szCs w:val="24"/>
          <w:highlight w:val="none"/>
        </w:rPr>
      </w:pPr>
      <w:r>
        <w:rPr>
          <w:rFonts w:ascii="新宋体" w:hAnsi="新宋体" w:eastAsia="新宋体" w:cs="新宋体"/>
          <w:b/>
          <w:bCs/>
          <w:color w:val="auto"/>
          <w:sz w:val="24"/>
          <w:szCs w:val="24"/>
          <w:highlight w:val="none"/>
        </w:rPr>
        <w:t>6.</w:t>
      </w:r>
      <w:r>
        <w:rPr>
          <w:rFonts w:hint="eastAsia" w:ascii="新宋体" w:hAnsi="新宋体" w:eastAsia="新宋体" w:cs="新宋体"/>
          <w:b/>
          <w:bCs/>
          <w:color w:val="auto"/>
          <w:sz w:val="24"/>
          <w:szCs w:val="24"/>
          <w:highlight w:val="none"/>
        </w:rPr>
        <w:t>磋商文件答疑</w:t>
      </w:r>
    </w:p>
    <w:p>
      <w:pPr>
        <w:keepNext w:val="0"/>
        <w:keepLines w:val="0"/>
        <w:pageBreakBefore w:val="0"/>
        <w:widowControl w:val="0"/>
        <w:kinsoku w:val="0"/>
        <w:wordWrap w:val="0"/>
        <w:overflowPunct w:val="0"/>
        <w:topLinePunct w:val="0"/>
        <w:autoSpaceDE w:val="0"/>
        <w:autoSpaceDN w:val="0"/>
        <w:bidi w:val="0"/>
        <w:adjustRightInd/>
        <w:snapToGrid/>
        <w:spacing w:line="360" w:lineRule="exact"/>
        <w:ind w:firstLine="480" w:firstLineChars="200"/>
        <w:jc w:val="left"/>
        <w:textAlignment w:val="auto"/>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供应商对磋商文件有疑问的，应在磋商文件规定的提问截止时间前通过</w:t>
      </w:r>
      <w:r>
        <w:rPr>
          <w:rFonts w:hint="eastAsia" w:ascii="新宋体" w:hAnsi="新宋体" w:eastAsia="新宋体" w:cs="新宋体"/>
          <w:color w:val="auto"/>
          <w:sz w:val="24"/>
          <w:szCs w:val="24"/>
          <w:highlight w:val="none"/>
          <w:lang w:eastAsia="zh-CN"/>
        </w:rPr>
        <w:t>邮箱：</w:t>
      </w:r>
      <w:r>
        <w:rPr>
          <w:rFonts w:hint="eastAsia" w:ascii="新宋体" w:hAnsi="新宋体" w:eastAsia="新宋体" w:cs="新宋体"/>
          <w:color w:val="auto"/>
          <w:sz w:val="24"/>
          <w:szCs w:val="24"/>
          <w:highlight w:val="none"/>
        </w:rPr>
        <w:t>690986347</w:t>
      </w:r>
      <w:r>
        <w:rPr>
          <w:rFonts w:ascii="新宋体" w:hAnsi="新宋体" w:eastAsia="新宋体" w:cs="新宋体"/>
          <w:color w:val="auto"/>
          <w:sz w:val="24"/>
          <w:szCs w:val="24"/>
          <w:highlight w:val="none"/>
        </w:rPr>
        <w:t>@qq.com</w:t>
      </w:r>
      <w:r>
        <w:rPr>
          <w:rFonts w:hint="eastAsia" w:ascii="新宋体" w:hAnsi="新宋体" w:eastAsia="新宋体" w:cs="新宋体"/>
          <w:color w:val="auto"/>
          <w:sz w:val="24"/>
          <w:szCs w:val="24"/>
          <w:highlight w:val="none"/>
        </w:rPr>
        <w:t>提出。采购代理机构将在</w:t>
      </w:r>
      <w:r>
        <w:rPr>
          <w:rFonts w:hint="eastAsia" w:ascii="宋体" w:hAnsi="宋体" w:cs="宋体"/>
          <w:color w:val="auto"/>
          <w:sz w:val="24"/>
          <w:szCs w:val="24"/>
          <w:highlight w:val="none"/>
        </w:rPr>
        <w:t>枝江金润源集团公司官网（</w:t>
      </w:r>
      <w:r>
        <w:rPr>
          <w:rFonts w:ascii="宋体" w:hAnsi="宋体" w:cs="宋体"/>
          <w:color w:val="auto"/>
          <w:sz w:val="24"/>
          <w:szCs w:val="24"/>
          <w:highlight w:val="none"/>
        </w:rPr>
        <w:t>http://www.zjjryjt.cn/</w:t>
      </w:r>
      <w:r>
        <w:rPr>
          <w:rFonts w:hint="eastAsia" w:ascii="宋体" w:hAnsi="宋体" w:cs="宋体"/>
          <w:color w:val="auto"/>
          <w:sz w:val="24"/>
          <w:szCs w:val="24"/>
          <w:highlight w:val="none"/>
        </w:rPr>
        <w:t>）</w:t>
      </w:r>
      <w:r>
        <w:rPr>
          <w:rFonts w:hint="eastAsia" w:ascii="新宋体" w:hAnsi="新宋体" w:eastAsia="新宋体" w:cs="新宋体"/>
          <w:color w:val="auto"/>
          <w:sz w:val="24"/>
          <w:szCs w:val="24"/>
          <w:highlight w:val="none"/>
        </w:rPr>
        <w:t>上发布答疑文件。对于在磋商文件规定的提问截止时间前未对磋商文件提出异议的，视其完全接受磋商文件内容，并对在此时间之后提出的质疑将不予受理。</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7.</w:t>
      </w:r>
      <w:r>
        <w:rPr>
          <w:rFonts w:hint="eastAsia" w:ascii="新宋体" w:hAnsi="新宋体" w:eastAsia="新宋体" w:cs="新宋体"/>
          <w:b/>
          <w:bCs/>
          <w:color w:val="auto"/>
          <w:sz w:val="24"/>
          <w:szCs w:val="24"/>
          <w:highlight w:val="none"/>
        </w:rPr>
        <w:t>磋商文件的澄清修改</w:t>
      </w:r>
    </w:p>
    <w:p>
      <w:pPr>
        <w:keepNext w:val="0"/>
        <w:keepLines w:val="0"/>
        <w:pageBreakBefore w:val="0"/>
        <w:widowControl w:val="0"/>
        <w:kinsoku/>
        <w:wordWrap w:val="0"/>
        <w:overflowPunct/>
        <w:topLinePunct w:val="0"/>
        <w:autoSpaceDE/>
        <w:autoSpaceDN/>
        <w:bidi w:val="0"/>
        <w:adjustRightInd/>
        <w:snapToGrid/>
        <w:spacing w:line="360" w:lineRule="exact"/>
        <w:ind w:firstLine="480" w:firstLineChars="200"/>
        <w:jc w:val="left"/>
        <w:textAlignment w:val="auto"/>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采购人出于对所提出问题的澄清或其它考虑，可以对磋商文件以补充文件的形式进行修改，修改后的补充文</w:t>
      </w:r>
      <w:r>
        <w:rPr>
          <w:rFonts w:hint="eastAsia" w:ascii="宋体" w:hAnsi="宋体" w:cs="宋体"/>
          <w:color w:val="auto"/>
          <w:sz w:val="24"/>
          <w:szCs w:val="24"/>
          <w:highlight w:val="none"/>
        </w:rPr>
        <w:t>件将在枝江金润源建设投资控股集团有限公司官网</w:t>
      </w:r>
      <w:r>
        <w:rPr>
          <w:rFonts w:hint="eastAsia" w:ascii="宋体" w:hAnsi="宋体" w:cs="宋体"/>
          <w:color w:val="auto"/>
          <w:sz w:val="24"/>
          <w:szCs w:val="24"/>
          <w:highlight w:val="none"/>
          <w:lang w:eastAsia="zh-CN"/>
        </w:rPr>
        <w:t>（http://www.zjjryjt.cn/）</w:t>
      </w:r>
      <w:r>
        <w:rPr>
          <w:rFonts w:hint="eastAsia" w:ascii="宋体" w:hAnsi="宋体" w:cs="宋体"/>
          <w:color w:val="auto"/>
          <w:sz w:val="24"/>
          <w:szCs w:val="24"/>
          <w:highlight w:val="none"/>
        </w:rPr>
        <w:t>上向所有供应商公布，修改后的补充文件是磋商文件的组成部分，对供应商具有约束力。</w:t>
      </w:r>
      <w:r>
        <w:rPr>
          <w:rFonts w:hint="eastAsia" w:ascii="新宋体" w:hAnsi="新宋体" w:eastAsia="新宋体" w:cs="新宋体"/>
          <w:color w:val="auto"/>
          <w:sz w:val="24"/>
          <w:szCs w:val="24"/>
          <w:highlight w:val="none"/>
        </w:rPr>
        <w:t>任何口头、电话等非正式的解答均视为无效。　</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8</w:t>
      </w:r>
      <w:r>
        <w:rPr>
          <w:rFonts w:hint="eastAsia" w:ascii="新宋体" w:hAnsi="新宋体" w:eastAsia="新宋体" w:cs="新宋体"/>
          <w:b/>
          <w:bCs/>
          <w:color w:val="auto"/>
          <w:sz w:val="24"/>
          <w:szCs w:val="24"/>
          <w:highlight w:val="none"/>
        </w:rPr>
        <w:t>、磋商响应文件的编写</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8.1.</w:t>
      </w:r>
      <w:r>
        <w:rPr>
          <w:rFonts w:hint="eastAsia" w:ascii="新宋体" w:hAnsi="新宋体" w:eastAsia="新宋体" w:cs="新宋体"/>
          <w:color w:val="auto"/>
          <w:sz w:val="24"/>
          <w:szCs w:val="24"/>
          <w:highlight w:val="none"/>
        </w:rPr>
        <w:t>供应商应仔细阅读磋商文件的所有内容，按磋商文件的要求编制磋商响应文件，并保证所提供的全部资料的真实性，以使其磋商响应文件可以对磋商文件作出实质性响应，否则，其磋商响应文件有可能被拒绝。供应商编写的磋商响应文件应包括下列部分：</w:t>
      </w:r>
    </w:p>
    <w:p>
      <w:pPr>
        <w:spacing w:line="360" w:lineRule="exact"/>
        <w:ind w:firstLine="480" w:firstLineChars="200"/>
        <w:jc w:val="left"/>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 xml:space="preserve">8.1.1 </w:t>
      </w:r>
      <w:r>
        <w:rPr>
          <w:rFonts w:hint="eastAsia" w:ascii="新宋体" w:hAnsi="新宋体" w:eastAsia="新宋体" w:cs="新宋体"/>
          <w:color w:val="auto"/>
          <w:sz w:val="24"/>
          <w:szCs w:val="24"/>
          <w:highlight w:val="none"/>
        </w:rPr>
        <w:t>供应商提供该项目工作方案，须包含但不限于以下内容：</w:t>
      </w:r>
      <w:r>
        <w:rPr>
          <w:rFonts w:ascii="新宋体" w:hAnsi="新宋体" w:eastAsia="新宋体" w:cs="新宋体"/>
          <w:color w:val="auto"/>
          <w:sz w:val="24"/>
          <w:szCs w:val="24"/>
          <w:highlight w:val="none"/>
        </w:rPr>
        <w:t xml:space="preserve"> </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）项目技术方案；</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8.1.2</w:t>
      </w:r>
      <w:r>
        <w:rPr>
          <w:rFonts w:hint="eastAsia" w:ascii="新宋体" w:hAnsi="新宋体" w:eastAsia="新宋体" w:cs="新宋体"/>
          <w:color w:val="auto"/>
          <w:sz w:val="24"/>
          <w:szCs w:val="24"/>
          <w:highlight w:val="none"/>
        </w:rPr>
        <w:t>商务文件</w:t>
      </w:r>
    </w:p>
    <w:p>
      <w:pPr>
        <w:spacing w:line="360" w:lineRule="exact"/>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磋商响应文件主要由商务标部分和方案设计文件组成。具体内容为：</w:t>
      </w:r>
    </w:p>
    <w:p>
      <w:pPr>
        <w:spacing w:line="360" w:lineRule="exact"/>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）商务标部分：磋商响应函；法定代表人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负责人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身份证明书；</w:t>
      </w:r>
      <w:r>
        <w:rPr>
          <w:rFonts w:hint="eastAsia" w:ascii="宋体" w:hAnsi="宋体" w:cs="宋体"/>
          <w:b/>
          <w:bCs/>
          <w:color w:val="auto"/>
          <w:sz w:val="24"/>
          <w:szCs w:val="24"/>
          <w:highlight w:val="none"/>
        </w:rPr>
        <w:t>法定代表人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负责人</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rPr>
        <w:t>授权委托书</w:t>
      </w:r>
      <w:r>
        <w:rPr>
          <w:rFonts w:hint="eastAsia" w:ascii="宋体" w:hAnsi="宋体" w:cs="宋体"/>
          <w:color w:val="auto"/>
          <w:sz w:val="24"/>
          <w:szCs w:val="24"/>
          <w:highlight w:val="none"/>
        </w:rPr>
        <w:t>；资格审查资料（供应商对照资格审查条件编制）；供应商应提交的其他证明材料；</w:t>
      </w:r>
    </w:p>
    <w:p>
      <w:pPr>
        <w:spacing w:line="360" w:lineRule="exact"/>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）工作方案。</w:t>
      </w:r>
    </w:p>
    <w:p>
      <w:pPr>
        <w:pStyle w:val="10"/>
        <w:adjustRightInd w:val="0"/>
        <w:snapToGrid w:val="0"/>
        <w:spacing w:line="360" w:lineRule="exact"/>
        <w:ind w:firstLine="480" w:firstLineChars="200"/>
        <w:jc w:val="left"/>
        <w:rPr>
          <w:rFonts w:ascii="新宋体" w:hAnsi="新宋体" w:eastAsia="新宋体" w:cs="Times New Roman"/>
          <w:color w:val="auto"/>
          <w:sz w:val="24"/>
          <w:szCs w:val="24"/>
          <w:highlight w:val="none"/>
        </w:rPr>
      </w:pPr>
      <w:r>
        <w:rPr>
          <w:rFonts w:ascii="新宋体" w:hAnsi="新宋体" w:eastAsia="新宋体" w:cs="新宋体"/>
          <w:color w:val="auto"/>
          <w:sz w:val="24"/>
          <w:szCs w:val="24"/>
          <w:highlight w:val="none"/>
        </w:rPr>
        <w:t>8.1.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磋商响应函；</w:t>
      </w:r>
    </w:p>
    <w:p>
      <w:pPr>
        <w:pStyle w:val="10"/>
        <w:adjustRightInd w:val="0"/>
        <w:snapToGrid w:val="0"/>
        <w:spacing w:line="360" w:lineRule="exact"/>
        <w:ind w:firstLine="480" w:firstLineChars="200"/>
        <w:jc w:val="left"/>
        <w:rPr>
          <w:rFonts w:ascii="新宋体" w:hAnsi="新宋体" w:eastAsia="新宋体" w:cs="Times New Roman"/>
          <w:color w:val="auto"/>
          <w:sz w:val="24"/>
          <w:szCs w:val="24"/>
          <w:highlight w:val="none"/>
        </w:rPr>
      </w:pPr>
      <w:r>
        <w:rPr>
          <w:rFonts w:ascii="新宋体" w:hAnsi="新宋体" w:eastAsia="新宋体" w:cs="新宋体"/>
          <w:color w:val="auto"/>
          <w:sz w:val="24"/>
          <w:szCs w:val="24"/>
          <w:highlight w:val="none"/>
        </w:rPr>
        <w:t>8.1.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开标一览表；</w:t>
      </w:r>
    </w:p>
    <w:p>
      <w:pPr>
        <w:pStyle w:val="10"/>
        <w:adjustRightInd w:val="0"/>
        <w:snapToGrid w:val="0"/>
        <w:spacing w:line="360" w:lineRule="exact"/>
        <w:ind w:firstLine="480" w:firstLineChars="200"/>
        <w:jc w:val="left"/>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8.1.</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磋商资格证明文件</w:t>
      </w:r>
      <w:r>
        <w:rPr>
          <w:rFonts w:hint="eastAsia" w:ascii="新宋体" w:hAnsi="新宋体" w:eastAsia="新宋体" w:cs="新宋体"/>
          <w:color w:val="auto"/>
          <w:sz w:val="24"/>
          <w:szCs w:val="24"/>
          <w:highlight w:val="none"/>
          <w:lang w:eastAsia="zh-CN"/>
        </w:rPr>
        <w:t>；</w:t>
      </w:r>
      <w:r>
        <w:rPr>
          <w:rFonts w:ascii="新宋体" w:hAnsi="新宋体" w:eastAsia="新宋体" w:cs="新宋体"/>
          <w:color w:val="auto"/>
          <w:sz w:val="24"/>
          <w:szCs w:val="24"/>
          <w:highlight w:val="none"/>
        </w:rPr>
        <w:t xml:space="preserve">  </w:t>
      </w:r>
    </w:p>
    <w:p>
      <w:pPr>
        <w:widowControl/>
        <w:spacing w:line="38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备注：</w:t>
      </w:r>
    </w:p>
    <w:p>
      <w:pPr>
        <w:numPr>
          <w:ilvl w:val="0"/>
          <w:numId w:val="2"/>
        </w:numPr>
        <w:spacing w:line="380" w:lineRule="exact"/>
        <w:ind w:left="0"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磋商小组将对资格后审合格的供应商的磋商文件进行评审，资格后审不合格的供应商的磋商文件将作废标处理。</w:t>
      </w:r>
    </w:p>
    <w:p>
      <w:pPr>
        <w:numPr>
          <w:ilvl w:val="0"/>
          <w:numId w:val="2"/>
        </w:numPr>
        <w:spacing w:line="380" w:lineRule="exact"/>
        <w:ind w:left="0"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供应商的法定代表人或其委托代理人到场情况（提供身份证原件，由相关人员比对身份，以开标会签到记录为准）</w:t>
      </w:r>
    </w:p>
    <w:p>
      <w:pPr>
        <w:spacing w:line="360" w:lineRule="exact"/>
        <w:ind w:firstLine="482" w:firstLineChars="200"/>
        <w:jc w:val="left"/>
        <w:rPr>
          <w:rFonts w:ascii="新宋体" w:hAnsi="新宋体" w:eastAsia="新宋体" w:cs="新宋体"/>
          <w:b/>
          <w:bCs/>
          <w:color w:val="auto"/>
          <w:sz w:val="24"/>
          <w:szCs w:val="24"/>
          <w:highlight w:val="none"/>
        </w:rPr>
      </w:pPr>
      <w:r>
        <w:rPr>
          <w:rFonts w:ascii="新宋体" w:hAnsi="新宋体" w:eastAsia="新宋体" w:cs="新宋体"/>
          <w:b/>
          <w:bCs/>
          <w:color w:val="auto"/>
          <w:sz w:val="24"/>
          <w:szCs w:val="24"/>
          <w:highlight w:val="none"/>
        </w:rPr>
        <w:t>8.2.</w:t>
      </w:r>
      <w:r>
        <w:rPr>
          <w:rFonts w:hint="eastAsia" w:ascii="新宋体" w:hAnsi="新宋体" w:eastAsia="新宋体" w:cs="新宋体"/>
          <w:b/>
          <w:bCs/>
          <w:color w:val="auto"/>
          <w:sz w:val="24"/>
          <w:szCs w:val="24"/>
          <w:highlight w:val="none"/>
        </w:rPr>
        <w:t>磋商响应文件的份数和签署</w:t>
      </w:r>
      <w:r>
        <w:rPr>
          <w:rFonts w:ascii="新宋体" w:hAnsi="新宋体" w:eastAsia="新宋体" w:cs="新宋体"/>
          <w:b/>
          <w:bCs/>
          <w:color w:val="auto"/>
          <w:sz w:val="24"/>
          <w:szCs w:val="24"/>
          <w:highlight w:val="none"/>
        </w:rPr>
        <w:t xml:space="preserve"> </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8.2.1</w:t>
      </w:r>
      <w:r>
        <w:rPr>
          <w:rFonts w:hint="eastAsia" w:ascii="新宋体" w:hAnsi="新宋体" w:eastAsia="新宋体" w:cs="新宋体"/>
          <w:color w:val="auto"/>
          <w:sz w:val="24"/>
          <w:szCs w:val="24"/>
          <w:highlight w:val="none"/>
        </w:rPr>
        <w:t>磋商响应性文件份数：纸质磋商响应性文件二份，其中正本一份，副本一份；</w:t>
      </w:r>
    </w:p>
    <w:p>
      <w:pPr>
        <w:spacing w:line="320" w:lineRule="exact"/>
        <w:ind w:firstLine="480" w:firstLineChars="200"/>
        <w:jc w:val="left"/>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其正、副本都应装订成册（须胶装），并在竞争性磋商响应文件封面清楚的注明“正本”或“副本”。电子磋商响应性文件一份（</w:t>
      </w:r>
      <w:r>
        <w:rPr>
          <w:rFonts w:hint="eastAsia" w:ascii="新宋体" w:hAnsi="新宋体" w:eastAsia="新宋体" w:cs="新宋体"/>
          <w:color w:val="auto"/>
          <w:sz w:val="24"/>
          <w:szCs w:val="24"/>
          <w:highlight w:val="none"/>
          <w:lang w:eastAsia="zh-CN"/>
        </w:rPr>
        <w:t>U盘拷贝</w:t>
      </w:r>
      <w:r>
        <w:rPr>
          <w:rFonts w:hint="eastAsia" w:ascii="新宋体" w:hAnsi="新宋体" w:eastAsia="新宋体" w:cs="新宋体"/>
          <w:color w:val="auto"/>
          <w:sz w:val="24"/>
          <w:szCs w:val="24"/>
          <w:highlight w:val="none"/>
        </w:rPr>
        <w:t>）。磋商响应文件正本和副本密封在一个包中，并在包封上注明采购项目名称</w:t>
      </w:r>
      <w:r>
        <w:rPr>
          <w:rFonts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rPr>
        <w:t>、供应商名称和有“在</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磋商文件中规定的开标日期和时间</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之前不得启封”的字样，封口处加盖供应商印章。如果未按要求密封，采购人对误投或提前启封概不负责。</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8.2.3</w:t>
      </w:r>
      <w:r>
        <w:rPr>
          <w:rFonts w:hint="eastAsia" w:ascii="新宋体" w:hAnsi="新宋体" w:eastAsia="新宋体" w:cs="新宋体"/>
          <w:color w:val="auto"/>
          <w:sz w:val="24"/>
          <w:szCs w:val="24"/>
          <w:highlight w:val="none"/>
        </w:rPr>
        <w:t>供应商应根据磋商文件要求，在竞争性磋商响应文件适当的位置填写供应商全称、加盖供应商印章、签署法定代表人或法定代表人授权代表的全名。</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8.2.4</w:t>
      </w:r>
      <w:r>
        <w:rPr>
          <w:rFonts w:hint="eastAsia" w:ascii="新宋体" w:hAnsi="新宋体" w:eastAsia="新宋体" w:cs="新宋体"/>
          <w:color w:val="auto"/>
          <w:sz w:val="24"/>
          <w:szCs w:val="24"/>
          <w:highlight w:val="none"/>
        </w:rPr>
        <w:t>竞争性磋商响应文件的签署人如果是由法定代表人授权代表签名，则必须出具法定代表人授权委托书，并将其附在竞争性磋商响应文件中。</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9</w:t>
      </w:r>
      <w:r>
        <w:rPr>
          <w:rFonts w:hint="eastAsia" w:ascii="新宋体" w:hAnsi="新宋体" w:eastAsia="新宋体" w:cs="新宋体"/>
          <w:color w:val="auto"/>
          <w:sz w:val="24"/>
          <w:szCs w:val="24"/>
          <w:highlight w:val="none"/>
        </w:rPr>
        <w:t>、</w:t>
      </w:r>
      <w:r>
        <w:rPr>
          <w:rFonts w:hint="eastAsia" w:ascii="新宋体" w:hAnsi="新宋体" w:eastAsia="新宋体" w:cs="新宋体"/>
          <w:b/>
          <w:bCs/>
          <w:color w:val="auto"/>
          <w:sz w:val="24"/>
          <w:szCs w:val="24"/>
          <w:highlight w:val="none"/>
        </w:rPr>
        <w:t>磋商响应文件的签署及其它规定</w:t>
      </w:r>
    </w:p>
    <w:p>
      <w:pPr>
        <w:spacing w:line="380" w:lineRule="exact"/>
        <w:ind w:firstLine="480" w:firstLineChars="200"/>
        <w:jc w:val="left"/>
        <w:rPr>
          <w:rFonts w:hint="eastAsia" w:ascii="新宋体" w:hAnsi="新宋体" w:eastAsia="新宋体"/>
          <w:color w:val="auto"/>
          <w:sz w:val="24"/>
          <w:szCs w:val="24"/>
          <w:highlight w:val="none"/>
          <w:lang w:eastAsia="zh-CN"/>
        </w:rPr>
      </w:pPr>
      <w:r>
        <w:rPr>
          <w:rFonts w:ascii="新宋体" w:hAnsi="新宋体" w:eastAsia="新宋体" w:cs="新宋体"/>
          <w:color w:val="auto"/>
          <w:sz w:val="24"/>
          <w:szCs w:val="24"/>
          <w:highlight w:val="none"/>
        </w:rPr>
        <w:t>9.1.</w:t>
      </w:r>
      <w:r>
        <w:rPr>
          <w:rFonts w:hint="eastAsia" w:ascii="新宋体" w:hAnsi="新宋体" w:eastAsia="新宋体" w:cs="新宋体"/>
          <w:color w:val="auto"/>
          <w:sz w:val="24"/>
          <w:szCs w:val="24"/>
          <w:highlight w:val="none"/>
        </w:rPr>
        <w:t>磋商响应文件的签署</w:t>
      </w:r>
      <w:r>
        <w:rPr>
          <w:rFonts w:hint="eastAsia" w:ascii="新宋体" w:hAnsi="新宋体" w:eastAsia="新宋体" w:cs="新宋体"/>
          <w:color w:val="auto"/>
          <w:sz w:val="24"/>
          <w:szCs w:val="24"/>
          <w:highlight w:val="none"/>
          <w:lang w:eastAsia="zh-CN"/>
        </w:rPr>
        <w:t>。</w:t>
      </w:r>
    </w:p>
    <w:p>
      <w:pPr>
        <w:spacing w:line="380" w:lineRule="exact"/>
        <w:ind w:firstLine="480" w:firstLineChars="200"/>
        <w:jc w:val="left"/>
        <w:rPr>
          <w:rFonts w:hint="eastAsia" w:ascii="新宋体" w:hAnsi="新宋体" w:eastAsia="新宋体" w:cs="新宋体"/>
          <w:color w:val="auto"/>
          <w:sz w:val="24"/>
          <w:szCs w:val="24"/>
          <w:highlight w:val="none"/>
          <w:lang w:eastAsia="zh-CN"/>
        </w:rPr>
      </w:pPr>
      <w:r>
        <w:rPr>
          <w:rFonts w:ascii="新宋体" w:hAnsi="新宋体" w:eastAsia="新宋体" w:cs="新宋体"/>
          <w:color w:val="auto"/>
          <w:sz w:val="24"/>
          <w:szCs w:val="24"/>
          <w:highlight w:val="none"/>
        </w:rPr>
        <w:t xml:space="preserve">9.1.1 </w:t>
      </w:r>
      <w:r>
        <w:rPr>
          <w:rFonts w:hint="eastAsia" w:ascii="新宋体" w:hAnsi="新宋体" w:eastAsia="新宋体" w:cs="新宋体"/>
          <w:color w:val="auto"/>
          <w:sz w:val="24"/>
          <w:szCs w:val="24"/>
          <w:highlight w:val="none"/>
        </w:rPr>
        <w:t>磋商响应文件中的大写金额和小写金额不一致的，以大写金额为准</w:t>
      </w:r>
      <w:r>
        <w:rPr>
          <w:rFonts w:hint="eastAsia" w:ascii="新宋体" w:hAnsi="新宋体" w:eastAsia="新宋体" w:cs="新宋体"/>
          <w:color w:val="auto"/>
          <w:sz w:val="24"/>
          <w:szCs w:val="24"/>
          <w:highlight w:val="none"/>
          <w:lang w:eastAsia="zh-CN"/>
        </w:rPr>
        <w:t>；</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 xml:space="preserve">9.1.2 </w:t>
      </w:r>
      <w:r>
        <w:rPr>
          <w:rFonts w:hint="eastAsia" w:ascii="新宋体" w:hAnsi="新宋体" w:eastAsia="新宋体" w:cs="新宋体"/>
          <w:color w:val="auto"/>
          <w:sz w:val="24"/>
          <w:szCs w:val="24"/>
          <w:highlight w:val="none"/>
        </w:rPr>
        <w:t>总价金额与按单价汇总金额不一致的，以单价金额计算结果为准；单价金额小数点有明显错位的，应以总价为准，并修改单价。</w:t>
      </w:r>
    </w:p>
    <w:p>
      <w:pPr>
        <w:spacing w:line="380" w:lineRule="exact"/>
        <w:ind w:firstLine="480" w:firstLineChars="200"/>
        <w:jc w:val="left"/>
        <w:rPr>
          <w:rFonts w:hint="eastAsia" w:ascii="新宋体" w:hAnsi="新宋体" w:eastAsia="新宋体"/>
          <w:color w:val="auto"/>
          <w:sz w:val="24"/>
          <w:szCs w:val="24"/>
          <w:highlight w:val="none"/>
          <w:lang w:eastAsia="zh-CN"/>
        </w:rPr>
      </w:pPr>
      <w:r>
        <w:rPr>
          <w:rFonts w:ascii="新宋体" w:hAnsi="新宋体" w:eastAsia="新宋体" w:cs="新宋体"/>
          <w:color w:val="auto"/>
          <w:sz w:val="24"/>
          <w:szCs w:val="24"/>
          <w:highlight w:val="none"/>
        </w:rPr>
        <w:t>9.2.</w:t>
      </w:r>
      <w:r>
        <w:rPr>
          <w:rFonts w:hint="eastAsia" w:ascii="新宋体" w:hAnsi="新宋体" w:eastAsia="新宋体" w:cs="新宋体"/>
          <w:color w:val="auto"/>
          <w:sz w:val="24"/>
          <w:szCs w:val="24"/>
          <w:highlight w:val="none"/>
        </w:rPr>
        <w:t>磋商响应文件的语言和计量单位</w:t>
      </w:r>
      <w:r>
        <w:rPr>
          <w:rFonts w:hint="eastAsia" w:ascii="新宋体" w:hAnsi="新宋体" w:eastAsia="新宋体" w:cs="新宋体"/>
          <w:color w:val="auto"/>
          <w:sz w:val="24"/>
          <w:szCs w:val="24"/>
          <w:highlight w:val="none"/>
          <w:lang w:eastAsia="zh-CN"/>
        </w:rPr>
        <w:t>。</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9.2.1.</w:t>
      </w:r>
      <w:r>
        <w:rPr>
          <w:rFonts w:hint="eastAsia" w:ascii="新宋体" w:hAnsi="新宋体" w:eastAsia="新宋体" w:cs="新宋体"/>
          <w:color w:val="auto"/>
          <w:sz w:val="24"/>
          <w:szCs w:val="24"/>
          <w:highlight w:val="none"/>
        </w:rPr>
        <w:t>参加磋商供应商提交的磋商文件以及参加磋商供应商与采购人和采购人就有关磋商的所有往来信函均应使用简体中文。</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9.2.2.</w:t>
      </w:r>
      <w:r>
        <w:rPr>
          <w:rFonts w:hint="eastAsia" w:ascii="新宋体" w:hAnsi="新宋体" w:eastAsia="新宋体" w:cs="新宋体"/>
          <w:color w:val="auto"/>
          <w:sz w:val="24"/>
          <w:szCs w:val="24"/>
          <w:highlight w:val="none"/>
        </w:rPr>
        <w:t>参加磋商供应商所使用的计量单位，应使用国家法定计量单位。</w:t>
      </w:r>
    </w:p>
    <w:p>
      <w:pPr>
        <w:spacing w:line="360" w:lineRule="exact"/>
        <w:ind w:firstLine="480" w:firstLineChars="200"/>
        <w:rPr>
          <w:rFonts w:ascii="宋体"/>
          <w:color w:val="auto"/>
          <w:kern w:val="1"/>
          <w:sz w:val="24"/>
          <w:szCs w:val="24"/>
          <w:highlight w:val="none"/>
        </w:rPr>
      </w:pPr>
      <w:r>
        <w:rPr>
          <w:rFonts w:ascii="新宋体" w:hAnsi="新宋体" w:eastAsia="新宋体" w:cs="新宋体"/>
          <w:color w:val="auto"/>
          <w:sz w:val="24"/>
          <w:szCs w:val="24"/>
          <w:highlight w:val="none"/>
        </w:rPr>
        <w:t>9.3.</w:t>
      </w:r>
      <w:r>
        <w:rPr>
          <w:rFonts w:hint="eastAsia" w:ascii="新宋体" w:hAnsi="新宋体" w:eastAsia="新宋体" w:cs="新宋体"/>
          <w:color w:val="auto"/>
          <w:sz w:val="24"/>
          <w:szCs w:val="24"/>
          <w:highlight w:val="none"/>
        </w:rPr>
        <w:t>本项目最高磋商报价为</w:t>
      </w:r>
      <w:r>
        <w:rPr>
          <w:rFonts w:hint="eastAsia" w:ascii="新宋体" w:hAnsi="新宋体" w:eastAsia="新宋体" w:cs="新宋体"/>
          <w:color w:val="auto"/>
          <w:sz w:val="24"/>
          <w:szCs w:val="24"/>
          <w:highlight w:val="none"/>
          <w:lang w:val="en-US" w:eastAsia="zh-CN"/>
        </w:rPr>
        <w:t>20万元</w:t>
      </w:r>
      <w:r>
        <w:rPr>
          <w:rFonts w:hint="eastAsia" w:ascii="新宋体" w:hAnsi="新宋体" w:eastAsia="新宋体" w:cs="新宋体"/>
          <w:color w:val="auto"/>
          <w:sz w:val="24"/>
          <w:szCs w:val="24"/>
          <w:highlight w:val="none"/>
        </w:rPr>
        <w:t>，超出磋商最高限价的为废标。</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9.3.1.</w:t>
      </w:r>
      <w:r>
        <w:rPr>
          <w:rFonts w:hint="eastAsia" w:ascii="新宋体" w:hAnsi="新宋体" w:eastAsia="新宋体" w:cs="新宋体"/>
          <w:color w:val="auto"/>
          <w:sz w:val="24"/>
          <w:szCs w:val="24"/>
          <w:highlight w:val="none"/>
        </w:rPr>
        <w:t>参加磋商的供应商以本竞争性磋商文件为依据编制磋商响应文件；以现行市场价为基础，确定本项目的报价</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报价应充分考虑各种税费及潜在的风险等因素</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；本文件使用的度量衡单位，除有特殊规定的外一律使用公制。本项目以人民币报价。</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9.4.</w:t>
      </w:r>
      <w:r>
        <w:rPr>
          <w:rFonts w:hint="eastAsia" w:ascii="新宋体" w:hAnsi="新宋体" w:eastAsia="新宋体" w:cs="新宋体"/>
          <w:b/>
          <w:bCs/>
          <w:color w:val="auto"/>
          <w:sz w:val="24"/>
          <w:szCs w:val="24"/>
          <w:highlight w:val="none"/>
        </w:rPr>
        <w:t>本项目实行固定总价合同。</w:t>
      </w:r>
    </w:p>
    <w:p>
      <w:pPr>
        <w:spacing w:line="38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9.5.</w:t>
      </w:r>
      <w:r>
        <w:rPr>
          <w:rFonts w:hint="eastAsia" w:ascii="新宋体" w:hAnsi="新宋体" w:eastAsia="新宋体" w:cs="新宋体"/>
          <w:color w:val="auto"/>
          <w:sz w:val="24"/>
          <w:szCs w:val="24"/>
          <w:highlight w:val="none"/>
        </w:rPr>
        <w:t xml:space="preserve"> </w:t>
      </w:r>
      <w:r>
        <w:rPr>
          <w:rFonts w:hint="eastAsia" w:ascii="新宋体" w:hAnsi="新宋体" w:eastAsia="新宋体" w:cs="新宋体"/>
          <w:color w:val="auto"/>
          <w:sz w:val="24"/>
          <w:szCs w:val="24"/>
          <w:highlight w:val="none"/>
          <w:lang w:val="en-US" w:eastAsia="zh-CN"/>
        </w:rPr>
        <w:t>保险</w:t>
      </w:r>
      <w:r>
        <w:rPr>
          <w:rFonts w:hint="eastAsia" w:ascii="新宋体" w:hAnsi="新宋体" w:eastAsia="新宋体" w:cs="新宋体"/>
          <w:color w:val="auto"/>
          <w:sz w:val="24"/>
          <w:szCs w:val="24"/>
          <w:highlight w:val="none"/>
          <w:lang w:eastAsia="zh-CN"/>
        </w:rPr>
        <w:t>期限</w:t>
      </w:r>
      <w:r>
        <w:rPr>
          <w:rFonts w:hint="eastAsia" w:ascii="新宋体" w:hAnsi="新宋体" w:eastAsia="新宋体" w:cs="新宋体"/>
          <w:color w:val="auto"/>
          <w:sz w:val="24"/>
          <w:szCs w:val="24"/>
          <w:highlight w:val="none"/>
          <w:lang w:val="zh-CN"/>
        </w:rPr>
        <w:t>：</w:t>
      </w:r>
      <w:r>
        <w:rPr>
          <w:rFonts w:hint="eastAsia" w:ascii="新宋体" w:hAnsi="新宋体" w:eastAsia="新宋体" w:cs="新宋体"/>
          <w:color w:val="auto"/>
          <w:sz w:val="24"/>
          <w:szCs w:val="24"/>
          <w:highlight w:val="none"/>
          <w:lang w:val="en-US" w:eastAsia="zh-CN"/>
        </w:rPr>
        <w:t>1年</w:t>
      </w:r>
      <w:r>
        <w:rPr>
          <w:rFonts w:hint="eastAsia" w:ascii="新宋体" w:hAnsi="新宋体" w:eastAsia="新宋体" w:cs="新宋体"/>
          <w:color w:val="auto"/>
          <w:sz w:val="24"/>
          <w:szCs w:val="24"/>
          <w:highlight w:val="none"/>
        </w:rPr>
        <w:t>。</w:t>
      </w:r>
    </w:p>
    <w:p>
      <w:pPr>
        <w:spacing w:line="360" w:lineRule="exact"/>
        <w:ind w:firstLine="482" w:firstLineChars="200"/>
        <w:jc w:val="left"/>
        <w:rPr>
          <w:rFonts w:hint="eastAsia" w:ascii="新宋体" w:hAnsi="新宋体" w:eastAsia="新宋体" w:cs="新宋体"/>
          <w:color w:val="auto"/>
          <w:sz w:val="24"/>
          <w:szCs w:val="24"/>
          <w:highlight w:val="none"/>
          <w:lang w:eastAsia="zh-CN"/>
        </w:rPr>
      </w:pPr>
      <w:r>
        <w:rPr>
          <w:rFonts w:ascii="新宋体" w:hAnsi="新宋体" w:eastAsia="新宋体" w:cs="新宋体"/>
          <w:b/>
          <w:bCs/>
          <w:color w:val="auto"/>
          <w:sz w:val="24"/>
          <w:szCs w:val="24"/>
          <w:highlight w:val="none"/>
        </w:rPr>
        <w:t>9.</w:t>
      </w:r>
      <w:r>
        <w:rPr>
          <w:rFonts w:hint="eastAsia" w:ascii="新宋体" w:hAnsi="新宋体" w:eastAsia="新宋体" w:cs="新宋体"/>
          <w:b/>
          <w:bCs/>
          <w:color w:val="auto"/>
          <w:sz w:val="24"/>
          <w:szCs w:val="24"/>
          <w:highlight w:val="none"/>
          <w:lang w:val="en-US" w:eastAsia="zh-CN"/>
        </w:rPr>
        <w:t>6</w:t>
      </w:r>
      <w:r>
        <w:rPr>
          <w:rFonts w:ascii="新宋体" w:hAnsi="新宋体" w:eastAsia="新宋体" w:cs="新宋体"/>
          <w:b/>
          <w:bCs/>
          <w:color w:val="auto"/>
          <w:sz w:val="24"/>
          <w:szCs w:val="24"/>
          <w:highlight w:val="none"/>
        </w:rPr>
        <w:t>.</w:t>
      </w:r>
      <w:r>
        <w:rPr>
          <w:rFonts w:hint="eastAsia" w:ascii="新宋体" w:hAnsi="新宋体" w:eastAsia="新宋体" w:cs="新宋体"/>
          <w:color w:val="auto"/>
          <w:sz w:val="24"/>
          <w:szCs w:val="24"/>
          <w:highlight w:val="none"/>
        </w:rPr>
        <w:t>付款方式：</w:t>
      </w:r>
      <w:r>
        <w:rPr>
          <w:rFonts w:hint="eastAsia" w:ascii="新宋体" w:hAnsi="新宋体" w:eastAsia="新宋体" w:cs="新宋体"/>
          <w:color w:val="auto"/>
          <w:sz w:val="24"/>
          <w:szCs w:val="24"/>
          <w:highlight w:val="none"/>
          <w:lang w:eastAsia="zh-CN"/>
        </w:rPr>
        <w:t>保险合同签订后一次性支付全额保险费。注：采用现金或银行保兑（商业汇票）方式付款，以上未付款项均不计利息。</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10</w:t>
      </w:r>
      <w:r>
        <w:rPr>
          <w:rFonts w:hint="eastAsia" w:ascii="新宋体" w:hAnsi="新宋体" w:eastAsia="新宋体" w:cs="新宋体"/>
          <w:b/>
          <w:bCs/>
          <w:color w:val="auto"/>
          <w:sz w:val="24"/>
          <w:szCs w:val="24"/>
          <w:highlight w:val="none"/>
        </w:rPr>
        <w:t>、资料的宣读</w:t>
      </w:r>
    </w:p>
    <w:p>
      <w:pPr>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10.1.</w:t>
      </w:r>
      <w:r>
        <w:rPr>
          <w:rFonts w:hint="eastAsia" w:ascii="新宋体" w:hAnsi="新宋体" w:eastAsia="新宋体" w:cs="新宋体"/>
          <w:color w:val="auto"/>
          <w:sz w:val="24"/>
          <w:szCs w:val="24"/>
          <w:highlight w:val="none"/>
        </w:rPr>
        <w:t>截止到磋商时间，经确认无误后，在开标会上，由工作人员当众宣读各供应商名称。</w:t>
      </w:r>
    </w:p>
    <w:p>
      <w:pPr>
        <w:spacing w:line="36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11. </w:t>
      </w:r>
      <w:r>
        <w:rPr>
          <w:rFonts w:hint="eastAsia" w:ascii="新宋体" w:hAnsi="新宋体" w:eastAsia="新宋体" w:cs="新宋体"/>
          <w:b/>
          <w:bCs/>
          <w:color w:val="auto"/>
          <w:sz w:val="24"/>
          <w:szCs w:val="24"/>
          <w:highlight w:val="none"/>
        </w:rPr>
        <w:t>磋商有效期</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11.1.本次竞争性磋商有效期为自磋商之日后90天内有效，如成交则有效期将顺延至合同终止日为止，应在此期间保持有效。磋商有效期不达要求的将被视为非响应性磋商要求而予以拒绝。</w:t>
      </w:r>
    </w:p>
    <w:p>
      <w:pPr>
        <w:spacing w:line="32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12. </w:t>
      </w:r>
      <w:r>
        <w:rPr>
          <w:rFonts w:hint="eastAsia" w:ascii="新宋体" w:hAnsi="新宋体" w:eastAsia="新宋体" w:cs="新宋体"/>
          <w:b/>
          <w:bCs/>
          <w:color w:val="auto"/>
          <w:sz w:val="24"/>
          <w:szCs w:val="24"/>
          <w:highlight w:val="none"/>
        </w:rPr>
        <w:t>磋商响应文件的递交</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12.1.供应商应在规定的磋商截止时间前递交磋商响应文件。逾期送达的，或者未送达指定地点，以及未按指定方式送达的磋商响应文件，后果自行承担。</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12.2.磋商响应文件的密封和标记</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磋商响应文件正本和副本密封在一个包中，并在包封上注明采购项目名称 、供应商名称和有“在(磋商文件中规定的开标日期和时间)之前不得启封”的字样，封口处加盖供应商印章。如果未按要求密封，采购人对误投或提前启封概不负责。</w:t>
      </w:r>
    </w:p>
    <w:p>
      <w:pPr>
        <w:spacing w:line="32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13. </w:t>
      </w:r>
      <w:r>
        <w:rPr>
          <w:rFonts w:hint="eastAsia" w:ascii="新宋体" w:hAnsi="新宋体" w:eastAsia="新宋体" w:cs="新宋体"/>
          <w:b/>
          <w:bCs/>
          <w:color w:val="auto"/>
          <w:sz w:val="24"/>
          <w:szCs w:val="24"/>
          <w:highlight w:val="none"/>
        </w:rPr>
        <w:t>迟交的磋商响应文件</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13.1.采购人将拒绝在磋商文件中规定的截止时间后收到的任何磋商响应文件。</w:t>
      </w:r>
    </w:p>
    <w:p>
      <w:pPr>
        <w:spacing w:line="320" w:lineRule="exact"/>
        <w:ind w:firstLine="482" w:firstLineChars="200"/>
        <w:jc w:val="left"/>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14. </w:t>
      </w:r>
      <w:r>
        <w:rPr>
          <w:rFonts w:hint="eastAsia" w:ascii="新宋体" w:hAnsi="新宋体" w:eastAsia="新宋体" w:cs="新宋体"/>
          <w:b/>
          <w:bCs/>
          <w:color w:val="auto"/>
          <w:sz w:val="24"/>
          <w:szCs w:val="24"/>
          <w:highlight w:val="none"/>
        </w:rPr>
        <w:t>磋商文件的修改和撤回</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14.1.供应商在提交磋商响应文件截止时间前，可以对所提交的磋商响应文件进行补充、修改或者撤回，并书面通知采购代理机构。补充、修改的内容作为响应文件的组成部分。补充、修改的内容与响应文件不一致的，以补充、修改的内容为准。</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14.2.供应商在递交磋商响应文件后，可以撤回其磋商响应文件，但供应商必须在规定的磋商截止期之前以书面形式告知采购代理机构。</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14.3.供应商所提交的磋商响应文件在磋商结束后，无论成交与否都不退还。</w:t>
      </w:r>
    </w:p>
    <w:p>
      <w:pPr>
        <w:spacing w:line="440" w:lineRule="exact"/>
        <w:jc w:val="center"/>
        <w:outlineLvl w:val="1"/>
        <w:rPr>
          <w:rFonts w:ascii="新宋体" w:hAnsi="新宋体" w:eastAsia="新宋体"/>
          <w:b/>
          <w:bCs/>
          <w:color w:val="auto"/>
          <w:sz w:val="28"/>
          <w:szCs w:val="28"/>
          <w:highlight w:val="none"/>
        </w:rPr>
      </w:pPr>
      <w:bookmarkStart w:id="37" w:name="_Toc10864"/>
      <w:r>
        <w:rPr>
          <w:rFonts w:hint="eastAsia" w:ascii="新宋体" w:hAnsi="新宋体" w:eastAsia="新宋体" w:cs="新宋体"/>
          <w:b/>
          <w:bCs/>
          <w:color w:val="auto"/>
          <w:sz w:val="28"/>
          <w:szCs w:val="28"/>
          <w:highlight w:val="none"/>
        </w:rPr>
        <w:t>三、开标程序</w:t>
      </w:r>
      <w:bookmarkEnd w:id="37"/>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15.</w:t>
      </w:r>
      <w:r>
        <w:rPr>
          <w:rFonts w:hint="eastAsia" w:ascii="新宋体" w:hAnsi="新宋体" w:eastAsia="新宋体" w:cs="新宋体"/>
          <w:b/>
          <w:bCs/>
          <w:color w:val="auto"/>
          <w:sz w:val="24"/>
          <w:szCs w:val="24"/>
          <w:highlight w:val="none"/>
        </w:rPr>
        <w:t>开标</w:t>
      </w:r>
    </w:p>
    <w:p>
      <w:pPr>
        <w:spacing w:line="380" w:lineRule="exact"/>
        <w:ind w:firstLine="458" w:firstLineChars="19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15.1.采购人按磋商公告中确定的时间和地点组织磋商。届时将邀请所有参加磋商供应商以及监督部门、采购人代表参加开标会。供应商的法定代表人或其委托代理人应按规定时间携带其身份证明文件(法人代表参加开标会的提供法人代表身份证明原件，委托人参加开标会的提供授权委托书原件)和第二代有效身份证原件准时参加开标会。</w:t>
      </w:r>
    </w:p>
    <w:p>
      <w:pPr>
        <w:spacing w:line="380" w:lineRule="exact"/>
        <w:ind w:firstLine="458" w:firstLineChars="191"/>
        <w:rPr>
          <w:color w:val="auto"/>
          <w:highlight w:val="none"/>
        </w:rPr>
      </w:pPr>
      <w:r>
        <w:rPr>
          <w:rFonts w:hint="eastAsia" w:ascii="新宋体" w:hAnsi="新宋体" w:eastAsia="新宋体" w:cs="新宋体"/>
          <w:color w:val="auto"/>
          <w:sz w:val="24"/>
          <w:szCs w:val="24"/>
          <w:highlight w:val="none"/>
        </w:rPr>
        <w:t>15.2.开标时，采购代理机构将当众宣读参加磋商供应商名称以及采购人认为合适的其它内容。</w:t>
      </w:r>
    </w:p>
    <w:p>
      <w:pPr>
        <w:spacing w:line="440" w:lineRule="exact"/>
        <w:jc w:val="center"/>
        <w:outlineLvl w:val="1"/>
        <w:rPr>
          <w:rFonts w:ascii="新宋体" w:hAnsi="新宋体" w:eastAsia="新宋体"/>
          <w:b/>
          <w:bCs/>
          <w:color w:val="auto"/>
          <w:sz w:val="28"/>
          <w:szCs w:val="28"/>
          <w:highlight w:val="none"/>
        </w:rPr>
      </w:pPr>
      <w:bookmarkStart w:id="38" w:name="_Toc1599"/>
      <w:r>
        <w:rPr>
          <w:rFonts w:hint="eastAsia" w:ascii="新宋体" w:hAnsi="新宋体" w:eastAsia="新宋体" w:cs="新宋体"/>
          <w:b/>
          <w:bCs/>
          <w:color w:val="auto"/>
          <w:sz w:val="28"/>
          <w:szCs w:val="28"/>
          <w:highlight w:val="none"/>
        </w:rPr>
        <w:t>四</w:t>
      </w:r>
      <w:r>
        <w:rPr>
          <w:rFonts w:ascii="新宋体" w:hAnsi="新宋体" w:eastAsia="新宋体" w:cs="新宋体"/>
          <w:b/>
          <w:bCs/>
          <w:color w:val="auto"/>
          <w:sz w:val="28"/>
          <w:szCs w:val="28"/>
          <w:highlight w:val="none"/>
        </w:rPr>
        <w:t xml:space="preserve">. </w:t>
      </w:r>
      <w:r>
        <w:rPr>
          <w:rFonts w:hint="eastAsia" w:ascii="新宋体" w:hAnsi="新宋体" w:eastAsia="新宋体" w:cs="新宋体"/>
          <w:b/>
          <w:bCs/>
          <w:color w:val="auto"/>
          <w:sz w:val="28"/>
          <w:szCs w:val="28"/>
          <w:highlight w:val="none"/>
        </w:rPr>
        <w:t>磋商程序与内容</w:t>
      </w:r>
      <w:bookmarkEnd w:id="38"/>
    </w:p>
    <w:p>
      <w:pPr>
        <w:spacing w:line="340" w:lineRule="exact"/>
        <w:ind w:firstLine="463" w:firstLineChars="192"/>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16.</w:t>
      </w:r>
      <w:r>
        <w:rPr>
          <w:rFonts w:hint="eastAsia" w:ascii="新宋体" w:hAnsi="新宋体" w:eastAsia="新宋体" w:cs="新宋体"/>
          <w:b/>
          <w:bCs/>
          <w:color w:val="auto"/>
          <w:sz w:val="24"/>
          <w:szCs w:val="24"/>
          <w:highlight w:val="none"/>
        </w:rPr>
        <w:t>成立磋商小组</w:t>
      </w:r>
    </w:p>
    <w:p>
      <w:pPr>
        <w:spacing w:line="340" w:lineRule="exact"/>
        <w:ind w:firstLine="480" w:firstLineChars="200"/>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16.1.磋商小组由采购人代表和评审专家共3人及以上单数组成，其中评审专家人数不得少于磋商成员总数的2/3，并在金润源集团公司采购部专家库中随机抽取。</w:t>
      </w:r>
    </w:p>
    <w:p>
      <w:pPr>
        <w:spacing w:line="3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16.2.在竞争性磋商过程中，</w:t>
      </w:r>
      <w:r>
        <w:rPr>
          <w:rFonts w:hint="eastAsia" w:ascii="新宋体" w:hAnsi="新宋体" w:eastAsia="新宋体" w:cs="新宋体"/>
          <w:color w:val="auto"/>
          <w:sz w:val="24"/>
          <w:szCs w:val="24"/>
          <w:highlight w:val="none"/>
        </w:rPr>
        <w:t>如果出现磋商小组成员意见不一致的情况，按照少数服从多数的原则确定。</w:t>
      </w:r>
    </w:p>
    <w:p>
      <w:pPr>
        <w:spacing w:line="34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17.</w:t>
      </w:r>
      <w:r>
        <w:rPr>
          <w:rFonts w:hint="eastAsia" w:ascii="新宋体" w:hAnsi="新宋体" w:eastAsia="新宋体" w:cs="新宋体"/>
          <w:b/>
          <w:bCs/>
          <w:color w:val="auto"/>
          <w:sz w:val="24"/>
          <w:szCs w:val="24"/>
          <w:highlight w:val="none"/>
        </w:rPr>
        <w:t>竞争性磋商响应文件的审查</w:t>
      </w:r>
    </w:p>
    <w:p>
      <w:pPr>
        <w:pStyle w:val="10"/>
        <w:spacing w:line="340" w:lineRule="exact"/>
        <w:ind w:firstLine="480" w:firstLineChars="200"/>
        <w:rPr>
          <w:rFonts w:ascii="新宋体" w:hAnsi="新宋体" w:eastAsia="新宋体" w:cs="Times New Roman"/>
          <w:color w:val="auto"/>
          <w:sz w:val="24"/>
          <w:szCs w:val="24"/>
          <w:highlight w:val="none"/>
        </w:rPr>
      </w:pPr>
      <w:r>
        <w:rPr>
          <w:rFonts w:ascii="新宋体" w:hAnsi="新宋体" w:eastAsia="新宋体" w:cs="新宋体"/>
          <w:color w:val="auto"/>
          <w:sz w:val="24"/>
          <w:szCs w:val="24"/>
          <w:highlight w:val="none"/>
        </w:rPr>
        <w:t xml:space="preserve">17.1 </w:t>
      </w:r>
      <w:r>
        <w:rPr>
          <w:rFonts w:hint="eastAsia" w:ascii="新宋体" w:hAnsi="新宋体" w:eastAsia="新宋体" w:cs="新宋体"/>
          <w:b/>
          <w:bCs/>
          <w:color w:val="auto"/>
          <w:sz w:val="24"/>
          <w:szCs w:val="24"/>
          <w:highlight w:val="none"/>
        </w:rPr>
        <w:t>资格审查</w:t>
      </w:r>
    </w:p>
    <w:p>
      <w:pPr>
        <w:spacing w:line="4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详见“第一章 竞争性磋商公告”中的供应商资格要求。</w:t>
      </w:r>
    </w:p>
    <w:p>
      <w:pPr>
        <w:pStyle w:val="10"/>
        <w:spacing w:line="340" w:lineRule="exact"/>
        <w:ind w:firstLine="480" w:firstLineChars="200"/>
        <w:rPr>
          <w:rFonts w:ascii="新宋体" w:hAnsi="新宋体" w:eastAsia="新宋体" w:cs="Times New Roman"/>
          <w:color w:val="auto"/>
          <w:sz w:val="24"/>
          <w:szCs w:val="24"/>
          <w:highlight w:val="none"/>
        </w:rPr>
      </w:pPr>
      <w:r>
        <w:rPr>
          <w:rFonts w:ascii="新宋体" w:hAnsi="新宋体" w:eastAsia="新宋体" w:cs="新宋体"/>
          <w:color w:val="auto"/>
          <w:sz w:val="24"/>
          <w:szCs w:val="24"/>
          <w:highlight w:val="none"/>
        </w:rPr>
        <w:t xml:space="preserve">17.2 </w:t>
      </w:r>
      <w:r>
        <w:rPr>
          <w:rFonts w:hint="eastAsia" w:ascii="新宋体" w:hAnsi="新宋体" w:eastAsia="新宋体" w:cs="新宋体"/>
          <w:b/>
          <w:bCs/>
          <w:color w:val="auto"/>
          <w:sz w:val="24"/>
          <w:szCs w:val="24"/>
          <w:highlight w:val="none"/>
        </w:rPr>
        <w:t>符合性审查</w:t>
      </w:r>
    </w:p>
    <w:p>
      <w:pPr>
        <w:pStyle w:val="10"/>
        <w:spacing w:line="340" w:lineRule="exact"/>
        <w:ind w:firstLine="480" w:firstLineChars="200"/>
        <w:rPr>
          <w:rFonts w:ascii="新宋体" w:hAnsi="新宋体" w:eastAsia="新宋体" w:cs="Times New Roman"/>
          <w:color w:val="auto"/>
          <w:sz w:val="24"/>
          <w:szCs w:val="24"/>
          <w:highlight w:val="none"/>
        </w:rPr>
      </w:pPr>
      <w:r>
        <w:rPr>
          <w:rFonts w:hint="eastAsia" w:ascii="新宋体" w:hAnsi="新宋体" w:eastAsia="新宋体" w:cs="新宋体"/>
          <w:color w:val="auto"/>
          <w:sz w:val="24"/>
          <w:szCs w:val="24"/>
          <w:highlight w:val="none"/>
        </w:rPr>
        <w:t>磋商小组应当审查每一份磋商响应文件是否对磋商文件所提出的所有实质性要求和条件作出了响应，未能在实质上响应的磋商响应文件，</w:t>
      </w:r>
      <w:r>
        <w:rPr>
          <w:rFonts w:hint="eastAsia" w:ascii="新宋体" w:hAnsi="新宋体" w:eastAsia="新宋体" w:cs="新宋体"/>
          <w:color w:val="auto"/>
          <w:sz w:val="24"/>
          <w:szCs w:val="24"/>
          <w:highlight w:val="none"/>
          <w:u w:val="single"/>
        </w:rPr>
        <w:t>应作无效磋商响应文件处理</w:t>
      </w:r>
      <w:r>
        <w:rPr>
          <w:rFonts w:hint="eastAsia" w:ascii="新宋体" w:hAnsi="新宋体" w:eastAsia="新宋体" w:cs="新宋体"/>
          <w:color w:val="auto"/>
          <w:sz w:val="24"/>
          <w:szCs w:val="24"/>
          <w:highlight w:val="none"/>
        </w:rPr>
        <w:t>。</w:t>
      </w:r>
    </w:p>
    <w:p>
      <w:pPr>
        <w:pStyle w:val="10"/>
        <w:spacing w:line="340" w:lineRule="exact"/>
        <w:ind w:firstLine="480" w:firstLineChars="200"/>
        <w:rPr>
          <w:rFonts w:ascii="新宋体" w:hAnsi="新宋体" w:eastAsia="新宋体" w:cs="Times New Roman"/>
          <w:color w:val="auto"/>
          <w:sz w:val="24"/>
          <w:szCs w:val="24"/>
          <w:highlight w:val="none"/>
        </w:rPr>
      </w:pPr>
      <w:r>
        <w:rPr>
          <w:rFonts w:hint="eastAsia" w:ascii="新宋体" w:hAnsi="新宋体" w:eastAsia="新宋体" w:cs="新宋体"/>
          <w:color w:val="auto"/>
          <w:sz w:val="24"/>
          <w:szCs w:val="24"/>
          <w:highlight w:val="none"/>
        </w:rPr>
        <w:t>以下情形，均将视为</w:t>
      </w:r>
      <w:r>
        <w:rPr>
          <w:rFonts w:hint="eastAsia" w:ascii="新宋体" w:hAnsi="新宋体" w:eastAsia="新宋体" w:cs="新宋体"/>
          <w:color w:val="auto"/>
          <w:sz w:val="24"/>
          <w:szCs w:val="24"/>
          <w:highlight w:val="none"/>
          <w:u w:val="single"/>
        </w:rPr>
        <w:t>无效磋商响应文件处理：</w:t>
      </w:r>
    </w:p>
    <w:p>
      <w:pPr>
        <w:spacing w:line="34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磋商响应文件应有供应商法人代表或授权代表签字和加盖行政公章，而没有或部分没有签字和加盖行政公章的；或加盖的公章为非行政公章的；磋商响应文件由授权代表签字、盖章，而磋商响应文件中无授权委托书原件的；磋商响应文件中复印件不清楚者视为本复印件无效的；</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磋商响应文件中的响应与实际不符且没有提供有效技术资料进行说明的，或提供虚假资料投标的；</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3</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提供虚假资料进行磋商的；</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4</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供应商名称与营业执照、证书等不一致的；</w:t>
      </w:r>
    </w:p>
    <w:p>
      <w:pPr>
        <w:spacing w:line="34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5</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未按规定的格式填写，内容不全或者关键内容字迹模糊、无法辨认，造成磋商响应文件实质上不响应竞争性磋商文件的要求，或者导致无法对磋商响应文件的实质性内容进行评审的；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6</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同一供应商提交两个以上不同的磋商响应文件，且未声明哪一个有效的；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7</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磋商响应文件附有采购人不能接受的条件的；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8</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不符合竞争性磋商文件规定被视为无效其它条款的；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9</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参与磋商的供应商法定代表人或其委托代理人未按时参加磋商的；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0</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扰乱会场秩序，经劝阻仍无理取闹的；</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1</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在参与磋商的供应商之间串通，事先商定磋商报价或合谋使特定人成交的；</w:t>
      </w:r>
    </w:p>
    <w:p>
      <w:pPr>
        <w:kinsoku w:val="0"/>
        <w:overflowPunct w:val="0"/>
        <w:autoSpaceDE w:val="0"/>
        <w:autoSpaceDN w:val="0"/>
        <w:adjustRightInd w:val="0"/>
        <w:snapToGrid w:val="0"/>
        <w:spacing w:line="360" w:lineRule="exact"/>
        <w:ind w:firstLine="480" w:firstLineChars="200"/>
        <w:rPr>
          <w:rFonts w:hint="eastAsia" w:ascii="新宋体" w:hAnsi="新宋体" w:eastAsia="新宋体" w:cs="新宋体"/>
          <w:color w:val="auto"/>
          <w:sz w:val="24"/>
          <w:szCs w:val="24"/>
          <w:highlight w:val="none"/>
          <w:lang w:eastAsia="zh-CN"/>
        </w:rPr>
      </w:pP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)不同供应商授权同一人作为供应商代表的</w:t>
      </w:r>
      <w:r>
        <w:rPr>
          <w:rFonts w:hint="eastAsia" w:ascii="新宋体" w:hAnsi="新宋体" w:eastAsia="新宋体" w:cs="新宋体"/>
          <w:color w:val="auto"/>
          <w:sz w:val="24"/>
          <w:szCs w:val="24"/>
          <w:highlight w:val="none"/>
          <w:lang w:eastAsia="zh-CN"/>
        </w:rPr>
        <w:t>；</w:t>
      </w:r>
    </w:p>
    <w:p>
      <w:pPr>
        <w:kinsoku w:val="0"/>
        <w:overflowPunct w:val="0"/>
        <w:autoSpaceDE w:val="0"/>
        <w:autoSpaceDN w:val="0"/>
        <w:adjustRightInd w:val="0"/>
        <w:snapToGrid w:val="0"/>
        <w:spacing w:line="3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eastAsia="zh-CN"/>
        </w:rPr>
        <w:t>不符合磋商文件第三章采购要求的；</w:t>
      </w:r>
    </w:p>
    <w:p>
      <w:pPr>
        <w:kinsoku w:val="0"/>
        <w:overflowPunct w:val="0"/>
        <w:autoSpaceDE w:val="0"/>
        <w:autoSpaceDN w:val="0"/>
        <w:adjustRightInd w:val="0"/>
        <w:snapToGrid w:val="0"/>
        <w:spacing w:line="360" w:lineRule="exact"/>
        <w:ind w:firstLine="480" w:firstLineChars="20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)其他严重违反磋商程序和不符合磋商文件规定的行为</w:t>
      </w:r>
      <w:r>
        <w:rPr>
          <w:rFonts w:hint="eastAsia" w:ascii="新宋体" w:hAnsi="新宋体" w:eastAsia="新宋体" w:cs="新宋体"/>
          <w:color w:val="auto"/>
          <w:sz w:val="24"/>
          <w:szCs w:val="24"/>
          <w:highlight w:val="none"/>
          <w:lang w:eastAsia="zh-CN"/>
        </w:rPr>
        <w:t>；</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17.3</w:t>
      </w:r>
      <w:r>
        <w:rPr>
          <w:rFonts w:hint="eastAsia" w:ascii="新宋体" w:hAnsi="新宋体" w:eastAsia="新宋体" w:cs="新宋体"/>
          <w:color w:val="auto"/>
          <w:sz w:val="24"/>
          <w:szCs w:val="24"/>
          <w:highlight w:val="none"/>
        </w:rPr>
        <w:t>非实质性偏离是指磋商响应文件在实质上响应磋商文件的要求，但在个别地方存在一些不规则、不一致、不完整的内容，并且澄清、说明或者补正这些内容不会改变磋商响应文件的实质性内容。以下情况属于非实质性偏离：</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文字表述的内容含义不明确；</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rPr>
        <w:t>同类问题表述不一致；</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rPr>
        <w:t>有明显文字和计算错误；</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rPr>
        <w:t>提供的技术信息和数据资料不完整；</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rPr>
        <w:t>磋商响应文件未按磋商文件要求进行装订或未编制目录；</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rPr>
        <w:t>磋商小组认定的其他非实质性偏离。</w:t>
      </w:r>
    </w:p>
    <w:p>
      <w:pPr>
        <w:kinsoku w:val="0"/>
        <w:overflowPunct w:val="0"/>
        <w:autoSpaceDE w:val="0"/>
        <w:autoSpaceDN w:val="0"/>
        <w:adjustRightInd w:val="0"/>
        <w:snapToGrid w:val="0"/>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磋商响应文件有上述</w:t>
      </w:r>
      <w:r>
        <w:rPr>
          <w:rFonts w:ascii="新宋体" w:hAnsi="新宋体" w:eastAsia="新宋体" w:cs="新宋体"/>
          <w:color w:val="auto"/>
          <w:sz w:val="24"/>
          <w:szCs w:val="24"/>
          <w:highlight w:val="none"/>
        </w:rPr>
        <w:t>17.</w:t>
      </w:r>
      <w:r>
        <w:rPr>
          <w:rFonts w:hint="eastAsia" w:ascii="新宋体" w:hAnsi="新宋体" w:eastAsia="新宋体" w:cs="新宋体"/>
          <w:color w:val="auto"/>
          <w:sz w:val="24"/>
          <w:szCs w:val="24"/>
          <w:highlight w:val="none"/>
        </w:rPr>
        <w:t>3（</w:t>
      </w:r>
      <w:r>
        <w:rPr>
          <w:rFonts w:ascii="新宋体" w:hAnsi="新宋体" w:eastAsia="新宋体" w:cs="新宋体"/>
          <w:color w:val="auto"/>
          <w:sz w:val="24"/>
          <w:szCs w:val="24"/>
          <w:highlight w:val="none"/>
        </w:rPr>
        <w:t>1--3</w:t>
      </w:r>
      <w:r>
        <w:rPr>
          <w:rFonts w:hint="eastAsia" w:ascii="新宋体" w:hAnsi="新宋体" w:eastAsia="新宋体" w:cs="新宋体"/>
          <w:color w:val="auto"/>
          <w:sz w:val="24"/>
          <w:szCs w:val="24"/>
          <w:highlight w:val="none"/>
        </w:rPr>
        <w:t>）情形之一的，磋商小组应当书面要求供应商在规定的时间内予以澄清、说明或补正。供应商拒不或在规定的时间内没有进行澄清、说明或补正或澄清、说明、补正的内容也不能说明问题的，视为该磋商响应文件制作不规范，按无效磋商响应文件处理。磋商小组不会接受供应商主动提出的澄清、说明或补正。</w:t>
      </w:r>
    </w:p>
    <w:p>
      <w:pPr>
        <w:kinsoku w:val="0"/>
        <w:overflowPunct w:val="0"/>
        <w:autoSpaceDE w:val="0"/>
        <w:autoSpaceDN w:val="0"/>
        <w:adjustRightInd w:val="0"/>
        <w:snapToGrid w:val="0"/>
        <w:spacing w:line="360" w:lineRule="exact"/>
        <w:ind w:firstLine="480" w:firstLineChars="200"/>
        <w:jc w:val="lef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17.4.</w:t>
      </w:r>
      <w:r>
        <w:rPr>
          <w:rFonts w:hint="eastAsia" w:ascii="新宋体" w:hAnsi="新宋体" w:eastAsia="新宋体" w:cs="新宋体"/>
          <w:color w:val="auto"/>
          <w:sz w:val="24"/>
          <w:szCs w:val="24"/>
          <w:highlight w:val="none"/>
        </w:rPr>
        <w:t>磋商响应文件被确认为无效文件后，该供应商即失去参加本次磋商采购的竞争机会。</w:t>
      </w:r>
    </w:p>
    <w:p>
      <w:pPr>
        <w:spacing w:line="360" w:lineRule="exact"/>
        <w:ind w:firstLine="482" w:firstLineChars="200"/>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18.</w:t>
      </w:r>
      <w:r>
        <w:rPr>
          <w:rFonts w:hint="eastAsia" w:ascii="新宋体" w:hAnsi="新宋体" w:eastAsia="新宋体" w:cs="新宋体"/>
          <w:b/>
          <w:bCs/>
          <w:color w:val="auto"/>
          <w:sz w:val="24"/>
          <w:szCs w:val="24"/>
          <w:highlight w:val="none"/>
        </w:rPr>
        <w:t>磋商原则：</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18.1</w:t>
      </w:r>
      <w:r>
        <w:rPr>
          <w:rFonts w:hint="eastAsia" w:ascii="新宋体" w:hAnsi="新宋体" w:eastAsia="新宋体" w:cs="新宋体"/>
          <w:color w:val="auto"/>
          <w:sz w:val="24"/>
          <w:szCs w:val="24"/>
          <w:highlight w:val="none"/>
        </w:rPr>
        <w:t>磋商原则</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客观、公正、审慎。</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18.2</w:t>
      </w:r>
      <w:r>
        <w:rPr>
          <w:rFonts w:hint="eastAsia" w:ascii="新宋体" w:hAnsi="新宋体" w:eastAsia="新宋体" w:cs="新宋体"/>
          <w:color w:val="auto"/>
          <w:sz w:val="24"/>
          <w:szCs w:val="24"/>
          <w:highlight w:val="none"/>
        </w:rPr>
        <w:t>磋商文件能够详细列明采购技术和要求的，磋商结束后，磋商小组将要求所有实质性响应的供应商在规定时间内提交最后报价。最后报价是供应商响应文件的有效组成部分。</w:t>
      </w:r>
    </w:p>
    <w:p>
      <w:pPr>
        <w:spacing w:line="360" w:lineRule="exact"/>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 xml:space="preserve">    18.3</w:t>
      </w:r>
      <w:r>
        <w:rPr>
          <w:rFonts w:hint="eastAsia" w:ascii="新宋体" w:hAnsi="新宋体" w:eastAsia="新宋体" w:cs="新宋体"/>
          <w:color w:val="auto"/>
          <w:sz w:val="24"/>
          <w:szCs w:val="24"/>
          <w:highlight w:val="none"/>
        </w:rPr>
        <w:t>已提交响应文件的供应商，在提交最后报价之前，可以根据磋商情况退出磋商。</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18.4</w:t>
      </w:r>
      <w:r>
        <w:rPr>
          <w:rFonts w:hint="eastAsia" w:ascii="新宋体" w:hAnsi="新宋体" w:eastAsia="新宋体" w:cs="新宋体"/>
          <w:color w:val="auto"/>
          <w:sz w:val="24"/>
          <w:szCs w:val="24"/>
          <w:highlight w:val="none"/>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exact"/>
        <w:ind w:firstLine="482" w:firstLineChars="200"/>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19.</w:t>
      </w:r>
      <w:r>
        <w:rPr>
          <w:rFonts w:hint="eastAsia" w:ascii="新宋体" w:hAnsi="新宋体" w:eastAsia="新宋体" w:cs="新宋体"/>
          <w:b/>
          <w:bCs/>
          <w:color w:val="auto"/>
          <w:sz w:val="24"/>
          <w:szCs w:val="24"/>
          <w:highlight w:val="none"/>
        </w:rPr>
        <w:t>磋商程序及成交人的确定</w:t>
      </w:r>
    </w:p>
    <w:p>
      <w:pPr>
        <w:spacing w:line="360" w:lineRule="exact"/>
        <w:ind w:firstLine="482" w:firstLineChars="200"/>
        <w:rPr>
          <w:rFonts w:ascii="新宋体" w:hAnsi="新宋体" w:eastAsia="新宋体"/>
          <w:color w:val="auto"/>
          <w:sz w:val="24"/>
          <w:szCs w:val="24"/>
          <w:highlight w:val="none"/>
        </w:rPr>
      </w:pPr>
      <w:r>
        <w:rPr>
          <w:rFonts w:ascii="新宋体" w:hAnsi="新宋体" w:eastAsia="新宋体" w:cs="新宋体"/>
          <w:b/>
          <w:bCs/>
          <w:color w:val="auto"/>
          <w:sz w:val="24"/>
          <w:szCs w:val="24"/>
          <w:highlight w:val="none"/>
        </w:rPr>
        <w:t>19.1</w:t>
      </w:r>
      <w:r>
        <w:rPr>
          <w:rFonts w:hint="eastAsia" w:ascii="新宋体" w:hAnsi="新宋体" w:eastAsia="新宋体" w:cs="新宋体"/>
          <w:b/>
          <w:bCs/>
          <w:color w:val="auto"/>
          <w:sz w:val="24"/>
          <w:szCs w:val="24"/>
          <w:highlight w:val="none"/>
        </w:rPr>
        <w:t>磋商程序</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本次磋商采取两轮磋商方式进行，磋商小组所有成员集中与每一位供应商分别进行磋商。在磋商中，磋商的任何一方不得透露与磋商有关的其他供应商的技术资料、价格和其他信息。</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第一轮磋商：</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、资格审查：供应商将本项目磋商要求提交的资料及磋商响应文件交磋商小组评审校验，不具备资质和条件的公司将首先被淘汰，不能进入到下一个程序。</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rPr>
        <w:t>、供应商用</w:t>
      </w:r>
      <w:r>
        <w:rPr>
          <w:rFonts w:ascii="新宋体" w:hAnsi="新宋体" w:eastAsia="新宋体" w:cs="新宋体"/>
          <w:color w:val="auto"/>
          <w:sz w:val="24"/>
          <w:szCs w:val="24"/>
          <w:highlight w:val="none"/>
        </w:rPr>
        <w:t>5-10</w:t>
      </w:r>
      <w:r>
        <w:rPr>
          <w:rFonts w:hint="eastAsia" w:ascii="新宋体" w:hAnsi="新宋体" w:eastAsia="新宋体" w:cs="新宋体"/>
          <w:color w:val="auto"/>
          <w:sz w:val="24"/>
          <w:szCs w:val="24"/>
          <w:highlight w:val="none"/>
        </w:rPr>
        <w:t>分钟时间就公司情况、工作内容及安排、后期服务等方面进行陈述；磋商小组对可依据供应商的磋商响应文件及采购文件对参与磋商的供应商进行提问或询问，参与磋商的供应商必须如实回答，供应商也可以就相关问题向磋商小组进行询问，但不得提出违反磋商原则的问题。</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rPr>
        <w:t>、</w:t>
      </w:r>
      <w:r>
        <w:rPr>
          <w:rFonts w:hint="eastAsia" w:ascii="宋体" w:hAnsi="宋体" w:cs="宋体"/>
          <w:color w:val="auto"/>
          <w:sz w:val="24"/>
          <w:szCs w:val="24"/>
          <w:highlight w:val="none"/>
        </w:rPr>
        <w:t>符合性评审</w:t>
      </w:r>
      <w:r>
        <w:rPr>
          <w:rFonts w:hint="eastAsia" w:ascii="新宋体" w:hAnsi="新宋体" w:eastAsia="新宋体" w:cs="新宋体"/>
          <w:color w:val="auto"/>
          <w:sz w:val="24"/>
          <w:szCs w:val="24"/>
          <w:highlight w:val="none"/>
        </w:rPr>
        <w:t>：磋商小组应当审查每一份磋商响应文件是否对磋商文件所提出的所有实质性要求和条件作出了响应；未能在实质上响应采购文件的磋商响应文件，其供应商被淘汰，不能进入到下一个程序。</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rPr>
        <w:t>、确定参加第二轮磋商的供应商：磋商小组综合磋商情况，确定符合本次磋商项目要求的供应商，进入第二轮磋商。未进入第二轮报磋商的供应商自动退出。</w:t>
      </w:r>
    </w:p>
    <w:p>
      <w:pPr>
        <w:spacing w:line="360" w:lineRule="exact"/>
        <w:ind w:firstLine="480" w:firstLineChars="200"/>
        <w:rPr>
          <w:rFonts w:ascii="新宋体" w:hAnsi="新宋体" w:eastAsia="新宋体"/>
          <w:b w:val="0"/>
          <w:bCs w:val="0"/>
          <w:color w:val="auto"/>
          <w:sz w:val="24"/>
          <w:szCs w:val="24"/>
          <w:highlight w:val="none"/>
        </w:rPr>
      </w:pPr>
      <w:r>
        <w:rPr>
          <w:rFonts w:hint="eastAsia" w:ascii="新宋体" w:hAnsi="新宋体" w:eastAsia="新宋体" w:cs="新宋体"/>
          <w:b w:val="0"/>
          <w:bCs w:val="0"/>
          <w:color w:val="auto"/>
          <w:sz w:val="24"/>
          <w:szCs w:val="24"/>
          <w:highlight w:val="none"/>
        </w:rPr>
        <w:t>第二轮磋商：</w:t>
      </w:r>
    </w:p>
    <w:p>
      <w:pPr>
        <w:spacing w:line="360" w:lineRule="exact"/>
        <w:ind w:firstLine="480" w:firstLineChars="200"/>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rPr>
        <w:t>第二轮磋商主要是报价，供应商可以维持第一轮的报价不变，也可以对第一轮的报价进行修改，给予</w:t>
      </w:r>
      <w:r>
        <w:rPr>
          <w:rFonts w:hint="eastAsia" w:ascii="新宋体" w:hAnsi="新宋体" w:eastAsia="新宋体" w:cs="新宋体"/>
          <w:b w:val="0"/>
          <w:bCs w:val="0"/>
          <w:color w:val="auto"/>
          <w:sz w:val="24"/>
          <w:szCs w:val="24"/>
          <w:highlight w:val="none"/>
          <w:lang w:eastAsia="zh-CN"/>
        </w:rPr>
        <w:t>二轮</w:t>
      </w:r>
      <w:r>
        <w:rPr>
          <w:rFonts w:hint="eastAsia" w:ascii="新宋体" w:hAnsi="新宋体" w:eastAsia="新宋体" w:cs="新宋体"/>
          <w:b w:val="0"/>
          <w:bCs w:val="0"/>
          <w:color w:val="auto"/>
          <w:sz w:val="24"/>
          <w:szCs w:val="24"/>
          <w:highlight w:val="none"/>
        </w:rPr>
        <w:t>报价（必须是书面的，且有供应商法人或其授权委托人签名），</w:t>
      </w:r>
    </w:p>
    <w:p>
      <w:pPr>
        <w:spacing w:line="360" w:lineRule="exact"/>
        <w:rPr>
          <w:color w:val="auto"/>
          <w:highlight w:val="none"/>
        </w:rPr>
      </w:pPr>
      <w:r>
        <w:rPr>
          <w:rFonts w:hint="eastAsia" w:ascii="新宋体" w:hAnsi="新宋体" w:eastAsia="新宋体" w:cs="新宋体"/>
          <w:b w:val="0"/>
          <w:bCs w:val="0"/>
          <w:color w:val="auto"/>
          <w:sz w:val="24"/>
          <w:szCs w:val="24"/>
          <w:highlight w:val="none"/>
          <w:lang w:val="en-US" w:eastAsia="zh-CN"/>
        </w:rPr>
        <w:t>经磋商小组和采购人确定第二轮报价（第一轮报价为标书报价）有无竞争性，若无竞争性则采取多轮报价方式继续竞争，若仍无法体现竞争，磋商小组有权宣布此次磋商无效，需再次进行挂网和重新招标。（磋商报价一经报出，不得更改，并具有法律效力，评分将以最终报价为准）</w:t>
      </w:r>
    </w:p>
    <w:p>
      <w:pPr>
        <w:spacing w:line="360" w:lineRule="exact"/>
        <w:ind w:firstLine="482" w:firstLineChars="200"/>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19.2</w:t>
      </w:r>
      <w:r>
        <w:rPr>
          <w:rFonts w:hint="eastAsia" w:ascii="新宋体" w:hAnsi="新宋体" w:eastAsia="新宋体" w:cs="新宋体"/>
          <w:b/>
          <w:bCs/>
          <w:color w:val="auto"/>
          <w:sz w:val="24"/>
          <w:szCs w:val="24"/>
          <w:highlight w:val="none"/>
        </w:rPr>
        <w:t>成交人的确定</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所有参加磋商的供应商都应当按照磋商小组的要求，在规定的时间内，就工作内容及安排、付款方式、价格、后期服务等进行两轮磋商。磋商结束后</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由磋商小组根据最终评分结果向采购人推荐成交候选人名单。</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为了有助于磋商响应文件的审查、评价和比较，磋商小组可以要求参与磋商的供应商澄清其磋商响应文件。有关澄清的内容与答复，应以口头或书面形式进行。磋商会上，若供应商认为磋商小组组成人员中有应回避人员，可当场提出，经核实理由后，应予回避。</w:t>
      </w:r>
    </w:p>
    <w:p>
      <w:pPr>
        <w:spacing w:line="360" w:lineRule="exact"/>
        <w:ind w:firstLine="480" w:firstLineChars="200"/>
        <w:rPr>
          <w:rFonts w:ascii="新宋体" w:hAnsi="新宋体" w:eastAsia="新宋体" w:cs="新宋体"/>
          <w:b/>
          <w:bCs/>
          <w:color w:val="auto"/>
          <w:sz w:val="24"/>
          <w:szCs w:val="24"/>
          <w:highlight w:val="none"/>
        </w:rPr>
      </w:pPr>
      <w:r>
        <w:rPr>
          <w:rFonts w:hint="eastAsia" w:ascii="新宋体" w:hAnsi="新宋体" w:eastAsia="新宋体" w:cs="新宋体"/>
          <w:color w:val="auto"/>
          <w:sz w:val="24"/>
          <w:szCs w:val="24"/>
          <w:highlight w:val="none"/>
        </w:rPr>
        <w:t>磋商小组对所有通过初步评审满足磋商文件实质性要求的磋商响应文件进行详细评审及评分，未通过初步评审的磋商响应文件不参与详细评审及评分。本次评标采用综合评分法。按照综合评分标准进行评分，进行系统的评审和比较，选定能够最大限度满足磋商文件规定的各项评价标准，最终磋商小组会根据综合评分情况，按照评审得分由高至低顺序推荐</w:t>
      </w:r>
      <w:r>
        <w:rPr>
          <w:rFonts w:ascii="新宋体" w:hAnsi="新宋体" w:eastAsia="新宋体" w:cs="新宋体"/>
          <w:color w:val="auto"/>
          <w:sz w:val="24"/>
          <w:szCs w:val="24"/>
          <w:highlight w:val="none"/>
        </w:rPr>
        <w:t>1-3</w:t>
      </w:r>
      <w:r>
        <w:rPr>
          <w:rFonts w:hint="eastAsia" w:ascii="新宋体" w:hAnsi="新宋体" w:eastAsia="新宋体" w:cs="新宋体"/>
          <w:color w:val="auto"/>
          <w:sz w:val="24"/>
          <w:szCs w:val="24"/>
          <w:highlight w:val="none"/>
        </w:rPr>
        <w:t>名成交候选人。</w:t>
      </w:r>
    </w:p>
    <w:p>
      <w:pPr>
        <w:spacing w:line="360" w:lineRule="exact"/>
        <w:ind w:firstLine="482" w:firstLineChars="200"/>
        <w:rPr>
          <w:rFonts w:hint="eastAsia" w:ascii="新宋体" w:hAnsi="新宋体" w:eastAsia="新宋体" w:cs="新宋体"/>
          <w:b/>
          <w:bCs/>
          <w:color w:val="auto"/>
          <w:sz w:val="24"/>
          <w:szCs w:val="24"/>
          <w:highlight w:val="none"/>
          <w:lang w:eastAsia="zh-CN"/>
        </w:rPr>
      </w:pPr>
      <w:r>
        <w:rPr>
          <w:rFonts w:ascii="新宋体" w:hAnsi="新宋体" w:eastAsia="新宋体" w:cs="新宋体"/>
          <w:b/>
          <w:bCs/>
          <w:color w:val="auto"/>
          <w:sz w:val="24"/>
          <w:szCs w:val="24"/>
          <w:highlight w:val="none"/>
        </w:rPr>
        <w:t xml:space="preserve"> 19.3</w:t>
      </w:r>
      <w:r>
        <w:rPr>
          <w:rFonts w:hint="eastAsia" w:ascii="新宋体" w:hAnsi="新宋体" w:eastAsia="新宋体" w:cs="新宋体"/>
          <w:b/>
          <w:bCs/>
          <w:color w:val="auto"/>
          <w:sz w:val="24"/>
          <w:szCs w:val="24"/>
          <w:highlight w:val="none"/>
        </w:rPr>
        <w:t>详细性评审评分标</w:t>
      </w:r>
      <w:r>
        <w:rPr>
          <w:rFonts w:hint="eastAsia" w:ascii="新宋体" w:hAnsi="新宋体" w:eastAsia="新宋体" w:cs="新宋体"/>
          <w:b/>
          <w:bCs/>
          <w:color w:val="auto"/>
          <w:sz w:val="24"/>
          <w:szCs w:val="24"/>
          <w:highlight w:val="none"/>
          <w:lang w:eastAsia="zh-CN"/>
        </w:rPr>
        <w:t>准</w:t>
      </w:r>
    </w:p>
    <w:tbl>
      <w:tblPr>
        <w:tblStyle w:val="19"/>
        <w:tblpPr w:leftFromText="180" w:rightFromText="180" w:vertAnchor="text" w:horzAnchor="page" w:tblpX="1587" w:tblpY="1471"/>
        <w:tblOverlap w:val="never"/>
        <w:tblW w:w="8818" w:type="dxa"/>
        <w:jc w:val="center"/>
        <w:tblLayout w:type="fixed"/>
        <w:tblCellMar>
          <w:top w:w="0" w:type="dxa"/>
          <w:left w:w="0" w:type="dxa"/>
          <w:bottom w:w="0" w:type="dxa"/>
          <w:right w:w="0" w:type="dxa"/>
        </w:tblCellMar>
      </w:tblPr>
      <w:tblGrid>
        <w:gridCol w:w="955"/>
        <w:gridCol w:w="951"/>
        <w:gridCol w:w="746"/>
        <w:gridCol w:w="6166"/>
      </w:tblGrid>
      <w:tr>
        <w:tblPrEx>
          <w:tblCellMar>
            <w:top w:w="0" w:type="dxa"/>
            <w:left w:w="0" w:type="dxa"/>
            <w:bottom w:w="0" w:type="dxa"/>
            <w:right w:w="0" w:type="dxa"/>
          </w:tblCellMar>
        </w:tblPrEx>
        <w:trPr>
          <w:trHeight w:val="654" w:hRule="atLeast"/>
          <w:jc w:val="center"/>
        </w:trPr>
        <w:tc>
          <w:tcPr>
            <w:tcW w:w="190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spacing w:line="24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p>
        </w:tc>
        <w:tc>
          <w:tcPr>
            <w:tcW w:w="746" w:type="dxa"/>
            <w:tcBorders>
              <w:top w:val="single" w:color="auto" w:sz="8" w:space="0"/>
              <w:left w:val="nil"/>
              <w:bottom w:val="single" w:color="auto" w:sz="8" w:space="0"/>
              <w:right w:val="single" w:color="auto" w:sz="8" w:space="0"/>
            </w:tcBorders>
            <w:shd w:val="clear" w:color="auto" w:fill="FFFFFF"/>
            <w:vAlign w:val="center"/>
          </w:tcPr>
          <w:p>
            <w:pPr>
              <w:spacing w:line="24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得分</w:t>
            </w:r>
          </w:p>
        </w:tc>
        <w:tc>
          <w:tcPr>
            <w:tcW w:w="6166" w:type="dxa"/>
            <w:tcBorders>
              <w:top w:val="single" w:color="auto" w:sz="8" w:space="0"/>
              <w:left w:val="nil"/>
              <w:bottom w:val="single" w:color="auto" w:sz="8" w:space="0"/>
              <w:right w:val="single" w:color="auto" w:sz="8" w:space="0"/>
            </w:tcBorders>
            <w:shd w:val="clear" w:color="auto" w:fill="FFFFFF"/>
            <w:vAlign w:val="center"/>
          </w:tcPr>
          <w:p>
            <w:pPr>
              <w:spacing w:line="24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评标要点及说明</w:t>
            </w:r>
          </w:p>
        </w:tc>
      </w:tr>
      <w:tr>
        <w:tblPrEx>
          <w:tblCellMar>
            <w:top w:w="0" w:type="dxa"/>
            <w:left w:w="0" w:type="dxa"/>
            <w:bottom w:w="0" w:type="dxa"/>
            <w:right w:w="0" w:type="dxa"/>
          </w:tblCellMar>
        </w:tblPrEx>
        <w:trPr>
          <w:trHeight w:val="1421" w:hRule="atLeast"/>
          <w:jc w:val="center"/>
        </w:trPr>
        <w:tc>
          <w:tcPr>
            <w:tcW w:w="955" w:type="dxa"/>
            <w:tcBorders>
              <w:top w:val="nil"/>
              <w:left w:val="single" w:color="auto" w:sz="8" w:space="0"/>
              <w:bottom w:val="single" w:color="auto" w:sz="8" w:space="0"/>
              <w:right w:val="single" w:color="auto" w:sz="8"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价格评分（</w:t>
            </w: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rPr>
              <w:t>分）</w:t>
            </w:r>
          </w:p>
        </w:tc>
        <w:tc>
          <w:tcPr>
            <w:tcW w:w="951" w:type="dxa"/>
            <w:tcBorders>
              <w:top w:val="nil"/>
              <w:left w:val="nil"/>
              <w:bottom w:val="single" w:color="auto" w:sz="4" w:space="0"/>
              <w:right w:val="single" w:color="auto" w:sz="8"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w:t>
            </w:r>
          </w:p>
          <w:p>
            <w:pPr>
              <w:spacing w:line="24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报价</w:t>
            </w:r>
          </w:p>
        </w:tc>
        <w:tc>
          <w:tcPr>
            <w:tcW w:w="746" w:type="dxa"/>
            <w:tcBorders>
              <w:top w:val="nil"/>
              <w:left w:val="nil"/>
              <w:bottom w:val="single" w:color="auto" w:sz="4" w:space="0"/>
              <w:right w:val="single" w:color="auto" w:sz="8"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rPr>
              <w:t>分</w:t>
            </w:r>
          </w:p>
        </w:tc>
        <w:tc>
          <w:tcPr>
            <w:tcW w:w="6166" w:type="dxa"/>
            <w:tcBorders>
              <w:top w:val="nil"/>
              <w:left w:val="nil"/>
              <w:bottom w:val="single" w:color="auto" w:sz="4" w:space="0"/>
              <w:right w:val="single" w:color="auto" w:sz="8" w:space="0"/>
            </w:tcBorders>
            <w:shd w:val="clear" w:color="auto" w:fill="FFFFFF"/>
            <w:vAlign w:val="center"/>
          </w:tcPr>
          <w:p>
            <w:pPr>
              <w:spacing w:line="24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价格分应当采用低价优先法计算，即满足磋商文件要求且最后报价最低的供应商的价格为磋商基准价，其价格分为满分。其他供应商的价格分统一按照下列公式计算：</w:t>
            </w:r>
          </w:p>
          <w:p>
            <w:pPr>
              <w:spacing w:line="240" w:lineRule="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磋商报价得分＝(磋商基准价／最后磋商报价)×</w:t>
            </w:r>
            <w:r>
              <w:rPr>
                <w:rFonts w:hint="eastAsia" w:ascii="新宋体" w:hAnsi="新宋体" w:eastAsia="新宋体" w:cs="新宋体"/>
                <w:color w:val="auto"/>
                <w:sz w:val="22"/>
                <w:szCs w:val="22"/>
                <w:highlight w:val="none"/>
                <w:lang w:val="en-US" w:eastAsia="zh-CN"/>
              </w:rPr>
              <w:t>20</w:t>
            </w:r>
          </w:p>
        </w:tc>
      </w:tr>
      <w:tr>
        <w:tblPrEx>
          <w:tblCellMar>
            <w:top w:w="0" w:type="dxa"/>
            <w:left w:w="0" w:type="dxa"/>
            <w:bottom w:w="0" w:type="dxa"/>
            <w:right w:w="0" w:type="dxa"/>
          </w:tblCellMar>
        </w:tblPrEx>
        <w:trPr>
          <w:trHeight w:val="738" w:hRule="atLeast"/>
          <w:jc w:val="center"/>
        </w:trPr>
        <w:tc>
          <w:tcPr>
            <w:tcW w:w="955" w:type="dxa"/>
            <w:vMerge w:val="restart"/>
            <w:tcBorders>
              <w:left w:val="single" w:color="auto" w:sz="8" w:space="0"/>
              <w:right w:val="single" w:color="auto" w:sz="4"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商务部分（</w:t>
            </w:r>
            <w:r>
              <w:rPr>
                <w:rFonts w:hint="eastAsia" w:ascii="新宋体" w:hAnsi="新宋体" w:eastAsia="新宋体" w:cs="新宋体"/>
                <w:color w:val="auto"/>
                <w:sz w:val="22"/>
                <w:szCs w:val="22"/>
                <w:highlight w:val="none"/>
                <w:lang w:val="en-US" w:eastAsia="zh-CN"/>
              </w:rPr>
              <w:t>30分</w:t>
            </w:r>
            <w:r>
              <w:rPr>
                <w:rFonts w:hint="eastAsia" w:ascii="新宋体" w:hAnsi="新宋体" w:eastAsia="新宋体" w:cs="新宋体"/>
                <w:color w:val="auto"/>
                <w:sz w:val="22"/>
                <w:szCs w:val="22"/>
                <w:highlight w:val="none"/>
                <w:lang w:eastAsia="zh-CN"/>
              </w:rPr>
              <w:t>）</w:t>
            </w:r>
          </w:p>
        </w:tc>
        <w:tc>
          <w:tcPr>
            <w:tcW w:w="951"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eastAsia" w:ascii="Times New Roman" w:hAnsi="Times New Roman" w:eastAsia="宋体" w:cs="Times New Roman"/>
                <w:color w:val="auto"/>
                <w:kern w:val="2"/>
                <w:sz w:val="22"/>
                <w:szCs w:val="22"/>
                <w:highlight w:val="none"/>
                <w:lang w:val="en-US" w:eastAsia="zh-CN" w:bidi="ar-SA"/>
              </w:rPr>
            </w:pPr>
            <w:r>
              <w:t>服务网点</w:t>
            </w:r>
          </w:p>
        </w:tc>
        <w:tc>
          <w:tcPr>
            <w:tcW w:w="746"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10分</w:t>
            </w:r>
          </w:p>
        </w:tc>
        <w:tc>
          <w:tcPr>
            <w:tcW w:w="6166" w:type="dxa"/>
            <w:tcBorders>
              <w:top w:val="single" w:color="auto" w:sz="4" w:space="0"/>
              <w:left w:val="nil"/>
              <w:bottom w:val="single" w:color="auto" w:sz="4" w:space="0"/>
              <w:right w:val="single" w:color="auto" w:sz="8" w:space="0"/>
            </w:tcBorders>
            <w:shd w:val="clear" w:color="auto" w:fill="FFFFFF"/>
            <w:vAlign w:val="top"/>
          </w:tcPr>
          <w:p>
            <w:pPr>
              <w:pStyle w:val="38"/>
              <w:spacing w:before="22" w:line="240" w:lineRule="auto"/>
              <w:ind w:left="110" w:leftChars="0" w:right="99" w:right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每提供一个</w:t>
            </w:r>
            <w:r>
              <w:rPr>
                <w:rFonts w:hint="eastAsia" w:ascii="新宋体" w:hAnsi="新宋体" w:eastAsia="新宋体" w:cs="新宋体"/>
                <w:color w:val="auto"/>
                <w:sz w:val="22"/>
                <w:szCs w:val="22"/>
                <w:highlight w:val="none"/>
                <w:lang w:val="en-US" w:eastAsia="zh-CN"/>
              </w:rPr>
              <w:t>枝江市</w:t>
            </w:r>
            <w:r>
              <w:rPr>
                <w:rFonts w:hint="eastAsia" w:ascii="新宋体" w:hAnsi="新宋体" w:eastAsia="新宋体" w:cs="新宋体"/>
                <w:color w:val="auto"/>
                <w:sz w:val="22"/>
                <w:szCs w:val="22"/>
                <w:highlight w:val="none"/>
              </w:rPr>
              <w:t>固定服务网点的得</w:t>
            </w:r>
            <w:r>
              <w:rPr>
                <w:rFonts w:hint="eastAsia" w:ascii="新宋体" w:hAnsi="新宋体" w:eastAsia="新宋体" w:cs="新宋体"/>
                <w:color w:val="auto"/>
                <w:sz w:val="22"/>
                <w:szCs w:val="22"/>
                <w:highlight w:val="none"/>
                <w:lang w:val="en-US" w:eastAsia="zh-CN"/>
              </w:rPr>
              <w:t>2.5</w:t>
            </w:r>
            <w:r>
              <w:rPr>
                <w:rFonts w:hint="eastAsia" w:ascii="新宋体" w:hAnsi="新宋体" w:eastAsia="新宋体" w:cs="新宋体"/>
                <w:color w:val="auto"/>
                <w:sz w:val="22"/>
                <w:szCs w:val="22"/>
                <w:highlight w:val="none"/>
              </w:rPr>
              <w:t>分，最多得</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分（上传营业执照原件彩色扫描件和网点照片），否则不予认可 。</w:t>
            </w:r>
          </w:p>
        </w:tc>
      </w:tr>
      <w:tr>
        <w:tblPrEx>
          <w:tblCellMar>
            <w:top w:w="0" w:type="dxa"/>
            <w:left w:w="0" w:type="dxa"/>
            <w:bottom w:w="0" w:type="dxa"/>
            <w:right w:w="0" w:type="dxa"/>
          </w:tblCellMar>
        </w:tblPrEx>
        <w:trPr>
          <w:trHeight w:val="1033" w:hRule="atLeast"/>
          <w:jc w:val="center"/>
        </w:trPr>
        <w:tc>
          <w:tcPr>
            <w:tcW w:w="955" w:type="dxa"/>
            <w:vMerge w:val="continue"/>
            <w:tcBorders>
              <w:left w:val="single" w:color="auto" w:sz="8" w:space="0"/>
              <w:right w:val="single" w:color="auto" w:sz="4"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lang w:eastAsia="zh-CN"/>
              </w:rPr>
            </w:pPr>
          </w:p>
        </w:tc>
        <w:tc>
          <w:tcPr>
            <w:tcW w:w="951"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eastAsia" w:ascii="Times New Roman" w:hAnsi="Times New Roman" w:eastAsia="宋体" w:cs="Times New Roman"/>
                <w:color w:val="auto"/>
                <w:kern w:val="2"/>
                <w:sz w:val="22"/>
                <w:szCs w:val="22"/>
                <w:highlight w:val="none"/>
                <w:lang w:val="en-US" w:eastAsia="zh-CN" w:bidi="ar-SA"/>
              </w:rPr>
            </w:pPr>
            <w:r>
              <w:rPr>
                <w:rFonts w:hint="eastAsia" w:ascii="Times New Roman" w:hAnsi="Times New Roman" w:eastAsia="宋体" w:cs="Times New Roman"/>
                <w:color w:val="auto"/>
                <w:kern w:val="2"/>
                <w:sz w:val="22"/>
                <w:szCs w:val="22"/>
                <w:highlight w:val="none"/>
                <w:lang w:val="en-US" w:eastAsia="zh-CN" w:bidi="ar-SA"/>
              </w:rPr>
              <w:t>文件编制</w:t>
            </w:r>
          </w:p>
        </w:tc>
        <w:tc>
          <w:tcPr>
            <w:tcW w:w="746"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1分</w:t>
            </w:r>
          </w:p>
        </w:tc>
        <w:tc>
          <w:tcPr>
            <w:tcW w:w="6166" w:type="dxa"/>
            <w:tcBorders>
              <w:top w:val="single" w:color="auto" w:sz="4" w:space="0"/>
              <w:left w:val="nil"/>
              <w:bottom w:val="single" w:color="auto" w:sz="4" w:space="0"/>
              <w:right w:val="single" w:color="auto" w:sz="8" w:space="0"/>
            </w:tcBorders>
            <w:shd w:val="clear" w:color="auto" w:fill="FFFFFF"/>
            <w:vAlign w:val="top"/>
          </w:tcPr>
          <w:p>
            <w:pPr>
              <w:pStyle w:val="38"/>
              <w:spacing w:before="22" w:line="240" w:lineRule="auto"/>
              <w:ind w:left="110" w:leftChars="0" w:right="99" w:rightChars="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响应文件内容完整、页码清晰、有详细目录、查阅方便的得</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分；内容完整、查阅方便得</w:t>
            </w:r>
            <w:r>
              <w:rPr>
                <w:rFonts w:hint="eastAsia" w:ascii="新宋体" w:hAnsi="新宋体" w:eastAsia="新宋体" w:cs="新宋体"/>
                <w:color w:val="auto"/>
                <w:sz w:val="22"/>
                <w:szCs w:val="22"/>
                <w:highlight w:val="none"/>
                <w:lang w:val="en-US" w:eastAsia="zh-CN"/>
              </w:rPr>
              <w:t>0.5</w:t>
            </w:r>
            <w:r>
              <w:rPr>
                <w:rFonts w:hint="eastAsia" w:ascii="新宋体" w:hAnsi="新宋体" w:eastAsia="新宋体" w:cs="新宋体"/>
                <w:color w:val="auto"/>
                <w:sz w:val="22"/>
                <w:szCs w:val="22"/>
                <w:highlight w:val="none"/>
              </w:rPr>
              <w:t>分，响应标文件容易散落，页码不全，盖章、署名不全缺项不得分</w:t>
            </w:r>
            <w:r>
              <w:rPr>
                <w:rFonts w:hint="eastAsia" w:ascii="新宋体" w:hAnsi="新宋体" w:eastAsia="新宋体" w:cs="新宋体"/>
                <w:color w:val="auto"/>
                <w:sz w:val="22"/>
                <w:szCs w:val="22"/>
                <w:highlight w:val="none"/>
                <w:lang w:eastAsia="zh-CN"/>
              </w:rPr>
              <w:t>。</w:t>
            </w:r>
          </w:p>
        </w:tc>
      </w:tr>
      <w:tr>
        <w:tblPrEx>
          <w:tblCellMar>
            <w:top w:w="0" w:type="dxa"/>
            <w:left w:w="0" w:type="dxa"/>
            <w:bottom w:w="0" w:type="dxa"/>
            <w:right w:w="0" w:type="dxa"/>
          </w:tblCellMar>
        </w:tblPrEx>
        <w:trPr>
          <w:trHeight w:val="1251" w:hRule="atLeast"/>
          <w:jc w:val="center"/>
        </w:trPr>
        <w:tc>
          <w:tcPr>
            <w:tcW w:w="955" w:type="dxa"/>
            <w:vMerge w:val="continue"/>
            <w:tcBorders>
              <w:left w:val="single" w:color="auto" w:sz="8" w:space="0"/>
              <w:right w:val="single" w:color="auto" w:sz="4" w:space="0"/>
            </w:tcBorders>
            <w:shd w:val="clear" w:color="auto" w:fill="FFFFFF"/>
            <w:vAlign w:val="center"/>
          </w:tcPr>
          <w:p>
            <w:pPr>
              <w:spacing w:line="240" w:lineRule="auto"/>
              <w:ind w:firstLine="440" w:firstLineChars="200"/>
              <w:jc w:val="center"/>
              <w:rPr>
                <w:rFonts w:hint="eastAsia" w:ascii="新宋体" w:hAnsi="新宋体" w:eastAsia="新宋体" w:cs="新宋体"/>
                <w:color w:val="auto"/>
                <w:sz w:val="22"/>
                <w:szCs w:val="22"/>
                <w:highlight w:val="none"/>
              </w:rPr>
            </w:pPr>
          </w:p>
        </w:tc>
        <w:tc>
          <w:tcPr>
            <w:tcW w:w="951"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eastAsia" w:ascii="Times New Roman" w:hAnsi="Times New Roman" w:eastAsia="宋体" w:cs="Times New Roman"/>
                <w:color w:val="auto"/>
                <w:kern w:val="2"/>
                <w:sz w:val="22"/>
                <w:szCs w:val="22"/>
                <w:highlight w:val="none"/>
                <w:lang w:val="en-US" w:eastAsia="zh-CN" w:bidi="ar-SA"/>
              </w:rPr>
            </w:pPr>
            <w:r>
              <w:rPr>
                <w:rFonts w:hint="eastAsia" w:ascii="Times New Roman" w:hAnsi="Times New Roman" w:eastAsia="宋体" w:cs="Times New Roman"/>
                <w:color w:val="auto"/>
                <w:kern w:val="2"/>
                <w:sz w:val="22"/>
                <w:szCs w:val="22"/>
                <w:highlight w:val="none"/>
                <w:lang w:val="en-US" w:eastAsia="zh-CN" w:bidi="ar-SA"/>
              </w:rPr>
              <w:t>总公司偿付能力</w:t>
            </w:r>
          </w:p>
          <w:p>
            <w:pPr>
              <w:spacing w:line="240" w:lineRule="auto"/>
              <w:jc w:val="center"/>
              <w:rPr>
                <w:rFonts w:hint="eastAsia" w:ascii="Times New Roman" w:hAnsi="Times New Roman" w:eastAsia="宋体" w:cs="Times New Roman"/>
                <w:color w:val="auto"/>
                <w:kern w:val="2"/>
                <w:sz w:val="22"/>
                <w:szCs w:val="22"/>
                <w:highlight w:val="none"/>
                <w:lang w:val="en-US" w:eastAsia="zh-CN" w:bidi="ar-SA"/>
              </w:rPr>
            </w:pPr>
          </w:p>
        </w:tc>
        <w:tc>
          <w:tcPr>
            <w:tcW w:w="746"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10分</w:t>
            </w:r>
          </w:p>
        </w:tc>
        <w:tc>
          <w:tcPr>
            <w:tcW w:w="6166" w:type="dxa"/>
            <w:tcBorders>
              <w:top w:val="single" w:color="auto" w:sz="4" w:space="0"/>
              <w:left w:val="nil"/>
              <w:bottom w:val="single" w:color="auto" w:sz="4" w:space="0"/>
              <w:right w:val="single" w:color="auto" w:sz="8" w:space="0"/>
            </w:tcBorders>
            <w:shd w:val="clear" w:color="auto" w:fill="FFFFFF"/>
            <w:vAlign w:val="top"/>
          </w:tcPr>
          <w:p>
            <w:pPr>
              <w:tabs>
                <w:tab w:val="left" w:pos="0"/>
              </w:tabs>
              <w:spacing w:line="40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供应商总公司 2019年度最近季度综合偿付能力充足率：</w:t>
            </w:r>
          </w:p>
          <w:p>
            <w:pPr>
              <w:tabs>
                <w:tab w:val="left" w:pos="0"/>
              </w:tabs>
              <w:spacing w:line="40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（1)综合偿付能力充足率高于250%的，得10分；</w:t>
            </w:r>
          </w:p>
          <w:p>
            <w:pPr>
              <w:tabs>
                <w:tab w:val="left" w:pos="0"/>
              </w:tabs>
              <w:spacing w:line="40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（2)综合偿付能力充足率在 200%到250%之间的，得8分；</w:t>
            </w:r>
          </w:p>
          <w:p>
            <w:pPr>
              <w:tabs>
                <w:tab w:val="left" w:pos="0"/>
              </w:tabs>
              <w:spacing w:line="40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（3)综合偿付能力充足率在 150%-200%的，得6分；</w:t>
            </w:r>
          </w:p>
          <w:p>
            <w:pPr>
              <w:tabs>
                <w:tab w:val="left" w:pos="0"/>
              </w:tabs>
              <w:spacing w:line="40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（4)综合偿付能力充足率低于150%的不得分。</w:t>
            </w:r>
          </w:p>
          <w:p>
            <w:pPr>
              <w:spacing w:line="240" w:lineRule="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kern w:val="2"/>
                <w:sz w:val="22"/>
                <w:szCs w:val="22"/>
                <w:highlight w:val="none"/>
                <w:lang w:val="en-US" w:eastAsia="zh-CN" w:bidi="ar-SA"/>
              </w:rPr>
              <w:t>[提供供应商总公司2019年度的偿付能力报告（审计报告）复印件加盖供应商公章]</w:t>
            </w:r>
          </w:p>
        </w:tc>
      </w:tr>
      <w:tr>
        <w:trPr>
          <w:trHeight w:val="1314" w:hRule="atLeast"/>
          <w:jc w:val="center"/>
        </w:trPr>
        <w:tc>
          <w:tcPr>
            <w:tcW w:w="955" w:type="dxa"/>
            <w:vMerge w:val="continue"/>
            <w:tcBorders>
              <w:left w:val="single" w:color="auto" w:sz="8" w:space="0"/>
              <w:right w:val="single" w:color="auto" w:sz="4" w:space="0"/>
            </w:tcBorders>
            <w:shd w:val="clear" w:color="auto" w:fill="FFFFFF"/>
            <w:vAlign w:val="center"/>
          </w:tcPr>
          <w:p>
            <w:pPr>
              <w:spacing w:line="240" w:lineRule="auto"/>
              <w:ind w:firstLine="440" w:firstLineChars="200"/>
              <w:jc w:val="center"/>
              <w:rPr>
                <w:rFonts w:hint="eastAsia" w:ascii="新宋体" w:hAnsi="新宋体" w:eastAsia="新宋体" w:cs="新宋体"/>
                <w:color w:val="auto"/>
                <w:sz w:val="22"/>
                <w:szCs w:val="22"/>
                <w:highlight w:val="none"/>
              </w:rPr>
            </w:pPr>
          </w:p>
        </w:tc>
        <w:tc>
          <w:tcPr>
            <w:tcW w:w="951" w:type="dxa"/>
            <w:tcBorders>
              <w:top w:val="single" w:color="auto" w:sz="4" w:space="0"/>
              <w:left w:val="nil"/>
              <w:bottom w:val="single" w:color="auto" w:sz="4" w:space="0"/>
              <w:right w:val="single" w:color="auto" w:sz="8" w:space="0"/>
            </w:tcBorders>
            <w:shd w:val="clear" w:color="auto" w:fill="FFFFFF"/>
            <w:vAlign w:val="center"/>
          </w:tcPr>
          <w:p>
            <w:pPr>
              <w:pStyle w:val="38"/>
              <w:spacing w:before="22" w:line="240" w:lineRule="auto"/>
              <w:ind w:left="108"/>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业绩</w:t>
            </w:r>
          </w:p>
        </w:tc>
        <w:tc>
          <w:tcPr>
            <w:tcW w:w="746" w:type="dxa"/>
            <w:tcBorders>
              <w:top w:val="single" w:color="auto" w:sz="4" w:space="0"/>
              <w:left w:val="nil"/>
              <w:bottom w:val="single" w:color="auto" w:sz="4"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9分</w:t>
            </w:r>
          </w:p>
        </w:tc>
        <w:tc>
          <w:tcPr>
            <w:tcW w:w="6166" w:type="dxa"/>
            <w:tcBorders>
              <w:top w:val="single" w:color="auto" w:sz="4" w:space="0"/>
              <w:left w:val="nil"/>
              <w:bottom w:val="single" w:color="auto" w:sz="4" w:space="0"/>
              <w:right w:val="single" w:color="auto" w:sz="8" w:space="0"/>
            </w:tcBorders>
            <w:shd w:val="clear" w:color="auto" w:fill="FFFFFF"/>
            <w:vAlign w:val="top"/>
          </w:tcPr>
          <w:p>
            <w:pPr>
              <w:pStyle w:val="17"/>
              <w:numPr>
                <w:ilvl w:val="0"/>
                <w:numId w:val="0"/>
              </w:numPr>
              <w:spacing w:beforeAutospacing="0" w:afterAutospacing="0" w:line="400" w:lineRule="exact"/>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kern w:val="2"/>
                <w:sz w:val="22"/>
                <w:szCs w:val="22"/>
                <w:highlight w:val="none"/>
                <w:lang w:val="en-US" w:eastAsia="zh-CN" w:bidi="ar-SA"/>
              </w:rPr>
              <w:t>供应商提供近三年（2017年1月1日至今）与枝江市地方政府或职能部门签订过类似项目业绩的，1个得3分，最多得9分。（提供合同协议复印件加盖供应商公章）</w:t>
            </w:r>
          </w:p>
        </w:tc>
      </w:tr>
      <w:tr>
        <w:tblPrEx>
          <w:tblCellMar>
            <w:top w:w="0" w:type="dxa"/>
            <w:left w:w="0" w:type="dxa"/>
            <w:bottom w:w="0" w:type="dxa"/>
            <w:right w:w="0" w:type="dxa"/>
          </w:tblCellMar>
        </w:tblPrEx>
        <w:trPr>
          <w:trHeight w:val="990" w:hRule="atLeast"/>
          <w:jc w:val="center"/>
        </w:trPr>
        <w:tc>
          <w:tcPr>
            <w:tcW w:w="955" w:type="dxa"/>
            <w:vMerge w:val="restart"/>
            <w:tcBorders>
              <w:top w:val="single" w:color="auto" w:sz="8" w:space="0"/>
              <w:left w:val="single" w:color="auto" w:sz="8" w:space="0"/>
              <w:right w:val="single" w:color="auto" w:sz="8" w:space="0"/>
            </w:tcBorders>
            <w:shd w:val="clear" w:color="auto" w:fill="FFFFFF"/>
            <w:vAlign w:val="center"/>
          </w:tcPr>
          <w:p>
            <w:pPr>
              <w:spacing w:line="240" w:lineRule="auto"/>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技术部分（</w:t>
            </w:r>
            <w:r>
              <w:rPr>
                <w:rFonts w:hint="eastAsia" w:ascii="新宋体" w:hAnsi="新宋体" w:eastAsia="新宋体" w:cs="新宋体"/>
                <w:color w:val="auto"/>
                <w:sz w:val="22"/>
                <w:szCs w:val="22"/>
                <w:highlight w:val="none"/>
                <w:lang w:val="en-US" w:eastAsia="zh-CN"/>
              </w:rPr>
              <w:t>50分</w:t>
            </w:r>
            <w:r>
              <w:rPr>
                <w:rFonts w:hint="eastAsia" w:ascii="新宋体" w:hAnsi="新宋体" w:eastAsia="新宋体" w:cs="新宋体"/>
                <w:color w:val="auto"/>
                <w:sz w:val="22"/>
                <w:szCs w:val="22"/>
                <w:highlight w:val="none"/>
                <w:lang w:eastAsia="zh-CN"/>
              </w:rPr>
              <w:t>）</w:t>
            </w:r>
          </w:p>
        </w:tc>
        <w:tc>
          <w:tcPr>
            <w:tcW w:w="951"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400" w:lineRule="exact"/>
              <w:jc w:val="center"/>
              <w:rPr>
                <w:rFonts w:hint="eastAsia" w:ascii="新宋体" w:hAnsi="新宋体" w:eastAsia="新宋体" w:cs="新宋体"/>
                <w:color w:val="auto"/>
                <w:kern w:val="2"/>
                <w:sz w:val="22"/>
                <w:szCs w:val="22"/>
                <w:highlight w:val="none"/>
                <w:lang w:val="en-US" w:eastAsia="zh-CN" w:bidi="ar-SA"/>
              </w:rPr>
            </w:pPr>
          </w:p>
          <w:p>
            <w:pPr>
              <w:spacing w:line="400" w:lineRule="exact"/>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服务方案</w:t>
            </w:r>
          </w:p>
          <w:p>
            <w:pPr>
              <w:pStyle w:val="38"/>
              <w:spacing w:before="22" w:line="240" w:lineRule="auto"/>
              <w:ind w:left="108"/>
              <w:jc w:val="center"/>
              <w:rPr>
                <w:rFonts w:hint="eastAsia" w:ascii="新宋体" w:hAnsi="新宋体" w:eastAsia="新宋体" w:cs="新宋体"/>
                <w:color w:val="auto"/>
                <w:kern w:val="2"/>
                <w:sz w:val="22"/>
                <w:szCs w:val="22"/>
                <w:highlight w:val="none"/>
                <w:lang w:val="en-US" w:eastAsia="zh-CN" w:bidi="ar-SA"/>
              </w:rPr>
            </w:pPr>
          </w:p>
        </w:tc>
        <w:tc>
          <w:tcPr>
            <w:tcW w:w="746"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20分</w:t>
            </w:r>
          </w:p>
        </w:tc>
        <w:tc>
          <w:tcPr>
            <w:tcW w:w="6166" w:type="dxa"/>
            <w:tcBorders>
              <w:top w:val="single" w:color="auto" w:sz="8" w:space="0"/>
              <w:left w:val="single" w:color="auto" w:sz="8" w:space="0"/>
              <w:bottom w:val="single" w:color="auto" w:sz="8" w:space="0"/>
              <w:right w:val="single" w:color="auto" w:sz="8" w:space="0"/>
            </w:tcBorders>
            <w:shd w:val="clear" w:color="auto" w:fill="FFFFFF"/>
            <w:vAlign w:val="top"/>
          </w:tcPr>
          <w:p>
            <w:pPr>
              <w:pStyle w:val="38"/>
              <w:spacing w:before="21" w:line="240" w:lineRule="auto"/>
              <w:ind w:left="107"/>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根据供应商编制的服务方案中，组织机构、人员、资金安排等方面的先进性、完整性、合理性、可操作性综合横向比较后评分：优秀的得14-20分，一般的得7-13分，差的得0-6分。</w:t>
            </w:r>
          </w:p>
        </w:tc>
      </w:tr>
      <w:tr>
        <w:tblPrEx>
          <w:tblCellMar>
            <w:top w:w="0" w:type="dxa"/>
            <w:left w:w="0" w:type="dxa"/>
            <w:bottom w:w="0" w:type="dxa"/>
            <w:right w:w="0" w:type="dxa"/>
          </w:tblCellMar>
        </w:tblPrEx>
        <w:trPr>
          <w:trHeight w:val="994" w:hRule="atLeast"/>
          <w:jc w:val="center"/>
        </w:trPr>
        <w:tc>
          <w:tcPr>
            <w:tcW w:w="955" w:type="dxa"/>
            <w:vMerge w:val="continue"/>
            <w:tcBorders>
              <w:left w:val="single" w:color="auto" w:sz="8" w:space="0"/>
              <w:right w:val="single" w:color="auto" w:sz="8" w:space="0"/>
            </w:tcBorders>
            <w:shd w:val="clear" w:color="auto" w:fill="FFFFFF"/>
            <w:vAlign w:val="center"/>
          </w:tcPr>
          <w:p>
            <w:pPr>
              <w:spacing w:line="240" w:lineRule="auto"/>
              <w:ind w:firstLine="440" w:firstLineChars="200"/>
              <w:rPr>
                <w:rFonts w:hint="eastAsia" w:ascii="新宋体" w:hAnsi="新宋体" w:eastAsia="新宋体" w:cs="新宋体"/>
                <w:color w:val="auto"/>
                <w:sz w:val="22"/>
                <w:szCs w:val="22"/>
                <w:highlight w:val="none"/>
              </w:rPr>
            </w:pPr>
          </w:p>
        </w:tc>
        <w:tc>
          <w:tcPr>
            <w:tcW w:w="9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8"/>
              <w:spacing w:before="21" w:line="240" w:lineRule="auto"/>
              <w:ind w:left="107"/>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理赔服务承诺</w:t>
            </w:r>
          </w:p>
        </w:tc>
        <w:tc>
          <w:tcPr>
            <w:tcW w:w="74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8"/>
              <w:spacing w:before="21" w:line="240" w:lineRule="auto"/>
              <w:ind w:left="107"/>
              <w:rPr>
                <w:rFonts w:hint="default"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10分</w:t>
            </w:r>
          </w:p>
        </w:tc>
        <w:tc>
          <w:tcPr>
            <w:tcW w:w="6166" w:type="dxa"/>
            <w:tcBorders>
              <w:top w:val="single" w:color="auto" w:sz="4" w:space="0"/>
              <w:left w:val="nil"/>
              <w:bottom w:val="single" w:color="auto" w:sz="4" w:space="0"/>
              <w:right w:val="single" w:color="auto" w:sz="8" w:space="0"/>
            </w:tcBorders>
            <w:shd w:val="clear" w:color="auto" w:fill="FFFFFF"/>
            <w:vAlign w:val="center"/>
          </w:tcPr>
          <w:p>
            <w:pPr>
              <w:pStyle w:val="38"/>
              <w:spacing w:before="21" w:line="240" w:lineRule="auto"/>
              <w:ind w:left="107"/>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根据供应商编制的理赔时限及承诺进行评分，包含查勘、理算、核赔和支付赔款时限等方面的说明及承诺：优秀的得8-10分，一般的得4-7分，差的得1-3分。</w:t>
            </w:r>
          </w:p>
        </w:tc>
      </w:tr>
      <w:tr>
        <w:tblPrEx>
          <w:tblCellMar>
            <w:top w:w="0" w:type="dxa"/>
            <w:left w:w="0" w:type="dxa"/>
            <w:bottom w:w="0" w:type="dxa"/>
            <w:right w:w="0" w:type="dxa"/>
          </w:tblCellMar>
        </w:tblPrEx>
        <w:trPr>
          <w:trHeight w:val="444" w:hRule="atLeast"/>
          <w:jc w:val="center"/>
        </w:trPr>
        <w:tc>
          <w:tcPr>
            <w:tcW w:w="955" w:type="dxa"/>
            <w:vMerge w:val="continue"/>
            <w:tcBorders>
              <w:left w:val="single" w:color="auto" w:sz="8" w:space="0"/>
              <w:right w:val="single" w:color="auto" w:sz="8" w:space="0"/>
            </w:tcBorders>
            <w:shd w:val="clear" w:color="auto" w:fill="FFFFFF"/>
            <w:vAlign w:val="center"/>
          </w:tcPr>
          <w:p>
            <w:pPr>
              <w:spacing w:line="240" w:lineRule="auto"/>
              <w:ind w:firstLine="440" w:firstLineChars="200"/>
              <w:rPr>
                <w:rFonts w:hint="eastAsia" w:ascii="新宋体" w:hAnsi="新宋体" w:eastAsia="新宋体" w:cs="新宋体"/>
                <w:color w:val="auto"/>
                <w:sz w:val="22"/>
                <w:szCs w:val="22"/>
                <w:highlight w:val="none"/>
              </w:rPr>
            </w:pPr>
          </w:p>
        </w:tc>
        <w:tc>
          <w:tcPr>
            <w:tcW w:w="951"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400" w:lineRule="exact"/>
              <w:jc w:val="both"/>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出险时间</w:t>
            </w:r>
          </w:p>
          <w:p>
            <w:pPr>
              <w:pStyle w:val="38"/>
              <w:spacing w:before="22" w:line="240" w:lineRule="auto"/>
              <w:ind w:left="108"/>
              <w:jc w:val="center"/>
              <w:rPr>
                <w:rFonts w:hint="eastAsia" w:ascii="新宋体" w:hAnsi="新宋体" w:eastAsia="新宋体" w:cs="新宋体"/>
                <w:color w:val="auto"/>
                <w:kern w:val="2"/>
                <w:sz w:val="22"/>
                <w:szCs w:val="22"/>
                <w:highlight w:val="none"/>
                <w:lang w:val="en-US" w:eastAsia="zh-CN" w:bidi="ar-SA"/>
              </w:rPr>
            </w:pPr>
          </w:p>
        </w:tc>
        <w:tc>
          <w:tcPr>
            <w:tcW w:w="746"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10分</w:t>
            </w:r>
          </w:p>
        </w:tc>
        <w:tc>
          <w:tcPr>
            <w:tcW w:w="6166" w:type="dxa"/>
            <w:tcBorders>
              <w:top w:val="single" w:color="auto" w:sz="4" w:space="0"/>
              <w:left w:val="nil"/>
              <w:bottom w:val="single" w:color="auto" w:sz="4" w:space="0"/>
              <w:right w:val="single" w:color="auto" w:sz="8" w:space="0"/>
            </w:tcBorders>
            <w:shd w:val="clear" w:color="auto" w:fill="FFFFFF"/>
            <w:vAlign w:val="top"/>
          </w:tcPr>
          <w:p>
            <w:pPr>
              <w:pStyle w:val="38"/>
              <w:spacing w:before="178" w:line="240" w:lineRule="auto"/>
              <w:ind w:left="107" w:leftChars="0"/>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供应商承诺在最短时间内出险并完成相应的理赔勘察工作。磋商小组比较各供应商承诺的出险及完成相应的理赔勘察工作时间最短且切合实际的得10分，其他的供应商则相应的得8分、6分、4分、2分、0分。</w:t>
            </w:r>
          </w:p>
        </w:tc>
      </w:tr>
      <w:tr>
        <w:tblPrEx>
          <w:tblCellMar>
            <w:top w:w="0" w:type="dxa"/>
            <w:left w:w="0" w:type="dxa"/>
            <w:bottom w:w="0" w:type="dxa"/>
            <w:right w:w="0" w:type="dxa"/>
          </w:tblCellMar>
        </w:tblPrEx>
        <w:trPr>
          <w:trHeight w:val="444" w:hRule="atLeast"/>
          <w:jc w:val="center"/>
        </w:trPr>
        <w:tc>
          <w:tcPr>
            <w:tcW w:w="955" w:type="dxa"/>
            <w:vMerge w:val="continue"/>
            <w:tcBorders>
              <w:left w:val="single" w:color="auto" w:sz="8" w:space="0"/>
              <w:bottom w:val="single" w:color="auto" w:sz="8" w:space="0"/>
              <w:right w:val="single" w:color="auto" w:sz="8" w:space="0"/>
            </w:tcBorders>
            <w:shd w:val="clear" w:color="auto" w:fill="FFFFFF"/>
            <w:vAlign w:val="center"/>
          </w:tcPr>
          <w:p>
            <w:pPr>
              <w:spacing w:line="240" w:lineRule="auto"/>
              <w:ind w:firstLine="440" w:firstLineChars="200"/>
              <w:rPr>
                <w:rFonts w:hint="eastAsia" w:ascii="新宋体" w:hAnsi="新宋体" w:eastAsia="新宋体" w:cs="新宋体"/>
                <w:color w:val="auto"/>
                <w:sz w:val="22"/>
                <w:szCs w:val="22"/>
                <w:highlight w:val="none"/>
              </w:rPr>
            </w:pPr>
          </w:p>
        </w:tc>
        <w:tc>
          <w:tcPr>
            <w:tcW w:w="9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8"/>
              <w:spacing w:before="22" w:line="240" w:lineRule="auto"/>
              <w:ind w:left="108"/>
              <w:jc w:val="center"/>
              <w:rPr>
                <w:rFonts w:hint="eastAsia" w:ascii="新宋体" w:hAnsi="新宋体" w:eastAsia="新宋体" w:cs="新宋体"/>
                <w:color w:val="auto"/>
                <w:kern w:val="2"/>
                <w:sz w:val="22"/>
                <w:szCs w:val="22"/>
                <w:highlight w:val="none"/>
                <w:lang w:val="en-US" w:eastAsia="zh-CN" w:bidi="ar-SA"/>
              </w:rPr>
            </w:pPr>
            <w:r>
              <w:t>项目人员配备</w:t>
            </w:r>
          </w:p>
        </w:tc>
        <w:tc>
          <w:tcPr>
            <w:tcW w:w="746"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240" w:lineRule="auto"/>
              <w:jc w:val="center"/>
              <w:rPr>
                <w:rFonts w:hint="default"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10分</w:t>
            </w:r>
          </w:p>
        </w:tc>
        <w:tc>
          <w:tcPr>
            <w:tcW w:w="6166" w:type="dxa"/>
            <w:tcBorders>
              <w:top w:val="single" w:color="auto" w:sz="4" w:space="0"/>
              <w:left w:val="nil"/>
              <w:bottom w:val="single" w:color="auto" w:sz="4" w:space="0"/>
              <w:right w:val="single" w:color="auto" w:sz="8" w:space="0"/>
            </w:tcBorders>
            <w:shd w:val="clear" w:color="auto" w:fill="FFFFFF"/>
            <w:vAlign w:val="top"/>
          </w:tcPr>
          <w:p>
            <w:pPr>
              <w:pStyle w:val="38"/>
              <w:spacing w:before="178" w:line="240" w:lineRule="auto"/>
              <w:ind w:left="107" w:leftChars="0"/>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根据各岗位职责及工作标准、项目经理人员配备、理赔服务专员配备方案全面、齐全、合理可行的得5-10分，不合理不可行的不得分。</w:t>
            </w:r>
          </w:p>
        </w:tc>
      </w:tr>
    </w:tbl>
    <w:p>
      <w:pPr>
        <w:spacing w:line="360" w:lineRule="exact"/>
        <w:ind w:firstLine="480" w:firstLineChars="200"/>
        <w:rPr>
          <w:rFonts w:ascii="新宋体" w:hAnsi="新宋体" w:eastAsia="新宋体" w:cs="新宋体"/>
          <w:b/>
          <w:bCs/>
          <w:color w:val="auto"/>
          <w:sz w:val="24"/>
          <w:szCs w:val="24"/>
          <w:highlight w:val="none"/>
        </w:rPr>
      </w:pPr>
      <w:r>
        <w:rPr>
          <w:rFonts w:hint="eastAsia" w:ascii="新宋体" w:hAnsi="新宋体" w:eastAsia="新宋体" w:cs="新宋体"/>
          <w:color w:val="auto"/>
          <w:sz w:val="24"/>
          <w:szCs w:val="24"/>
          <w:highlight w:val="none"/>
        </w:rPr>
        <w:t>项目评审过程中，各供应商的最终得分为磋商小组评委所评定分数的算术平均值。本项目分商务评分（</w:t>
      </w:r>
      <w:r>
        <w:rPr>
          <w:rFonts w:hint="eastAsia" w:ascii="新宋体" w:hAnsi="新宋体" w:eastAsia="新宋体" w:cs="新宋体"/>
          <w:color w:val="auto"/>
          <w:sz w:val="24"/>
          <w:szCs w:val="24"/>
          <w:highlight w:val="none"/>
          <w:lang w:val="en-US" w:eastAsia="zh-CN"/>
        </w:rPr>
        <w:t>35</w:t>
      </w:r>
      <w:r>
        <w:rPr>
          <w:rFonts w:hint="eastAsia" w:ascii="新宋体" w:hAnsi="新宋体" w:eastAsia="新宋体" w:cs="新宋体"/>
          <w:color w:val="auto"/>
          <w:sz w:val="24"/>
          <w:szCs w:val="24"/>
          <w:highlight w:val="none"/>
        </w:rPr>
        <w:t>分）、技术评分（</w:t>
      </w:r>
      <w:r>
        <w:rPr>
          <w:rFonts w:hint="eastAsia" w:ascii="新宋体" w:hAnsi="新宋体" w:eastAsia="新宋体" w:cs="新宋体"/>
          <w:color w:val="auto"/>
          <w:sz w:val="24"/>
          <w:szCs w:val="24"/>
          <w:highlight w:val="none"/>
          <w:lang w:val="en-US" w:eastAsia="zh-CN"/>
        </w:rPr>
        <w:t>35</w:t>
      </w:r>
      <w:r>
        <w:rPr>
          <w:rFonts w:hint="eastAsia" w:ascii="新宋体" w:hAnsi="新宋体" w:eastAsia="新宋体" w:cs="新宋体"/>
          <w:color w:val="auto"/>
          <w:sz w:val="24"/>
          <w:szCs w:val="24"/>
          <w:highlight w:val="none"/>
        </w:rPr>
        <w:t>分）、报价评分（</w:t>
      </w:r>
      <w:r>
        <w:rPr>
          <w:rFonts w:hint="eastAsia" w:ascii="新宋体" w:hAnsi="新宋体" w:eastAsia="新宋体" w:cs="新宋体"/>
          <w:color w:val="auto"/>
          <w:sz w:val="24"/>
          <w:szCs w:val="24"/>
          <w:highlight w:val="none"/>
          <w:lang w:val="en-US" w:eastAsia="zh-CN"/>
        </w:rPr>
        <w:t>20</w:t>
      </w:r>
      <w:r>
        <w:rPr>
          <w:rFonts w:hint="eastAsia" w:ascii="新宋体" w:hAnsi="新宋体" w:eastAsia="新宋体" w:cs="新宋体"/>
          <w:color w:val="auto"/>
          <w:sz w:val="24"/>
          <w:szCs w:val="24"/>
          <w:highlight w:val="none"/>
        </w:rPr>
        <w:t>分）、共计</w:t>
      </w:r>
      <w:r>
        <w:rPr>
          <w:rFonts w:ascii="新宋体" w:hAnsi="新宋体" w:eastAsia="新宋体" w:cs="新宋体"/>
          <w:color w:val="auto"/>
          <w:sz w:val="24"/>
          <w:szCs w:val="24"/>
          <w:highlight w:val="none"/>
        </w:rPr>
        <w:t>100</w:t>
      </w:r>
      <w:r>
        <w:rPr>
          <w:rFonts w:hint="eastAsia" w:ascii="新宋体" w:hAnsi="新宋体" w:eastAsia="新宋体" w:cs="新宋体"/>
          <w:color w:val="auto"/>
          <w:sz w:val="24"/>
          <w:szCs w:val="24"/>
          <w:highlight w:val="none"/>
        </w:rPr>
        <w:t>分</w:t>
      </w:r>
    </w:p>
    <w:p>
      <w:pPr>
        <w:spacing w:line="360" w:lineRule="exact"/>
        <w:ind w:firstLine="0" w:firstLineChars="0"/>
        <w:rPr>
          <w:rFonts w:ascii="新宋体" w:hAnsi="新宋体" w:eastAsia="新宋体"/>
          <w:b/>
          <w:bCs/>
          <w:color w:val="auto"/>
          <w:sz w:val="24"/>
          <w:szCs w:val="24"/>
          <w:highlight w:val="none"/>
        </w:rPr>
      </w:pPr>
    </w:p>
    <w:p>
      <w:pPr>
        <w:spacing w:line="360" w:lineRule="exact"/>
        <w:rPr>
          <w:rFonts w:ascii="新宋体" w:hAnsi="新宋体" w:eastAsia="新宋体"/>
          <w:b/>
          <w:bCs/>
          <w:color w:val="auto"/>
          <w:sz w:val="24"/>
          <w:szCs w:val="24"/>
          <w:highlight w:val="none"/>
        </w:rPr>
      </w:pPr>
      <w:r>
        <w:rPr>
          <w:rFonts w:hint="eastAsia" w:ascii="新宋体" w:hAnsi="新宋体" w:eastAsia="新宋体" w:cs="新宋体"/>
          <w:b/>
          <w:bCs/>
          <w:color w:val="auto"/>
          <w:sz w:val="24"/>
          <w:szCs w:val="24"/>
          <w:highlight w:val="none"/>
        </w:rPr>
        <w:t>注：</w:t>
      </w:r>
    </w:p>
    <w:p>
      <w:pPr>
        <w:spacing w:line="360" w:lineRule="exact"/>
        <w:ind w:firstLine="484" w:firstLineChars="202"/>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、磋商小组按照磋商文件和本办法上述有关规定，对供应商进行评比打分。供应商的最终得分为磋商小组成员所评定分数的算术平均值。</w:t>
      </w:r>
    </w:p>
    <w:p>
      <w:pPr>
        <w:spacing w:line="360" w:lineRule="exact"/>
        <w:ind w:firstLine="484" w:firstLineChars="202"/>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rPr>
        <w:t>、各项统计、评分结果均按四舍五入方法精确到小数点后两位。</w:t>
      </w:r>
    </w:p>
    <w:p>
      <w:pPr>
        <w:spacing w:line="360" w:lineRule="exact"/>
        <w:ind w:firstLine="484" w:firstLineChars="202"/>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rPr>
        <w:t>、</w:t>
      </w:r>
      <w:r>
        <w:rPr>
          <w:rFonts w:hint="eastAsia" w:ascii="新宋体" w:hAnsi="新宋体" w:eastAsia="新宋体" w:cs="新宋体"/>
          <w:b/>
          <w:bCs/>
          <w:color w:val="auto"/>
          <w:sz w:val="24"/>
          <w:szCs w:val="24"/>
          <w:highlight w:val="none"/>
        </w:rPr>
        <w:t>以上须提供的证明资料彩色扫描件加盖公章磋商响应文件里制作即可，无需单独提供磋商小组备查</w:t>
      </w:r>
      <w:r>
        <w:rPr>
          <w:rFonts w:hint="eastAsia" w:ascii="新宋体" w:hAnsi="新宋体" w:eastAsia="新宋体" w:cs="新宋体"/>
          <w:color w:val="auto"/>
          <w:sz w:val="24"/>
          <w:szCs w:val="24"/>
          <w:highlight w:val="none"/>
        </w:rPr>
        <w:t>。</w:t>
      </w:r>
    </w:p>
    <w:p>
      <w:pPr>
        <w:spacing w:line="360" w:lineRule="exact"/>
        <w:ind w:firstLine="463" w:firstLineChars="192"/>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20.</w:t>
      </w:r>
      <w:r>
        <w:rPr>
          <w:rFonts w:hint="eastAsia" w:ascii="新宋体" w:hAnsi="新宋体" w:eastAsia="新宋体" w:cs="新宋体"/>
          <w:b/>
          <w:bCs/>
          <w:color w:val="auto"/>
          <w:sz w:val="24"/>
          <w:szCs w:val="24"/>
          <w:highlight w:val="none"/>
        </w:rPr>
        <w:t>成交候选供应商及成交供应商的确定</w:t>
      </w:r>
    </w:p>
    <w:p>
      <w:pPr>
        <w:spacing w:line="360" w:lineRule="exact"/>
        <w:ind w:firstLine="460" w:firstLineChars="192"/>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20.1</w:t>
      </w:r>
      <w:r>
        <w:rPr>
          <w:rFonts w:hint="eastAsia" w:ascii="新宋体" w:hAnsi="新宋体" w:eastAsia="新宋体" w:cs="新宋体"/>
          <w:color w:val="auto"/>
          <w:sz w:val="24"/>
          <w:szCs w:val="24"/>
          <w:highlight w:val="none"/>
        </w:rPr>
        <w:t>确定成交供应商的原则、标准及方法。</w:t>
      </w:r>
    </w:p>
    <w:p>
      <w:pPr>
        <w:tabs>
          <w:tab w:val="left" w:pos="420"/>
          <w:tab w:val="left" w:pos="525"/>
          <w:tab w:val="left" w:pos="630"/>
          <w:tab w:val="left" w:pos="735"/>
        </w:tabs>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20.1.1</w:t>
      </w:r>
      <w:r>
        <w:rPr>
          <w:rFonts w:hint="eastAsia" w:ascii="新宋体" w:hAnsi="新宋体" w:eastAsia="新宋体" w:cs="新宋体"/>
          <w:color w:val="auto"/>
          <w:sz w:val="24"/>
          <w:szCs w:val="24"/>
          <w:highlight w:val="none"/>
        </w:rPr>
        <w:t>磋商小组应当从质量和服务均能满足采购文件实质性响应要求的供应商中，根据综合评分情况，按照评审得分由高至低顺序推荐</w:t>
      </w:r>
      <w:r>
        <w:rPr>
          <w:rFonts w:ascii="新宋体" w:hAnsi="新宋体" w:eastAsia="新宋体" w:cs="新宋体"/>
          <w:color w:val="auto"/>
          <w:sz w:val="24"/>
          <w:szCs w:val="24"/>
          <w:highlight w:val="none"/>
        </w:rPr>
        <w:t>1-3</w:t>
      </w:r>
      <w:r>
        <w:rPr>
          <w:rFonts w:hint="eastAsia" w:ascii="新宋体" w:hAnsi="新宋体" w:eastAsia="新宋体" w:cs="新宋体"/>
          <w:color w:val="auto"/>
          <w:sz w:val="24"/>
          <w:szCs w:val="24"/>
          <w:highlight w:val="none"/>
        </w:rPr>
        <w:t>名成交候选供应商，评审得分相同的按照最后有效报价得分由高到低的顺序推荐，评审得分且最后报价得分相同的，按照技术指标优劣顺序推荐，并按照《政府采购竞争性磋商采购方式管理暂行办法》要求推荐成交候选供应商，并编写评审报告。</w:t>
      </w:r>
    </w:p>
    <w:p>
      <w:pPr>
        <w:spacing w:line="360" w:lineRule="exact"/>
        <w:ind w:firstLine="460" w:firstLineChars="192"/>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20.1.2</w:t>
      </w:r>
      <w:r>
        <w:rPr>
          <w:rFonts w:hint="eastAsia" w:ascii="新宋体" w:hAnsi="新宋体" w:eastAsia="新宋体" w:cs="新宋体"/>
          <w:color w:val="auto"/>
          <w:sz w:val="24"/>
          <w:szCs w:val="24"/>
          <w:highlight w:val="none"/>
        </w:rPr>
        <w:t>采购人应当在收到评审报告后</w:t>
      </w:r>
      <w:r>
        <w:rPr>
          <w:rFonts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rPr>
        <w:t>个工作日内，从评审报告提出的成交候选供应商中，按照排序由高到低的原则确定成交供应商。采购人逾期未确定成交供应商且不提出异议的，视为确定评审报告提出的排序第一的供应商为成交供应商。评审得分且最后报价相同的，按照技术指标优劣顺序推荐。</w:t>
      </w:r>
    </w:p>
    <w:p>
      <w:pPr>
        <w:spacing w:line="360" w:lineRule="exact"/>
        <w:ind w:firstLine="460" w:firstLineChars="192"/>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 xml:space="preserve">20.2 </w:t>
      </w:r>
      <w:r>
        <w:rPr>
          <w:rFonts w:hint="eastAsia" w:ascii="新宋体" w:hAnsi="新宋体" w:eastAsia="新宋体" w:cs="新宋体"/>
          <w:color w:val="auto"/>
          <w:sz w:val="24"/>
          <w:szCs w:val="24"/>
          <w:highlight w:val="none"/>
        </w:rPr>
        <w:t>成交结果通知书</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20.2.1</w:t>
      </w:r>
      <w:r>
        <w:rPr>
          <w:rFonts w:hint="eastAsia" w:ascii="新宋体" w:hAnsi="新宋体" w:eastAsia="新宋体" w:cs="新宋体"/>
          <w:color w:val="auto"/>
          <w:sz w:val="24"/>
          <w:szCs w:val="24"/>
          <w:highlight w:val="none"/>
        </w:rPr>
        <w:t>成交结果发出时，采购人将向成交供应商发出《成交结果通知书》。</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 xml:space="preserve">20.2.2 </w:t>
      </w:r>
      <w:r>
        <w:rPr>
          <w:rFonts w:hint="eastAsia" w:ascii="新宋体" w:hAnsi="新宋体" w:eastAsia="新宋体" w:cs="新宋体"/>
          <w:color w:val="auto"/>
          <w:sz w:val="24"/>
          <w:szCs w:val="24"/>
          <w:highlight w:val="none"/>
        </w:rPr>
        <w:t>成交结果通知书是合同的组成部分。</w:t>
      </w:r>
    </w:p>
    <w:p>
      <w:pPr>
        <w:kinsoku w:val="0"/>
        <w:autoSpaceDE w:val="0"/>
        <w:autoSpaceDN w:val="0"/>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20.2.3</w:t>
      </w:r>
      <w:r>
        <w:rPr>
          <w:rFonts w:hint="eastAsia" w:ascii="新宋体" w:hAnsi="新宋体" w:eastAsia="新宋体" w:cs="新宋体"/>
          <w:color w:val="auto"/>
          <w:sz w:val="24"/>
          <w:szCs w:val="24"/>
          <w:highlight w:val="none"/>
        </w:rPr>
        <w:t>成交结果将在</w:t>
      </w:r>
      <w:r>
        <w:rPr>
          <w:rFonts w:hint="eastAsia" w:ascii="宋体" w:hAnsi="宋体" w:cs="宋体"/>
          <w:color w:val="auto"/>
          <w:sz w:val="24"/>
          <w:szCs w:val="24"/>
          <w:highlight w:val="none"/>
        </w:rPr>
        <w:t>枝江金润源建设投资控股集团有限公司官网</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http://www.zjjryjt.cn/</w:t>
      </w:r>
      <w:r>
        <w:rPr>
          <w:rFonts w:hint="eastAsia" w:ascii="宋体" w:hAnsi="宋体" w:cs="宋体"/>
          <w:color w:val="auto"/>
          <w:sz w:val="24"/>
          <w:szCs w:val="24"/>
          <w:highlight w:val="none"/>
        </w:rPr>
        <w:t>）</w:t>
      </w:r>
      <w:r>
        <w:rPr>
          <w:rFonts w:hint="eastAsia" w:ascii="新宋体" w:hAnsi="新宋体" w:eastAsia="新宋体" w:cs="新宋体"/>
          <w:color w:val="auto"/>
          <w:sz w:val="24"/>
          <w:szCs w:val="24"/>
          <w:highlight w:val="none"/>
        </w:rPr>
        <w:t>“中标公告”进行发布。</w:t>
      </w:r>
    </w:p>
    <w:p>
      <w:pPr>
        <w:spacing w:line="360" w:lineRule="exact"/>
        <w:ind w:firstLine="480" w:firstLineChars="200"/>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20.2.4</w:t>
      </w:r>
      <w:r>
        <w:rPr>
          <w:rFonts w:hint="eastAsia" w:ascii="新宋体" w:hAnsi="新宋体" w:eastAsia="新宋体" w:cs="新宋体"/>
          <w:color w:val="auto"/>
          <w:sz w:val="24"/>
          <w:szCs w:val="24"/>
          <w:highlight w:val="none"/>
        </w:rPr>
        <w:t>供应商提供虚假资料骗取成交资格的，一经发现，取消本次成交资格、列入不良行为记录；不履行合同和服务承诺的，将给予禁止进入本区域公共资源交易市场的处罚，并将处理结果在公共资源交易平台进行公告。</w:t>
      </w:r>
    </w:p>
    <w:p>
      <w:pPr>
        <w:spacing w:line="360" w:lineRule="exact"/>
        <w:ind w:firstLine="460" w:firstLineChars="191"/>
        <w:outlineLvl w:val="1"/>
        <w:rPr>
          <w:rFonts w:ascii="新宋体" w:hAnsi="新宋体" w:eastAsia="新宋体"/>
          <w:b/>
          <w:bCs/>
          <w:color w:val="auto"/>
          <w:sz w:val="24"/>
          <w:szCs w:val="24"/>
          <w:highlight w:val="none"/>
        </w:rPr>
      </w:pPr>
      <w:bookmarkStart w:id="39" w:name="_Toc29182"/>
      <w:r>
        <w:rPr>
          <w:rFonts w:hint="eastAsia" w:ascii="新宋体" w:hAnsi="新宋体" w:eastAsia="新宋体" w:cs="新宋体"/>
          <w:b/>
          <w:bCs/>
          <w:color w:val="auto"/>
          <w:sz w:val="24"/>
          <w:szCs w:val="24"/>
          <w:highlight w:val="none"/>
        </w:rPr>
        <w:t>五、合同的签订</w:t>
      </w:r>
      <w:bookmarkEnd w:id="39"/>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21</w:t>
      </w:r>
      <w:r>
        <w:rPr>
          <w:rFonts w:hint="eastAsia" w:ascii="新宋体" w:hAnsi="新宋体" w:eastAsia="新宋体" w:cs="新宋体"/>
          <w:b/>
          <w:bCs/>
          <w:color w:val="auto"/>
          <w:sz w:val="24"/>
          <w:szCs w:val="24"/>
          <w:highlight w:val="none"/>
        </w:rPr>
        <w:t>、合同的签订及备案</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21.1</w:t>
      </w:r>
      <w:r>
        <w:rPr>
          <w:rFonts w:hint="eastAsia" w:ascii="新宋体" w:hAnsi="新宋体" w:eastAsia="新宋体" w:cs="新宋体"/>
          <w:color w:val="auto"/>
          <w:sz w:val="24"/>
          <w:szCs w:val="24"/>
          <w:highlight w:val="none"/>
        </w:rPr>
        <w:t>成交供应商收到成交结果通知书后，应及时与采购人签订采购合同。</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 xml:space="preserve">21.2 </w:t>
      </w:r>
      <w:r>
        <w:rPr>
          <w:rFonts w:hint="eastAsia" w:ascii="新宋体" w:hAnsi="新宋体" w:eastAsia="新宋体" w:cs="新宋体"/>
          <w:color w:val="auto"/>
          <w:sz w:val="24"/>
          <w:szCs w:val="24"/>
          <w:highlight w:val="none"/>
        </w:rPr>
        <w:t>采购人与成交供应商必须按照磋商文件、磋商响应文件的内容和成交供应商的最终报价及最终书面承诺，签订采购合同。不得违背上述原则签订合同，也不得另签背离合同实质性内容的其他协议。</w:t>
      </w:r>
    </w:p>
    <w:p>
      <w:pPr>
        <w:spacing w:line="360" w:lineRule="exact"/>
        <w:ind w:firstLine="458" w:firstLineChars="191"/>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21.3</w:t>
      </w:r>
      <w:r>
        <w:rPr>
          <w:rFonts w:hint="eastAsia" w:ascii="新宋体" w:hAnsi="新宋体" w:eastAsia="新宋体" w:cs="新宋体"/>
          <w:color w:val="auto"/>
          <w:sz w:val="24"/>
          <w:szCs w:val="24"/>
          <w:highlight w:val="none"/>
        </w:rPr>
        <w:t xml:space="preserve">如果供应商没有按照上述规定签订合同，采购人有权取消其所获得的成交资格。成交供应商因不可抗力或者自身原因提出不能履行合同的，采购人可以与排名第二的成交供应商签订合同，以此类推。 </w:t>
      </w:r>
    </w:p>
    <w:p>
      <w:pPr>
        <w:spacing w:line="360" w:lineRule="exact"/>
        <w:ind w:firstLine="458" w:firstLineChars="191"/>
        <w:rPr>
          <w:rFonts w:ascii="新宋体" w:hAnsi="新宋体" w:eastAsia="新宋体" w:cs="新宋体"/>
          <w:color w:val="auto"/>
          <w:sz w:val="24"/>
          <w:szCs w:val="24"/>
          <w:highlight w:val="none"/>
        </w:rPr>
      </w:pPr>
      <w:r>
        <w:rPr>
          <w:rFonts w:ascii="新宋体" w:hAnsi="新宋体" w:eastAsia="新宋体" w:cs="新宋体"/>
          <w:color w:val="auto"/>
          <w:sz w:val="24"/>
          <w:szCs w:val="24"/>
          <w:highlight w:val="none"/>
        </w:rPr>
        <w:t>21.4</w:t>
      </w:r>
      <w:r>
        <w:rPr>
          <w:rFonts w:hint="eastAsia" w:ascii="新宋体" w:hAnsi="新宋体" w:eastAsia="新宋体" w:cs="新宋体"/>
          <w:color w:val="auto"/>
          <w:sz w:val="24"/>
          <w:szCs w:val="24"/>
          <w:highlight w:val="none"/>
        </w:rPr>
        <w:t>成交供应商不得向他人转让成交项目，如果成交供应商在履行合同时发生违约行为，采购人有权终止合同。给采购人造成的损失</w:t>
      </w:r>
      <w:r>
        <w:rPr>
          <w:rFonts w:hint="eastAsia" w:ascii="新宋体" w:hAnsi="新宋体" w:eastAsia="新宋体" w:cs="新宋体"/>
          <w:color w:val="auto"/>
          <w:sz w:val="24"/>
          <w:szCs w:val="24"/>
          <w:highlight w:val="none"/>
          <w:lang w:eastAsia="zh-CN"/>
        </w:rPr>
        <w:t>由</w:t>
      </w:r>
      <w:r>
        <w:rPr>
          <w:rFonts w:hint="eastAsia" w:ascii="新宋体" w:hAnsi="新宋体" w:eastAsia="新宋体" w:cs="新宋体"/>
          <w:color w:val="auto"/>
          <w:sz w:val="24"/>
          <w:szCs w:val="24"/>
          <w:highlight w:val="none"/>
        </w:rPr>
        <w:t>成交供应商予以赔偿。</w:t>
      </w:r>
    </w:p>
    <w:p>
      <w:pPr>
        <w:spacing w:line="360" w:lineRule="exact"/>
        <w:ind w:firstLine="472" w:firstLineChars="196"/>
        <w:outlineLvl w:val="1"/>
        <w:rPr>
          <w:rFonts w:ascii="新宋体" w:hAnsi="新宋体" w:eastAsia="新宋体"/>
          <w:b/>
          <w:bCs/>
          <w:color w:val="auto"/>
          <w:sz w:val="24"/>
          <w:szCs w:val="24"/>
          <w:highlight w:val="none"/>
        </w:rPr>
      </w:pPr>
      <w:bookmarkStart w:id="40" w:name="_Toc16876"/>
      <w:r>
        <w:rPr>
          <w:rFonts w:hint="eastAsia" w:ascii="新宋体" w:hAnsi="新宋体" w:eastAsia="新宋体" w:cs="新宋体"/>
          <w:b/>
          <w:bCs/>
          <w:color w:val="auto"/>
          <w:sz w:val="24"/>
          <w:szCs w:val="24"/>
          <w:highlight w:val="none"/>
        </w:rPr>
        <w:t>六、其他说明</w:t>
      </w:r>
      <w:bookmarkEnd w:id="40"/>
    </w:p>
    <w:p>
      <w:pPr>
        <w:spacing w:line="360" w:lineRule="exact"/>
        <w:ind w:firstLine="458" w:firstLineChars="191"/>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成交供应商拒绝签订合同的，采购人可以按照《公共资源交易竞争性磋商采购方式管理暂行办法》第二十八条第二款规定的原则确定其他供应商作为成交供应商并签订合同，也可以重新开展采购活动。拒绝签订合同的成交供应商不得参加对该项目重新开展的采购活动。</w:t>
      </w:r>
    </w:p>
    <w:p>
      <w:pPr>
        <w:spacing w:line="360" w:lineRule="exact"/>
        <w:ind w:firstLine="460" w:firstLineChars="191"/>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22.</w:t>
      </w:r>
      <w:r>
        <w:rPr>
          <w:rFonts w:hint="eastAsia" w:ascii="新宋体" w:hAnsi="新宋体" w:eastAsia="新宋体" w:cs="新宋体"/>
          <w:b/>
          <w:bCs/>
          <w:color w:val="auto"/>
          <w:sz w:val="24"/>
          <w:szCs w:val="24"/>
          <w:highlight w:val="none"/>
        </w:rPr>
        <w:t>争议的解决</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 xml:space="preserve">22.1 </w:t>
      </w:r>
      <w:r>
        <w:rPr>
          <w:rFonts w:hint="eastAsia" w:ascii="新宋体" w:hAnsi="新宋体" w:eastAsia="新宋体" w:cs="新宋体"/>
          <w:color w:val="auto"/>
          <w:sz w:val="24"/>
          <w:szCs w:val="24"/>
          <w:highlight w:val="none"/>
        </w:rPr>
        <w:t>成交供应商和采购人在执行合同期间发生纠纷，应按以下方式解决：</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双方应友好协商，解决争议；</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向当地仲裁机构提出仲裁申请；</w:t>
      </w:r>
    </w:p>
    <w:p>
      <w:pPr>
        <w:pStyle w:val="7"/>
        <w:ind w:firstLine="480" w:firstLineChars="200"/>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（3）向招标人当地提起法院诉讼。</w:t>
      </w:r>
    </w:p>
    <w:p>
      <w:pPr>
        <w:spacing w:line="360" w:lineRule="exact"/>
        <w:ind w:firstLine="482" w:firstLineChars="200"/>
        <w:rPr>
          <w:rFonts w:hint="eastAsia" w:ascii="新宋体" w:hAnsi="新宋体" w:eastAsia="新宋体" w:cs="新宋体"/>
          <w:b/>
          <w:bCs/>
          <w:color w:val="auto"/>
          <w:kern w:val="2"/>
          <w:sz w:val="24"/>
          <w:szCs w:val="24"/>
          <w:highlight w:val="none"/>
          <w:lang w:val="en-US" w:eastAsia="zh-CN" w:bidi="ar-SA"/>
        </w:rPr>
      </w:pPr>
      <w:r>
        <w:rPr>
          <w:rFonts w:hint="eastAsia" w:ascii="新宋体" w:hAnsi="新宋体" w:eastAsia="新宋体" w:cs="新宋体"/>
          <w:b/>
          <w:bCs/>
          <w:color w:val="auto"/>
          <w:kern w:val="2"/>
          <w:sz w:val="24"/>
          <w:szCs w:val="24"/>
          <w:highlight w:val="none"/>
          <w:lang w:val="en-US" w:eastAsia="zh-CN" w:bidi="ar-SA"/>
        </w:rPr>
        <w:t>23. 保密及其他注意事项</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23.1</w:t>
      </w:r>
      <w:r>
        <w:rPr>
          <w:rFonts w:hint="eastAsia" w:ascii="新宋体" w:hAnsi="新宋体" w:eastAsia="新宋体" w:cs="新宋体"/>
          <w:color w:val="auto"/>
          <w:sz w:val="24"/>
          <w:szCs w:val="24"/>
          <w:highlight w:val="none"/>
        </w:rPr>
        <w:t>在开标、磋商、评审期间，供应商不得向磋商小组询问磋商情况，不得进行旨在影响磋商结果的活动。</w:t>
      </w:r>
    </w:p>
    <w:p>
      <w:pPr>
        <w:pStyle w:val="28"/>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23.2</w:t>
      </w:r>
      <w:r>
        <w:rPr>
          <w:rFonts w:hint="eastAsia" w:ascii="新宋体" w:hAnsi="新宋体" w:eastAsia="新宋体" w:cs="新宋体"/>
          <w:color w:val="auto"/>
          <w:sz w:val="24"/>
          <w:szCs w:val="24"/>
          <w:highlight w:val="none"/>
        </w:rPr>
        <w:t>为保证磋商的公正性，在磋商过程中，磋商小组不得与供应商私下交换意见。</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23.3</w:t>
      </w:r>
      <w:r>
        <w:rPr>
          <w:rFonts w:hint="eastAsia" w:ascii="新宋体" w:hAnsi="新宋体" w:eastAsia="新宋体" w:cs="新宋体"/>
          <w:color w:val="auto"/>
          <w:sz w:val="24"/>
          <w:szCs w:val="24"/>
          <w:highlight w:val="none"/>
        </w:rPr>
        <w:t>本次磋商采购活动结束之后，采购人对参加磋商供应商提交的磋商文件及相关资料一律不予退还。</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23.4</w:t>
      </w:r>
      <w:r>
        <w:rPr>
          <w:rFonts w:hint="eastAsia" w:ascii="新宋体" w:hAnsi="新宋体" w:eastAsia="新宋体" w:cs="新宋体"/>
          <w:color w:val="auto"/>
          <w:sz w:val="24"/>
          <w:szCs w:val="24"/>
          <w:highlight w:val="none"/>
        </w:rPr>
        <w:t>磋商小组的工作人员，不得将磋商的有关情况向他人透露。</w:t>
      </w:r>
    </w:p>
    <w:p>
      <w:pPr>
        <w:spacing w:line="360" w:lineRule="exact"/>
        <w:ind w:firstLine="482" w:firstLineChars="200"/>
        <w:rPr>
          <w:rFonts w:ascii="新宋体" w:hAnsi="新宋体" w:eastAsia="新宋体"/>
          <w:b/>
          <w:bCs/>
          <w:color w:val="auto"/>
          <w:sz w:val="24"/>
          <w:szCs w:val="24"/>
          <w:highlight w:val="none"/>
        </w:rPr>
      </w:pPr>
      <w:r>
        <w:rPr>
          <w:rFonts w:ascii="新宋体" w:hAnsi="新宋体" w:eastAsia="新宋体" w:cs="新宋体"/>
          <w:b/>
          <w:bCs/>
          <w:color w:val="auto"/>
          <w:sz w:val="24"/>
          <w:szCs w:val="24"/>
          <w:highlight w:val="none"/>
        </w:rPr>
        <w:t xml:space="preserve">24. </w:t>
      </w:r>
      <w:r>
        <w:rPr>
          <w:rFonts w:hint="eastAsia" w:ascii="新宋体" w:hAnsi="新宋体" w:eastAsia="新宋体" w:cs="新宋体"/>
          <w:b/>
          <w:bCs/>
          <w:color w:val="auto"/>
          <w:sz w:val="24"/>
          <w:szCs w:val="24"/>
          <w:highlight w:val="none"/>
        </w:rPr>
        <w:t>询问与质疑</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24.1</w:t>
      </w:r>
      <w:r>
        <w:rPr>
          <w:rFonts w:hint="eastAsia" w:ascii="新宋体" w:hAnsi="新宋体" w:eastAsia="新宋体" w:cs="新宋体"/>
          <w:color w:val="auto"/>
          <w:sz w:val="24"/>
          <w:szCs w:val="24"/>
          <w:highlight w:val="none"/>
        </w:rPr>
        <w:t>如果供应商对采购结果有异议的，应当在采购结果公示期间以书面形式先向采购人或采购代理机构提出质疑。质疑文件须经磋商供应商法人代表签字并加盖单位行政公章。</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24.2</w:t>
      </w:r>
      <w:r>
        <w:rPr>
          <w:rFonts w:hint="eastAsia" w:ascii="新宋体" w:hAnsi="新宋体" w:eastAsia="新宋体" w:cs="新宋体"/>
          <w:color w:val="auto"/>
          <w:sz w:val="24"/>
          <w:szCs w:val="24"/>
          <w:highlight w:val="none"/>
        </w:rPr>
        <w:t>质疑供应商对采购人、采购代理机构的答复不满意或者采购人、采购代理机构未在规定的时间内作出答复的，可以在答复期满后十五个工作日内向公共资源交易监督管理部门投诉。</w:t>
      </w:r>
    </w:p>
    <w:p>
      <w:pPr>
        <w:spacing w:line="360" w:lineRule="exact"/>
        <w:ind w:firstLine="480" w:firstLineChars="200"/>
        <w:rPr>
          <w:rFonts w:ascii="新宋体" w:hAnsi="新宋体" w:eastAsia="新宋体"/>
          <w:color w:val="auto"/>
          <w:sz w:val="24"/>
          <w:szCs w:val="24"/>
          <w:highlight w:val="none"/>
        </w:rPr>
      </w:pPr>
      <w:r>
        <w:rPr>
          <w:rFonts w:ascii="新宋体" w:hAnsi="新宋体" w:eastAsia="新宋体" w:cs="新宋体"/>
          <w:color w:val="auto"/>
          <w:sz w:val="24"/>
          <w:szCs w:val="24"/>
          <w:highlight w:val="none"/>
        </w:rPr>
        <w:t>24.3</w:t>
      </w:r>
      <w:r>
        <w:rPr>
          <w:rFonts w:hint="eastAsia" w:ascii="新宋体" w:hAnsi="新宋体" w:eastAsia="新宋体" w:cs="新宋体"/>
          <w:color w:val="auto"/>
          <w:sz w:val="24"/>
          <w:szCs w:val="24"/>
          <w:highlight w:val="none"/>
        </w:rPr>
        <w:t>投诉人投诉时，应当提交投诉书，投诉书包括下列主要内容：</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投诉人和被投诉人的名称、地址、电话；</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具体的投诉事项及事实依据；</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质疑内容和质疑答复情况及相关证明材料；</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提起投诉的日期。</w:t>
      </w:r>
    </w:p>
    <w:p>
      <w:pPr>
        <w:spacing w:line="360" w:lineRule="exact"/>
        <w:ind w:firstLine="480" w:firstLineChars="200"/>
        <w:rPr>
          <w:rFonts w:ascii="新宋体" w:hAnsi="新宋体" w:eastAsia="新宋体"/>
          <w:color w:val="auto"/>
          <w:sz w:val="24"/>
          <w:szCs w:val="24"/>
          <w:highlight w:val="none"/>
        </w:rPr>
      </w:pPr>
      <w:r>
        <w:rPr>
          <w:rFonts w:hint="eastAsia" w:ascii="新宋体" w:hAnsi="新宋体" w:eastAsia="新宋体" w:cs="新宋体"/>
          <w:color w:val="auto"/>
          <w:sz w:val="24"/>
          <w:szCs w:val="24"/>
          <w:highlight w:val="none"/>
        </w:rPr>
        <w:t>投诉书应当署名。投诉人为法人或者其他组织的，应当由法定代表人或者主要负责人签字并加盖单位行政公章。</w:t>
      </w:r>
    </w:p>
    <w:p>
      <w:pPr>
        <w:spacing w:line="360" w:lineRule="exact"/>
        <w:ind w:firstLine="480" w:firstLineChars="200"/>
        <w:rPr>
          <w:rFonts w:hint="eastAsia" w:ascii="宋体" w:hAnsi="宋体" w:eastAsia="宋体" w:cs="宋体"/>
          <w:color w:val="auto"/>
          <w:kern w:val="1"/>
          <w:sz w:val="44"/>
          <w:szCs w:val="44"/>
          <w:highlight w:val="none"/>
        </w:rPr>
      </w:pPr>
      <w:r>
        <w:rPr>
          <w:rFonts w:ascii="新宋体" w:hAnsi="新宋体" w:eastAsia="新宋体" w:cs="新宋体"/>
          <w:color w:val="auto"/>
          <w:sz w:val="24"/>
          <w:szCs w:val="24"/>
          <w:highlight w:val="none"/>
        </w:rPr>
        <w:t>24.4</w:t>
      </w:r>
      <w:r>
        <w:rPr>
          <w:rFonts w:hint="eastAsia" w:ascii="新宋体" w:hAnsi="新宋体" w:eastAsia="新宋体" w:cs="新宋体"/>
          <w:color w:val="auto"/>
          <w:sz w:val="24"/>
          <w:szCs w:val="24"/>
          <w:highlight w:val="none"/>
        </w:rPr>
        <w:t>供应商如需质疑或投诉。应当按照法律规定的先质疑、后投诉的程序进行，并不得虚假恶意投诉。否则，监管机构将依据公共资源交易的有关规定，将其列入不良行为记录名单，并依法予以处罚。</w:t>
      </w:r>
      <w:bookmarkStart w:id="41" w:name="_Toc522097483"/>
      <w:bookmarkStart w:id="42" w:name="_Toc6578158"/>
      <w:bookmarkStart w:id="43" w:name="_Toc9874"/>
    </w:p>
    <w:p>
      <w:pPr>
        <w:pStyle w:val="3"/>
        <w:rPr>
          <w:rFonts w:hint="eastAsia" w:ascii="宋体" w:hAnsi="宋体" w:eastAsia="宋体" w:cs="宋体"/>
          <w:color w:val="auto"/>
          <w:kern w:val="1"/>
          <w:sz w:val="44"/>
          <w:szCs w:val="44"/>
          <w:highlight w:val="none"/>
        </w:rPr>
      </w:pPr>
    </w:p>
    <w:p>
      <w:pPr>
        <w:pStyle w:val="3"/>
        <w:jc w:val="both"/>
        <w:rPr>
          <w:rFonts w:hint="eastAsia" w:ascii="宋体" w:hAnsi="宋体" w:eastAsia="宋体" w:cs="宋体"/>
          <w:color w:val="auto"/>
          <w:kern w:val="1"/>
          <w:sz w:val="44"/>
          <w:szCs w:val="44"/>
          <w:highlight w:val="none"/>
        </w:rPr>
      </w:pPr>
    </w:p>
    <w:p>
      <w:pPr>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2"/>
        <w:rPr>
          <w:rFonts w:hint="eastAsia" w:ascii="宋体" w:hAnsi="宋体" w:eastAsia="宋体" w:cs="宋体"/>
          <w:color w:val="auto"/>
          <w:kern w:val="1"/>
          <w:sz w:val="44"/>
          <w:szCs w:val="44"/>
          <w:highlight w:val="none"/>
        </w:rPr>
      </w:pPr>
    </w:p>
    <w:p>
      <w:pPr>
        <w:pStyle w:val="3"/>
        <w:jc w:val="center"/>
        <w:rPr>
          <w:rFonts w:cs="Times New Roman"/>
          <w:color w:val="auto"/>
          <w:highlight w:val="none"/>
        </w:rPr>
      </w:pPr>
      <w:r>
        <w:rPr>
          <w:rFonts w:hint="eastAsia" w:ascii="宋体" w:hAnsi="宋体" w:eastAsia="宋体" w:cs="宋体"/>
          <w:color w:val="auto"/>
          <w:kern w:val="1"/>
          <w:sz w:val="44"/>
          <w:szCs w:val="44"/>
          <w:highlight w:val="none"/>
        </w:rPr>
        <w:t>第三章</w:t>
      </w:r>
      <w:r>
        <w:rPr>
          <w:rFonts w:ascii="宋体" w:hAnsi="宋体" w:eastAsia="宋体" w:cs="宋体"/>
          <w:color w:val="auto"/>
          <w:kern w:val="1"/>
          <w:sz w:val="44"/>
          <w:szCs w:val="44"/>
          <w:highlight w:val="none"/>
        </w:rPr>
        <w:t xml:space="preserve">  </w:t>
      </w:r>
      <w:bookmarkEnd w:id="41"/>
      <w:bookmarkEnd w:id="42"/>
      <w:r>
        <w:rPr>
          <w:rFonts w:hint="eastAsia" w:ascii="宋体" w:hAnsi="宋体" w:eastAsia="宋体" w:cs="宋体"/>
          <w:color w:val="auto"/>
          <w:kern w:val="1"/>
          <w:sz w:val="44"/>
          <w:szCs w:val="44"/>
          <w:highlight w:val="none"/>
        </w:rPr>
        <w:t>采购需求</w:t>
      </w:r>
      <w:bookmarkEnd w:id="43"/>
    </w:p>
    <w:p>
      <w:pPr>
        <w:keepNext w:val="0"/>
        <w:keepLines w:val="0"/>
        <w:pageBreakBefore w:val="0"/>
        <w:wordWrap/>
        <w:topLinePunct w:val="0"/>
        <w:bidi w:val="0"/>
        <w:spacing w:line="360" w:lineRule="auto"/>
        <w:ind w:firstLine="480" w:firstLineChars="200"/>
        <w:jc w:val="left"/>
        <w:textAlignment w:val="auto"/>
        <w:rPr>
          <w:rFonts w:hint="eastAsia" w:ascii="宋体" w:hAnsi="宋体" w:eastAsia="宋体" w:cs="宋体"/>
          <w:color w:val="auto"/>
          <w:kern w:val="0"/>
          <w:sz w:val="24"/>
          <w:szCs w:val="24"/>
          <w:highlight w:val="none"/>
          <w:lang w:bidi="ar-SA"/>
        </w:rPr>
      </w:pPr>
      <w:r>
        <w:rPr>
          <w:rFonts w:hint="eastAsia" w:ascii="宋体" w:hAnsi="宋体" w:eastAsia="宋体" w:cs="宋体"/>
          <w:color w:val="auto"/>
          <w:kern w:val="0"/>
          <w:sz w:val="24"/>
          <w:szCs w:val="24"/>
          <w:highlight w:val="none"/>
          <w:lang w:bidi="ar-SA"/>
        </w:rPr>
        <w:t>1、项目名称：</w:t>
      </w:r>
      <w:r>
        <w:rPr>
          <w:rFonts w:hint="eastAsia" w:ascii="宋体" w:hAnsi="宋体" w:cs="宋体"/>
          <w:color w:val="auto"/>
          <w:kern w:val="0"/>
          <w:sz w:val="24"/>
          <w:szCs w:val="24"/>
          <w:highlight w:val="none"/>
          <w:lang w:eastAsia="zh-CN" w:bidi="ar-SA"/>
        </w:rPr>
        <w:t>金润源、金源、国资中心财产保险采购</w:t>
      </w:r>
      <w:r>
        <w:rPr>
          <w:rFonts w:hint="eastAsia" w:ascii="宋体" w:hAnsi="宋体" w:eastAsia="宋体" w:cs="宋体"/>
          <w:color w:val="auto"/>
          <w:kern w:val="0"/>
          <w:sz w:val="24"/>
          <w:szCs w:val="24"/>
          <w:highlight w:val="none"/>
          <w:lang w:bidi="ar-SA"/>
        </w:rPr>
        <w:t>。</w:t>
      </w:r>
    </w:p>
    <w:p>
      <w:pPr>
        <w:keepNext w:val="0"/>
        <w:keepLines w:val="0"/>
        <w:pageBreakBefore w:val="0"/>
        <w:wordWrap/>
        <w:topLinePunct w:val="0"/>
        <w:bidi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bidi="ar-SA"/>
        </w:rPr>
      </w:pPr>
      <w:r>
        <w:rPr>
          <w:rFonts w:hint="eastAsia" w:ascii="宋体" w:hAnsi="宋体" w:eastAsia="宋体" w:cs="宋体"/>
          <w:color w:val="auto"/>
          <w:kern w:val="0"/>
          <w:sz w:val="24"/>
          <w:szCs w:val="24"/>
          <w:highlight w:val="none"/>
          <w:lang w:bidi="ar-SA"/>
        </w:rPr>
        <w:t>2、项目编号：</w:t>
      </w:r>
      <w:r>
        <w:rPr>
          <w:rFonts w:hint="eastAsia" w:ascii="宋体" w:hAnsi="宋体" w:cs="宋体"/>
          <w:color w:val="auto"/>
          <w:kern w:val="0"/>
          <w:sz w:val="24"/>
          <w:szCs w:val="24"/>
          <w:highlight w:val="none"/>
          <w:lang w:eastAsia="zh-CN" w:bidi="ar-SA"/>
        </w:rPr>
        <w:t>Zjjry2020-Z063</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eastAsia="zh-CN" w:bidi="ar-SA"/>
        </w:rPr>
      </w:pP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bidi="ar-SA"/>
        </w:rPr>
        <w:t>、</w:t>
      </w:r>
      <w:r>
        <w:rPr>
          <w:rFonts w:hint="eastAsia" w:ascii="宋体" w:hAnsi="宋体" w:cs="宋体"/>
          <w:color w:val="auto"/>
          <w:kern w:val="0"/>
          <w:sz w:val="24"/>
          <w:szCs w:val="24"/>
          <w:highlight w:val="none"/>
          <w:lang w:val="en-US" w:eastAsia="zh-CN" w:bidi="ar-SA"/>
        </w:rPr>
        <w:t>采购需求</w:t>
      </w:r>
      <w:r>
        <w:rPr>
          <w:rFonts w:hint="eastAsia" w:ascii="宋体" w:hAnsi="宋体" w:eastAsia="宋体" w:cs="宋体"/>
          <w:color w:val="auto"/>
          <w:kern w:val="0"/>
          <w:sz w:val="24"/>
          <w:szCs w:val="24"/>
          <w:highlight w:val="none"/>
          <w:lang w:bidi="ar-SA"/>
        </w:rPr>
        <w:t>：</w:t>
      </w:r>
      <w:r>
        <w:rPr>
          <w:rFonts w:hint="eastAsia" w:ascii="宋体" w:hAnsi="宋体" w:cs="宋体"/>
          <w:color w:val="auto"/>
          <w:kern w:val="0"/>
          <w:sz w:val="24"/>
          <w:szCs w:val="24"/>
          <w:highlight w:val="none"/>
          <w:lang w:eastAsia="zh-CN" w:bidi="ar-SA"/>
        </w:rPr>
        <w:t>本项目拟采购一家保险公司，购买金润源、金源、国资中心财产保险，投保险种为财产综合险。</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eastAsia="zh-CN" w:bidi="ar-SA"/>
        </w:rPr>
      </w:pPr>
      <w:r>
        <w:rPr>
          <w:rFonts w:hint="eastAsia" w:ascii="宋体" w:hAnsi="宋体" w:cs="宋体"/>
          <w:color w:val="auto"/>
          <w:kern w:val="0"/>
          <w:sz w:val="24"/>
          <w:szCs w:val="24"/>
          <w:highlight w:val="none"/>
          <w:lang w:val="en-US" w:eastAsia="zh-CN" w:bidi="ar-SA"/>
        </w:rPr>
        <w:t>4、</w:t>
      </w:r>
      <w:r>
        <w:rPr>
          <w:rFonts w:hint="eastAsia" w:ascii="宋体" w:hAnsi="宋体" w:cs="宋体"/>
          <w:color w:val="auto"/>
          <w:kern w:val="0"/>
          <w:sz w:val="24"/>
          <w:szCs w:val="24"/>
          <w:highlight w:val="none"/>
          <w:lang w:eastAsia="zh-CN" w:bidi="ar-SA"/>
        </w:rPr>
        <w:t>投保险种：财产综合险。</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eastAsia="zh-CN" w:bidi="ar-SA"/>
        </w:rPr>
      </w:pPr>
      <w:r>
        <w:rPr>
          <w:rFonts w:hint="eastAsia" w:ascii="宋体" w:hAnsi="宋体" w:cs="宋体"/>
          <w:color w:val="auto"/>
          <w:kern w:val="0"/>
          <w:sz w:val="24"/>
          <w:szCs w:val="24"/>
          <w:highlight w:val="none"/>
          <w:lang w:val="en-US" w:eastAsia="zh-CN" w:bidi="ar-SA"/>
        </w:rPr>
        <w:t>5、</w:t>
      </w:r>
      <w:r>
        <w:rPr>
          <w:rFonts w:hint="eastAsia" w:ascii="宋体" w:hAnsi="宋体" w:cs="宋体"/>
          <w:color w:val="auto"/>
          <w:kern w:val="0"/>
          <w:sz w:val="24"/>
          <w:szCs w:val="24"/>
          <w:highlight w:val="none"/>
          <w:lang w:eastAsia="zh-CN" w:bidi="ar-SA"/>
        </w:rPr>
        <w:t>保险标的：房屋主体。</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cs="宋体"/>
          <w:color w:val="auto"/>
          <w:kern w:val="0"/>
          <w:sz w:val="24"/>
          <w:szCs w:val="24"/>
          <w:highlight w:val="none"/>
          <w:lang w:eastAsia="zh-CN" w:bidi="ar-SA"/>
        </w:rPr>
        <w:t>保险责任：</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(1)火灾、爆炸；</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(2)雷击、暴雨、洪水、暴风、龙卷风、冰雹、台风、飓风、暴雪、冰凌、突发性滑坡、崩塌、泥石流、地面突然下陷下沉；</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(3)飞行物体及其他空中运行物体坠落。</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前款原因造成的保险事故发生时，为抢救保险标的或防止灾害蔓延，采取必要的、合理的措施而造成保险标的的损失，保险人按照本合同约定也负责赔偿。</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(4)被保险人拥有的财产所有权的自用的供电、供水、供气设备因保险事故遭受损坏，引起停电、停水、停气以致造成保险标的的直接损失，保险人按照本保险合同的约定也负责赔偿。</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(5)保险事故发生后，被保险人为防止或减少保险标的的损失所支出的必要的、合理的费用，保险人按照本保险合同的约定也负责赔偿。</w:t>
      </w:r>
    </w:p>
    <w:p>
      <w:pPr>
        <w:spacing w:line="360" w:lineRule="exact"/>
        <w:ind w:firstLine="480" w:firstLineChars="200"/>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7、保险金额：395338989.42元。</w:t>
      </w:r>
      <w:r>
        <w:rPr>
          <w:rFonts w:hint="eastAsia" w:ascii="宋体" w:hAnsi="宋体" w:cs="宋体"/>
          <w:color w:val="auto"/>
          <w:kern w:val="1"/>
          <w:sz w:val="24"/>
          <w:szCs w:val="24"/>
          <w:highlight w:val="none"/>
          <w:lang w:val="en-US" w:eastAsia="zh-CN"/>
        </w:rPr>
        <w:t>(详细清单在开标现场发放）</w:t>
      </w:r>
      <w:r>
        <w:rPr>
          <w:rFonts w:hint="eastAsia" w:ascii="宋体" w:hAnsi="宋体" w:cs="宋体"/>
          <w:color w:val="auto"/>
          <w:kern w:val="0"/>
          <w:sz w:val="24"/>
          <w:szCs w:val="24"/>
          <w:highlight w:val="none"/>
          <w:lang w:val="en-US" w:eastAsia="zh-CN" w:bidi="ar-SA"/>
        </w:rPr>
        <w:tab/>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8、免赔：每次事故3000元或者20%。</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9、保险期限：1年。</w:t>
      </w:r>
    </w:p>
    <w:p>
      <w:pPr>
        <w:keepNext w:val="0"/>
        <w:keepLines w:val="0"/>
        <w:pageBreakBefore w:val="0"/>
        <w:wordWrap/>
        <w:topLinePunct w:val="0"/>
        <w:bidi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10、本项目最高磋商报价为：20万元。</w:t>
      </w:r>
    </w:p>
    <w:p>
      <w:pPr>
        <w:pStyle w:val="26"/>
        <w:keepNext w:val="0"/>
        <w:keepLines w:val="0"/>
        <w:pageBreakBefore w:val="0"/>
        <w:numPr>
          <w:ilvl w:val="0"/>
          <w:numId w:val="0"/>
        </w:numPr>
        <w:wordWrap/>
        <w:topLinePunct w:val="0"/>
        <w:bidi w:val="0"/>
        <w:spacing w:line="360" w:lineRule="auto"/>
        <w:ind w:firstLine="482" w:firstLineChars="200"/>
        <w:jc w:val="left"/>
        <w:textAlignment w:val="auto"/>
        <w:rPr>
          <w:rFonts w:hint="eastAsia" w:ascii="宋体" w:hAnsi="宋体" w:eastAsia="宋体" w:cs="宋体"/>
          <w:b/>
          <w:bCs/>
          <w:color w:val="auto"/>
          <w:kern w:val="0"/>
          <w:sz w:val="24"/>
          <w:szCs w:val="24"/>
          <w:highlight w:val="none"/>
          <w:lang w:eastAsia="zh-CN" w:bidi="ar-SA"/>
        </w:rPr>
      </w:pPr>
      <w:r>
        <w:rPr>
          <w:rFonts w:hint="eastAsia" w:eastAsia="宋体" w:cs="宋体"/>
          <w:b/>
          <w:bCs/>
          <w:color w:val="auto"/>
          <w:kern w:val="0"/>
          <w:sz w:val="24"/>
          <w:szCs w:val="24"/>
          <w:highlight w:val="none"/>
          <w:lang w:val="en-US" w:eastAsia="zh-CN" w:bidi="ar-SA"/>
        </w:rPr>
        <w:t>二、</w:t>
      </w:r>
      <w:r>
        <w:rPr>
          <w:rFonts w:hint="eastAsia" w:ascii="宋体" w:hAnsi="宋体" w:eastAsia="宋体" w:cs="宋体"/>
          <w:b/>
          <w:bCs/>
          <w:color w:val="auto"/>
          <w:kern w:val="0"/>
          <w:sz w:val="24"/>
          <w:szCs w:val="24"/>
          <w:highlight w:val="none"/>
          <w:lang w:eastAsia="zh-CN" w:bidi="ar-SA"/>
        </w:rPr>
        <w:t>付款方式</w:t>
      </w:r>
    </w:p>
    <w:p>
      <w:pPr>
        <w:pStyle w:val="26"/>
        <w:keepNext w:val="0"/>
        <w:keepLines w:val="0"/>
        <w:pageBreakBefore w:val="0"/>
        <w:numPr>
          <w:ilvl w:val="0"/>
          <w:numId w:val="0"/>
        </w:numPr>
        <w:wordWrap/>
        <w:topLinePunct w:val="0"/>
        <w:bidi w:val="0"/>
        <w:spacing w:line="360" w:lineRule="auto"/>
        <w:ind w:leftChars="200"/>
        <w:jc w:val="left"/>
        <w:textAlignment w:val="auto"/>
        <w:rPr>
          <w:rFonts w:hint="eastAsia" w:eastAsia="宋体" w:cs="宋体"/>
          <w:color w:val="auto"/>
          <w:kern w:val="0"/>
          <w:sz w:val="24"/>
          <w:szCs w:val="24"/>
          <w:highlight w:val="none"/>
          <w:lang w:eastAsia="zh-CN" w:bidi="ar-SA"/>
        </w:rPr>
      </w:pPr>
      <w:r>
        <w:rPr>
          <w:rFonts w:hint="eastAsia" w:eastAsia="宋体" w:cs="宋体"/>
          <w:color w:val="auto"/>
          <w:kern w:val="0"/>
          <w:sz w:val="24"/>
          <w:szCs w:val="24"/>
          <w:highlight w:val="none"/>
          <w:lang w:eastAsia="zh-CN" w:bidi="ar-SA"/>
        </w:rPr>
        <w:t>保险合同签订后一次性支付全额保险费。</w:t>
      </w:r>
    </w:p>
    <w:p>
      <w:pPr>
        <w:pStyle w:val="26"/>
        <w:keepNext w:val="0"/>
        <w:keepLines w:val="0"/>
        <w:pageBreakBefore w:val="0"/>
        <w:numPr>
          <w:ilvl w:val="0"/>
          <w:numId w:val="0"/>
        </w:numPr>
        <w:wordWrap/>
        <w:topLinePunct w:val="0"/>
        <w:bidi w:val="0"/>
        <w:spacing w:line="360" w:lineRule="auto"/>
        <w:ind w:leftChars="200"/>
        <w:jc w:val="left"/>
        <w:textAlignment w:val="auto"/>
        <w:rPr>
          <w:rFonts w:hint="eastAsia" w:eastAsia="宋体" w:cs="宋体"/>
          <w:color w:val="auto"/>
          <w:kern w:val="0"/>
          <w:sz w:val="24"/>
          <w:szCs w:val="24"/>
          <w:highlight w:val="none"/>
          <w:lang w:eastAsia="zh-CN" w:bidi="ar-SA"/>
        </w:rPr>
      </w:pPr>
      <w:r>
        <w:rPr>
          <w:rFonts w:hint="eastAsia" w:eastAsia="宋体" w:cs="宋体"/>
          <w:color w:val="auto"/>
          <w:kern w:val="0"/>
          <w:sz w:val="24"/>
          <w:szCs w:val="24"/>
          <w:highlight w:val="none"/>
          <w:lang w:eastAsia="zh-CN" w:bidi="ar-SA"/>
        </w:rPr>
        <w:t>注：采用现金或银行保兑（商业汇票）方式付款，以上未付款项均不计利息。</w:t>
      </w:r>
    </w:p>
    <w:p>
      <w:pPr>
        <w:pStyle w:val="2"/>
        <w:rPr>
          <w:color w:val="auto"/>
          <w:highlight w:val="none"/>
        </w:rPr>
      </w:pPr>
      <w:bookmarkStart w:id="44" w:name="_Toc465325108"/>
      <w:bookmarkStart w:id="45" w:name="_Toc6578159"/>
      <w:bookmarkStart w:id="46" w:name="_Toc465324874"/>
      <w:bookmarkStart w:id="47" w:name="_Toc522097484"/>
    </w:p>
    <w:p>
      <w:pPr>
        <w:tabs>
          <w:tab w:val="left" w:pos="1629"/>
        </w:tabs>
        <w:spacing w:before="59"/>
        <w:jc w:val="center"/>
        <w:rPr>
          <w:b/>
          <w:color w:val="auto"/>
          <w:sz w:val="44"/>
          <w:szCs w:val="44"/>
          <w:highlight w:val="none"/>
        </w:rPr>
      </w:pPr>
    </w:p>
    <w:p>
      <w:pPr>
        <w:tabs>
          <w:tab w:val="left" w:pos="1629"/>
        </w:tabs>
        <w:spacing w:before="59"/>
        <w:jc w:val="center"/>
        <w:rPr>
          <w:b/>
          <w:color w:val="auto"/>
          <w:sz w:val="44"/>
          <w:szCs w:val="44"/>
          <w:highlight w:val="none"/>
        </w:rPr>
      </w:pPr>
    </w:p>
    <w:p>
      <w:pPr>
        <w:pStyle w:val="2"/>
        <w:rPr>
          <w:b/>
          <w:color w:val="auto"/>
          <w:sz w:val="44"/>
          <w:szCs w:val="44"/>
          <w:highlight w:val="none"/>
        </w:rPr>
      </w:pPr>
    </w:p>
    <w:p>
      <w:pPr>
        <w:numPr>
          <w:ilvl w:val="0"/>
          <w:numId w:val="3"/>
        </w:numPr>
        <w:tabs>
          <w:tab w:val="left" w:pos="1629"/>
        </w:tabs>
        <w:spacing w:before="59"/>
        <w:jc w:val="center"/>
        <w:rPr>
          <w:b/>
          <w:color w:val="auto"/>
          <w:sz w:val="44"/>
          <w:szCs w:val="44"/>
          <w:highlight w:val="none"/>
        </w:rPr>
      </w:pPr>
      <w:r>
        <w:rPr>
          <w:b/>
          <w:color w:val="auto"/>
          <w:sz w:val="44"/>
          <w:szCs w:val="44"/>
          <w:highlight w:val="none"/>
        </w:rPr>
        <w:t>合同</w:t>
      </w:r>
    </w:p>
    <w:p>
      <w:pPr>
        <w:pStyle w:val="2"/>
        <w:rPr>
          <w:color w:val="auto"/>
          <w:highlight w:val="none"/>
        </w:rPr>
      </w:pPr>
    </w:p>
    <w:p>
      <w:pPr>
        <w:snapToGrid w:val="0"/>
        <w:spacing w:line="360" w:lineRule="auto"/>
        <w:ind w:firstLine="560" w:firstLineChars="200"/>
        <w:jc w:val="left"/>
        <w:rPr>
          <w:rFonts w:hint="eastAsia" w:ascii="宋体" w:hAnsi="宋体"/>
          <w:color w:val="auto"/>
          <w:sz w:val="28"/>
          <w:szCs w:val="28"/>
          <w:lang w:val="en-GB"/>
        </w:rPr>
      </w:pPr>
      <w:r>
        <w:rPr>
          <w:rFonts w:hint="eastAsia" w:ascii="宋体" w:hAnsi="宋体"/>
          <w:color w:val="auto"/>
          <w:sz w:val="28"/>
          <w:szCs w:val="28"/>
          <w:lang w:val="en-GB"/>
        </w:rPr>
        <w:t>项目采购完成后由保险公司拟定，但应全部包含本竞争性磋商文件、成交供应商响应文件及成交通知书的内容。</w:t>
      </w: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pStyle w:val="18"/>
        <w:rPr>
          <w:rFonts w:hint="eastAsia" w:ascii="宋体" w:hAnsi="宋体" w:cs="宋体"/>
          <w:color w:val="auto"/>
          <w:kern w:val="1"/>
          <w:sz w:val="44"/>
          <w:szCs w:val="44"/>
          <w:highlight w:val="none"/>
        </w:rPr>
      </w:pPr>
    </w:p>
    <w:p>
      <w:pPr>
        <w:adjustRightInd w:val="0"/>
        <w:snapToGrid w:val="0"/>
        <w:spacing w:line="360" w:lineRule="auto"/>
        <w:ind w:firstLine="880" w:firstLineChars="200"/>
        <w:jc w:val="center"/>
        <w:rPr>
          <w:rFonts w:hint="eastAsia" w:ascii="宋体" w:hAnsi="宋体" w:cs="宋体"/>
          <w:color w:val="auto"/>
          <w:kern w:val="1"/>
          <w:sz w:val="44"/>
          <w:szCs w:val="44"/>
          <w:highlight w:val="none"/>
        </w:rPr>
      </w:pPr>
    </w:p>
    <w:p>
      <w:pPr>
        <w:adjustRightInd w:val="0"/>
        <w:snapToGrid w:val="0"/>
        <w:spacing w:line="360" w:lineRule="auto"/>
        <w:ind w:firstLine="880" w:firstLineChars="200"/>
        <w:jc w:val="center"/>
        <w:rPr>
          <w:rFonts w:ascii="宋体" w:hAnsi="宋体"/>
          <w:color w:val="auto"/>
          <w:kern w:val="1"/>
          <w:sz w:val="44"/>
          <w:szCs w:val="44"/>
          <w:highlight w:val="none"/>
        </w:rPr>
      </w:pPr>
      <w:r>
        <w:rPr>
          <w:rFonts w:hint="eastAsia" w:ascii="宋体" w:hAnsi="宋体" w:cs="宋体"/>
          <w:color w:val="auto"/>
          <w:kern w:val="1"/>
          <w:sz w:val="44"/>
          <w:szCs w:val="44"/>
          <w:highlight w:val="none"/>
        </w:rPr>
        <w:t>第五章</w:t>
      </w:r>
      <w:r>
        <w:rPr>
          <w:rFonts w:ascii="宋体" w:hAnsi="宋体" w:cs="宋体"/>
          <w:color w:val="auto"/>
          <w:kern w:val="1"/>
          <w:sz w:val="44"/>
          <w:szCs w:val="44"/>
          <w:highlight w:val="none"/>
        </w:rPr>
        <w:t xml:space="preserve"> </w:t>
      </w:r>
      <w:r>
        <w:rPr>
          <w:rFonts w:hint="eastAsia" w:ascii="宋体" w:hAnsi="宋体" w:cs="宋体"/>
          <w:color w:val="auto"/>
          <w:kern w:val="1"/>
          <w:sz w:val="44"/>
          <w:szCs w:val="44"/>
          <w:highlight w:val="none"/>
        </w:rPr>
        <w:t>磋商响应文件格式</w:t>
      </w:r>
    </w:p>
    <w:p>
      <w:pPr>
        <w:pStyle w:val="29"/>
        <w:shd w:val="clear" w:color="auto" w:fill="auto"/>
        <w:spacing w:before="0" w:after="0" w:line="360" w:lineRule="auto"/>
        <w:jc w:val="center"/>
        <w:outlineLvl w:val="0"/>
        <w:rPr>
          <w:rFonts w:ascii="新宋体" w:hAnsi="新宋体" w:eastAsia="新宋体" w:cs="Times New Roman"/>
          <w:b/>
          <w:bCs/>
          <w:color w:val="auto"/>
          <w:spacing w:val="0"/>
          <w:kern w:val="2"/>
          <w:sz w:val="36"/>
          <w:szCs w:val="36"/>
          <w:highlight w:val="none"/>
        </w:rPr>
      </w:pPr>
      <w:bookmarkStart w:id="48" w:name="_Toc32095"/>
      <w:bookmarkStart w:id="49" w:name="bookmark32"/>
      <w:r>
        <w:rPr>
          <w:rFonts w:hint="eastAsia" w:ascii="新宋体" w:hAnsi="新宋体" w:eastAsia="新宋体" w:cs="新宋体"/>
          <w:b/>
          <w:bCs/>
          <w:color w:val="auto"/>
          <w:spacing w:val="0"/>
          <w:kern w:val="2"/>
          <w:sz w:val="36"/>
          <w:szCs w:val="36"/>
          <w:highlight w:val="none"/>
        </w:rPr>
        <w:t>（本文件格式仅供参考）</w:t>
      </w:r>
      <w:bookmarkEnd w:id="48"/>
      <w:bookmarkStart w:id="50" w:name="_Toc19334_WPSOffice_Level1"/>
    </w:p>
    <w:p>
      <w:pPr>
        <w:pStyle w:val="29"/>
        <w:shd w:val="clear" w:color="auto" w:fill="auto"/>
        <w:spacing w:before="0" w:after="0" w:line="360" w:lineRule="auto"/>
        <w:jc w:val="center"/>
        <w:rPr>
          <w:rFonts w:ascii="新宋体" w:hAnsi="新宋体" w:eastAsia="新宋体" w:cs="Times New Roman"/>
          <w:b/>
          <w:bCs/>
          <w:color w:val="auto"/>
          <w:spacing w:val="0"/>
          <w:kern w:val="2"/>
          <w:sz w:val="36"/>
          <w:szCs w:val="36"/>
          <w:highlight w:val="none"/>
        </w:rPr>
      </w:pPr>
    </w:p>
    <w:bookmarkEnd w:id="50"/>
    <w:p>
      <w:pPr>
        <w:pStyle w:val="29"/>
        <w:shd w:val="clear" w:color="auto" w:fill="auto"/>
        <w:spacing w:before="0" w:after="0" w:line="360" w:lineRule="auto"/>
        <w:jc w:val="center"/>
        <w:outlineLvl w:val="0"/>
        <w:rPr>
          <w:rFonts w:hint="eastAsia" w:ascii="新宋体" w:hAnsi="新宋体" w:eastAsia="新宋体" w:cs="Times New Roman"/>
          <w:b/>
          <w:bCs/>
          <w:color w:val="auto"/>
          <w:sz w:val="56"/>
          <w:szCs w:val="56"/>
          <w:highlight w:val="none"/>
          <w:lang w:eastAsia="zh-CN"/>
        </w:rPr>
      </w:pPr>
      <w:r>
        <w:rPr>
          <w:rFonts w:hint="eastAsia" w:ascii="新宋体" w:hAnsi="新宋体" w:eastAsia="新宋体" w:cs="新宋体"/>
          <w:b/>
          <w:bCs/>
          <w:color w:val="auto"/>
          <w:sz w:val="56"/>
          <w:szCs w:val="56"/>
          <w:highlight w:val="none"/>
          <w:lang w:eastAsia="zh-CN"/>
        </w:rPr>
        <w:t>金润源、金源、国资中心财产保险采购</w:t>
      </w:r>
    </w:p>
    <w:p>
      <w:pPr>
        <w:pStyle w:val="29"/>
        <w:shd w:val="clear" w:color="auto" w:fill="auto"/>
        <w:spacing w:before="0" w:after="0" w:line="1600" w:lineRule="exact"/>
        <w:jc w:val="center"/>
        <w:rPr>
          <w:rFonts w:ascii="新宋体" w:hAnsi="新宋体" w:eastAsia="新宋体" w:cs="Times New Roman"/>
          <w:color w:val="auto"/>
          <w:spacing w:val="0"/>
          <w:kern w:val="2"/>
          <w:sz w:val="130"/>
          <w:szCs w:val="130"/>
          <w:highlight w:val="none"/>
        </w:rPr>
      </w:pPr>
    </w:p>
    <w:p>
      <w:pPr>
        <w:pStyle w:val="29"/>
        <w:shd w:val="clear" w:color="auto" w:fill="auto"/>
        <w:spacing w:before="0" w:after="0" w:line="1600" w:lineRule="exact"/>
        <w:jc w:val="center"/>
        <w:outlineLvl w:val="1"/>
        <w:rPr>
          <w:rFonts w:ascii="新宋体" w:hAnsi="新宋体" w:eastAsia="新宋体" w:cs="Times New Roman"/>
          <w:color w:val="auto"/>
          <w:spacing w:val="0"/>
          <w:kern w:val="2"/>
          <w:sz w:val="130"/>
          <w:szCs w:val="130"/>
          <w:highlight w:val="none"/>
        </w:rPr>
      </w:pPr>
      <w:bookmarkStart w:id="51" w:name="_Toc5992"/>
      <w:bookmarkStart w:id="52" w:name="_Toc1968"/>
      <w:bookmarkStart w:id="53" w:name="_Toc23041_WPSOffice_Level2"/>
      <w:bookmarkStart w:id="54" w:name="_Toc32113_WPSOffice_Level2"/>
      <w:r>
        <w:rPr>
          <w:rFonts w:hint="eastAsia" w:ascii="新宋体" w:hAnsi="新宋体" w:eastAsia="新宋体" w:cs="新宋体"/>
          <w:color w:val="auto"/>
          <w:spacing w:val="0"/>
          <w:kern w:val="2"/>
          <w:sz w:val="130"/>
          <w:szCs w:val="130"/>
          <w:highlight w:val="none"/>
        </w:rPr>
        <w:t>磋商响应文件</w:t>
      </w:r>
      <w:bookmarkEnd w:id="49"/>
      <w:bookmarkEnd w:id="51"/>
      <w:bookmarkEnd w:id="52"/>
      <w:bookmarkEnd w:id="53"/>
      <w:bookmarkEnd w:id="54"/>
    </w:p>
    <w:p>
      <w:pPr>
        <w:pStyle w:val="30"/>
        <w:shd w:val="clear" w:color="auto" w:fill="auto"/>
        <w:spacing w:before="0" w:line="700" w:lineRule="exact"/>
        <w:outlineLvl w:val="1"/>
        <w:rPr>
          <w:rFonts w:ascii="新宋体" w:hAnsi="新宋体" w:eastAsia="新宋体" w:cs="新宋体"/>
          <w:color w:val="auto"/>
          <w:kern w:val="2"/>
          <w:sz w:val="44"/>
          <w:szCs w:val="44"/>
          <w:highlight w:val="none"/>
        </w:rPr>
      </w:pPr>
      <w:bookmarkStart w:id="55" w:name="_Toc1758"/>
      <w:bookmarkStart w:id="56" w:name="_Toc15175_WPSOffice_Level2"/>
      <w:bookmarkStart w:id="57" w:name="_Toc6396"/>
      <w:bookmarkStart w:id="58" w:name="_Toc19639_WPSOffice_Level2"/>
      <w:r>
        <w:rPr>
          <w:rFonts w:ascii="新宋体" w:hAnsi="新宋体" w:eastAsia="新宋体" w:cs="新宋体"/>
          <w:color w:val="auto"/>
          <w:kern w:val="2"/>
          <w:sz w:val="44"/>
          <w:szCs w:val="44"/>
          <w:highlight w:val="none"/>
        </w:rPr>
        <w:t>(</w:t>
      </w:r>
      <w:r>
        <w:rPr>
          <w:rFonts w:hint="eastAsia" w:ascii="新宋体" w:hAnsi="新宋体" w:eastAsia="新宋体" w:cs="新宋体"/>
          <w:color w:val="auto"/>
          <w:kern w:val="2"/>
          <w:sz w:val="44"/>
          <w:szCs w:val="44"/>
          <w:highlight w:val="none"/>
        </w:rPr>
        <w:t>正本</w:t>
      </w:r>
      <w:r>
        <w:rPr>
          <w:rFonts w:ascii="新宋体" w:hAnsi="新宋体" w:eastAsia="新宋体" w:cs="新宋体"/>
          <w:color w:val="auto"/>
          <w:kern w:val="2"/>
          <w:sz w:val="44"/>
          <w:szCs w:val="44"/>
          <w:highlight w:val="none"/>
        </w:rPr>
        <w:t>/</w:t>
      </w:r>
      <w:r>
        <w:rPr>
          <w:rFonts w:hint="eastAsia" w:ascii="新宋体" w:hAnsi="新宋体" w:eastAsia="新宋体" w:cs="新宋体"/>
          <w:color w:val="auto"/>
          <w:kern w:val="2"/>
          <w:sz w:val="44"/>
          <w:szCs w:val="44"/>
          <w:highlight w:val="none"/>
        </w:rPr>
        <w:t>副本</w:t>
      </w:r>
      <w:r>
        <w:rPr>
          <w:rFonts w:ascii="新宋体" w:hAnsi="新宋体" w:eastAsia="新宋体" w:cs="新宋体"/>
          <w:color w:val="auto"/>
          <w:kern w:val="2"/>
          <w:sz w:val="44"/>
          <w:szCs w:val="44"/>
          <w:highlight w:val="none"/>
        </w:rPr>
        <w:t>)</w:t>
      </w:r>
      <w:bookmarkEnd w:id="55"/>
      <w:bookmarkEnd w:id="56"/>
      <w:bookmarkEnd w:id="57"/>
      <w:bookmarkEnd w:id="58"/>
    </w:p>
    <w:p>
      <w:pPr>
        <w:pStyle w:val="30"/>
        <w:shd w:val="clear" w:color="auto" w:fill="auto"/>
        <w:spacing w:before="0" w:line="700" w:lineRule="exact"/>
        <w:rPr>
          <w:rFonts w:ascii="新宋体" w:hAnsi="新宋体" w:eastAsia="新宋体" w:cs="Times New Roman"/>
          <w:color w:val="auto"/>
          <w:kern w:val="2"/>
          <w:sz w:val="32"/>
          <w:szCs w:val="32"/>
          <w:highlight w:val="none"/>
        </w:rPr>
      </w:pPr>
    </w:p>
    <w:p>
      <w:pPr>
        <w:pStyle w:val="30"/>
        <w:shd w:val="clear" w:color="auto" w:fill="auto"/>
        <w:spacing w:before="0" w:line="700" w:lineRule="exact"/>
        <w:rPr>
          <w:rFonts w:ascii="新宋体" w:hAnsi="新宋体" w:eastAsia="新宋体" w:cs="Times New Roman"/>
          <w:color w:val="auto"/>
          <w:kern w:val="2"/>
          <w:sz w:val="32"/>
          <w:szCs w:val="32"/>
          <w:highlight w:val="none"/>
        </w:rPr>
      </w:pPr>
    </w:p>
    <w:p>
      <w:pPr>
        <w:pStyle w:val="30"/>
        <w:shd w:val="clear" w:color="auto" w:fill="auto"/>
        <w:spacing w:before="0" w:line="700" w:lineRule="exact"/>
        <w:rPr>
          <w:rFonts w:ascii="新宋体" w:hAnsi="新宋体" w:eastAsia="新宋体" w:cs="Times New Roman"/>
          <w:color w:val="auto"/>
          <w:kern w:val="2"/>
          <w:sz w:val="32"/>
          <w:szCs w:val="32"/>
          <w:highlight w:val="none"/>
        </w:rPr>
      </w:pPr>
    </w:p>
    <w:p>
      <w:pPr>
        <w:pStyle w:val="30"/>
        <w:shd w:val="clear" w:color="auto" w:fill="auto"/>
        <w:spacing w:before="0" w:line="700" w:lineRule="exact"/>
        <w:jc w:val="both"/>
        <w:rPr>
          <w:rFonts w:ascii="新宋体" w:hAnsi="新宋体" w:eastAsia="新宋体" w:cs="Times New Roman"/>
          <w:color w:val="auto"/>
          <w:kern w:val="2"/>
          <w:sz w:val="32"/>
          <w:szCs w:val="32"/>
          <w:highlight w:val="none"/>
        </w:rPr>
      </w:pPr>
    </w:p>
    <w:p>
      <w:pPr>
        <w:pStyle w:val="30"/>
        <w:shd w:val="clear" w:color="auto" w:fill="auto"/>
        <w:spacing w:before="0" w:line="700" w:lineRule="exact"/>
        <w:ind w:left="1978" w:leftChars="942"/>
        <w:jc w:val="left"/>
        <w:outlineLvl w:val="1"/>
        <w:rPr>
          <w:rFonts w:ascii="新宋体" w:hAnsi="新宋体" w:eastAsia="新宋体" w:cs="Times New Roman"/>
          <w:color w:val="auto"/>
          <w:kern w:val="2"/>
          <w:sz w:val="32"/>
          <w:szCs w:val="32"/>
          <w:highlight w:val="none"/>
          <w:u w:val="single"/>
        </w:rPr>
      </w:pPr>
      <w:bookmarkStart w:id="59" w:name="_Toc4148"/>
      <w:bookmarkStart w:id="60" w:name="_Toc7368"/>
      <w:bookmarkStart w:id="61" w:name="_Toc1891_WPSOffice_Level2"/>
      <w:bookmarkStart w:id="62" w:name="_Toc23845_WPSOffice_Level2"/>
      <w:r>
        <w:rPr>
          <w:rFonts w:hint="eastAsia" w:ascii="新宋体" w:hAnsi="新宋体" w:eastAsia="新宋体" w:cs="新宋体"/>
          <w:color w:val="auto"/>
          <w:kern w:val="2"/>
          <w:sz w:val="32"/>
          <w:szCs w:val="32"/>
          <w:highlight w:val="none"/>
        </w:rPr>
        <w:t>项目编号：</w:t>
      </w:r>
      <w:bookmarkEnd w:id="59"/>
      <w:bookmarkEnd w:id="60"/>
      <w:bookmarkEnd w:id="61"/>
      <w:bookmarkEnd w:id="62"/>
    </w:p>
    <w:p>
      <w:pPr>
        <w:pStyle w:val="30"/>
        <w:shd w:val="clear" w:color="auto" w:fill="auto"/>
        <w:spacing w:before="0" w:line="700" w:lineRule="exact"/>
        <w:ind w:left="1978" w:leftChars="942"/>
        <w:jc w:val="left"/>
        <w:outlineLvl w:val="1"/>
        <w:rPr>
          <w:rFonts w:ascii="新宋体" w:hAnsi="新宋体" w:eastAsia="新宋体" w:cs="Times New Roman"/>
          <w:color w:val="auto"/>
          <w:kern w:val="2"/>
          <w:sz w:val="32"/>
          <w:szCs w:val="32"/>
          <w:highlight w:val="none"/>
        </w:rPr>
      </w:pPr>
      <w:bookmarkStart w:id="63" w:name="_Toc19917_WPSOffice_Level2"/>
      <w:bookmarkStart w:id="64" w:name="_Toc25190"/>
      <w:bookmarkStart w:id="65" w:name="_Toc9531_WPSOffice_Level2"/>
      <w:bookmarkStart w:id="66" w:name="_Toc12755"/>
      <w:r>
        <w:rPr>
          <w:rFonts w:hint="eastAsia" w:ascii="新宋体" w:hAnsi="新宋体" w:eastAsia="新宋体" w:cs="新宋体"/>
          <w:color w:val="auto"/>
          <w:kern w:val="2"/>
          <w:sz w:val="32"/>
          <w:szCs w:val="32"/>
          <w:highlight w:val="none"/>
        </w:rPr>
        <w:t>供应商名称</w:t>
      </w:r>
      <w:r>
        <w:rPr>
          <w:rFonts w:ascii="新宋体" w:hAnsi="新宋体" w:eastAsia="新宋体" w:cs="新宋体"/>
          <w:color w:val="auto"/>
          <w:kern w:val="2"/>
          <w:sz w:val="32"/>
          <w:szCs w:val="32"/>
          <w:highlight w:val="none"/>
        </w:rPr>
        <w:t>(</w:t>
      </w:r>
      <w:r>
        <w:rPr>
          <w:rFonts w:hint="eastAsia" w:ascii="新宋体" w:hAnsi="新宋体" w:eastAsia="新宋体" w:cs="新宋体"/>
          <w:color w:val="auto"/>
          <w:kern w:val="2"/>
          <w:sz w:val="32"/>
          <w:szCs w:val="32"/>
          <w:highlight w:val="none"/>
        </w:rPr>
        <w:t>盖行政公章</w:t>
      </w:r>
      <w:r>
        <w:rPr>
          <w:rFonts w:ascii="新宋体" w:hAnsi="新宋体" w:eastAsia="新宋体" w:cs="新宋体"/>
          <w:color w:val="auto"/>
          <w:kern w:val="2"/>
          <w:sz w:val="32"/>
          <w:szCs w:val="32"/>
          <w:highlight w:val="none"/>
        </w:rPr>
        <w:t>)</w:t>
      </w:r>
      <w:r>
        <w:rPr>
          <w:rFonts w:hint="eastAsia" w:ascii="新宋体" w:hAnsi="新宋体" w:eastAsia="新宋体" w:cs="新宋体"/>
          <w:color w:val="auto"/>
          <w:kern w:val="2"/>
          <w:sz w:val="32"/>
          <w:szCs w:val="32"/>
          <w:highlight w:val="none"/>
        </w:rPr>
        <w:t>：</w:t>
      </w:r>
      <w:bookmarkEnd w:id="63"/>
      <w:bookmarkEnd w:id="64"/>
      <w:bookmarkEnd w:id="65"/>
      <w:bookmarkEnd w:id="66"/>
    </w:p>
    <w:p>
      <w:pPr>
        <w:pStyle w:val="30"/>
        <w:shd w:val="clear" w:color="auto" w:fill="auto"/>
        <w:spacing w:before="0" w:line="700" w:lineRule="exact"/>
        <w:ind w:left="1978" w:leftChars="942"/>
        <w:jc w:val="left"/>
        <w:outlineLvl w:val="1"/>
        <w:rPr>
          <w:rFonts w:ascii="新宋体" w:hAnsi="新宋体" w:eastAsia="新宋体" w:cs="Times New Roman"/>
          <w:color w:val="auto"/>
          <w:kern w:val="2"/>
          <w:sz w:val="32"/>
          <w:szCs w:val="32"/>
          <w:highlight w:val="none"/>
        </w:rPr>
      </w:pPr>
      <w:bookmarkStart w:id="67" w:name="_Toc32752_WPSOffice_Level2"/>
      <w:bookmarkStart w:id="68" w:name="_Toc9032"/>
      <w:bookmarkStart w:id="69" w:name="_Toc22705"/>
      <w:bookmarkStart w:id="70" w:name="_Toc3932_WPSOffice_Level2"/>
      <w:r>
        <w:rPr>
          <w:rFonts w:hint="eastAsia" w:ascii="新宋体" w:hAnsi="新宋体" w:eastAsia="新宋体" w:cs="新宋体"/>
          <w:color w:val="auto"/>
          <w:kern w:val="2"/>
          <w:sz w:val="32"/>
          <w:szCs w:val="32"/>
          <w:highlight w:val="none"/>
        </w:rPr>
        <w:t>日期：</w:t>
      </w:r>
      <w:bookmarkEnd w:id="67"/>
      <w:bookmarkEnd w:id="68"/>
      <w:bookmarkEnd w:id="69"/>
      <w:bookmarkEnd w:id="70"/>
      <w:r>
        <w:rPr>
          <w:rFonts w:ascii="新宋体" w:hAnsi="新宋体" w:eastAsia="新宋体" w:cs="Times New Roman"/>
          <w:color w:val="auto"/>
          <w:kern w:val="2"/>
          <w:sz w:val="32"/>
          <w:szCs w:val="32"/>
          <w:highlight w:val="none"/>
        </w:rPr>
        <w:tab/>
      </w:r>
      <w:bookmarkStart w:id="71" w:name="bookmark33"/>
    </w:p>
    <w:p>
      <w:pPr>
        <w:pStyle w:val="31"/>
        <w:shd w:val="clear" w:color="auto" w:fill="auto"/>
        <w:tabs>
          <w:tab w:val="left" w:leader="underscore" w:pos="5266"/>
        </w:tabs>
        <w:spacing w:before="0" w:line="700" w:lineRule="exact"/>
        <w:jc w:val="center"/>
        <w:outlineLvl w:val="0"/>
        <w:rPr>
          <w:rFonts w:ascii="新宋体" w:hAnsi="新宋体" w:eastAsia="新宋体" w:cs="Times New Roman"/>
          <w:b w:val="0"/>
          <w:bCs w:val="0"/>
          <w:color w:val="auto"/>
          <w:sz w:val="36"/>
          <w:szCs w:val="36"/>
          <w:highlight w:val="none"/>
        </w:rPr>
      </w:pPr>
      <w:r>
        <w:rPr>
          <w:rFonts w:ascii="新宋体" w:hAnsi="新宋体" w:eastAsia="新宋体" w:cs="Times New Roman"/>
          <w:color w:val="auto"/>
          <w:kern w:val="2"/>
          <w:sz w:val="32"/>
          <w:szCs w:val="32"/>
          <w:highlight w:val="none"/>
        </w:rPr>
        <w:br w:type="page"/>
      </w:r>
      <w:bookmarkEnd w:id="71"/>
      <w:bookmarkStart w:id="72" w:name="_Toc6578160"/>
      <w:bookmarkStart w:id="73" w:name="_Toc14200_WPSOffice_Level1"/>
      <w:bookmarkStart w:id="74" w:name="_Toc4163_WPSOffice_Level1"/>
      <w:bookmarkStart w:id="75" w:name="_Toc24150"/>
      <w:bookmarkStart w:id="76" w:name="_Toc12766"/>
      <w:bookmarkStart w:id="77" w:name="_Toc522097485"/>
      <w:r>
        <w:rPr>
          <w:rFonts w:hint="eastAsia" w:ascii="新宋体" w:hAnsi="新宋体" w:eastAsia="新宋体" w:cs="新宋体"/>
          <w:b w:val="0"/>
          <w:bCs w:val="0"/>
          <w:color w:val="auto"/>
          <w:sz w:val="36"/>
          <w:szCs w:val="36"/>
          <w:highlight w:val="none"/>
        </w:rPr>
        <w:t>第一部分、商务文件</w:t>
      </w:r>
      <w:bookmarkEnd w:id="72"/>
      <w:bookmarkEnd w:id="73"/>
      <w:bookmarkEnd w:id="74"/>
      <w:bookmarkEnd w:id="75"/>
      <w:bookmarkEnd w:id="76"/>
      <w:bookmarkEnd w:id="77"/>
    </w:p>
    <w:bookmarkEnd w:id="44"/>
    <w:bookmarkEnd w:id="45"/>
    <w:bookmarkEnd w:id="46"/>
    <w:bookmarkEnd w:id="47"/>
    <w:p>
      <w:pPr>
        <w:spacing w:before="156" w:beforeLines="50" w:after="156" w:afterLines="50" w:line="312" w:lineRule="auto"/>
        <w:ind w:left="581" w:leftChars="200" w:hanging="161" w:hangingChars="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磋商</w:t>
      </w:r>
      <w:r>
        <w:rPr>
          <w:rFonts w:hint="eastAsia" w:ascii="宋体" w:hAnsi="宋体" w:eastAsia="宋体" w:cs="宋体"/>
          <w:b/>
          <w:color w:val="auto"/>
          <w:sz w:val="32"/>
          <w:szCs w:val="32"/>
          <w:highlight w:val="none"/>
        </w:rPr>
        <w:t>响应函</w:t>
      </w:r>
    </w:p>
    <w:p>
      <w:pPr>
        <w:pStyle w:val="35"/>
        <w:adjustRightInd w:val="0"/>
        <w:snapToGrid w:val="0"/>
        <w:spacing w:line="400" w:lineRule="exact"/>
        <w:rPr>
          <w:rFonts w:ascii="宋体" w:hAnsi="宋体" w:eastAsia="宋体"/>
          <w:color w:val="auto"/>
          <w:sz w:val="24"/>
          <w:szCs w:val="24"/>
        </w:rPr>
      </w:pPr>
      <w:r>
        <w:rPr>
          <w:rFonts w:hint="eastAsia" w:ascii="宋体" w:hAnsi="宋体" w:eastAsia="宋体"/>
          <w:color w:val="auto"/>
          <w:sz w:val="24"/>
          <w:szCs w:val="24"/>
          <w:u w:val="single"/>
        </w:rPr>
        <w:t>(采购人名称)</w:t>
      </w:r>
      <w:r>
        <w:rPr>
          <w:rFonts w:hint="eastAsia" w:ascii="宋体" w:hAnsi="宋体" w:eastAsia="宋体"/>
          <w:color w:val="auto"/>
          <w:sz w:val="24"/>
          <w:szCs w:val="24"/>
        </w:rPr>
        <w:t>：</w:t>
      </w:r>
    </w:p>
    <w:p>
      <w:pPr>
        <w:pStyle w:val="37"/>
        <w:spacing w:line="440" w:lineRule="exact"/>
        <w:ind w:firstLine="480"/>
        <w:rPr>
          <w:rFonts w:hint="eastAsia" w:hAnsi="宋体"/>
          <w:color w:val="auto"/>
          <w:sz w:val="24"/>
          <w:szCs w:val="24"/>
        </w:rPr>
      </w:pPr>
      <w:r>
        <w:rPr>
          <w:rFonts w:hint="eastAsia" w:hAnsi="宋体"/>
          <w:color w:val="auto"/>
          <w:sz w:val="24"/>
          <w:szCs w:val="24"/>
        </w:rPr>
        <w:t>依据贵方</w:t>
      </w:r>
      <w:r>
        <w:rPr>
          <w:rFonts w:hint="eastAsia" w:hAnsi="宋体"/>
          <w:color w:val="auto"/>
          <w:sz w:val="24"/>
          <w:szCs w:val="24"/>
          <w:u w:val="single"/>
        </w:rPr>
        <w:t>（项目名称/文件编号）</w:t>
      </w:r>
      <w:r>
        <w:rPr>
          <w:rFonts w:hint="eastAsia" w:hAnsi="宋体"/>
          <w:color w:val="auto"/>
          <w:sz w:val="24"/>
          <w:szCs w:val="24"/>
        </w:rPr>
        <w:t>项目政府采购的磋商邀请，我方</w:t>
      </w:r>
      <w:r>
        <w:rPr>
          <w:rFonts w:hint="eastAsia" w:hAnsi="宋体"/>
          <w:color w:val="auto"/>
          <w:sz w:val="24"/>
          <w:szCs w:val="24"/>
          <w:u w:val="single"/>
        </w:rPr>
        <w:t>（姓名和职务）</w:t>
      </w:r>
      <w:r>
        <w:rPr>
          <w:rFonts w:hint="eastAsia" w:hAnsi="宋体"/>
          <w:color w:val="auto"/>
          <w:sz w:val="24"/>
          <w:szCs w:val="24"/>
        </w:rPr>
        <w:t>经正式授权并代表供应商</w:t>
      </w:r>
      <w:r>
        <w:rPr>
          <w:rFonts w:hint="eastAsia" w:hAnsi="宋体"/>
          <w:color w:val="auto"/>
          <w:sz w:val="24"/>
          <w:szCs w:val="24"/>
          <w:u w:val="single"/>
        </w:rPr>
        <w:t>（供应商名称、地址）</w:t>
      </w:r>
      <w:r>
        <w:rPr>
          <w:rFonts w:hint="eastAsia" w:hAnsi="宋体"/>
          <w:color w:val="auto"/>
          <w:sz w:val="24"/>
          <w:szCs w:val="24"/>
        </w:rPr>
        <w:t>提交下述响应文件两份。</w:t>
      </w:r>
    </w:p>
    <w:p>
      <w:pPr>
        <w:pStyle w:val="37"/>
        <w:spacing w:line="440" w:lineRule="exact"/>
        <w:ind w:firstLine="480" w:firstLineChars="200"/>
        <w:rPr>
          <w:rFonts w:hint="eastAsia" w:hAnsi="宋体"/>
          <w:color w:val="auto"/>
          <w:sz w:val="24"/>
          <w:szCs w:val="24"/>
        </w:rPr>
      </w:pPr>
      <w:r>
        <w:rPr>
          <w:rFonts w:hint="eastAsia" w:hAnsi="宋体"/>
          <w:color w:val="auto"/>
          <w:sz w:val="24"/>
          <w:szCs w:val="24"/>
        </w:rPr>
        <w:t>1.磋商响应函；</w:t>
      </w:r>
    </w:p>
    <w:p>
      <w:pPr>
        <w:pStyle w:val="37"/>
        <w:spacing w:line="440" w:lineRule="exact"/>
        <w:ind w:firstLine="480" w:firstLineChars="200"/>
        <w:rPr>
          <w:rFonts w:hint="eastAsia" w:hAnsi="宋体"/>
          <w:color w:val="auto"/>
          <w:sz w:val="24"/>
          <w:szCs w:val="24"/>
        </w:rPr>
      </w:pPr>
      <w:r>
        <w:rPr>
          <w:rFonts w:hint="eastAsia" w:hAnsi="宋体"/>
          <w:color w:val="auto"/>
          <w:sz w:val="24"/>
          <w:szCs w:val="24"/>
        </w:rPr>
        <w:t>2.</w:t>
      </w:r>
      <w:r>
        <w:rPr>
          <w:rFonts w:hint="eastAsia" w:hAnsi="宋体"/>
          <w:color w:val="auto"/>
          <w:sz w:val="24"/>
          <w:szCs w:val="24"/>
          <w:lang w:eastAsia="zh-CN"/>
        </w:rPr>
        <w:t>相关承诺</w:t>
      </w:r>
      <w:r>
        <w:rPr>
          <w:rFonts w:hint="eastAsia" w:hAnsi="宋体"/>
          <w:color w:val="auto"/>
          <w:sz w:val="24"/>
          <w:szCs w:val="24"/>
        </w:rPr>
        <w:t>；</w:t>
      </w:r>
    </w:p>
    <w:p>
      <w:pPr>
        <w:pStyle w:val="37"/>
        <w:spacing w:line="440" w:lineRule="exact"/>
        <w:ind w:firstLine="480" w:firstLineChars="200"/>
        <w:rPr>
          <w:rFonts w:hint="eastAsia" w:hAnsi="宋体"/>
          <w:color w:val="auto"/>
          <w:sz w:val="24"/>
          <w:szCs w:val="24"/>
          <w:lang w:eastAsia="zh-CN"/>
        </w:rPr>
      </w:pPr>
      <w:r>
        <w:rPr>
          <w:rFonts w:hint="eastAsia" w:hAnsi="宋体"/>
          <w:color w:val="auto"/>
          <w:sz w:val="24"/>
          <w:szCs w:val="24"/>
        </w:rPr>
        <w:t>3.</w:t>
      </w:r>
      <w:r>
        <w:rPr>
          <w:rFonts w:hint="eastAsia" w:hAnsi="宋体"/>
          <w:color w:val="auto"/>
          <w:sz w:val="24"/>
          <w:szCs w:val="24"/>
          <w:lang w:eastAsia="zh-CN"/>
        </w:rPr>
        <w:t>报价一览表；</w:t>
      </w:r>
    </w:p>
    <w:p>
      <w:pPr>
        <w:pStyle w:val="37"/>
        <w:spacing w:line="440" w:lineRule="exact"/>
        <w:ind w:firstLine="480" w:firstLineChars="200"/>
        <w:rPr>
          <w:rFonts w:hint="eastAsia" w:hAnsi="宋体"/>
          <w:color w:val="auto"/>
          <w:sz w:val="24"/>
          <w:szCs w:val="24"/>
        </w:rPr>
      </w:pPr>
      <w:r>
        <w:rPr>
          <w:rFonts w:hint="eastAsia" w:hAnsi="宋体"/>
          <w:color w:val="auto"/>
          <w:sz w:val="24"/>
          <w:szCs w:val="24"/>
          <w:lang w:eastAsia="zh-CN"/>
        </w:rPr>
        <w:t>4</w:t>
      </w:r>
      <w:r>
        <w:rPr>
          <w:rFonts w:hint="eastAsia" w:hAnsi="宋体"/>
          <w:color w:val="auto"/>
          <w:sz w:val="24"/>
          <w:szCs w:val="24"/>
        </w:rPr>
        <w:t>.</w:t>
      </w:r>
      <w:r>
        <w:rPr>
          <w:rFonts w:hint="eastAsia" w:hAnsi="宋体"/>
          <w:color w:val="auto"/>
          <w:sz w:val="24"/>
          <w:szCs w:val="24"/>
          <w:lang w:eastAsia="zh-CN"/>
        </w:rPr>
        <w:t>项目实施方案</w:t>
      </w:r>
      <w:r>
        <w:rPr>
          <w:rFonts w:hint="eastAsia" w:hAnsi="宋体"/>
          <w:color w:val="auto"/>
          <w:sz w:val="24"/>
          <w:szCs w:val="24"/>
        </w:rPr>
        <w:t>；</w:t>
      </w:r>
    </w:p>
    <w:p>
      <w:pPr>
        <w:pStyle w:val="37"/>
        <w:spacing w:line="440" w:lineRule="exact"/>
        <w:ind w:left="851" w:leftChars="267" w:hanging="290" w:hangingChars="121"/>
        <w:rPr>
          <w:rFonts w:hint="eastAsia" w:hAnsi="宋体"/>
          <w:color w:val="auto"/>
          <w:sz w:val="24"/>
          <w:szCs w:val="24"/>
        </w:rPr>
      </w:pPr>
      <w:r>
        <w:rPr>
          <w:rFonts w:hint="eastAsia" w:hAnsi="宋体"/>
          <w:color w:val="auto"/>
          <w:sz w:val="24"/>
          <w:szCs w:val="24"/>
          <w:lang w:eastAsia="zh-CN"/>
        </w:rPr>
        <w:t>5</w:t>
      </w:r>
      <w:r>
        <w:rPr>
          <w:rFonts w:hint="eastAsia" w:hAnsi="宋体"/>
          <w:color w:val="auto"/>
          <w:sz w:val="24"/>
          <w:szCs w:val="24"/>
        </w:rPr>
        <w:t>.资格证明文件；</w:t>
      </w:r>
    </w:p>
    <w:p>
      <w:pPr>
        <w:pStyle w:val="37"/>
        <w:spacing w:line="440" w:lineRule="exact"/>
        <w:ind w:firstLine="480" w:firstLineChars="200"/>
        <w:rPr>
          <w:rFonts w:hint="eastAsia" w:hAnsi="宋体"/>
          <w:color w:val="auto"/>
          <w:sz w:val="24"/>
          <w:szCs w:val="24"/>
        </w:rPr>
      </w:pPr>
      <w:r>
        <w:rPr>
          <w:rFonts w:hint="eastAsia" w:hAnsi="宋体"/>
          <w:color w:val="auto"/>
          <w:sz w:val="24"/>
          <w:szCs w:val="24"/>
          <w:lang w:eastAsia="zh-CN"/>
        </w:rPr>
        <w:t>6</w:t>
      </w:r>
      <w:r>
        <w:rPr>
          <w:rFonts w:hint="eastAsia" w:hAnsi="宋体"/>
          <w:color w:val="auto"/>
          <w:sz w:val="24"/>
          <w:szCs w:val="24"/>
        </w:rPr>
        <w:t>.按竞争性磋商文件磋商须知和技术规格要求提供的有关文件</w:t>
      </w:r>
      <w:r>
        <w:rPr>
          <w:rFonts w:hint="eastAsia" w:hAnsi="宋体" w:eastAsia="宋体"/>
          <w:color w:val="auto"/>
          <w:sz w:val="24"/>
          <w:szCs w:val="24"/>
        </w:rPr>
        <w:t>。</w:t>
      </w:r>
    </w:p>
    <w:p>
      <w:pPr>
        <w:pStyle w:val="37"/>
        <w:spacing w:line="440" w:lineRule="exact"/>
        <w:rPr>
          <w:rFonts w:hint="eastAsia" w:hAnsi="宋体"/>
          <w:color w:val="auto"/>
          <w:sz w:val="24"/>
          <w:szCs w:val="24"/>
        </w:rPr>
      </w:pPr>
      <w:r>
        <w:rPr>
          <w:rFonts w:hint="eastAsia" w:hAnsi="宋体"/>
          <w:color w:val="auto"/>
          <w:sz w:val="24"/>
          <w:szCs w:val="24"/>
        </w:rPr>
        <w:t>在此，我方宣布同意如下：</w:t>
      </w:r>
    </w:p>
    <w:p>
      <w:pPr>
        <w:pStyle w:val="37"/>
        <w:spacing w:line="440" w:lineRule="exact"/>
        <w:ind w:firstLine="480" w:firstLineChars="200"/>
        <w:rPr>
          <w:rFonts w:hint="eastAsia" w:hAnsi="宋体"/>
          <w:color w:val="auto"/>
          <w:sz w:val="24"/>
          <w:szCs w:val="24"/>
        </w:rPr>
      </w:pPr>
      <w:r>
        <w:rPr>
          <w:rFonts w:hint="eastAsia" w:hAnsi="宋体"/>
          <w:color w:val="auto"/>
          <w:sz w:val="24"/>
          <w:szCs w:val="24"/>
        </w:rPr>
        <w:t>（1）将按竞争性磋商文件的约定履行合同责任和义务；</w:t>
      </w:r>
    </w:p>
    <w:p>
      <w:pPr>
        <w:pStyle w:val="37"/>
        <w:spacing w:line="440" w:lineRule="exact"/>
        <w:ind w:left="1" w:firstLine="484" w:firstLineChars="202"/>
        <w:rPr>
          <w:rFonts w:hint="eastAsia" w:hAnsi="宋体"/>
          <w:color w:val="auto"/>
          <w:sz w:val="24"/>
          <w:szCs w:val="24"/>
        </w:rPr>
      </w:pPr>
      <w:r>
        <w:rPr>
          <w:rFonts w:hint="eastAsia" w:hAnsi="宋体"/>
          <w:color w:val="auto"/>
          <w:sz w:val="24"/>
          <w:szCs w:val="24"/>
        </w:rPr>
        <w:t>（2）</w:t>
      </w:r>
      <w:r>
        <w:rPr>
          <w:rFonts w:hAnsi="宋体"/>
          <w:color w:val="auto"/>
          <w:sz w:val="24"/>
          <w:szCs w:val="24"/>
        </w:rPr>
        <w:t>我方已审阅全部竞争性</w:t>
      </w:r>
      <w:r>
        <w:rPr>
          <w:rFonts w:hint="eastAsia" w:hAnsi="宋体"/>
          <w:color w:val="auto"/>
          <w:sz w:val="24"/>
          <w:szCs w:val="24"/>
        </w:rPr>
        <w:t>磋商</w:t>
      </w:r>
      <w:r>
        <w:rPr>
          <w:rFonts w:hAnsi="宋体"/>
          <w:color w:val="auto"/>
          <w:sz w:val="24"/>
          <w:szCs w:val="24"/>
        </w:rPr>
        <w:t>文件，包括</w:t>
      </w:r>
      <w:r>
        <w:rPr>
          <w:rFonts w:hint="eastAsia" w:hAnsi="宋体"/>
          <w:color w:val="auto"/>
          <w:sz w:val="24"/>
          <w:szCs w:val="24"/>
        </w:rPr>
        <w:t>磋商</w:t>
      </w:r>
      <w:r>
        <w:rPr>
          <w:rFonts w:hAnsi="宋体"/>
          <w:color w:val="auto"/>
          <w:sz w:val="24"/>
          <w:szCs w:val="24"/>
        </w:rPr>
        <w:t>文件的澄清和更正公告（如有）及相关附件，我方已完全理解</w:t>
      </w:r>
      <w:r>
        <w:rPr>
          <w:rFonts w:hint="eastAsia" w:hAnsi="宋体"/>
          <w:color w:val="auto"/>
          <w:sz w:val="24"/>
          <w:szCs w:val="24"/>
        </w:rPr>
        <w:t>磋商</w:t>
      </w:r>
      <w:r>
        <w:rPr>
          <w:rFonts w:hAnsi="宋体"/>
          <w:color w:val="auto"/>
          <w:sz w:val="24"/>
          <w:szCs w:val="24"/>
        </w:rPr>
        <w:t>文件并对</w:t>
      </w:r>
      <w:r>
        <w:rPr>
          <w:rFonts w:hint="eastAsia" w:hAnsi="宋体"/>
          <w:color w:val="auto"/>
          <w:sz w:val="24"/>
          <w:szCs w:val="24"/>
        </w:rPr>
        <w:t>磋商</w:t>
      </w:r>
      <w:r>
        <w:rPr>
          <w:rFonts w:hAnsi="宋体"/>
          <w:color w:val="auto"/>
          <w:sz w:val="24"/>
          <w:szCs w:val="24"/>
        </w:rPr>
        <w:t>文件不存在任何异议。</w:t>
      </w:r>
    </w:p>
    <w:p>
      <w:pPr>
        <w:pStyle w:val="37"/>
        <w:spacing w:line="440" w:lineRule="exact"/>
        <w:ind w:left="1" w:firstLine="484" w:firstLineChars="202"/>
        <w:rPr>
          <w:rFonts w:hAnsi="宋体"/>
          <w:color w:val="auto"/>
          <w:sz w:val="24"/>
          <w:szCs w:val="24"/>
        </w:rPr>
      </w:pPr>
      <w:r>
        <w:rPr>
          <w:rFonts w:hint="eastAsia" w:hAnsi="宋体"/>
          <w:color w:val="auto"/>
          <w:sz w:val="24"/>
          <w:szCs w:val="24"/>
        </w:rPr>
        <w:t>（</w:t>
      </w:r>
      <w:r>
        <w:rPr>
          <w:rFonts w:hAnsi="宋体"/>
          <w:color w:val="auto"/>
          <w:sz w:val="24"/>
          <w:szCs w:val="24"/>
        </w:rPr>
        <w:t>3）所提交的</w:t>
      </w:r>
      <w:r>
        <w:rPr>
          <w:rFonts w:hint="eastAsia" w:hAnsi="宋体"/>
          <w:color w:val="auto"/>
          <w:sz w:val="24"/>
          <w:szCs w:val="24"/>
        </w:rPr>
        <w:t>响应文件</w:t>
      </w:r>
      <w:r>
        <w:rPr>
          <w:rFonts w:hAnsi="宋体"/>
          <w:color w:val="auto"/>
          <w:sz w:val="24"/>
          <w:szCs w:val="24"/>
        </w:rPr>
        <w:t>在</w:t>
      </w:r>
      <w:r>
        <w:rPr>
          <w:rFonts w:hint="eastAsia" w:hAnsi="宋体"/>
          <w:color w:val="auto"/>
          <w:sz w:val="24"/>
          <w:szCs w:val="24"/>
        </w:rPr>
        <w:t>磋商</w:t>
      </w:r>
      <w:r>
        <w:rPr>
          <w:rFonts w:hAnsi="宋体"/>
          <w:color w:val="auto"/>
          <w:sz w:val="24"/>
          <w:szCs w:val="24"/>
        </w:rPr>
        <w:t>文件规定的</w:t>
      </w:r>
      <w:r>
        <w:rPr>
          <w:rFonts w:hint="eastAsia" w:hAnsi="宋体"/>
          <w:color w:val="auto"/>
          <w:sz w:val="24"/>
          <w:szCs w:val="24"/>
        </w:rPr>
        <w:t>磋商</w:t>
      </w:r>
      <w:r>
        <w:rPr>
          <w:rFonts w:hAnsi="宋体"/>
          <w:color w:val="auto"/>
          <w:sz w:val="24"/>
          <w:szCs w:val="24"/>
        </w:rPr>
        <w:t>有效期内有效，在此期间内如果中标，我方将受此约束。</w:t>
      </w:r>
    </w:p>
    <w:p>
      <w:pPr>
        <w:pStyle w:val="37"/>
        <w:spacing w:line="440" w:lineRule="exact"/>
        <w:ind w:left="1" w:firstLine="484" w:firstLineChars="202"/>
        <w:rPr>
          <w:rFonts w:hint="eastAsia" w:hAnsi="宋体"/>
          <w:color w:val="auto"/>
          <w:sz w:val="24"/>
          <w:szCs w:val="24"/>
        </w:rPr>
      </w:pPr>
      <w:r>
        <w:rPr>
          <w:rFonts w:hint="eastAsia" w:hAnsi="宋体"/>
          <w:color w:val="auto"/>
          <w:sz w:val="24"/>
          <w:szCs w:val="24"/>
        </w:rPr>
        <w:t>（</w:t>
      </w:r>
      <w:r>
        <w:rPr>
          <w:rFonts w:hAnsi="宋体"/>
          <w:color w:val="auto"/>
          <w:sz w:val="24"/>
          <w:szCs w:val="24"/>
        </w:rPr>
        <w:t>4）我方承诺所提交的</w:t>
      </w:r>
      <w:r>
        <w:rPr>
          <w:rFonts w:hint="eastAsia" w:hAnsi="宋体"/>
          <w:color w:val="auto"/>
          <w:sz w:val="24"/>
          <w:szCs w:val="24"/>
        </w:rPr>
        <w:t>响应文件</w:t>
      </w:r>
      <w:r>
        <w:rPr>
          <w:rFonts w:hAnsi="宋体"/>
          <w:color w:val="auto"/>
          <w:sz w:val="24"/>
          <w:szCs w:val="24"/>
        </w:rPr>
        <w:t>及相关资料真实有效。</w:t>
      </w:r>
    </w:p>
    <w:p>
      <w:pPr>
        <w:pStyle w:val="37"/>
        <w:spacing w:line="440" w:lineRule="exact"/>
        <w:ind w:firstLine="480" w:firstLineChars="200"/>
        <w:rPr>
          <w:rFonts w:hAnsi="宋体"/>
          <w:color w:val="auto"/>
          <w:sz w:val="24"/>
          <w:szCs w:val="24"/>
        </w:rPr>
      </w:pPr>
      <w:r>
        <w:rPr>
          <w:rFonts w:hint="eastAsia" w:hAnsi="宋体"/>
          <w:color w:val="auto"/>
          <w:sz w:val="24"/>
          <w:szCs w:val="24"/>
        </w:rPr>
        <w:t>（</w:t>
      </w:r>
      <w:r>
        <w:rPr>
          <w:rFonts w:hint="eastAsia" w:hAnsi="宋体"/>
          <w:color w:val="auto"/>
          <w:sz w:val="24"/>
          <w:szCs w:val="24"/>
          <w:lang w:eastAsia="zh-CN"/>
        </w:rPr>
        <w:t>5</w:t>
      </w:r>
      <w:r>
        <w:rPr>
          <w:rFonts w:hAnsi="宋体"/>
          <w:color w:val="auto"/>
          <w:sz w:val="24"/>
          <w:szCs w:val="24"/>
        </w:rPr>
        <w:t>）与本</w:t>
      </w:r>
      <w:r>
        <w:rPr>
          <w:rFonts w:hint="eastAsia" w:hAnsi="宋体"/>
          <w:color w:val="auto"/>
          <w:sz w:val="24"/>
          <w:szCs w:val="24"/>
        </w:rPr>
        <w:t>磋商</w:t>
      </w:r>
      <w:r>
        <w:rPr>
          <w:rFonts w:hAnsi="宋体"/>
          <w:color w:val="auto"/>
          <w:sz w:val="24"/>
          <w:szCs w:val="24"/>
        </w:rPr>
        <w:t>有关的一切正式往来信函请寄：</w:t>
      </w:r>
      <w:r>
        <w:rPr>
          <w:rFonts w:hint="eastAsia" w:hAnsi="宋体"/>
          <w:color w:val="auto"/>
          <w:sz w:val="24"/>
          <w:szCs w:val="24"/>
        </w:rPr>
        <w:t>_____________</w:t>
      </w:r>
      <w:r>
        <w:rPr>
          <w:rFonts w:hAnsi="宋体"/>
          <w:color w:val="auto"/>
          <w:sz w:val="24"/>
          <w:szCs w:val="24"/>
        </w:rPr>
        <w:t>。</w:t>
      </w:r>
    </w:p>
    <w:p>
      <w:pPr>
        <w:pStyle w:val="37"/>
        <w:spacing w:line="440" w:lineRule="exact"/>
        <w:ind w:firstLine="480" w:firstLineChars="200"/>
        <w:rPr>
          <w:rFonts w:hAnsi="宋体"/>
          <w:color w:val="auto"/>
          <w:sz w:val="24"/>
          <w:szCs w:val="24"/>
          <w:u w:val="single"/>
        </w:rPr>
      </w:pPr>
      <w:r>
        <w:rPr>
          <w:rFonts w:hint="eastAsia" w:hAnsi="宋体"/>
          <w:color w:val="auto"/>
          <w:sz w:val="24"/>
          <w:szCs w:val="24"/>
        </w:rPr>
        <w:t>（</w:t>
      </w:r>
      <w:r>
        <w:rPr>
          <w:rFonts w:hint="eastAsia" w:hAnsi="宋体"/>
          <w:color w:val="auto"/>
          <w:sz w:val="24"/>
          <w:szCs w:val="24"/>
          <w:lang w:eastAsia="zh-CN"/>
        </w:rPr>
        <w:t>6</w:t>
      </w:r>
      <w:r>
        <w:rPr>
          <w:rFonts w:hAnsi="宋体"/>
          <w:color w:val="auto"/>
          <w:sz w:val="24"/>
          <w:szCs w:val="24"/>
        </w:rPr>
        <w:t>）其他：_______________________________。</w:t>
      </w:r>
    </w:p>
    <w:p>
      <w:pPr>
        <w:pStyle w:val="37"/>
        <w:spacing w:line="440" w:lineRule="exact"/>
        <w:ind w:firstLine="480" w:firstLineChars="200"/>
        <w:rPr>
          <w:rFonts w:hint="eastAsia" w:hAnsi="宋体"/>
          <w:color w:val="auto"/>
          <w:sz w:val="24"/>
          <w:szCs w:val="24"/>
          <w:u w:val="single"/>
        </w:rPr>
      </w:pPr>
    </w:p>
    <w:p>
      <w:pPr>
        <w:pStyle w:val="37"/>
        <w:spacing w:line="440" w:lineRule="exact"/>
        <w:ind w:firstLine="840"/>
        <w:rPr>
          <w:rFonts w:hint="eastAsia" w:hAnsi="宋体"/>
          <w:color w:val="auto"/>
          <w:sz w:val="24"/>
          <w:szCs w:val="24"/>
          <w:u w:val="single"/>
        </w:rPr>
      </w:pPr>
      <w:r>
        <w:rPr>
          <w:rFonts w:hint="eastAsia" w:hAnsi="宋体"/>
          <w:color w:val="auto"/>
          <w:sz w:val="24"/>
          <w:szCs w:val="24"/>
        </w:rPr>
        <w:t>供应商名称（</w:t>
      </w:r>
      <w:r>
        <w:rPr>
          <w:rFonts w:hint="eastAsia" w:hAnsi="宋体"/>
          <w:color w:val="auto"/>
          <w:sz w:val="24"/>
          <w:szCs w:val="24"/>
          <w:lang w:val="en-US" w:eastAsia="zh-CN"/>
        </w:rPr>
        <w:t>盖</w:t>
      </w:r>
      <w:r>
        <w:rPr>
          <w:rFonts w:hint="eastAsia" w:hAnsi="宋体"/>
          <w:color w:val="auto"/>
          <w:sz w:val="24"/>
          <w:szCs w:val="24"/>
        </w:rPr>
        <w:t>章）：</w:t>
      </w:r>
      <w:r>
        <w:rPr>
          <w:rFonts w:hint="eastAsia" w:hAnsi="宋体"/>
          <w:color w:val="auto"/>
          <w:sz w:val="24"/>
          <w:szCs w:val="24"/>
          <w:u w:val="single"/>
        </w:rPr>
        <w:t xml:space="preserve">                              </w:t>
      </w:r>
    </w:p>
    <w:p>
      <w:pPr>
        <w:pStyle w:val="37"/>
        <w:spacing w:line="440" w:lineRule="exact"/>
        <w:ind w:firstLine="840"/>
        <w:rPr>
          <w:rFonts w:hint="eastAsia" w:hAnsi="宋体"/>
          <w:color w:val="auto"/>
          <w:sz w:val="24"/>
          <w:szCs w:val="24"/>
          <w:u w:val="single"/>
        </w:rPr>
      </w:pPr>
      <w:r>
        <w:rPr>
          <w:rFonts w:hint="eastAsia" w:hAnsi="宋体"/>
          <w:color w:val="auto"/>
          <w:sz w:val="24"/>
          <w:szCs w:val="24"/>
        </w:rPr>
        <w:t>供应商法定代表人（签</w:t>
      </w:r>
      <w:r>
        <w:rPr>
          <w:rFonts w:hint="eastAsia" w:hAnsi="宋体"/>
          <w:color w:val="auto"/>
          <w:sz w:val="24"/>
          <w:szCs w:val="24"/>
          <w:lang w:val="en-US" w:eastAsia="zh-CN"/>
        </w:rPr>
        <w:t>字或</w:t>
      </w:r>
      <w:r>
        <w:rPr>
          <w:rFonts w:hint="eastAsia" w:hAnsi="宋体"/>
          <w:color w:val="auto"/>
          <w:sz w:val="24"/>
          <w:szCs w:val="24"/>
        </w:rPr>
        <w:t>章）：</w:t>
      </w:r>
      <w:r>
        <w:rPr>
          <w:rFonts w:hint="eastAsia" w:hAnsi="宋体"/>
          <w:color w:val="auto"/>
          <w:sz w:val="24"/>
          <w:szCs w:val="24"/>
          <w:u w:val="single"/>
        </w:rPr>
        <w:t xml:space="preserve">                 </w:t>
      </w:r>
    </w:p>
    <w:p>
      <w:pPr>
        <w:pStyle w:val="37"/>
        <w:spacing w:line="440" w:lineRule="exact"/>
        <w:ind w:firstLine="840"/>
        <w:rPr>
          <w:rFonts w:hAnsi="宋体"/>
          <w:color w:val="auto"/>
          <w:sz w:val="24"/>
          <w:szCs w:val="24"/>
        </w:rPr>
      </w:pPr>
      <w:r>
        <w:rPr>
          <w:rFonts w:hint="eastAsia" w:hAnsi="宋体"/>
          <w:color w:val="auto"/>
          <w:sz w:val="24"/>
          <w:szCs w:val="24"/>
        </w:rPr>
        <w:t>日期：</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keepNext w:val="0"/>
        <w:keepLines w:val="0"/>
        <w:pageBreakBefore w:val="0"/>
        <w:kinsoku/>
        <w:wordWrap/>
        <w:overflowPunct/>
        <w:topLinePunct w:val="0"/>
        <w:autoSpaceDE/>
        <w:autoSpaceDN/>
        <w:bidi w:val="0"/>
        <w:spacing w:line="480" w:lineRule="exact"/>
        <w:ind w:left="0" w:leftChars="0" w:right="0" w:rightChars="0"/>
        <w:jc w:val="center"/>
        <w:textAlignment w:val="auto"/>
        <w:outlineLvl w:val="9"/>
        <w:rPr>
          <w:rFonts w:hint="eastAsia" w:ascii="宋体" w:hAnsi="宋体" w:eastAsia="宋体" w:cs="宋体"/>
          <w:b/>
          <w:color w:val="auto"/>
          <w:sz w:val="28"/>
          <w:szCs w:val="28"/>
          <w:highlight w:val="none"/>
        </w:rPr>
      </w:pPr>
      <w:r>
        <w:rPr>
          <w:color w:val="auto"/>
        </w:rPr>
        <w:br w:type="page"/>
      </w:r>
    </w:p>
    <w:p>
      <w:pPr>
        <w:keepNext w:val="0"/>
        <w:keepLines w:val="0"/>
        <w:pageBreakBefore w:val="0"/>
        <w:kinsoku/>
        <w:wordWrap/>
        <w:overflowPunct/>
        <w:topLinePunct w:val="0"/>
        <w:autoSpaceDE/>
        <w:autoSpaceDN/>
        <w:bidi w:val="0"/>
        <w:spacing w:line="480" w:lineRule="exact"/>
        <w:ind w:left="0" w:leftChars="0" w:right="0" w:rightChars="0"/>
        <w:jc w:val="center"/>
        <w:textAlignment w:val="auto"/>
        <w:outlineLvl w:val="9"/>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lang w:eastAsia="zh-CN"/>
        </w:rPr>
        <w:t>报价一览表</w:t>
      </w:r>
    </w:p>
    <w:p>
      <w:pPr>
        <w:keepNext w:val="0"/>
        <w:keepLines w:val="0"/>
        <w:pageBreakBefore w:val="0"/>
        <w:tabs>
          <w:tab w:val="left" w:pos="540"/>
        </w:tabs>
        <w:kinsoku/>
        <w:wordWrap/>
        <w:overflowPunct/>
        <w:topLinePunct w:val="0"/>
        <w:autoSpaceDE/>
        <w:autoSpaceDN/>
        <w:bidi w:val="0"/>
        <w:adjustRightInd w:val="0"/>
        <w:snapToGrid w:val="0"/>
        <w:spacing w:line="480" w:lineRule="exact"/>
        <w:ind w:left="0" w:leftChars="0" w:right="0" w:rightChars="0" w:firstLine="360" w:firstLineChars="15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u w:val="single"/>
        </w:rPr>
        <w:t xml:space="preserve">     服务采购项目</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招标编号：     ）、</w:t>
      </w:r>
      <w:r>
        <w:rPr>
          <w:rFonts w:hint="eastAsia" w:ascii="宋体" w:hAnsi="宋体" w:eastAsia="宋体" w:cs="宋体"/>
          <w:color w:val="auto"/>
          <w:sz w:val="24"/>
          <w:szCs w:val="24"/>
          <w:highlight w:val="none"/>
        </w:rPr>
        <w:t>澄清说明（若有）、我方经过仔细的分析和计算，结合我公司的综合实力和考虑到相关市场风险因素，我方根据</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对本项目的要求愿以下述的价格参加投标，</w:t>
      </w:r>
      <w:r>
        <w:rPr>
          <w:rFonts w:hint="eastAsia" w:ascii="宋体" w:hAnsi="宋体" w:eastAsia="宋体" w:cs="宋体"/>
          <w:b/>
          <w:color w:val="auto"/>
          <w:sz w:val="24"/>
          <w:szCs w:val="24"/>
          <w:highlight w:val="none"/>
        </w:rPr>
        <w:t>报价如下：</w:t>
      </w:r>
    </w:p>
    <w:tbl>
      <w:tblPr>
        <w:tblStyle w:val="19"/>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3"/>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4143" w:type="dxa"/>
            <w:noWrap w:val="0"/>
            <w:vAlign w:val="top"/>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cs="宋体"/>
                <w:b/>
                <w:color w:val="auto"/>
                <w:sz w:val="24"/>
                <w:szCs w:val="24"/>
                <w:highlight w:val="none"/>
                <w:lang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谈判总价（元）</w:t>
            </w:r>
          </w:p>
          <w:p>
            <w:pPr>
              <w:keepNext w:val="0"/>
              <w:keepLines w:val="0"/>
              <w:pageBreakBefore w:val="0"/>
              <w:widowControl/>
              <w:kinsoku/>
              <w:wordWrap/>
              <w:overflowPunct/>
              <w:topLinePunct w:val="0"/>
              <w:autoSpaceDE/>
              <w:autoSpaceDN/>
              <w:bidi w:val="0"/>
              <w:spacing w:line="480" w:lineRule="exact"/>
              <w:ind w:left="0" w:leftChars="0" w:right="0" w:rightChars="0"/>
              <w:jc w:val="left"/>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tc>
        <w:tc>
          <w:tcPr>
            <w:tcW w:w="4456" w:type="dxa"/>
            <w:noWrap w:val="0"/>
            <w:vAlign w:val="top"/>
          </w:tcPr>
          <w:p>
            <w:pPr>
              <w:keepNext w:val="0"/>
              <w:keepLines w:val="0"/>
              <w:pageBreakBefore w:val="0"/>
              <w:widowControl/>
              <w:kinsoku/>
              <w:wordWrap/>
              <w:overflowPunct/>
              <w:topLinePunct w:val="0"/>
              <w:autoSpaceDE/>
              <w:autoSpaceDN/>
              <w:bidi w:val="0"/>
              <w:spacing w:line="480" w:lineRule="exact"/>
              <w:ind w:left="0" w:leftChars="0" w:right="0" w:rightChars="0"/>
              <w:jc w:val="left"/>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p>
            <w:pPr>
              <w:keepNext w:val="0"/>
              <w:keepLines w:val="0"/>
              <w:pageBreakBefore w:val="0"/>
              <w:widowControl/>
              <w:kinsoku/>
              <w:wordWrap/>
              <w:overflowPunct/>
              <w:topLinePunct w:val="0"/>
              <w:autoSpaceDE/>
              <w:autoSpaceDN/>
              <w:bidi w:val="0"/>
              <w:spacing w:line="480" w:lineRule="exact"/>
              <w:ind w:left="0" w:leftChars="0" w:right="0" w:rightChars="0"/>
              <w:jc w:val="left"/>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4143" w:type="dxa"/>
            <w:noWrap w:val="0"/>
            <w:vAlign w:val="top"/>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cs="宋体"/>
                <w:b/>
                <w:color w:val="auto"/>
                <w:sz w:val="24"/>
                <w:szCs w:val="24"/>
                <w:highlight w:val="none"/>
                <w:lang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保险</w:t>
            </w:r>
            <w:r>
              <w:rPr>
                <w:rFonts w:hint="eastAsia" w:ascii="宋体" w:hAnsi="宋体" w:cs="宋体"/>
                <w:b/>
                <w:color w:val="auto"/>
                <w:sz w:val="24"/>
                <w:szCs w:val="24"/>
                <w:highlight w:val="none"/>
                <w:lang w:eastAsia="zh-CN"/>
              </w:rPr>
              <w:t>期限</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tc>
        <w:tc>
          <w:tcPr>
            <w:tcW w:w="4456" w:type="dxa"/>
            <w:noWrap w:val="0"/>
            <w:vAlign w:val="top"/>
          </w:tcPr>
          <w:p>
            <w:pPr>
              <w:keepNext w:val="0"/>
              <w:keepLines w:val="0"/>
              <w:pageBreakBefore w:val="0"/>
              <w:widowControl/>
              <w:kinsoku/>
              <w:wordWrap/>
              <w:overflowPunct/>
              <w:topLinePunct w:val="0"/>
              <w:autoSpaceDE/>
              <w:autoSpaceDN/>
              <w:bidi w:val="0"/>
              <w:spacing w:line="480" w:lineRule="exact"/>
              <w:ind w:left="0" w:leftChars="0" w:right="0" w:rightChars="0"/>
              <w:jc w:val="left"/>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p>
            <w:pPr>
              <w:keepNext w:val="0"/>
              <w:keepLines w:val="0"/>
              <w:pageBreakBefore w:val="0"/>
              <w:widowControl/>
              <w:kinsoku/>
              <w:wordWrap/>
              <w:overflowPunct/>
              <w:topLinePunct w:val="0"/>
              <w:autoSpaceDE/>
              <w:autoSpaceDN/>
              <w:bidi w:val="0"/>
              <w:spacing w:line="480" w:lineRule="exact"/>
              <w:ind w:left="0" w:leftChars="0" w:right="0" w:rightChars="0"/>
              <w:jc w:val="left"/>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4143" w:type="dxa"/>
            <w:noWrap w:val="0"/>
            <w:vAlign w:val="top"/>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both"/>
              <w:textAlignment w:val="auto"/>
              <w:outlineLvl w:val="9"/>
              <w:rPr>
                <w:rFonts w:hint="eastAsia" w:ascii="宋体" w:hAnsi="宋体" w:eastAsia="宋体" w:cs="宋体"/>
                <w:b/>
                <w:color w:val="auto"/>
                <w:sz w:val="24"/>
                <w:szCs w:val="24"/>
                <w:highlight w:val="none"/>
              </w:rPr>
            </w:pPr>
          </w:p>
        </w:tc>
        <w:tc>
          <w:tcPr>
            <w:tcW w:w="4456" w:type="dxa"/>
            <w:noWrap w:val="0"/>
            <w:vAlign w:val="top"/>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480"/>
              <w:textAlignment w:val="auto"/>
              <w:outlineLvl w:val="9"/>
              <w:rPr>
                <w:rFonts w:hint="eastAsia" w:ascii="宋体" w:hAnsi="宋体" w:eastAsia="宋体" w:cs="宋体"/>
                <w:b/>
                <w:color w:val="auto"/>
                <w:sz w:val="24"/>
                <w:szCs w:val="24"/>
                <w:highlight w:val="none"/>
              </w:rPr>
            </w:pPr>
          </w:p>
        </w:tc>
      </w:tr>
    </w:tbl>
    <w:p>
      <w:pPr>
        <w:pStyle w:val="26"/>
        <w:keepNext w:val="0"/>
        <w:keepLines w:val="0"/>
        <w:pageBreakBefore w:val="0"/>
        <w:numPr>
          <w:ilvl w:val="0"/>
          <w:numId w:val="4"/>
        </w:numPr>
        <w:wordWrap/>
        <w:topLinePunct w:val="0"/>
        <w:bidi w:val="0"/>
        <w:spacing w:line="360" w:lineRule="auto"/>
        <w:ind w:firstLine="480" w:firstLineChars="200"/>
        <w:jc w:val="left"/>
        <w:textAlignment w:val="auto"/>
        <w:rPr>
          <w:rFonts w:hint="eastAsia" w:eastAsia="宋体" w:cs="宋体"/>
          <w:color w:val="auto"/>
          <w:kern w:val="0"/>
          <w:sz w:val="24"/>
          <w:szCs w:val="24"/>
          <w:highlight w:val="none"/>
          <w:lang w:eastAsia="zh-CN" w:bidi="ar-SA"/>
        </w:rPr>
      </w:pPr>
      <w:r>
        <w:rPr>
          <w:rFonts w:hint="eastAsia" w:eastAsia="宋体" w:cs="宋体"/>
          <w:color w:val="auto"/>
          <w:kern w:val="0"/>
          <w:sz w:val="24"/>
          <w:szCs w:val="24"/>
          <w:highlight w:val="none"/>
          <w:lang w:eastAsia="zh-CN" w:bidi="ar-SA"/>
        </w:rPr>
        <w:t>我方已详细审查磋商文件、澄清说明（如有），我方将为我们对磋商文件、澄清说明（如有）的误解而产生的后果负责。</w:t>
      </w:r>
    </w:p>
    <w:p>
      <w:pPr>
        <w:pStyle w:val="26"/>
        <w:keepNext w:val="0"/>
        <w:keepLines w:val="0"/>
        <w:pageBreakBefore w:val="0"/>
        <w:numPr>
          <w:ilvl w:val="0"/>
          <w:numId w:val="4"/>
        </w:numPr>
        <w:wordWrap/>
        <w:topLinePunct w:val="0"/>
        <w:bidi w:val="0"/>
        <w:spacing w:line="360" w:lineRule="auto"/>
        <w:ind w:firstLine="480" w:firstLineChars="200"/>
        <w:jc w:val="left"/>
        <w:textAlignment w:val="auto"/>
        <w:rPr>
          <w:rFonts w:hint="eastAsia" w:eastAsia="宋体" w:cs="宋体"/>
          <w:color w:val="auto"/>
          <w:kern w:val="0"/>
          <w:sz w:val="24"/>
          <w:szCs w:val="24"/>
          <w:highlight w:val="none"/>
          <w:lang w:eastAsia="zh-CN" w:bidi="ar-SA"/>
        </w:rPr>
      </w:pPr>
      <w:r>
        <w:rPr>
          <w:rFonts w:hint="eastAsia" w:eastAsia="宋体" w:cs="宋体"/>
          <w:color w:val="auto"/>
          <w:kern w:val="0"/>
          <w:sz w:val="24"/>
          <w:szCs w:val="24"/>
          <w:highlight w:val="none"/>
          <w:lang w:eastAsia="zh-CN" w:bidi="ar-SA"/>
        </w:rPr>
        <w:t>一旦我方中标，我方将严格按磋商文件、澄清说明（如有）的规定和投标文件的承诺签署合同并认真履行合同责任和义务。</w:t>
      </w:r>
    </w:p>
    <w:p>
      <w:pPr>
        <w:pStyle w:val="26"/>
        <w:keepNext w:val="0"/>
        <w:keepLines w:val="0"/>
        <w:pageBreakBefore w:val="0"/>
        <w:numPr>
          <w:ilvl w:val="0"/>
          <w:numId w:val="4"/>
        </w:numPr>
        <w:wordWrap/>
        <w:topLinePunct w:val="0"/>
        <w:bidi w:val="0"/>
        <w:spacing w:line="360" w:lineRule="auto"/>
        <w:ind w:firstLine="480" w:firstLineChars="200"/>
        <w:jc w:val="left"/>
        <w:textAlignment w:val="auto"/>
        <w:rPr>
          <w:rFonts w:hint="eastAsia" w:eastAsia="宋体" w:cs="宋体"/>
          <w:color w:val="auto"/>
          <w:kern w:val="0"/>
          <w:sz w:val="24"/>
          <w:szCs w:val="24"/>
          <w:highlight w:val="none"/>
          <w:lang w:eastAsia="zh-CN" w:bidi="ar-SA"/>
        </w:rPr>
      </w:pPr>
      <w:r>
        <w:rPr>
          <w:rFonts w:hint="eastAsia" w:eastAsia="宋体" w:cs="宋体"/>
          <w:color w:val="auto"/>
          <w:kern w:val="0"/>
          <w:sz w:val="24"/>
          <w:szCs w:val="24"/>
          <w:highlight w:val="none"/>
          <w:lang w:eastAsia="zh-CN" w:bidi="ar-SA"/>
        </w:rPr>
        <w:t>我方同意本项目投标文件对我方本次投标活动始终有约束力。</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950" w:firstLineChars="396"/>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代表（签字）：　　　　　　　                  </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960" w:firstLineChars="4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名称（盖章）：               </w:t>
      </w:r>
    </w:p>
    <w:p>
      <w:pPr>
        <w:keepNext w:val="0"/>
        <w:keepLines w:val="0"/>
        <w:pageBreakBefore w:val="0"/>
        <w:kinsoku/>
        <w:wordWrap/>
        <w:overflowPunct/>
        <w:topLinePunct w:val="0"/>
        <w:autoSpaceDE/>
        <w:autoSpaceDN/>
        <w:bidi w:val="0"/>
        <w:spacing w:line="480" w:lineRule="exact"/>
        <w:ind w:left="0" w:leftChars="0" w:right="0" w:rightChars="0" w:firstLine="1680" w:firstLineChars="70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spacing w:line="360" w:lineRule="auto"/>
        <w:jc w:val="both"/>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pStyle w:val="51"/>
        <w:autoSpaceDE w:val="0"/>
        <w:autoSpaceDN w:val="0"/>
        <w:adjustRightInd w:val="0"/>
        <w:spacing w:line="500" w:lineRule="exact"/>
        <w:jc w:val="center"/>
        <w:outlineLvl w:val="2"/>
        <w:rPr>
          <w:rFonts w:ascii="宋体" w:hAnsi="宋体"/>
          <w:b/>
          <w:sz w:val="28"/>
          <w:szCs w:val="28"/>
        </w:rPr>
      </w:pPr>
      <w:bookmarkStart w:id="78" w:name="_Toc45548892"/>
      <w:r>
        <w:rPr>
          <w:rFonts w:hint="eastAsia" w:ascii="宋体" w:hAnsi="宋体"/>
          <w:b/>
          <w:sz w:val="28"/>
          <w:szCs w:val="28"/>
        </w:rPr>
        <w:t>法定代表人资格证明文件</w:t>
      </w:r>
      <w:bookmarkEnd w:id="78"/>
    </w:p>
    <w:p>
      <w:pPr>
        <w:pStyle w:val="51"/>
        <w:widowControl/>
        <w:adjustRightInd w:val="0"/>
        <w:snapToGrid w:val="0"/>
        <w:spacing w:before="120" w:after="120" w:line="500" w:lineRule="exact"/>
        <w:ind w:left="1072" w:hanging="1072"/>
        <w:jc w:val="left"/>
        <w:rPr>
          <w:rFonts w:ascii="宋体" w:hAnsi="宋体"/>
          <w:sz w:val="28"/>
          <w:szCs w:val="28"/>
        </w:rPr>
      </w:pPr>
      <w:r>
        <w:rPr>
          <w:rFonts w:hint="eastAsia" w:ascii="宋体" w:hAnsi="宋体"/>
          <w:sz w:val="28"/>
          <w:szCs w:val="28"/>
          <w:u w:val="single"/>
        </w:rPr>
        <w:t>（代理机构名称）</w:t>
      </w:r>
      <w:r>
        <w:rPr>
          <w:rFonts w:hint="eastAsia" w:ascii="宋体" w:hAnsi="宋体"/>
          <w:sz w:val="28"/>
          <w:szCs w:val="28"/>
        </w:rPr>
        <w:t>：</w:t>
      </w:r>
    </w:p>
    <w:p>
      <w:pPr>
        <w:pStyle w:val="51"/>
        <w:widowControl/>
        <w:adjustRightInd w:val="0"/>
        <w:snapToGrid w:val="0"/>
        <w:spacing w:before="120" w:after="120" w:line="500" w:lineRule="exact"/>
        <w:ind w:firstLine="420" w:firstLineChars="150"/>
        <w:jc w:val="left"/>
        <w:rPr>
          <w:rFonts w:ascii="宋体" w:hAnsi="宋体"/>
          <w:sz w:val="28"/>
          <w:szCs w:val="28"/>
        </w:rPr>
      </w:pPr>
      <w:r>
        <w:rPr>
          <w:rFonts w:hint="eastAsia" w:ascii="宋体" w:hAnsi="宋体"/>
          <w:sz w:val="28"/>
          <w:szCs w:val="28"/>
        </w:rPr>
        <w:t>兹有</w:t>
      </w:r>
      <w:r>
        <w:rPr>
          <w:rFonts w:hint="eastAsia" w:ascii="宋体" w:hAnsi="宋体"/>
          <w:sz w:val="28"/>
          <w:szCs w:val="28"/>
          <w:u w:val="single"/>
        </w:rPr>
        <w:t xml:space="preserve">          </w:t>
      </w:r>
      <w:r>
        <w:rPr>
          <w:rFonts w:hint="eastAsia" w:ascii="宋体" w:hAnsi="宋体"/>
          <w:sz w:val="28"/>
          <w:szCs w:val="28"/>
        </w:rPr>
        <w:t>同志为</w:t>
      </w:r>
      <w:r>
        <w:rPr>
          <w:rFonts w:hint="eastAsia" w:ascii="宋体" w:hAnsi="宋体"/>
          <w:sz w:val="28"/>
          <w:szCs w:val="28"/>
          <w:u w:val="single"/>
        </w:rPr>
        <w:t xml:space="preserve">             </w:t>
      </w:r>
      <w:r>
        <w:rPr>
          <w:rFonts w:hint="eastAsia" w:ascii="宋体" w:hAnsi="宋体"/>
          <w:sz w:val="28"/>
          <w:szCs w:val="28"/>
        </w:rPr>
        <w:t xml:space="preserve">法定代表人，代表我单位办理一切社会公务事宜，具有法律效力。 </w:t>
      </w:r>
    </w:p>
    <w:p>
      <w:pPr>
        <w:pStyle w:val="51"/>
        <w:widowControl/>
        <w:adjustRightInd w:val="0"/>
        <w:snapToGrid w:val="0"/>
        <w:spacing w:before="120" w:after="120" w:line="500" w:lineRule="exact"/>
        <w:ind w:left="1069" w:leftChars="200" w:hanging="649" w:hangingChars="232"/>
        <w:jc w:val="left"/>
        <w:rPr>
          <w:rFonts w:ascii="宋体" w:hAnsi="宋体"/>
          <w:sz w:val="28"/>
          <w:szCs w:val="28"/>
        </w:rPr>
      </w:pPr>
      <w:r>
        <w:rPr>
          <w:rFonts w:hint="eastAsia" w:ascii="宋体" w:hAnsi="宋体"/>
          <w:sz w:val="28"/>
          <w:szCs w:val="28"/>
        </w:rPr>
        <w:t xml:space="preserve">附法定代表人基本情况： </w:t>
      </w:r>
    </w:p>
    <w:p>
      <w:pPr>
        <w:pStyle w:val="51"/>
        <w:widowControl/>
        <w:adjustRightInd w:val="0"/>
        <w:snapToGrid w:val="0"/>
        <w:spacing w:before="120" w:after="120" w:line="500" w:lineRule="exact"/>
        <w:ind w:left="1069" w:leftChars="200" w:hanging="649" w:hangingChars="232"/>
        <w:jc w:val="left"/>
        <w:rPr>
          <w:rFonts w:ascii="宋体" w:hAnsi="宋体"/>
          <w:sz w:val="28"/>
          <w:szCs w:val="28"/>
          <w:u w:val="single"/>
        </w:rPr>
      </w:pPr>
      <w:r>
        <w:rPr>
          <w:rFonts w:hint="eastAsia" w:ascii="宋体" w:hAnsi="宋体"/>
          <w:sz w:val="28"/>
          <w:szCs w:val="28"/>
        </w:rPr>
        <w:t>姓名：</w:t>
      </w:r>
      <w:r>
        <w:rPr>
          <w:rFonts w:hint="eastAsia" w:ascii="宋体" w:hAnsi="宋体"/>
          <w:sz w:val="28"/>
          <w:szCs w:val="28"/>
          <w:u w:val="single"/>
        </w:rPr>
        <w:t xml:space="preserve">                   </w:t>
      </w:r>
    </w:p>
    <w:p>
      <w:pPr>
        <w:pStyle w:val="51"/>
        <w:widowControl/>
        <w:adjustRightInd w:val="0"/>
        <w:snapToGrid w:val="0"/>
        <w:spacing w:before="120" w:after="120" w:line="500" w:lineRule="exact"/>
        <w:ind w:left="1069" w:leftChars="200" w:hanging="649" w:hangingChars="232"/>
        <w:jc w:val="left"/>
        <w:rPr>
          <w:rFonts w:ascii="宋体" w:hAnsi="宋体"/>
          <w:sz w:val="28"/>
          <w:szCs w:val="28"/>
        </w:rPr>
      </w:pPr>
      <w:r>
        <w:rPr>
          <w:rFonts w:hint="eastAsia" w:ascii="宋体" w:hAnsi="宋体"/>
          <w:sz w:val="28"/>
          <w:szCs w:val="28"/>
        </w:rPr>
        <w:t>身份证号码：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69" w:leftChars="200" w:hanging="649" w:hangingChars="232"/>
        <w:jc w:val="left"/>
        <w:rPr>
          <w:rFonts w:ascii="宋体" w:hAnsi="宋体"/>
          <w:sz w:val="28"/>
          <w:szCs w:val="28"/>
        </w:rPr>
      </w:pPr>
      <w:r>
        <w:rPr>
          <w:rFonts w:hint="eastAsia" w:ascii="宋体" w:hAnsi="宋体"/>
          <w:sz w:val="28"/>
          <w:szCs w:val="28"/>
        </w:rPr>
        <w:t>通讯地址：</w:t>
      </w:r>
      <w:r>
        <w:rPr>
          <w:rFonts w:hint="eastAsia" w:ascii="宋体" w:hAnsi="宋体"/>
          <w:sz w:val="28"/>
          <w:szCs w:val="28"/>
          <w:u w:val="single"/>
        </w:rPr>
        <w:t xml:space="preserve">                       </w:t>
      </w:r>
    </w:p>
    <w:p>
      <w:pPr>
        <w:pStyle w:val="51"/>
        <w:widowControl/>
        <w:adjustRightInd w:val="0"/>
        <w:snapToGrid w:val="0"/>
        <w:spacing w:before="120" w:after="120" w:line="500" w:lineRule="exact"/>
        <w:ind w:left="1069" w:leftChars="200" w:hanging="649" w:hangingChars="232"/>
        <w:jc w:val="left"/>
        <w:rPr>
          <w:rFonts w:ascii="宋体" w:hAnsi="宋体"/>
          <w:sz w:val="28"/>
          <w:szCs w:val="28"/>
        </w:rPr>
      </w:pPr>
      <w:r>
        <w:rPr>
          <w:rFonts w:hint="eastAsia" w:ascii="宋体" w:hAnsi="宋体"/>
          <w:sz w:val="28"/>
          <w:szCs w:val="28"/>
        </w:rPr>
        <w:t>电话号码：</w:t>
      </w:r>
      <w:r>
        <w:rPr>
          <w:rFonts w:hint="eastAsia" w:ascii="宋体" w:hAnsi="宋体"/>
          <w:sz w:val="28"/>
          <w:szCs w:val="28"/>
          <w:u w:val="single"/>
        </w:rPr>
        <w:t xml:space="preserve">                   </w:t>
      </w:r>
      <w:r>
        <w:rPr>
          <w:rFonts w:hint="eastAsia" w:ascii="宋体" w:hAnsi="宋体"/>
          <w:sz w:val="28"/>
          <w:szCs w:val="28"/>
        </w:rPr>
        <w:t>邮政编码：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p>
    <w:tbl>
      <w:tblPr>
        <w:tblStyle w:val="19"/>
        <w:tblW w:w="0" w:type="auto"/>
        <w:tblInd w:w="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r>
              <w:rPr>
                <w:rFonts w:hint="eastAsia" w:ascii="宋体" w:hAnsi="宋体"/>
                <w:sz w:val="28"/>
                <w:szCs w:val="28"/>
              </w:rPr>
              <w:t>法定代表人《居民身份证》扫描件</w:t>
            </w:r>
          </w:p>
        </w:tc>
      </w:tr>
    </w:tbl>
    <w:p>
      <w:pPr>
        <w:pStyle w:val="51"/>
        <w:widowControl/>
        <w:adjustRightInd w:val="0"/>
        <w:snapToGrid w:val="0"/>
        <w:spacing w:before="120" w:after="120" w:line="500" w:lineRule="exact"/>
        <w:ind w:left="1072" w:hanging="1072"/>
        <w:rPr>
          <w:rFonts w:ascii="宋体" w:hAnsi="宋体"/>
          <w:sz w:val="28"/>
          <w:szCs w:val="28"/>
        </w:rPr>
      </w:pPr>
    </w:p>
    <w:p>
      <w:pPr>
        <w:pStyle w:val="51"/>
        <w:widowControl/>
        <w:tabs>
          <w:tab w:val="left" w:pos="750"/>
        </w:tabs>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供应商名称</w:t>
      </w:r>
      <w:r>
        <w:rPr>
          <w:rFonts w:hint="eastAsia" w:ascii="宋体" w:hAnsi="宋体" w:cs="Times New Roman"/>
          <w:sz w:val="28"/>
          <w:szCs w:val="28"/>
        </w:rPr>
        <w:t>（盖章）</w:t>
      </w:r>
      <w:r>
        <w:rPr>
          <w:rFonts w:hint="eastAsia" w:ascii="宋体" w:hAnsi="宋体"/>
          <w:sz w:val="28"/>
          <w:szCs w:val="28"/>
        </w:rPr>
        <w:t>：</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firstLine="840" w:firstLineChars="300"/>
        <w:rPr>
          <w:rFonts w:ascii="宋体" w:hAnsi="宋体"/>
          <w:sz w:val="28"/>
          <w:szCs w:val="28"/>
        </w:rPr>
      </w:pPr>
      <w:r>
        <w:rPr>
          <w:rFonts w:hint="eastAsia" w:ascii="宋体" w:hAnsi="宋体"/>
          <w:sz w:val="28"/>
          <w:szCs w:val="28"/>
        </w:rPr>
        <w:t>法定代表人（签</w:t>
      </w:r>
      <w:r>
        <w:rPr>
          <w:rFonts w:hint="eastAsia" w:ascii="宋体" w:hAnsi="宋体"/>
          <w:sz w:val="28"/>
          <w:szCs w:val="28"/>
          <w:lang w:val="en-US" w:eastAsia="zh-CN"/>
        </w:rPr>
        <w:t>字或盖</w:t>
      </w:r>
      <w:r>
        <w:rPr>
          <w:rFonts w:hint="eastAsia" w:ascii="宋体" w:hAnsi="宋体"/>
          <w:sz w:val="28"/>
          <w:szCs w:val="28"/>
        </w:rPr>
        <w:t>章）：</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left="1069" w:leftChars="400" w:hanging="229" w:hangingChars="82"/>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51"/>
        <w:widowControl/>
        <w:adjustRightInd w:val="0"/>
        <w:snapToGrid w:val="0"/>
        <w:spacing w:before="120" w:after="120" w:line="500" w:lineRule="exact"/>
        <w:ind w:left="1072" w:hanging="1072"/>
        <w:jc w:val="center"/>
        <w:rPr>
          <w:b/>
          <w:sz w:val="28"/>
          <w:szCs w:val="28"/>
        </w:rPr>
      </w:pPr>
      <w:r>
        <w:rPr>
          <w:rFonts w:hint="eastAsia"/>
          <w:b/>
          <w:sz w:val="28"/>
          <w:szCs w:val="28"/>
        </w:rPr>
        <w:t>注：本表适用于法人</w:t>
      </w:r>
      <w:r>
        <w:rPr>
          <w:b/>
          <w:sz w:val="28"/>
          <w:szCs w:val="28"/>
        </w:rPr>
        <w:br w:type="page"/>
      </w:r>
    </w:p>
    <w:p>
      <w:pPr>
        <w:pStyle w:val="51"/>
        <w:autoSpaceDE w:val="0"/>
        <w:autoSpaceDN w:val="0"/>
        <w:adjustRightInd w:val="0"/>
        <w:spacing w:line="500" w:lineRule="exact"/>
        <w:jc w:val="center"/>
        <w:outlineLvl w:val="2"/>
        <w:rPr>
          <w:rFonts w:ascii="宋体" w:hAnsi="宋体"/>
          <w:b/>
          <w:sz w:val="28"/>
          <w:szCs w:val="28"/>
        </w:rPr>
      </w:pPr>
      <w:bookmarkStart w:id="79" w:name="_Toc45548893"/>
      <w:r>
        <w:rPr>
          <w:rFonts w:hint="eastAsia" w:ascii="宋体" w:hAnsi="宋体"/>
          <w:b/>
          <w:sz w:val="28"/>
          <w:szCs w:val="28"/>
        </w:rPr>
        <w:t>单位负责人资格证明文件</w:t>
      </w:r>
      <w:bookmarkEnd w:id="79"/>
      <w:r>
        <w:rPr>
          <w:rFonts w:hint="eastAsia" w:ascii="宋体" w:hAnsi="宋体"/>
          <w:b/>
          <w:sz w:val="28"/>
          <w:szCs w:val="28"/>
        </w:rPr>
        <w:t xml:space="preserve"> </w:t>
      </w:r>
    </w:p>
    <w:p>
      <w:pPr>
        <w:pStyle w:val="51"/>
        <w:widowControl/>
        <w:adjustRightInd w:val="0"/>
        <w:snapToGrid w:val="0"/>
        <w:spacing w:before="120" w:after="120" w:line="500" w:lineRule="exact"/>
        <w:ind w:left="1072" w:hanging="1072"/>
        <w:rPr>
          <w:rFonts w:ascii="宋体" w:hAnsi="宋体"/>
          <w:sz w:val="28"/>
          <w:szCs w:val="28"/>
        </w:rPr>
      </w:pPr>
      <w:r>
        <w:rPr>
          <w:rFonts w:hint="eastAsia" w:ascii="宋体" w:hAnsi="宋体"/>
          <w:sz w:val="28"/>
          <w:szCs w:val="28"/>
          <w:u w:val="single"/>
        </w:rPr>
        <w:t>（代理机构名称）</w:t>
      </w:r>
      <w:r>
        <w:rPr>
          <w:rFonts w:hint="eastAsia" w:ascii="宋体" w:hAnsi="宋体"/>
          <w:sz w:val="28"/>
          <w:szCs w:val="28"/>
        </w:rPr>
        <w:t>：</w:t>
      </w:r>
    </w:p>
    <w:p>
      <w:pPr>
        <w:pStyle w:val="51"/>
        <w:widowControl/>
        <w:adjustRightInd w:val="0"/>
        <w:snapToGrid w:val="0"/>
        <w:spacing w:before="120" w:after="120" w:line="500" w:lineRule="exact"/>
        <w:ind w:firstLine="560" w:firstLineChars="200"/>
        <w:rPr>
          <w:rFonts w:ascii="宋体" w:hAnsi="宋体"/>
          <w:sz w:val="28"/>
          <w:szCs w:val="28"/>
        </w:rPr>
      </w:pPr>
      <w:r>
        <w:rPr>
          <w:rFonts w:hint="eastAsia" w:ascii="宋体" w:hAnsi="宋体"/>
          <w:sz w:val="28"/>
          <w:szCs w:val="28"/>
        </w:rPr>
        <w:t>兹有</w:t>
      </w:r>
      <w:r>
        <w:rPr>
          <w:rFonts w:hint="eastAsia" w:ascii="宋体" w:hAnsi="宋体"/>
          <w:sz w:val="28"/>
          <w:szCs w:val="28"/>
          <w:u w:val="single"/>
        </w:rPr>
        <w:t xml:space="preserve">          </w:t>
      </w:r>
      <w:r>
        <w:rPr>
          <w:rFonts w:hint="eastAsia" w:ascii="宋体" w:hAnsi="宋体"/>
          <w:sz w:val="28"/>
          <w:szCs w:val="28"/>
        </w:rPr>
        <w:t>同志为</w:t>
      </w:r>
      <w:r>
        <w:rPr>
          <w:rFonts w:hint="eastAsia" w:ascii="宋体" w:hAnsi="宋体"/>
          <w:sz w:val="28"/>
          <w:szCs w:val="28"/>
          <w:u w:val="single"/>
        </w:rPr>
        <w:t xml:space="preserve">             </w:t>
      </w:r>
      <w:r>
        <w:rPr>
          <w:rFonts w:hint="eastAsia" w:ascii="宋体" w:hAnsi="宋体"/>
          <w:sz w:val="28"/>
          <w:szCs w:val="28"/>
        </w:rPr>
        <w:t xml:space="preserve">负责人，代表我单位办理一切社会公务事宜，具有法律效力。 </w:t>
      </w:r>
    </w:p>
    <w:p>
      <w:pPr>
        <w:pStyle w:val="51"/>
        <w:widowControl/>
        <w:adjustRightInd w:val="0"/>
        <w:snapToGrid w:val="0"/>
        <w:spacing w:before="120" w:after="120" w:line="500" w:lineRule="exact"/>
        <w:ind w:left="1427" w:leftChars="304" w:hanging="789" w:hangingChars="282"/>
        <w:rPr>
          <w:rFonts w:ascii="宋体" w:hAnsi="宋体"/>
          <w:sz w:val="28"/>
          <w:szCs w:val="28"/>
        </w:rPr>
      </w:pPr>
      <w:r>
        <w:rPr>
          <w:rFonts w:hint="eastAsia" w:ascii="宋体" w:hAnsi="宋体"/>
          <w:sz w:val="28"/>
          <w:szCs w:val="28"/>
        </w:rPr>
        <w:t xml:space="preserve">附单位负责人基本情况： </w:t>
      </w:r>
    </w:p>
    <w:p>
      <w:pPr>
        <w:pStyle w:val="51"/>
        <w:widowControl/>
        <w:adjustRightInd w:val="0"/>
        <w:snapToGrid w:val="0"/>
        <w:spacing w:before="120" w:after="120" w:line="500" w:lineRule="exact"/>
        <w:ind w:left="1070" w:leftChars="334" w:hanging="369" w:hangingChars="132"/>
        <w:rPr>
          <w:rFonts w:ascii="宋体" w:hAnsi="宋体"/>
          <w:sz w:val="28"/>
          <w:szCs w:val="28"/>
          <w:u w:val="single"/>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pStyle w:val="51"/>
        <w:widowControl/>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身份证号码：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通讯地址：</w:t>
      </w:r>
      <w:r>
        <w:rPr>
          <w:rFonts w:hint="eastAsia" w:ascii="宋体" w:hAnsi="宋体"/>
          <w:sz w:val="28"/>
          <w:szCs w:val="28"/>
          <w:u w:val="single"/>
        </w:rPr>
        <w:t xml:space="preserve">                       </w:t>
      </w:r>
    </w:p>
    <w:p>
      <w:pPr>
        <w:pStyle w:val="51"/>
        <w:widowControl/>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电话号码：</w:t>
      </w:r>
      <w:r>
        <w:rPr>
          <w:rFonts w:hint="eastAsia" w:ascii="宋体" w:hAnsi="宋体"/>
          <w:sz w:val="28"/>
          <w:szCs w:val="28"/>
          <w:u w:val="single"/>
        </w:rPr>
        <w:t xml:space="preserve">                   </w:t>
      </w:r>
      <w:r>
        <w:rPr>
          <w:rFonts w:hint="eastAsia" w:ascii="宋体" w:hAnsi="宋体"/>
          <w:sz w:val="28"/>
          <w:szCs w:val="28"/>
        </w:rPr>
        <w:t>邮政编码：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p>
    <w:tbl>
      <w:tblPr>
        <w:tblStyle w:val="19"/>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r>
              <w:rPr>
                <w:rFonts w:hint="eastAsia" w:ascii="宋体" w:hAnsi="宋体"/>
                <w:sz w:val="28"/>
                <w:szCs w:val="28"/>
              </w:rPr>
              <w:t>单位负责人《居民身份证》扫描件</w:t>
            </w:r>
          </w:p>
        </w:tc>
      </w:tr>
    </w:tbl>
    <w:p>
      <w:pPr>
        <w:pStyle w:val="51"/>
        <w:widowControl/>
        <w:adjustRightInd w:val="0"/>
        <w:snapToGrid w:val="0"/>
        <w:spacing w:before="120" w:after="120" w:line="500" w:lineRule="exact"/>
        <w:ind w:left="1072" w:hanging="1072"/>
        <w:rPr>
          <w:rFonts w:ascii="宋体" w:hAnsi="宋体"/>
          <w:sz w:val="28"/>
          <w:szCs w:val="28"/>
        </w:rPr>
      </w:pPr>
    </w:p>
    <w:p>
      <w:pPr>
        <w:pStyle w:val="51"/>
        <w:widowControl/>
        <w:tabs>
          <w:tab w:val="left" w:pos="750"/>
        </w:tabs>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供应商名称（</w:t>
      </w:r>
      <w:r>
        <w:rPr>
          <w:rFonts w:hint="eastAsia" w:ascii="宋体" w:hAnsi="宋体"/>
          <w:sz w:val="28"/>
          <w:szCs w:val="28"/>
          <w:lang w:val="en-US" w:eastAsia="zh-CN"/>
        </w:rPr>
        <w:t>盖章</w:t>
      </w:r>
      <w:r>
        <w:rPr>
          <w:rFonts w:hint="eastAsia" w:ascii="宋体" w:hAnsi="宋体"/>
          <w:sz w:val="28"/>
          <w:szCs w:val="28"/>
        </w:rPr>
        <w:t>）：</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负责人（签</w:t>
      </w:r>
      <w:r>
        <w:rPr>
          <w:rFonts w:hint="eastAsia" w:ascii="宋体" w:hAnsi="宋体"/>
          <w:sz w:val="28"/>
          <w:szCs w:val="28"/>
          <w:lang w:val="en-US" w:eastAsia="zh-CN"/>
        </w:rPr>
        <w:t>字或盖</w:t>
      </w:r>
      <w:r>
        <w:rPr>
          <w:rFonts w:hint="eastAsia" w:ascii="宋体" w:hAnsi="宋体"/>
          <w:sz w:val="28"/>
          <w:szCs w:val="28"/>
        </w:rPr>
        <w:t>章）：</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left="1604" w:leftChars="388" w:hanging="789" w:hangingChars="282"/>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51"/>
        <w:jc w:val="center"/>
        <w:rPr>
          <w:b/>
          <w:sz w:val="28"/>
          <w:szCs w:val="28"/>
        </w:rPr>
      </w:pPr>
      <w:r>
        <w:rPr>
          <w:rFonts w:hint="eastAsia"/>
          <w:b/>
          <w:sz w:val="28"/>
          <w:szCs w:val="28"/>
        </w:rPr>
        <w:t>注：本表适用于其他组织</w:t>
      </w:r>
      <w:r>
        <w:rPr>
          <w:rFonts w:ascii="宋体" w:hAnsi="宋体"/>
          <w:sz w:val="28"/>
          <w:szCs w:val="28"/>
        </w:rPr>
        <w:br w:type="page"/>
      </w:r>
    </w:p>
    <w:p>
      <w:pPr>
        <w:pStyle w:val="51"/>
        <w:autoSpaceDE w:val="0"/>
        <w:autoSpaceDN w:val="0"/>
        <w:adjustRightInd w:val="0"/>
        <w:spacing w:line="500" w:lineRule="exact"/>
        <w:jc w:val="center"/>
        <w:outlineLvl w:val="2"/>
        <w:rPr>
          <w:rFonts w:hint="eastAsia" w:ascii="宋体" w:hAnsi="宋体"/>
          <w:b/>
          <w:sz w:val="28"/>
          <w:szCs w:val="28"/>
        </w:rPr>
      </w:pPr>
      <w:bookmarkStart w:id="80" w:name="_Toc45548894"/>
      <w:r>
        <w:rPr>
          <w:rFonts w:hint="eastAsia" w:ascii="宋体" w:hAnsi="宋体"/>
          <w:b/>
          <w:sz w:val="28"/>
          <w:szCs w:val="28"/>
        </w:rPr>
        <w:t>自然人资格证明文件</w:t>
      </w:r>
      <w:bookmarkEnd w:id="80"/>
    </w:p>
    <w:p>
      <w:pPr>
        <w:pStyle w:val="51"/>
        <w:widowControl/>
        <w:adjustRightInd w:val="0"/>
        <w:snapToGrid w:val="0"/>
        <w:spacing w:before="120" w:after="120" w:line="500" w:lineRule="exact"/>
        <w:ind w:left="1072" w:hanging="1072"/>
        <w:rPr>
          <w:rFonts w:ascii="宋体" w:hAnsi="宋体"/>
          <w:sz w:val="28"/>
          <w:szCs w:val="28"/>
        </w:rPr>
      </w:pPr>
      <w:r>
        <w:rPr>
          <w:rFonts w:hint="eastAsia" w:ascii="宋体" w:hAnsi="宋体"/>
          <w:sz w:val="28"/>
          <w:szCs w:val="28"/>
          <w:u w:val="single"/>
        </w:rPr>
        <w:t>（代理机构名称）</w:t>
      </w:r>
      <w:r>
        <w:rPr>
          <w:rFonts w:hint="eastAsia" w:ascii="宋体" w:hAnsi="宋体"/>
          <w:sz w:val="28"/>
          <w:szCs w:val="28"/>
        </w:rPr>
        <w:t>：</w:t>
      </w:r>
    </w:p>
    <w:p>
      <w:pPr>
        <w:pStyle w:val="51"/>
        <w:widowControl/>
        <w:adjustRightInd w:val="0"/>
        <w:snapToGrid w:val="0"/>
        <w:spacing w:before="120" w:after="120" w:line="500" w:lineRule="exact"/>
        <w:ind w:firstLine="560" w:firstLineChars="200"/>
        <w:rPr>
          <w:rFonts w:ascii="宋体" w:hAnsi="宋体"/>
          <w:sz w:val="28"/>
          <w:szCs w:val="28"/>
        </w:rPr>
      </w:pPr>
      <w:r>
        <w:rPr>
          <w:rFonts w:hint="eastAsia" w:ascii="宋体" w:hAnsi="宋体"/>
          <w:sz w:val="28"/>
          <w:szCs w:val="28"/>
        </w:rPr>
        <w:t>兹有</w:t>
      </w:r>
      <w:r>
        <w:rPr>
          <w:rFonts w:hint="eastAsia" w:ascii="宋体" w:hAnsi="宋体"/>
          <w:sz w:val="28"/>
          <w:szCs w:val="28"/>
          <w:u w:val="single"/>
        </w:rPr>
        <w:t xml:space="preserve">          </w:t>
      </w:r>
      <w:r>
        <w:rPr>
          <w:rFonts w:hint="eastAsia" w:ascii="宋体" w:hAnsi="宋体"/>
          <w:sz w:val="28"/>
          <w:szCs w:val="28"/>
        </w:rPr>
        <w:t>同志为</w:t>
      </w:r>
      <w:r>
        <w:rPr>
          <w:rFonts w:hint="eastAsia" w:ascii="宋体" w:hAnsi="宋体"/>
          <w:sz w:val="28"/>
          <w:szCs w:val="28"/>
          <w:u w:val="single"/>
        </w:rPr>
        <w:t xml:space="preserve">             </w:t>
      </w:r>
      <w:r>
        <w:rPr>
          <w:rFonts w:hint="eastAsia" w:ascii="宋体" w:hAnsi="宋体"/>
          <w:sz w:val="28"/>
          <w:szCs w:val="28"/>
        </w:rPr>
        <w:t xml:space="preserve">经营者，代表我单位办理一切社会公务事宜，具有法律效力。 </w:t>
      </w:r>
    </w:p>
    <w:p>
      <w:pPr>
        <w:pStyle w:val="51"/>
        <w:widowControl/>
        <w:adjustRightInd w:val="0"/>
        <w:snapToGrid w:val="0"/>
        <w:spacing w:before="120" w:after="120" w:line="500" w:lineRule="exact"/>
        <w:ind w:left="1070" w:leftChars="267" w:hanging="509" w:hangingChars="182"/>
        <w:rPr>
          <w:rFonts w:ascii="宋体" w:hAnsi="宋体"/>
          <w:sz w:val="28"/>
          <w:szCs w:val="28"/>
        </w:rPr>
      </w:pPr>
      <w:r>
        <w:rPr>
          <w:rFonts w:hint="eastAsia" w:ascii="宋体" w:hAnsi="宋体"/>
          <w:sz w:val="28"/>
          <w:szCs w:val="28"/>
        </w:rPr>
        <w:t xml:space="preserve">附经营者基本情况： </w:t>
      </w:r>
    </w:p>
    <w:p>
      <w:pPr>
        <w:pStyle w:val="51"/>
        <w:widowControl/>
        <w:adjustRightInd w:val="0"/>
        <w:snapToGrid w:val="0"/>
        <w:spacing w:before="120" w:after="120" w:line="500" w:lineRule="exact"/>
        <w:ind w:left="1070" w:leftChars="267" w:hanging="509" w:hangingChars="182"/>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 xml:space="preserve"> </w:t>
      </w:r>
    </w:p>
    <w:p>
      <w:pPr>
        <w:pStyle w:val="51"/>
        <w:widowControl/>
        <w:adjustRightInd w:val="0"/>
        <w:snapToGrid w:val="0"/>
        <w:spacing w:before="120" w:after="120" w:line="500" w:lineRule="exact"/>
        <w:ind w:left="1070" w:leftChars="267" w:hanging="509" w:hangingChars="182"/>
        <w:rPr>
          <w:rFonts w:ascii="宋体" w:hAnsi="宋体"/>
          <w:sz w:val="28"/>
          <w:szCs w:val="28"/>
        </w:rPr>
      </w:pPr>
      <w:r>
        <w:rPr>
          <w:rFonts w:hint="eastAsia" w:ascii="宋体" w:hAnsi="宋体"/>
          <w:sz w:val="28"/>
          <w:szCs w:val="28"/>
        </w:rPr>
        <w:t>身份证号码：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70" w:leftChars="267" w:hanging="509" w:hangingChars="182"/>
        <w:rPr>
          <w:rFonts w:ascii="宋体" w:hAnsi="宋体"/>
          <w:sz w:val="28"/>
          <w:szCs w:val="28"/>
        </w:rPr>
      </w:pPr>
      <w:r>
        <w:rPr>
          <w:rFonts w:hint="eastAsia" w:ascii="宋体" w:hAnsi="宋体"/>
          <w:sz w:val="28"/>
          <w:szCs w:val="28"/>
        </w:rPr>
        <w:t>通讯地址：</w:t>
      </w:r>
      <w:r>
        <w:rPr>
          <w:rFonts w:hint="eastAsia" w:ascii="宋体" w:hAnsi="宋体"/>
          <w:sz w:val="28"/>
          <w:szCs w:val="28"/>
          <w:u w:val="single"/>
        </w:rPr>
        <w:t xml:space="preserve">                       </w:t>
      </w:r>
    </w:p>
    <w:p>
      <w:pPr>
        <w:pStyle w:val="51"/>
        <w:widowControl/>
        <w:adjustRightInd w:val="0"/>
        <w:snapToGrid w:val="0"/>
        <w:spacing w:before="120" w:after="120" w:line="500" w:lineRule="exact"/>
        <w:ind w:left="1070" w:leftChars="267" w:hanging="509" w:hangingChars="182"/>
        <w:rPr>
          <w:rFonts w:ascii="宋体" w:hAnsi="宋体"/>
          <w:sz w:val="28"/>
          <w:szCs w:val="28"/>
        </w:rPr>
      </w:pPr>
      <w:r>
        <w:rPr>
          <w:rFonts w:hint="eastAsia" w:ascii="宋体" w:hAnsi="宋体"/>
          <w:sz w:val="28"/>
          <w:szCs w:val="28"/>
        </w:rPr>
        <w:t>电话号码：</w:t>
      </w:r>
      <w:r>
        <w:rPr>
          <w:rFonts w:hint="eastAsia" w:ascii="宋体" w:hAnsi="宋体"/>
          <w:sz w:val="28"/>
          <w:szCs w:val="28"/>
          <w:u w:val="single"/>
        </w:rPr>
        <w:t xml:space="preserve">                   </w:t>
      </w:r>
      <w:r>
        <w:rPr>
          <w:rFonts w:hint="eastAsia" w:ascii="宋体" w:hAnsi="宋体"/>
          <w:sz w:val="28"/>
          <w:szCs w:val="28"/>
        </w:rPr>
        <w:t>邮政编码：</w:t>
      </w:r>
      <w:r>
        <w:rPr>
          <w:rFonts w:hint="eastAsia" w:ascii="宋体" w:hAnsi="宋体"/>
          <w:sz w:val="28"/>
          <w:szCs w:val="28"/>
          <w:u w:val="single"/>
        </w:rPr>
        <w:t xml:space="preserve">               </w:t>
      </w:r>
    </w:p>
    <w:p>
      <w:pPr>
        <w:pStyle w:val="51"/>
        <w:widowControl/>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p>
    <w:tbl>
      <w:tblPr>
        <w:tblStyle w:val="19"/>
        <w:tblW w:w="0" w:type="auto"/>
        <w:tblInd w:w="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p>
          <w:p>
            <w:pPr>
              <w:pStyle w:val="51"/>
              <w:widowControl/>
              <w:adjustRightInd w:val="0"/>
              <w:snapToGrid w:val="0"/>
              <w:spacing w:before="120" w:after="120" w:line="500" w:lineRule="exact"/>
              <w:ind w:left="1072" w:hanging="1072"/>
              <w:jc w:val="center"/>
              <w:rPr>
                <w:rFonts w:ascii="宋体" w:hAnsi="宋体"/>
                <w:sz w:val="28"/>
                <w:szCs w:val="28"/>
              </w:rPr>
            </w:pPr>
            <w:r>
              <w:rPr>
                <w:rFonts w:hint="eastAsia" w:ascii="宋体" w:hAnsi="宋体"/>
                <w:sz w:val="28"/>
                <w:szCs w:val="28"/>
              </w:rPr>
              <w:t>经营者《居民身份证》扫描件</w:t>
            </w:r>
          </w:p>
        </w:tc>
      </w:tr>
    </w:tbl>
    <w:p>
      <w:pPr>
        <w:pStyle w:val="51"/>
        <w:widowControl/>
        <w:adjustRightInd w:val="0"/>
        <w:snapToGrid w:val="0"/>
        <w:spacing w:before="120" w:after="120" w:line="500" w:lineRule="exact"/>
        <w:rPr>
          <w:rFonts w:ascii="宋体" w:hAnsi="宋体"/>
          <w:sz w:val="28"/>
          <w:szCs w:val="28"/>
        </w:rPr>
      </w:pPr>
    </w:p>
    <w:p>
      <w:pPr>
        <w:pStyle w:val="51"/>
        <w:widowControl/>
        <w:tabs>
          <w:tab w:val="left" w:pos="750"/>
        </w:tabs>
        <w:adjustRightInd w:val="0"/>
        <w:snapToGrid w:val="0"/>
        <w:spacing w:before="120" w:after="120" w:line="500" w:lineRule="exact"/>
        <w:ind w:left="1072" w:hanging="1072"/>
        <w:rPr>
          <w:rFonts w:ascii="宋体" w:hAnsi="宋体"/>
          <w:sz w:val="28"/>
          <w:szCs w:val="28"/>
        </w:rPr>
      </w:pP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供应商名称（</w:t>
      </w:r>
      <w:r>
        <w:rPr>
          <w:rFonts w:hint="eastAsia" w:ascii="宋体" w:hAnsi="宋体"/>
          <w:sz w:val="28"/>
          <w:szCs w:val="28"/>
          <w:lang w:val="en-US" w:eastAsia="zh-CN"/>
        </w:rPr>
        <w:t>盖章</w:t>
      </w:r>
      <w:r>
        <w:rPr>
          <w:rFonts w:hint="eastAsia" w:ascii="宋体" w:hAnsi="宋体"/>
          <w:sz w:val="28"/>
          <w:szCs w:val="28"/>
        </w:rPr>
        <w:t>）：</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经营者（签</w:t>
      </w:r>
      <w:r>
        <w:rPr>
          <w:rFonts w:hint="eastAsia" w:ascii="宋体" w:hAnsi="宋体"/>
          <w:sz w:val="28"/>
          <w:szCs w:val="28"/>
          <w:lang w:val="en-US" w:eastAsia="zh-CN"/>
        </w:rPr>
        <w:t>字或盖</w:t>
      </w:r>
      <w:r>
        <w:rPr>
          <w:rFonts w:hint="eastAsia" w:ascii="宋体" w:hAnsi="宋体"/>
          <w:sz w:val="28"/>
          <w:szCs w:val="28"/>
        </w:rPr>
        <w:t>章）：</w:t>
      </w:r>
      <w:r>
        <w:rPr>
          <w:rFonts w:hint="eastAsia" w:ascii="宋体" w:hAnsi="宋体"/>
          <w:sz w:val="28"/>
          <w:szCs w:val="28"/>
          <w:u w:val="single"/>
        </w:rPr>
        <w:t xml:space="preserve">           </w:t>
      </w:r>
    </w:p>
    <w:p>
      <w:pPr>
        <w:pStyle w:val="51"/>
        <w:widowControl/>
        <w:tabs>
          <w:tab w:val="left" w:pos="750"/>
        </w:tabs>
        <w:adjustRightInd w:val="0"/>
        <w:snapToGrid w:val="0"/>
        <w:spacing w:before="120" w:after="120" w:line="500" w:lineRule="exact"/>
        <w:ind w:left="1070" w:leftChars="334" w:hanging="369" w:hangingChars="132"/>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51"/>
        <w:jc w:val="center"/>
        <w:rPr>
          <w:b/>
          <w:sz w:val="28"/>
          <w:szCs w:val="28"/>
        </w:rPr>
      </w:pPr>
      <w:r>
        <w:rPr>
          <w:rFonts w:hint="eastAsia"/>
          <w:b/>
          <w:sz w:val="28"/>
          <w:szCs w:val="28"/>
        </w:rPr>
        <w:t>注：本表适用于自然人</w:t>
      </w:r>
    </w:p>
    <w:p>
      <w:pPr>
        <w:pStyle w:val="51"/>
        <w:autoSpaceDE w:val="0"/>
        <w:autoSpaceDN w:val="0"/>
        <w:adjustRightInd w:val="0"/>
        <w:spacing w:line="500" w:lineRule="exact"/>
        <w:jc w:val="center"/>
        <w:outlineLvl w:val="2"/>
        <w:rPr>
          <w:rFonts w:ascii="宋体" w:hAnsi="宋体"/>
          <w:b/>
          <w:sz w:val="28"/>
          <w:szCs w:val="28"/>
        </w:rPr>
      </w:pPr>
      <w:r>
        <w:rPr>
          <w:rFonts w:ascii="宋体" w:hAnsi="宋体"/>
          <w:b/>
          <w:sz w:val="28"/>
          <w:szCs w:val="28"/>
        </w:rPr>
        <w:br w:type="page"/>
      </w:r>
      <w:bookmarkStart w:id="81" w:name="_Toc45548895"/>
      <w:r>
        <w:rPr>
          <w:rFonts w:hint="eastAsia" w:ascii="宋体" w:hAnsi="宋体"/>
          <w:b/>
          <w:sz w:val="28"/>
          <w:szCs w:val="28"/>
        </w:rPr>
        <w:t>委托授权书</w:t>
      </w:r>
      <w:bookmarkEnd w:id="81"/>
    </w:p>
    <w:p>
      <w:pPr>
        <w:pStyle w:val="51"/>
        <w:widowControl/>
        <w:spacing w:before="120" w:after="120" w:line="500" w:lineRule="exact"/>
        <w:ind w:left="1072" w:hanging="1072"/>
        <w:rPr>
          <w:rFonts w:ascii="宋体" w:hAnsi="宋体"/>
          <w:sz w:val="28"/>
          <w:szCs w:val="28"/>
        </w:rPr>
      </w:pPr>
      <w:r>
        <w:rPr>
          <w:rFonts w:hint="eastAsia" w:ascii="宋体" w:hAnsi="宋体"/>
          <w:sz w:val="28"/>
          <w:szCs w:val="28"/>
          <w:u w:val="single"/>
        </w:rPr>
        <w:t>（代理机构名称）</w:t>
      </w:r>
      <w:r>
        <w:rPr>
          <w:rFonts w:hint="eastAsia" w:ascii="宋体" w:hAnsi="宋体"/>
          <w:sz w:val="28"/>
          <w:szCs w:val="28"/>
        </w:rPr>
        <w:t>：</w:t>
      </w:r>
    </w:p>
    <w:p>
      <w:pPr>
        <w:pStyle w:val="51"/>
        <w:widowControl/>
        <w:spacing w:before="120" w:after="120" w:line="500" w:lineRule="exact"/>
        <w:ind w:firstLine="560" w:firstLineChars="200"/>
        <w:rPr>
          <w:rFonts w:ascii="宋体" w:hAnsi="宋体"/>
          <w:sz w:val="28"/>
          <w:szCs w:val="28"/>
        </w:rPr>
      </w:pPr>
      <w:r>
        <w:rPr>
          <w:rFonts w:hint="eastAsia" w:ascii="宋体" w:hAnsi="宋体"/>
          <w:sz w:val="28"/>
          <w:szCs w:val="28"/>
        </w:rPr>
        <w:t>兹授权</w:t>
      </w:r>
      <w:r>
        <w:rPr>
          <w:rFonts w:hint="eastAsia" w:ascii="宋体" w:hAnsi="宋体"/>
          <w:sz w:val="28"/>
          <w:szCs w:val="28"/>
          <w:u w:val="single"/>
        </w:rPr>
        <w:t xml:space="preserve">           </w:t>
      </w:r>
      <w:r>
        <w:rPr>
          <w:rFonts w:hint="eastAsia" w:ascii="宋体" w:hAnsi="宋体"/>
          <w:sz w:val="28"/>
          <w:szCs w:val="28"/>
        </w:rPr>
        <w:t>同志为我单位参加贵单位组织的编号为</w:t>
      </w:r>
      <w:r>
        <w:rPr>
          <w:rFonts w:hint="eastAsia" w:ascii="宋体" w:hAnsi="宋体"/>
          <w:sz w:val="28"/>
          <w:szCs w:val="28"/>
          <w:u w:val="single"/>
        </w:rPr>
        <w:t>（项目编号）</w:t>
      </w:r>
      <w:r>
        <w:rPr>
          <w:rFonts w:hint="eastAsia" w:ascii="宋体" w:hAnsi="宋体"/>
          <w:sz w:val="28"/>
          <w:szCs w:val="28"/>
        </w:rPr>
        <w:t>的</w:t>
      </w:r>
      <w:r>
        <w:rPr>
          <w:rFonts w:hint="eastAsia" w:ascii="宋体" w:hAnsi="宋体"/>
          <w:sz w:val="28"/>
          <w:szCs w:val="28"/>
          <w:u w:val="single"/>
        </w:rPr>
        <w:t>（项 目 名 称）</w:t>
      </w:r>
      <w:r>
        <w:rPr>
          <w:rFonts w:hint="eastAsia" w:ascii="宋体" w:hAnsi="宋体"/>
          <w:sz w:val="28"/>
          <w:szCs w:val="28"/>
        </w:rPr>
        <w:t>采购活动的代表人，全权代表我单位处理在该项目采购活动中的一切事宜。代理期限从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日起至</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日止。 </w:t>
      </w:r>
    </w:p>
    <w:p>
      <w:pPr>
        <w:pStyle w:val="51"/>
        <w:widowControl/>
        <w:spacing w:before="120" w:after="120" w:line="500" w:lineRule="exact"/>
        <w:ind w:left="1072" w:hanging="1072"/>
        <w:rPr>
          <w:rFonts w:ascii="宋体" w:hAnsi="宋体"/>
          <w:sz w:val="28"/>
          <w:szCs w:val="28"/>
        </w:rPr>
      </w:pPr>
      <w:r>
        <w:rPr>
          <w:rFonts w:hint="eastAsia" w:ascii="宋体" w:hAnsi="宋体"/>
          <w:sz w:val="28"/>
          <w:szCs w:val="28"/>
        </w:rPr>
        <w:t>供应商名称（签章）：</w:t>
      </w:r>
      <w:r>
        <w:rPr>
          <w:rFonts w:hint="eastAsia" w:ascii="宋体" w:hAnsi="宋体"/>
          <w:sz w:val="28"/>
          <w:szCs w:val="28"/>
          <w:u w:val="single"/>
        </w:rPr>
        <w:t xml:space="preserve">               </w:t>
      </w:r>
    </w:p>
    <w:p>
      <w:pPr>
        <w:pStyle w:val="51"/>
        <w:widowControl/>
        <w:spacing w:before="120" w:after="120" w:line="500" w:lineRule="exact"/>
        <w:ind w:left="1072" w:hanging="1072"/>
        <w:rPr>
          <w:rFonts w:ascii="宋体" w:hAnsi="宋体"/>
          <w:sz w:val="28"/>
          <w:szCs w:val="28"/>
        </w:rPr>
      </w:pPr>
      <w:r>
        <w:rPr>
          <w:rFonts w:hint="eastAsia" w:ascii="宋体" w:hAnsi="宋体"/>
          <w:sz w:val="28"/>
          <w:szCs w:val="28"/>
        </w:rPr>
        <w:t>签发日期：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51"/>
        <w:widowControl/>
        <w:spacing w:before="120" w:after="120" w:line="500" w:lineRule="exact"/>
        <w:ind w:left="1072" w:hanging="1072"/>
        <w:rPr>
          <w:rFonts w:ascii="宋体" w:hAnsi="宋体"/>
          <w:sz w:val="28"/>
          <w:szCs w:val="28"/>
        </w:rPr>
      </w:pPr>
      <w:r>
        <w:rPr>
          <w:rFonts w:hint="eastAsia" w:ascii="宋体" w:hAnsi="宋体"/>
          <w:sz w:val="28"/>
          <w:szCs w:val="28"/>
        </w:rPr>
        <w:t>附：</w:t>
      </w:r>
    </w:p>
    <w:p>
      <w:pPr>
        <w:pStyle w:val="51"/>
        <w:widowControl/>
        <w:spacing w:before="120" w:after="120" w:line="500" w:lineRule="exact"/>
        <w:ind w:left="1072" w:hanging="1072"/>
        <w:rPr>
          <w:rFonts w:ascii="宋体" w:hAnsi="宋体"/>
          <w:sz w:val="28"/>
          <w:szCs w:val="28"/>
        </w:rPr>
      </w:pPr>
      <w:r>
        <w:rPr>
          <w:rFonts w:hint="eastAsia" w:ascii="宋体" w:hAnsi="宋体"/>
          <w:sz w:val="28"/>
          <w:szCs w:val="28"/>
        </w:rPr>
        <w:t>代理人工作单位：</w:t>
      </w:r>
      <w:r>
        <w:rPr>
          <w:rFonts w:hint="eastAsia" w:ascii="宋体" w:hAnsi="宋体"/>
          <w:sz w:val="28"/>
          <w:szCs w:val="28"/>
          <w:u w:val="single"/>
        </w:rPr>
        <w:t xml:space="preserve">                          </w:t>
      </w:r>
    </w:p>
    <w:p>
      <w:pPr>
        <w:pStyle w:val="51"/>
        <w:widowControl/>
        <w:spacing w:before="120" w:after="120" w:line="500" w:lineRule="exact"/>
        <w:ind w:left="1072" w:hanging="1072"/>
        <w:rPr>
          <w:rFonts w:ascii="宋体" w:hAnsi="宋体"/>
          <w:sz w:val="28"/>
          <w:szCs w:val="28"/>
          <w:u w:val="single"/>
        </w:rPr>
      </w:pPr>
      <w:r>
        <w:rPr>
          <w:rFonts w:hint="eastAsia" w:ascii="宋体" w:hAnsi="宋体"/>
          <w:sz w:val="28"/>
          <w:szCs w:val="28"/>
        </w:rPr>
        <w:t>联系电话（手机）：</w:t>
      </w:r>
      <w:r>
        <w:rPr>
          <w:rFonts w:hint="eastAsia" w:ascii="宋体" w:hAnsi="宋体"/>
          <w:sz w:val="28"/>
          <w:szCs w:val="28"/>
          <w:u w:val="single"/>
        </w:rPr>
        <w:t xml:space="preserve"> </w:t>
      </w:r>
      <w:r>
        <w:rPr>
          <w:rFonts w:ascii="宋体" w:hAnsi="宋体"/>
          <w:sz w:val="28"/>
          <w:szCs w:val="28"/>
          <w:u w:val="single"/>
        </w:rPr>
        <w:t xml:space="preserve">                                </w:t>
      </w:r>
    </w:p>
    <w:p>
      <w:pPr>
        <w:pStyle w:val="51"/>
        <w:widowControl/>
        <w:adjustRightInd w:val="0"/>
        <w:snapToGrid w:val="0"/>
        <w:spacing w:before="120" w:after="120" w:line="500" w:lineRule="exact"/>
        <w:ind w:left="1072" w:hanging="1072"/>
        <w:rPr>
          <w:rFonts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p>
    <w:p>
      <w:pPr>
        <w:pStyle w:val="51"/>
        <w:widowControl/>
        <w:adjustRightInd w:val="0"/>
        <w:snapToGrid w:val="0"/>
        <w:spacing w:before="120" w:after="120" w:line="500" w:lineRule="exact"/>
        <w:ind w:left="-88" w:leftChars="-42" w:firstLine="700" w:firstLineChars="250"/>
        <w:rPr>
          <w:rFonts w:ascii="宋体" w:hAnsi="宋体"/>
          <w:sz w:val="28"/>
          <w:szCs w:val="28"/>
          <w:u w:val="single"/>
        </w:rPr>
      </w:pPr>
    </w:p>
    <w:tbl>
      <w:tblPr>
        <w:tblStyle w:val="19"/>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51"/>
              <w:widowControl/>
              <w:spacing w:before="120" w:after="120" w:line="500" w:lineRule="exact"/>
              <w:ind w:left="1072" w:hanging="1072"/>
              <w:rPr>
                <w:rFonts w:ascii="宋体" w:hAnsi="宋体"/>
                <w:sz w:val="28"/>
                <w:szCs w:val="28"/>
              </w:rPr>
            </w:pPr>
            <w:r>
              <w:rPr>
                <w:rFonts w:hint="eastAsia" w:ascii="宋体" w:hAnsi="宋体"/>
                <w:sz w:val="28"/>
                <w:szCs w:val="28"/>
              </w:rPr>
              <w:t>粘贴被授权人身份证（扫描件）</w:t>
            </w:r>
          </w:p>
        </w:tc>
      </w:tr>
    </w:tbl>
    <w:p>
      <w:pPr>
        <w:pStyle w:val="51"/>
        <w:widowControl/>
        <w:autoSpaceDE w:val="0"/>
        <w:autoSpaceDN w:val="0"/>
        <w:spacing w:before="120" w:after="120" w:line="500" w:lineRule="exact"/>
        <w:rPr>
          <w:rFonts w:ascii="宋体" w:hAnsi="宋体"/>
          <w:sz w:val="28"/>
          <w:szCs w:val="28"/>
        </w:rPr>
      </w:pPr>
    </w:p>
    <w:p>
      <w:pPr>
        <w:pStyle w:val="51"/>
        <w:widowControl/>
        <w:spacing w:before="120" w:after="120" w:line="500" w:lineRule="exact"/>
        <w:ind w:left="1072" w:hanging="1072"/>
        <w:jc w:val="center"/>
        <w:rPr>
          <w:rFonts w:ascii="宋体" w:hAnsi="宋体"/>
          <w:b/>
          <w:bCs/>
          <w:kern w:val="0"/>
          <w:sz w:val="28"/>
          <w:szCs w:val="28"/>
        </w:rPr>
      </w:pPr>
    </w:p>
    <w:p>
      <w:pPr>
        <w:pStyle w:val="51"/>
        <w:jc w:val="center"/>
        <w:rPr>
          <w:rFonts w:hint="eastAsia" w:ascii="宋体" w:hAnsi="宋体" w:eastAsia="宋体" w:cs="宋体"/>
          <w:b/>
          <w:bCs/>
          <w:color w:val="auto"/>
          <w:sz w:val="28"/>
          <w:szCs w:val="28"/>
          <w:highlight w:val="none"/>
        </w:rPr>
      </w:pPr>
      <w:r>
        <w:rPr>
          <w:rFonts w:hint="eastAsia" w:ascii="宋体" w:hAnsi="宋体"/>
          <w:b/>
          <w:bCs/>
          <w:kern w:val="0"/>
          <w:sz w:val="28"/>
          <w:szCs w:val="28"/>
        </w:rPr>
        <w:t>注：本表适用于法人、其他组织、自然人</w:t>
      </w:r>
    </w:p>
    <w:p>
      <w:pPr>
        <w:pStyle w:val="33"/>
        <w:rPr>
          <w:rFonts w:cs="仿宋"/>
          <w:b w:val="0"/>
          <w:color w:val="auto"/>
        </w:rPr>
      </w:pPr>
      <w:r>
        <w:rPr>
          <w:rFonts w:hint="eastAsia"/>
          <w:color w:val="auto"/>
          <w:lang w:val="en-US" w:eastAsia="zh-CN"/>
        </w:rPr>
        <w:t>二轮</w:t>
      </w:r>
      <w:r>
        <w:rPr>
          <w:rFonts w:hint="eastAsia"/>
          <w:color w:val="auto"/>
          <w:lang w:eastAsia="zh-CN"/>
        </w:rPr>
        <w:t>报价表</w:t>
      </w:r>
    </w:p>
    <w:p>
      <w:pPr>
        <w:snapToGrid w:val="0"/>
        <w:spacing w:line="500" w:lineRule="exact"/>
        <w:rPr>
          <w:rFonts w:hAnsi="宋体"/>
          <w:color w:val="auto"/>
          <w:sz w:val="28"/>
          <w:szCs w:val="28"/>
          <w:u w:val="single"/>
        </w:rPr>
      </w:pPr>
      <w:r>
        <w:rPr>
          <w:rFonts w:hint="eastAsia" w:hAnsi="宋体"/>
          <w:color w:val="auto"/>
          <w:sz w:val="28"/>
          <w:szCs w:val="28"/>
        </w:rPr>
        <w:t>采购项目名称：</w:t>
      </w:r>
      <w:r>
        <w:rPr>
          <w:rFonts w:hint="eastAsia" w:hAnsi="宋体"/>
          <w:color w:val="auto"/>
          <w:sz w:val="28"/>
          <w:szCs w:val="28"/>
          <w:u w:val="single"/>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8" w:type="dxa"/>
            <w:noWrap w:val="0"/>
            <w:vAlign w:val="center"/>
          </w:tcPr>
          <w:p>
            <w:pPr>
              <w:snapToGrid w:val="0"/>
              <w:spacing w:before="156" w:beforeLines="50" w:line="360" w:lineRule="auto"/>
              <w:jc w:val="center"/>
              <w:rPr>
                <w:rFonts w:hAnsi="宋体"/>
                <w:color w:val="auto"/>
                <w:sz w:val="28"/>
                <w:szCs w:val="28"/>
              </w:rPr>
            </w:pPr>
            <w:r>
              <w:rPr>
                <w:rFonts w:hint="eastAsia" w:hAnsi="宋体"/>
                <w:color w:val="auto"/>
                <w:sz w:val="28"/>
                <w:szCs w:val="28"/>
                <w:lang w:val="en-US" w:eastAsia="zh-CN"/>
              </w:rPr>
              <w:t>谈判</w:t>
            </w:r>
            <w:r>
              <w:rPr>
                <w:rFonts w:hint="eastAsia" w:hAnsi="宋体"/>
                <w:color w:val="auto"/>
                <w:sz w:val="28"/>
                <w:szCs w:val="28"/>
              </w:rPr>
              <w:t>报价（人民币）</w:t>
            </w:r>
          </w:p>
        </w:tc>
        <w:tc>
          <w:tcPr>
            <w:tcW w:w="5774" w:type="dxa"/>
            <w:noWrap w:val="0"/>
            <w:vAlign w:val="center"/>
          </w:tcPr>
          <w:p>
            <w:pPr>
              <w:snapToGrid w:val="0"/>
              <w:spacing w:before="156" w:beforeLines="50" w:line="360" w:lineRule="auto"/>
              <w:rPr>
                <w:rFonts w:hint="eastAsia" w:hAnsi="宋体"/>
                <w:color w:val="auto"/>
                <w:sz w:val="28"/>
                <w:szCs w:val="28"/>
              </w:rPr>
            </w:pPr>
            <w:r>
              <w:rPr>
                <w:rFonts w:hint="eastAsia" w:hAnsi="宋体"/>
                <w:color w:val="auto"/>
                <w:sz w:val="28"/>
                <w:szCs w:val="28"/>
              </w:rPr>
              <w:t>大写：</w:t>
            </w:r>
          </w:p>
          <w:p>
            <w:pPr>
              <w:snapToGrid w:val="0"/>
              <w:spacing w:before="156" w:beforeLines="50" w:line="360" w:lineRule="auto"/>
              <w:rPr>
                <w:rFonts w:hAnsi="宋体"/>
                <w:color w:val="auto"/>
                <w:sz w:val="28"/>
                <w:szCs w:val="28"/>
              </w:rPr>
            </w:pPr>
            <w:r>
              <w:rPr>
                <w:rFonts w:hint="eastAsia" w:hAnsi="宋体"/>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988" w:type="dxa"/>
            <w:noWrap w:val="0"/>
            <w:vAlign w:val="center"/>
          </w:tcPr>
          <w:p>
            <w:pPr>
              <w:snapToGrid w:val="0"/>
              <w:spacing w:line="360" w:lineRule="auto"/>
              <w:jc w:val="center"/>
              <w:rPr>
                <w:rFonts w:hint="default" w:hAnsi="宋体" w:eastAsia="宋体"/>
                <w:color w:val="auto"/>
                <w:sz w:val="28"/>
                <w:szCs w:val="28"/>
                <w:lang w:val="en-US" w:eastAsia="zh-CN"/>
              </w:rPr>
            </w:pPr>
            <w:r>
              <w:rPr>
                <w:rFonts w:hint="eastAsia" w:hAnsi="宋体"/>
                <w:color w:val="auto"/>
                <w:sz w:val="28"/>
                <w:szCs w:val="28"/>
                <w:lang w:val="en-US" w:eastAsia="zh-CN"/>
              </w:rPr>
              <w:t>保险期限</w:t>
            </w:r>
          </w:p>
        </w:tc>
        <w:tc>
          <w:tcPr>
            <w:tcW w:w="5774" w:type="dxa"/>
            <w:noWrap w:val="0"/>
            <w:vAlign w:val="center"/>
          </w:tcPr>
          <w:p>
            <w:pPr>
              <w:snapToGrid w:val="0"/>
              <w:spacing w:line="360" w:lineRule="auto"/>
              <w:rPr>
                <w:rFonts w:hAnsi="宋体"/>
                <w:color w:val="auto"/>
                <w:sz w:val="28"/>
                <w:szCs w:val="28"/>
              </w:rPr>
            </w:pPr>
          </w:p>
        </w:tc>
      </w:tr>
    </w:tbl>
    <w:p>
      <w:pPr>
        <w:snapToGrid w:val="0"/>
        <w:spacing w:line="500" w:lineRule="exact"/>
        <w:rPr>
          <w:rFonts w:hAnsi="宋体"/>
          <w:color w:val="auto"/>
          <w:sz w:val="28"/>
          <w:szCs w:val="28"/>
        </w:rPr>
      </w:pPr>
    </w:p>
    <w:p>
      <w:pPr>
        <w:autoSpaceDE w:val="0"/>
        <w:autoSpaceDN w:val="0"/>
        <w:jc w:val="left"/>
        <w:rPr>
          <w:rFonts w:hint="eastAsia" w:hAnsi="宋体"/>
          <w:color w:val="auto"/>
          <w:sz w:val="28"/>
          <w:szCs w:val="28"/>
        </w:rPr>
      </w:pPr>
      <w:r>
        <w:rPr>
          <w:rFonts w:hint="eastAsia" w:hAnsi="宋体"/>
          <w:color w:val="auto"/>
          <w:sz w:val="28"/>
          <w:szCs w:val="28"/>
        </w:rPr>
        <w:t>说明：1．所有价格均用人民币表示，</w:t>
      </w:r>
      <w:r>
        <w:rPr>
          <w:rFonts w:hint="eastAsia" w:hAnsi="宋体"/>
          <w:color w:val="auto"/>
          <w:sz w:val="28"/>
          <w:szCs w:val="28"/>
          <w:lang w:eastAsia="zh-CN"/>
        </w:rPr>
        <w:t>单位为元，</w:t>
      </w:r>
      <w:r>
        <w:rPr>
          <w:rFonts w:hint="eastAsia" w:hAnsi="宋体"/>
          <w:color w:val="auto"/>
          <w:sz w:val="28"/>
          <w:szCs w:val="28"/>
        </w:rPr>
        <w:t>保留到小数点后两位；</w:t>
      </w:r>
    </w:p>
    <w:p>
      <w:pPr>
        <w:autoSpaceDE w:val="0"/>
        <w:autoSpaceDN w:val="0"/>
        <w:ind w:firstLine="840" w:firstLineChars="300"/>
        <w:jc w:val="left"/>
        <w:rPr>
          <w:rFonts w:hint="eastAsia" w:hAnsi="宋体"/>
          <w:color w:val="auto"/>
          <w:sz w:val="28"/>
          <w:szCs w:val="28"/>
        </w:rPr>
      </w:pPr>
      <w:r>
        <w:rPr>
          <w:rFonts w:hint="eastAsia" w:hAnsi="宋体"/>
          <w:color w:val="auto"/>
          <w:sz w:val="28"/>
          <w:szCs w:val="28"/>
        </w:rPr>
        <w:t>2．本表必须按要求由供应商本项目法人授权代表签字，并加盖供应商公章。</w:t>
      </w:r>
    </w:p>
    <w:p>
      <w:pPr>
        <w:autoSpaceDE w:val="0"/>
        <w:autoSpaceDN w:val="0"/>
        <w:jc w:val="left"/>
        <w:rPr>
          <w:rFonts w:hAnsi="宋体" w:cs="仿宋"/>
          <w:color w:val="auto"/>
          <w:sz w:val="28"/>
          <w:szCs w:val="28"/>
        </w:rPr>
      </w:pPr>
    </w:p>
    <w:p>
      <w:pPr>
        <w:autoSpaceDE w:val="0"/>
        <w:autoSpaceDN w:val="0"/>
        <w:jc w:val="left"/>
        <w:rPr>
          <w:rFonts w:hAnsi="宋体"/>
          <w:color w:val="auto"/>
          <w:sz w:val="28"/>
          <w:szCs w:val="28"/>
        </w:rPr>
      </w:pPr>
      <w:r>
        <w:rPr>
          <w:rFonts w:hint="eastAsia" w:hAnsi="宋体"/>
          <w:color w:val="auto"/>
          <w:sz w:val="28"/>
          <w:szCs w:val="28"/>
        </w:rPr>
        <w:t>法定代表人或授权代表（</w:t>
      </w:r>
      <w:r>
        <w:rPr>
          <w:rFonts w:hint="eastAsia" w:hAnsi="宋体"/>
          <w:color w:val="auto"/>
          <w:sz w:val="28"/>
          <w:szCs w:val="28"/>
          <w:shd w:val="clear" w:color="auto" w:fill="FFFFFF"/>
        </w:rPr>
        <w:t>签字或盖章</w:t>
      </w:r>
      <w:r>
        <w:rPr>
          <w:rFonts w:hint="eastAsia" w:hAnsi="宋体"/>
          <w:color w:val="auto"/>
          <w:sz w:val="28"/>
          <w:szCs w:val="28"/>
        </w:rPr>
        <w:t>）：</w:t>
      </w:r>
      <w:r>
        <w:rPr>
          <w:rFonts w:hint="eastAsia" w:hAnsi="宋体"/>
          <w:color w:val="auto"/>
          <w:sz w:val="28"/>
          <w:szCs w:val="28"/>
          <w:u w:val="single"/>
        </w:rPr>
        <w:t xml:space="preserve">      </w:t>
      </w:r>
    </w:p>
    <w:p>
      <w:pPr>
        <w:autoSpaceDE w:val="0"/>
        <w:autoSpaceDN w:val="0"/>
        <w:jc w:val="left"/>
        <w:rPr>
          <w:rFonts w:hAnsi="宋体"/>
          <w:color w:val="auto"/>
          <w:sz w:val="28"/>
          <w:szCs w:val="28"/>
        </w:rPr>
      </w:pPr>
      <w:r>
        <w:rPr>
          <w:rFonts w:hint="eastAsia" w:hAnsi="宋体"/>
          <w:color w:val="auto"/>
          <w:sz w:val="28"/>
          <w:szCs w:val="28"/>
        </w:rPr>
        <w:t>供应商名称（盖章）：</w:t>
      </w:r>
      <w:r>
        <w:rPr>
          <w:rFonts w:hint="eastAsia" w:hAnsi="宋体"/>
          <w:color w:val="auto"/>
          <w:sz w:val="28"/>
          <w:szCs w:val="28"/>
          <w:u w:val="single"/>
        </w:rPr>
        <w:t xml:space="preserve">                        </w:t>
      </w:r>
    </w:p>
    <w:p>
      <w:pPr>
        <w:pStyle w:val="50"/>
        <w:spacing w:line="360" w:lineRule="auto"/>
        <w:rPr>
          <w:rFonts w:hAnsi="宋体" w:cs="Times New Roman"/>
          <w:color w:val="auto"/>
          <w:kern w:val="2"/>
          <w:sz w:val="28"/>
          <w:szCs w:val="28"/>
        </w:rPr>
      </w:pPr>
      <w:r>
        <w:rPr>
          <w:rFonts w:hint="eastAsia" w:hAnsi="宋体" w:cs="Times New Roman"/>
          <w:color w:val="auto"/>
          <w:kern w:val="2"/>
          <w:sz w:val="28"/>
          <w:szCs w:val="28"/>
        </w:rPr>
        <w:t>日期：</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年</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月</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日</w:t>
      </w:r>
    </w:p>
    <w:p>
      <w:pPr>
        <w:pStyle w:val="50"/>
        <w:spacing w:line="360" w:lineRule="auto"/>
        <w:rPr>
          <w:rFonts w:hAnsi="宋体" w:cs="仿宋"/>
          <w:color w:val="auto"/>
          <w:sz w:val="28"/>
          <w:szCs w:val="28"/>
        </w:rPr>
      </w:pPr>
    </w:p>
    <w:p>
      <w:pPr>
        <w:rPr>
          <w:rFonts w:hint="eastAsia" w:ascii="宋体" w:hAnsi="宋体"/>
          <w:color w:val="auto"/>
          <w:sz w:val="28"/>
          <w:szCs w:val="28"/>
          <w:highlight w:val="white"/>
        </w:rPr>
      </w:pPr>
      <w:r>
        <w:rPr>
          <w:rFonts w:hint="eastAsia" w:hAnsi="宋体"/>
          <w:b/>
          <w:color w:val="auto"/>
          <w:sz w:val="28"/>
          <w:szCs w:val="28"/>
        </w:rPr>
        <w:t>（本表由投标供应商加盖公章后装订在响应文件正本和副本中，由供应商在评审现场填写）</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pStyle w:val="33"/>
        <w:rPr>
          <w:rFonts w:cs="仿宋"/>
          <w:b w:val="0"/>
          <w:color w:val="auto"/>
        </w:rPr>
      </w:pPr>
      <w:r>
        <w:rPr>
          <w:rFonts w:hint="eastAsia"/>
          <w:color w:val="auto"/>
          <w:lang w:val="en-US" w:eastAsia="zh-CN"/>
        </w:rPr>
        <w:t>三轮</w:t>
      </w:r>
      <w:r>
        <w:rPr>
          <w:rFonts w:hint="eastAsia"/>
          <w:color w:val="auto"/>
          <w:lang w:eastAsia="zh-CN"/>
        </w:rPr>
        <w:t>报价表</w:t>
      </w:r>
    </w:p>
    <w:p>
      <w:pPr>
        <w:snapToGrid w:val="0"/>
        <w:spacing w:line="500" w:lineRule="exact"/>
        <w:rPr>
          <w:rFonts w:hAnsi="宋体"/>
          <w:color w:val="auto"/>
          <w:sz w:val="28"/>
          <w:szCs w:val="28"/>
          <w:u w:val="single"/>
        </w:rPr>
      </w:pPr>
      <w:r>
        <w:rPr>
          <w:rFonts w:hint="eastAsia" w:hAnsi="宋体"/>
          <w:color w:val="auto"/>
          <w:sz w:val="28"/>
          <w:szCs w:val="28"/>
        </w:rPr>
        <w:t>采购项目名称：</w:t>
      </w:r>
      <w:r>
        <w:rPr>
          <w:rFonts w:hint="eastAsia" w:hAnsi="宋体"/>
          <w:color w:val="auto"/>
          <w:sz w:val="28"/>
          <w:szCs w:val="28"/>
          <w:u w:val="single"/>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8" w:type="dxa"/>
            <w:noWrap w:val="0"/>
            <w:vAlign w:val="center"/>
          </w:tcPr>
          <w:p>
            <w:pPr>
              <w:snapToGrid w:val="0"/>
              <w:spacing w:before="156" w:beforeLines="50" w:line="360" w:lineRule="auto"/>
              <w:jc w:val="center"/>
              <w:rPr>
                <w:rFonts w:hAnsi="宋体"/>
                <w:color w:val="auto"/>
                <w:sz w:val="28"/>
                <w:szCs w:val="28"/>
              </w:rPr>
            </w:pPr>
            <w:r>
              <w:rPr>
                <w:rFonts w:hint="eastAsia" w:hAnsi="宋体"/>
                <w:color w:val="auto"/>
                <w:sz w:val="28"/>
                <w:szCs w:val="28"/>
                <w:lang w:val="en-US" w:eastAsia="zh-CN"/>
              </w:rPr>
              <w:t>谈判</w:t>
            </w:r>
            <w:r>
              <w:rPr>
                <w:rFonts w:hint="eastAsia" w:hAnsi="宋体"/>
                <w:color w:val="auto"/>
                <w:sz w:val="28"/>
                <w:szCs w:val="28"/>
              </w:rPr>
              <w:t>报价（人民币）</w:t>
            </w:r>
          </w:p>
        </w:tc>
        <w:tc>
          <w:tcPr>
            <w:tcW w:w="5774" w:type="dxa"/>
            <w:noWrap w:val="0"/>
            <w:vAlign w:val="center"/>
          </w:tcPr>
          <w:p>
            <w:pPr>
              <w:snapToGrid w:val="0"/>
              <w:spacing w:before="156" w:beforeLines="50" w:line="360" w:lineRule="auto"/>
              <w:rPr>
                <w:rFonts w:hint="eastAsia" w:hAnsi="宋体"/>
                <w:color w:val="auto"/>
                <w:sz w:val="28"/>
                <w:szCs w:val="28"/>
              </w:rPr>
            </w:pPr>
            <w:r>
              <w:rPr>
                <w:rFonts w:hint="eastAsia" w:hAnsi="宋体"/>
                <w:color w:val="auto"/>
                <w:sz w:val="28"/>
                <w:szCs w:val="28"/>
              </w:rPr>
              <w:t>大写：</w:t>
            </w:r>
          </w:p>
          <w:p>
            <w:pPr>
              <w:snapToGrid w:val="0"/>
              <w:spacing w:before="156" w:beforeLines="50" w:line="360" w:lineRule="auto"/>
              <w:rPr>
                <w:rFonts w:hAnsi="宋体"/>
                <w:color w:val="auto"/>
                <w:sz w:val="28"/>
                <w:szCs w:val="28"/>
              </w:rPr>
            </w:pPr>
            <w:r>
              <w:rPr>
                <w:rFonts w:hint="eastAsia" w:hAnsi="宋体"/>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988" w:type="dxa"/>
            <w:noWrap w:val="0"/>
            <w:vAlign w:val="center"/>
          </w:tcPr>
          <w:p>
            <w:pPr>
              <w:snapToGrid w:val="0"/>
              <w:spacing w:line="360" w:lineRule="auto"/>
              <w:jc w:val="center"/>
              <w:rPr>
                <w:rFonts w:hint="default" w:hAnsi="宋体" w:eastAsia="宋体"/>
                <w:color w:val="auto"/>
                <w:sz w:val="28"/>
                <w:szCs w:val="28"/>
                <w:lang w:val="en-US" w:eastAsia="zh-CN"/>
              </w:rPr>
            </w:pPr>
            <w:r>
              <w:rPr>
                <w:rFonts w:hint="eastAsia" w:hAnsi="宋体"/>
                <w:color w:val="auto"/>
                <w:sz w:val="28"/>
                <w:szCs w:val="28"/>
                <w:lang w:val="en-US" w:eastAsia="zh-CN"/>
              </w:rPr>
              <w:t>保险期限</w:t>
            </w:r>
          </w:p>
        </w:tc>
        <w:tc>
          <w:tcPr>
            <w:tcW w:w="5774" w:type="dxa"/>
            <w:noWrap w:val="0"/>
            <w:vAlign w:val="center"/>
          </w:tcPr>
          <w:p>
            <w:pPr>
              <w:snapToGrid w:val="0"/>
              <w:spacing w:line="360" w:lineRule="auto"/>
              <w:rPr>
                <w:rFonts w:hAnsi="宋体"/>
                <w:color w:val="auto"/>
                <w:sz w:val="28"/>
                <w:szCs w:val="28"/>
              </w:rPr>
            </w:pPr>
          </w:p>
        </w:tc>
      </w:tr>
    </w:tbl>
    <w:p>
      <w:pPr>
        <w:snapToGrid w:val="0"/>
        <w:spacing w:line="500" w:lineRule="exact"/>
        <w:rPr>
          <w:rFonts w:hAnsi="宋体"/>
          <w:color w:val="auto"/>
          <w:sz w:val="28"/>
          <w:szCs w:val="28"/>
        </w:rPr>
      </w:pPr>
    </w:p>
    <w:p>
      <w:pPr>
        <w:autoSpaceDE w:val="0"/>
        <w:autoSpaceDN w:val="0"/>
        <w:jc w:val="left"/>
        <w:rPr>
          <w:rFonts w:hint="eastAsia" w:hAnsi="宋体"/>
          <w:color w:val="auto"/>
          <w:sz w:val="28"/>
          <w:szCs w:val="28"/>
        </w:rPr>
      </w:pPr>
      <w:r>
        <w:rPr>
          <w:rFonts w:hint="eastAsia" w:hAnsi="宋体"/>
          <w:color w:val="auto"/>
          <w:sz w:val="28"/>
          <w:szCs w:val="28"/>
        </w:rPr>
        <w:t>说明：1．所有价格均用人民币表示，</w:t>
      </w:r>
      <w:r>
        <w:rPr>
          <w:rFonts w:hint="eastAsia" w:hAnsi="宋体"/>
          <w:color w:val="auto"/>
          <w:sz w:val="28"/>
          <w:szCs w:val="28"/>
          <w:lang w:eastAsia="zh-CN"/>
        </w:rPr>
        <w:t>单位为元，</w:t>
      </w:r>
      <w:r>
        <w:rPr>
          <w:rFonts w:hint="eastAsia" w:hAnsi="宋体"/>
          <w:color w:val="auto"/>
          <w:sz w:val="28"/>
          <w:szCs w:val="28"/>
        </w:rPr>
        <w:t>保留到小数点后两位；</w:t>
      </w:r>
    </w:p>
    <w:p>
      <w:pPr>
        <w:autoSpaceDE w:val="0"/>
        <w:autoSpaceDN w:val="0"/>
        <w:ind w:firstLine="840" w:firstLineChars="300"/>
        <w:jc w:val="left"/>
        <w:rPr>
          <w:rFonts w:hint="eastAsia" w:hAnsi="宋体"/>
          <w:color w:val="auto"/>
          <w:sz w:val="28"/>
          <w:szCs w:val="28"/>
        </w:rPr>
      </w:pPr>
      <w:r>
        <w:rPr>
          <w:rFonts w:hint="eastAsia" w:hAnsi="宋体"/>
          <w:color w:val="auto"/>
          <w:sz w:val="28"/>
          <w:szCs w:val="28"/>
        </w:rPr>
        <w:t>2．本表必须按要求由供应商本项目法人授权代表签字，并加盖供应商公章。</w:t>
      </w:r>
    </w:p>
    <w:p>
      <w:pPr>
        <w:autoSpaceDE w:val="0"/>
        <w:autoSpaceDN w:val="0"/>
        <w:jc w:val="left"/>
        <w:rPr>
          <w:rFonts w:hAnsi="宋体" w:cs="仿宋"/>
          <w:color w:val="auto"/>
          <w:sz w:val="28"/>
          <w:szCs w:val="28"/>
        </w:rPr>
      </w:pPr>
    </w:p>
    <w:p>
      <w:pPr>
        <w:autoSpaceDE w:val="0"/>
        <w:autoSpaceDN w:val="0"/>
        <w:jc w:val="left"/>
        <w:rPr>
          <w:rFonts w:hAnsi="宋体"/>
          <w:color w:val="auto"/>
          <w:sz w:val="28"/>
          <w:szCs w:val="28"/>
        </w:rPr>
      </w:pPr>
      <w:r>
        <w:rPr>
          <w:rFonts w:hint="eastAsia" w:hAnsi="宋体"/>
          <w:color w:val="auto"/>
          <w:sz w:val="28"/>
          <w:szCs w:val="28"/>
        </w:rPr>
        <w:t>法定代表人或授权代表（</w:t>
      </w:r>
      <w:r>
        <w:rPr>
          <w:rFonts w:hint="eastAsia" w:hAnsi="宋体"/>
          <w:color w:val="auto"/>
          <w:sz w:val="28"/>
          <w:szCs w:val="28"/>
          <w:shd w:val="clear" w:color="auto" w:fill="FFFFFF"/>
        </w:rPr>
        <w:t>签字或盖章</w:t>
      </w:r>
      <w:r>
        <w:rPr>
          <w:rFonts w:hint="eastAsia" w:hAnsi="宋体"/>
          <w:color w:val="auto"/>
          <w:sz w:val="28"/>
          <w:szCs w:val="28"/>
        </w:rPr>
        <w:t>）：</w:t>
      </w:r>
      <w:r>
        <w:rPr>
          <w:rFonts w:hint="eastAsia" w:hAnsi="宋体"/>
          <w:color w:val="auto"/>
          <w:sz w:val="28"/>
          <w:szCs w:val="28"/>
          <w:u w:val="single"/>
        </w:rPr>
        <w:t xml:space="preserve">      </w:t>
      </w:r>
    </w:p>
    <w:p>
      <w:pPr>
        <w:autoSpaceDE w:val="0"/>
        <w:autoSpaceDN w:val="0"/>
        <w:jc w:val="left"/>
        <w:rPr>
          <w:rFonts w:hAnsi="宋体"/>
          <w:color w:val="auto"/>
          <w:sz w:val="28"/>
          <w:szCs w:val="28"/>
        </w:rPr>
      </w:pPr>
      <w:r>
        <w:rPr>
          <w:rFonts w:hint="eastAsia" w:hAnsi="宋体"/>
          <w:color w:val="auto"/>
          <w:sz w:val="28"/>
          <w:szCs w:val="28"/>
        </w:rPr>
        <w:t>供应商名称（盖章）：</w:t>
      </w:r>
      <w:r>
        <w:rPr>
          <w:rFonts w:hint="eastAsia" w:hAnsi="宋体"/>
          <w:color w:val="auto"/>
          <w:sz w:val="28"/>
          <w:szCs w:val="28"/>
          <w:u w:val="single"/>
        </w:rPr>
        <w:t xml:space="preserve">                        </w:t>
      </w:r>
    </w:p>
    <w:p>
      <w:pPr>
        <w:pStyle w:val="50"/>
        <w:spacing w:line="360" w:lineRule="auto"/>
        <w:rPr>
          <w:rFonts w:hAnsi="宋体" w:cs="Times New Roman"/>
          <w:color w:val="auto"/>
          <w:kern w:val="2"/>
          <w:sz w:val="28"/>
          <w:szCs w:val="28"/>
        </w:rPr>
      </w:pPr>
      <w:r>
        <w:rPr>
          <w:rFonts w:hint="eastAsia" w:hAnsi="宋体" w:cs="Times New Roman"/>
          <w:color w:val="auto"/>
          <w:kern w:val="2"/>
          <w:sz w:val="28"/>
          <w:szCs w:val="28"/>
        </w:rPr>
        <w:t>日期：</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年</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月</w:t>
      </w:r>
      <w:r>
        <w:rPr>
          <w:rFonts w:hint="eastAsia" w:hAnsi="宋体" w:cs="Times New Roman"/>
          <w:color w:val="auto"/>
          <w:kern w:val="2"/>
          <w:sz w:val="28"/>
          <w:szCs w:val="28"/>
          <w:u w:val="single"/>
        </w:rPr>
        <w:t xml:space="preserve">    </w:t>
      </w:r>
      <w:r>
        <w:rPr>
          <w:rFonts w:hint="eastAsia" w:hAnsi="宋体" w:cs="Times New Roman"/>
          <w:color w:val="auto"/>
          <w:kern w:val="2"/>
          <w:sz w:val="28"/>
          <w:szCs w:val="28"/>
        </w:rPr>
        <w:t>日</w:t>
      </w:r>
    </w:p>
    <w:p>
      <w:pPr>
        <w:pStyle w:val="50"/>
        <w:spacing w:line="360" w:lineRule="auto"/>
        <w:rPr>
          <w:rFonts w:hAnsi="宋体" w:cs="仿宋"/>
          <w:color w:val="auto"/>
          <w:sz w:val="28"/>
          <w:szCs w:val="28"/>
        </w:rPr>
      </w:pPr>
    </w:p>
    <w:p>
      <w:pPr>
        <w:rPr>
          <w:rFonts w:hint="eastAsia" w:ascii="宋体" w:hAnsi="宋体"/>
          <w:color w:val="auto"/>
          <w:sz w:val="28"/>
          <w:szCs w:val="28"/>
          <w:highlight w:val="white"/>
        </w:rPr>
      </w:pPr>
      <w:r>
        <w:rPr>
          <w:rFonts w:hint="eastAsia" w:hAnsi="宋体"/>
          <w:b/>
          <w:color w:val="auto"/>
          <w:sz w:val="28"/>
          <w:szCs w:val="28"/>
        </w:rPr>
        <w:t>（本表由投标供应商加盖公章后装订在响应文件正本和副本中，由供应商在评审现场填写）</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bCs/>
          <w:color w:val="auto"/>
          <w:sz w:val="28"/>
          <w:szCs w:val="28"/>
          <w:highlight w:val="none"/>
        </w:rPr>
        <w:t>资格审查资料；</w:t>
      </w:r>
    </w:p>
    <w:p>
      <w:pPr>
        <w:pStyle w:val="5"/>
        <w:keepNext w:val="0"/>
        <w:keepLines w:val="0"/>
        <w:numPr>
          <w:ilvl w:val="2"/>
          <w:numId w:val="0"/>
        </w:numPr>
        <w:spacing w:before="240" w:after="240" w:line="312" w:lineRule="auto"/>
        <w:ind w:leftChars="0"/>
        <w:jc w:val="center"/>
        <w:rPr>
          <w:rFonts w:hint="eastAsia" w:ascii="宋体" w:hAnsi="宋体" w:eastAsia="宋体" w:cs="宋体"/>
          <w:color w:val="auto"/>
          <w:sz w:val="28"/>
          <w:szCs w:val="28"/>
          <w:highlight w:val="none"/>
        </w:rPr>
      </w:pPr>
      <w:bookmarkStart w:id="82" w:name="_Toc434420793"/>
      <w:r>
        <w:rPr>
          <w:rFonts w:hint="eastAsia" w:ascii="宋体" w:hAnsi="宋体" w:eastAsia="宋体" w:cs="宋体"/>
          <w:color w:val="auto"/>
          <w:sz w:val="28"/>
          <w:szCs w:val="28"/>
          <w:highlight w:val="none"/>
        </w:rPr>
        <w:t>近年同类服务供给表</w:t>
      </w:r>
      <w:bookmarkEnd w:id="82"/>
    </w:p>
    <w:tbl>
      <w:tblPr>
        <w:tblStyle w:val="19"/>
        <w:tblW w:w="0" w:type="auto"/>
        <w:jc w:val="center"/>
        <w:tblLayout w:type="fixed"/>
        <w:tblCellMar>
          <w:top w:w="0" w:type="dxa"/>
          <w:left w:w="0" w:type="dxa"/>
          <w:bottom w:w="0" w:type="dxa"/>
          <w:right w:w="0" w:type="dxa"/>
        </w:tblCellMar>
      </w:tblPr>
      <w:tblGrid>
        <w:gridCol w:w="2095"/>
        <w:gridCol w:w="6104"/>
      </w:tblGrid>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29"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地址</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电话</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合同价格</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3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6332"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服务描述</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440" w:hRule="exact"/>
          <w:jc w:val="center"/>
        </w:trPr>
        <w:tc>
          <w:tcPr>
            <w:tcW w:w="2095"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 注</w:t>
            </w:r>
          </w:p>
        </w:tc>
        <w:tc>
          <w:tcPr>
            <w:tcW w:w="6104"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auto"/>
              <w:jc w:val="center"/>
              <w:rPr>
                <w:rFonts w:hint="eastAsia" w:ascii="宋体" w:hAnsi="宋体" w:eastAsia="宋体" w:cs="宋体"/>
                <w:color w:val="auto"/>
                <w:sz w:val="24"/>
                <w:szCs w:val="24"/>
                <w:highlight w:val="none"/>
              </w:rPr>
            </w:pPr>
          </w:p>
        </w:tc>
      </w:tr>
    </w:tbl>
    <w:p>
      <w:pPr>
        <w:spacing w:line="312" w:lineRule="auto"/>
        <w:rPr>
          <w:rFonts w:hint="eastAsia" w:ascii="宋体" w:hAnsi="宋体" w:eastAsia="宋体" w:cs="宋体"/>
          <w:color w:val="auto"/>
          <w:sz w:val="28"/>
          <w:szCs w:val="28"/>
          <w:highlight w:val="none"/>
        </w:rPr>
      </w:pPr>
    </w:p>
    <w:p>
      <w:pPr>
        <w:spacing w:line="312" w:lineRule="auto"/>
        <w:ind w:left="220" w:right="-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注：1、应附中标通知书（如有）</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合同协议书</w:t>
      </w:r>
      <w:r>
        <w:rPr>
          <w:rFonts w:hint="eastAsia" w:ascii="宋体" w:hAnsi="宋体" w:cs="宋体"/>
          <w:color w:val="auto"/>
          <w:sz w:val="24"/>
          <w:szCs w:val="24"/>
          <w:highlight w:val="none"/>
          <w:lang w:eastAsia="zh-CN"/>
        </w:rPr>
        <w:t>原件彩色扫描件并加盖公章</w:t>
      </w:r>
      <w:r>
        <w:rPr>
          <w:rFonts w:hint="eastAsia" w:ascii="宋体" w:hAnsi="宋体" w:eastAsia="宋体" w:cs="宋体"/>
          <w:color w:val="auto"/>
          <w:sz w:val="24"/>
          <w:szCs w:val="24"/>
          <w:highlight w:val="none"/>
        </w:rPr>
        <w:t>，具体年份时间要求见</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。每张表格只填写一个项目，并标明序号。</w:t>
      </w:r>
    </w:p>
    <w:p>
      <w:pPr>
        <w:spacing w:line="312" w:lineRule="auto"/>
        <w:ind w:left="210" w:leftChars="100" w:right="-2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未做要求的无需提供。</w:t>
      </w:r>
    </w:p>
    <w:p>
      <w:pPr>
        <w:rPr>
          <w:rFonts w:hint="eastAsia" w:ascii="宋体" w:hAnsi="宋体" w:eastAsia="宋体" w:cs="宋体"/>
          <w:color w:val="auto"/>
          <w:highlight w:val="none"/>
        </w:rPr>
      </w:pPr>
    </w:p>
    <w:p>
      <w:pPr>
        <w:spacing w:line="300" w:lineRule="auto"/>
        <w:ind w:right="640"/>
        <w:jc w:val="center"/>
        <w:rPr>
          <w:rFonts w:hint="eastAsia" w:ascii="宋体" w:hAnsi="宋体" w:cs="宋体"/>
          <w:b/>
          <w:color w:val="auto"/>
          <w:sz w:val="32"/>
          <w:szCs w:val="32"/>
          <w:highlight w:val="none"/>
          <w:lang w:eastAsia="zh-CN"/>
        </w:rPr>
      </w:pPr>
      <w:bookmarkStart w:id="83" w:name="_Toc45548897"/>
      <w:bookmarkStart w:id="84" w:name="_Toc14787564"/>
      <w:bookmarkStart w:id="85" w:name="_Toc14016_WPSOffice_Level2"/>
      <w:bookmarkStart w:id="86" w:name="_Toc30000_WPSOffice_Level2"/>
      <w:r>
        <w:rPr>
          <w:rFonts w:hint="eastAsia" w:ascii="宋体" w:hAnsi="宋体" w:cs="宋体"/>
          <w:b/>
          <w:color w:val="auto"/>
          <w:sz w:val="32"/>
          <w:szCs w:val="32"/>
          <w:highlight w:val="none"/>
          <w:lang w:eastAsia="zh-CN"/>
        </w:rPr>
        <w:t>项目班子成员情况表</w:t>
      </w:r>
      <w:bookmarkEnd w:id="83"/>
      <w:bookmarkEnd w:id="84"/>
    </w:p>
    <w:p>
      <w:pPr>
        <w:pStyle w:val="51"/>
        <w:adjustRightInd w:val="0"/>
        <w:snapToGrid w:val="0"/>
        <w:spacing w:line="500" w:lineRule="exact"/>
        <w:rPr>
          <w:rFonts w:ascii="宋体" w:hAnsi="宋体"/>
          <w:sz w:val="28"/>
          <w:szCs w:val="28"/>
        </w:rPr>
      </w:pPr>
      <w:r>
        <w:rPr>
          <w:rFonts w:hint="eastAsia" w:ascii="宋体" w:hAnsi="宋体"/>
          <w:sz w:val="28"/>
          <w:szCs w:val="28"/>
        </w:rPr>
        <w:t>采购项目编号：</w:t>
      </w:r>
      <w:r>
        <w:rPr>
          <w:rFonts w:hint="eastAsia" w:ascii="宋体" w:hAnsi="宋体"/>
          <w:sz w:val="28"/>
          <w:szCs w:val="28"/>
          <w:u w:val="single"/>
        </w:rPr>
        <w:t xml:space="preserve">                              </w:t>
      </w:r>
      <w:r>
        <w:rPr>
          <w:rFonts w:hint="eastAsia" w:ascii="宋体" w:hAnsi="宋体"/>
          <w:sz w:val="28"/>
          <w:szCs w:val="28"/>
        </w:rPr>
        <w:t xml:space="preserve">     </w:t>
      </w:r>
    </w:p>
    <w:p>
      <w:pPr>
        <w:pStyle w:val="51"/>
        <w:adjustRightInd w:val="0"/>
        <w:snapToGrid w:val="0"/>
        <w:spacing w:line="500" w:lineRule="exact"/>
        <w:rPr>
          <w:rFonts w:ascii="宋体" w:hAnsi="宋体"/>
          <w:sz w:val="28"/>
          <w:szCs w:val="28"/>
          <w:u w:val="single"/>
        </w:rPr>
      </w:pPr>
      <w:r>
        <w:rPr>
          <w:rFonts w:hint="eastAsia" w:ascii="宋体" w:hAnsi="宋体"/>
          <w:sz w:val="28"/>
          <w:szCs w:val="28"/>
        </w:rPr>
        <w:t>采购项目名称：</w:t>
      </w:r>
      <w:r>
        <w:rPr>
          <w:rFonts w:hint="eastAsia" w:ascii="宋体" w:hAnsi="宋体"/>
          <w:sz w:val="28"/>
          <w:szCs w:val="28"/>
          <w:u w:val="single"/>
        </w:rPr>
        <w:t xml:space="preserve">                              </w:t>
      </w:r>
    </w:p>
    <w:p>
      <w:pPr>
        <w:pStyle w:val="51"/>
        <w:ind w:firstLine="560" w:firstLineChars="200"/>
        <w:rPr>
          <w:rFonts w:ascii="宋体" w:hAnsi="宋体"/>
          <w:sz w:val="28"/>
          <w:szCs w:val="28"/>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34"/>
        <w:gridCol w:w="1985"/>
        <w:gridCol w:w="992"/>
        <w:gridCol w:w="1843"/>
        <w:gridCol w:w="1275"/>
      </w:tblGrid>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序号</w:t>
            </w:r>
          </w:p>
        </w:tc>
        <w:tc>
          <w:tcPr>
            <w:tcW w:w="1134"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姓名</w:t>
            </w:r>
          </w:p>
        </w:tc>
        <w:tc>
          <w:tcPr>
            <w:tcW w:w="1134"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专业</w:t>
            </w:r>
          </w:p>
        </w:tc>
        <w:tc>
          <w:tcPr>
            <w:tcW w:w="1985"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所在单位</w:t>
            </w:r>
          </w:p>
        </w:tc>
        <w:tc>
          <w:tcPr>
            <w:tcW w:w="992"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任职</w:t>
            </w:r>
          </w:p>
          <w:p>
            <w:pPr>
              <w:pStyle w:val="51"/>
              <w:rPr>
                <w:rFonts w:ascii="宋体" w:hAnsi="宋体"/>
                <w:sz w:val="28"/>
                <w:szCs w:val="28"/>
              </w:rPr>
            </w:pPr>
            <w:r>
              <w:rPr>
                <w:rFonts w:hint="eastAsia" w:ascii="宋体" w:hAnsi="宋体"/>
                <w:sz w:val="28"/>
                <w:szCs w:val="28"/>
              </w:rPr>
              <w:t>时间</w:t>
            </w:r>
          </w:p>
        </w:tc>
        <w:tc>
          <w:tcPr>
            <w:tcW w:w="1843" w:type="dxa"/>
            <w:tcBorders>
              <w:top w:val="single" w:color="auto" w:sz="4" w:space="0"/>
              <w:left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在本项目中承担的工作</w:t>
            </w:r>
          </w:p>
        </w:tc>
        <w:tc>
          <w:tcPr>
            <w:tcW w:w="1275" w:type="dxa"/>
            <w:tcBorders>
              <w:top w:val="single" w:color="auto" w:sz="4" w:space="0"/>
              <w:left w:val="single" w:color="auto" w:sz="4" w:space="0"/>
              <w:right w:val="single" w:color="auto" w:sz="4" w:space="0"/>
            </w:tcBorders>
            <w:shd w:val="pct10" w:color="auto" w:fill="auto"/>
            <w:noWrap w:val="0"/>
            <w:vAlign w:val="center"/>
          </w:tcPr>
          <w:p>
            <w:pPr>
              <w:pStyle w:val="51"/>
              <w:rPr>
                <w:rFonts w:ascii="宋体" w:hAnsi="宋体"/>
                <w:sz w:val="28"/>
                <w:szCs w:val="28"/>
              </w:rPr>
            </w:pPr>
            <w:r>
              <w:rPr>
                <w:rFonts w:hint="eastAsia" w:ascii="宋体" w:hAnsi="宋体"/>
                <w:sz w:val="28"/>
                <w:szCs w:val="28"/>
              </w:rPr>
              <w:t>个人专</w:t>
            </w:r>
          </w:p>
          <w:p>
            <w:pPr>
              <w:pStyle w:val="51"/>
              <w:rPr>
                <w:rFonts w:ascii="宋体" w:hAnsi="宋体"/>
                <w:sz w:val="28"/>
                <w:szCs w:val="28"/>
              </w:rPr>
            </w:pPr>
            <w:r>
              <w:rPr>
                <w:rFonts w:hint="eastAsia" w:ascii="宋体" w:hAnsi="宋体"/>
                <w:sz w:val="28"/>
                <w:szCs w:val="28"/>
              </w:rPr>
              <w:t>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right w:val="single" w:color="auto" w:sz="4" w:space="0"/>
            </w:tcBorders>
            <w:noWrap w:val="0"/>
            <w:vAlign w:val="top"/>
          </w:tcPr>
          <w:p>
            <w:pPr>
              <w:pStyle w:val="51"/>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right w:val="single" w:color="auto" w:sz="4" w:space="0"/>
            </w:tcBorders>
            <w:noWrap w:val="0"/>
            <w:vAlign w:val="top"/>
          </w:tcPr>
          <w:p>
            <w:pPr>
              <w:pStyle w:val="51"/>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right w:val="single" w:color="auto" w:sz="4" w:space="0"/>
            </w:tcBorders>
            <w:noWrap w:val="0"/>
            <w:vAlign w:val="top"/>
          </w:tcPr>
          <w:p>
            <w:pPr>
              <w:pStyle w:val="51"/>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right w:val="single" w:color="auto" w:sz="4" w:space="0"/>
            </w:tcBorders>
            <w:noWrap w:val="0"/>
            <w:vAlign w:val="top"/>
          </w:tcPr>
          <w:p>
            <w:pPr>
              <w:pStyle w:val="51"/>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right w:val="single" w:color="auto" w:sz="4" w:space="0"/>
            </w:tcBorders>
            <w:noWrap w:val="0"/>
            <w:vAlign w:val="top"/>
          </w:tcPr>
          <w:p>
            <w:pPr>
              <w:pStyle w:val="51"/>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51"/>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1"/>
              <w:rPr>
                <w:rFonts w:ascii="宋体" w:hAnsi="宋体"/>
                <w:sz w:val="28"/>
                <w:szCs w:val="28"/>
              </w:rPr>
            </w:pPr>
          </w:p>
        </w:tc>
        <w:tc>
          <w:tcPr>
            <w:tcW w:w="1843" w:type="dxa"/>
            <w:tcBorders>
              <w:left w:val="single" w:color="auto" w:sz="4" w:space="0"/>
              <w:bottom w:val="single" w:color="auto" w:sz="4" w:space="0"/>
              <w:right w:val="single" w:color="auto" w:sz="4" w:space="0"/>
            </w:tcBorders>
            <w:noWrap w:val="0"/>
            <w:vAlign w:val="top"/>
          </w:tcPr>
          <w:p>
            <w:pPr>
              <w:pStyle w:val="51"/>
              <w:rPr>
                <w:rFonts w:ascii="宋体" w:hAnsi="宋体"/>
                <w:sz w:val="28"/>
                <w:szCs w:val="28"/>
              </w:rPr>
            </w:pPr>
          </w:p>
        </w:tc>
        <w:tc>
          <w:tcPr>
            <w:tcW w:w="1275" w:type="dxa"/>
            <w:tcBorders>
              <w:left w:val="single" w:color="auto" w:sz="4" w:space="0"/>
              <w:bottom w:val="single" w:color="auto" w:sz="4" w:space="0"/>
              <w:right w:val="single" w:color="auto" w:sz="4" w:space="0"/>
            </w:tcBorders>
            <w:noWrap w:val="0"/>
            <w:vAlign w:val="top"/>
          </w:tcPr>
          <w:p>
            <w:pPr>
              <w:pStyle w:val="51"/>
              <w:rPr>
                <w:rFonts w:ascii="宋体" w:hAnsi="宋体"/>
                <w:sz w:val="28"/>
                <w:szCs w:val="28"/>
              </w:rPr>
            </w:pPr>
          </w:p>
        </w:tc>
      </w:tr>
    </w:tbl>
    <w:p>
      <w:pPr>
        <w:pStyle w:val="51"/>
        <w:spacing w:line="360" w:lineRule="auto"/>
        <w:jc w:val="left"/>
        <w:rPr>
          <w:rFonts w:ascii="宋体" w:hAnsi="宋体"/>
          <w:sz w:val="28"/>
          <w:szCs w:val="28"/>
        </w:rPr>
      </w:pPr>
      <w:r>
        <w:rPr>
          <w:rFonts w:hint="eastAsia" w:ascii="宋体" w:hAnsi="宋体"/>
          <w:sz w:val="28"/>
          <w:szCs w:val="28"/>
        </w:rPr>
        <w:t>说明：必须附相关证明材料的完整清晰彩色扫描件，否则评委在评审时将不予承认。</w:t>
      </w:r>
    </w:p>
    <w:p>
      <w:pPr>
        <w:spacing w:line="312" w:lineRule="auto"/>
        <w:ind w:right="-20"/>
        <w:rPr>
          <w:rFonts w:hint="eastAsia" w:ascii="宋体" w:hAnsi="宋体" w:eastAsia="宋体" w:cs="宋体"/>
          <w:color w:val="auto"/>
          <w:sz w:val="28"/>
          <w:szCs w:val="28"/>
          <w:highlight w:val="non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p>
      <w:pPr>
        <w:jc w:val="both"/>
        <w:rPr>
          <w:rFonts w:ascii="新宋体" w:hAnsi="新宋体" w:eastAsia="新宋体" w:cs="新宋体"/>
          <w:color w:val="auto"/>
          <w:spacing w:val="10"/>
          <w:sz w:val="32"/>
          <w:szCs w:val="32"/>
          <w:highlight w:val="none"/>
          <w:u w:val="single"/>
        </w:rPr>
      </w:pPr>
    </w:p>
    <w:bookmarkEnd w:id="85"/>
    <w:bookmarkEnd w:id="86"/>
    <w:p>
      <w:pPr>
        <w:ind w:left="178" w:leftChars="85" w:firstLine="290" w:firstLineChars="85"/>
        <w:jc w:val="center"/>
        <w:rPr>
          <w:rFonts w:ascii="新宋体" w:hAnsi="新宋体" w:eastAsia="新宋体"/>
          <w:color w:val="auto"/>
          <w:spacing w:val="10"/>
          <w:sz w:val="36"/>
          <w:szCs w:val="36"/>
          <w:highlight w:val="none"/>
        </w:rPr>
      </w:pPr>
      <w:bookmarkStart w:id="87" w:name="_Toc1751_WPSOffice_Level2"/>
      <w:bookmarkStart w:id="88" w:name="_Toc10117_WPSOffice_Level2"/>
      <w:r>
        <w:rPr>
          <w:rFonts w:hint="eastAsia" w:ascii="新宋体" w:hAnsi="新宋体" w:eastAsia="新宋体" w:cs="新宋体"/>
          <w:b/>
          <w:bCs/>
          <w:color w:val="auto"/>
          <w:spacing w:val="10"/>
          <w:sz w:val="32"/>
          <w:szCs w:val="32"/>
          <w:highlight w:val="none"/>
        </w:rPr>
        <w:t>三年内无重大违法记录声明</w:t>
      </w:r>
      <w:bookmarkEnd w:id="87"/>
      <w:bookmarkEnd w:id="88"/>
    </w:p>
    <w:p>
      <w:pPr>
        <w:rPr>
          <w:rFonts w:ascii="新宋体" w:hAnsi="新宋体" w:eastAsia="新宋体"/>
          <w:color w:val="auto"/>
          <w:spacing w:val="10"/>
          <w:sz w:val="28"/>
          <w:szCs w:val="28"/>
          <w:highlight w:val="none"/>
        </w:rPr>
      </w:pPr>
    </w:p>
    <w:p>
      <w:pPr>
        <w:rPr>
          <w:rFonts w:ascii="新宋体" w:hAnsi="新宋体" w:eastAsia="新宋体"/>
          <w:color w:val="auto"/>
          <w:spacing w:val="10"/>
          <w:sz w:val="24"/>
          <w:szCs w:val="24"/>
          <w:highlight w:val="none"/>
        </w:rPr>
      </w:pPr>
      <w:r>
        <w:rPr>
          <w:rFonts w:ascii="新宋体" w:hAnsi="新宋体" w:eastAsia="新宋体" w:cs="新宋体"/>
          <w:color w:val="auto"/>
          <w:spacing w:val="10"/>
          <w:sz w:val="24"/>
          <w:szCs w:val="24"/>
          <w:highlight w:val="none"/>
        </w:rPr>
        <w:t xml:space="preserve">    </w:t>
      </w:r>
      <w:r>
        <w:rPr>
          <w:rFonts w:hint="eastAsia" w:ascii="新宋体" w:hAnsi="新宋体" w:eastAsia="新宋体" w:cs="新宋体"/>
          <w:color w:val="auto"/>
          <w:spacing w:val="10"/>
          <w:sz w:val="24"/>
          <w:szCs w:val="24"/>
          <w:highlight w:val="none"/>
        </w:rPr>
        <w:t>我</w:t>
      </w: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（供应商公司名称）郑重承诺，</w:t>
      </w:r>
      <w:r>
        <w:rPr>
          <w:rFonts w:hint="eastAsia" w:ascii="新宋体" w:hAnsi="新宋体" w:eastAsia="新宋体" w:cs="新宋体"/>
          <w:color w:val="auto"/>
          <w:spacing w:val="10"/>
          <w:sz w:val="24"/>
          <w:szCs w:val="24"/>
          <w:highlight w:val="none"/>
        </w:rPr>
        <w:t>在参加</w:t>
      </w: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项目（项目名称）</w:t>
      </w:r>
      <w:r>
        <w:rPr>
          <w:rFonts w:hint="eastAsia" w:ascii="新宋体" w:hAnsi="新宋体" w:eastAsia="新宋体" w:cs="新宋体"/>
          <w:color w:val="auto"/>
          <w:spacing w:val="10"/>
          <w:sz w:val="24"/>
          <w:szCs w:val="24"/>
          <w:highlight w:val="none"/>
        </w:rPr>
        <w:t>采购活动前三年内无因违法经营受到刑事处罚；无因违法经营受到责令停产停业、吊销许可证或者执照、较大数额罚款等行政处罚。</w:t>
      </w:r>
    </w:p>
    <w:p>
      <w:pPr>
        <w:ind w:left="1"/>
        <w:rPr>
          <w:rFonts w:ascii="新宋体" w:hAnsi="新宋体" w:eastAsia="新宋体"/>
          <w:color w:val="auto"/>
          <w:spacing w:val="10"/>
          <w:sz w:val="24"/>
          <w:szCs w:val="24"/>
          <w:highlight w:val="none"/>
        </w:rPr>
      </w:pPr>
      <w:r>
        <w:rPr>
          <w:rFonts w:ascii="新宋体" w:hAnsi="新宋体" w:eastAsia="新宋体" w:cs="新宋体"/>
          <w:color w:val="auto"/>
          <w:spacing w:val="10"/>
          <w:sz w:val="24"/>
          <w:szCs w:val="24"/>
          <w:highlight w:val="none"/>
        </w:rPr>
        <w:t xml:space="preserve">    </w:t>
      </w:r>
      <w:r>
        <w:rPr>
          <w:rFonts w:hint="eastAsia" w:ascii="新宋体" w:hAnsi="新宋体" w:eastAsia="新宋体" w:cs="新宋体"/>
          <w:color w:val="auto"/>
          <w:spacing w:val="10"/>
          <w:sz w:val="24"/>
          <w:szCs w:val="24"/>
          <w:highlight w:val="none"/>
        </w:rPr>
        <w:t>若我公司故意隐瞒，我公司愿意承担由此产生的一切后果，自愿接受公共资源交易监管部门的处罚。</w:t>
      </w:r>
    </w:p>
    <w:p>
      <w:pPr>
        <w:rPr>
          <w:rFonts w:hint="eastAsia" w:ascii="新宋体" w:hAnsi="新宋体" w:eastAsia="新宋体"/>
          <w:color w:val="auto"/>
          <w:spacing w:val="10"/>
          <w:sz w:val="24"/>
          <w:szCs w:val="24"/>
          <w:highlight w:val="none"/>
          <w:lang w:eastAsia="zh-CN"/>
        </w:rPr>
      </w:pPr>
      <w:r>
        <w:rPr>
          <w:rFonts w:ascii="新宋体" w:hAnsi="新宋体" w:eastAsia="新宋体" w:cs="新宋体"/>
          <w:color w:val="auto"/>
          <w:spacing w:val="10"/>
          <w:sz w:val="24"/>
          <w:szCs w:val="24"/>
          <w:highlight w:val="none"/>
        </w:rPr>
        <w:t xml:space="preserve">    </w:t>
      </w:r>
      <w:r>
        <w:rPr>
          <w:rFonts w:hint="eastAsia" w:ascii="新宋体" w:hAnsi="新宋体" w:eastAsia="新宋体" w:cs="新宋体"/>
          <w:color w:val="auto"/>
          <w:spacing w:val="10"/>
          <w:sz w:val="24"/>
          <w:szCs w:val="24"/>
          <w:highlight w:val="none"/>
        </w:rPr>
        <w:t>特此声明</w:t>
      </w:r>
      <w:r>
        <w:rPr>
          <w:rFonts w:hint="eastAsia" w:ascii="新宋体" w:hAnsi="新宋体" w:eastAsia="新宋体" w:cs="新宋体"/>
          <w:color w:val="auto"/>
          <w:spacing w:val="10"/>
          <w:sz w:val="24"/>
          <w:szCs w:val="24"/>
          <w:highlight w:val="none"/>
          <w:lang w:eastAsia="zh-CN"/>
        </w:rPr>
        <w:t>。</w:t>
      </w:r>
    </w:p>
    <w:p>
      <w:pPr>
        <w:rPr>
          <w:rFonts w:ascii="新宋体" w:hAnsi="新宋体" w:eastAsia="新宋体"/>
          <w:color w:val="auto"/>
          <w:spacing w:val="10"/>
          <w:sz w:val="24"/>
          <w:szCs w:val="24"/>
          <w:highlight w:val="none"/>
        </w:rPr>
      </w:pPr>
    </w:p>
    <w:p>
      <w:pPr>
        <w:rPr>
          <w:rFonts w:ascii="新宋体" w:hAnsi="新宋体" w:eastAsia="新宋体"/>
          <w:color w:val="auto"/>
          <w:spacing w:val="10"/>
          <w:sz w:val="24"/>
          <w:szCs w:val="24"/>
          <w:highlight w:val="none"/>
        </w:rPr>
      </w:pPr>
    </w:p>
    <w:p>
      <w:pPr>
        <w:rPr>
          <w:rFonts w:ascii="新宋体" w:hAnsi="新宋体" w:eastAsia="新宋体"/>
          <w:color w:val="auto"/>
          <w:spacing w:val="10"/>
          <w:sz w:val="24"/>
          <w:szCs w:val="24"/>
          <w:highlight w:val="none"/>
        </w:rPr>
      </w:pPr>
    </w:p>
    <w:p>
      <w:pPr>
        <w:jc w:val="right"/>
        <w:rPr>
          <w:rFonts w:ascii="新宋体" w:hAnsi="新宋体" w:eastAsia="新宋体"/>
          <w:color w:val="auto"/>
          <w:spacing w:val="10"/>
          <w:sz w:val="24"/>
          <w:szCs w:val="24"/>
          <w:highlight w:val="none"/>
        </w:rPr>
      </w:pP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（供应商公司名称及盖章）</w:t>
      </w:r>
    </w:p>
    <w:p>
      <w:pPr>
        <w:jc w:val="right"/>
        <w:rPr>
          <w:rFonts w:ascii="新宋体" w:hAnsi="新宋体" w:eastAsia="新宋体"/>
          <w:color w:val="auto"/>
          <w:spacing w:val="10"/>
          <w:sz w:val="24"/>
          <w:szCs w:val="24"/>
          <w:highlight w:val="none"/>
          <w:u w:val="single"/>
        </w:rPr>
      </w:pP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年</w:t>
      </w: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月</w:t>
      </w:r>
      <w:r>
        <w:rPr>
          <w:rFonts w:ascii="新宋体" w:hAnsi="新宋体" w:eastAsia="新宋体" w:cs="新宋体"/>
          <w:color w:val="auto"/>
          <w:spacing w:val="10"/>
          <w:sz w:val="24"/>
          <w:szCs w:val="24"/>
          <w:highlight w:val="none"/>
          <w:u w:val="single"/>
        </w:rPr>
        <w:t>*****</w:t>
      </w:r>
      <w:r>
        <w:rPr>
          <w:rFonts w:hint="eastAsia" w:ascii="新宋体" w:hAnsi="新宋体" w:eastAsia="新宋体" w:cs="新宋体"/>
          <w:color w:val="auto"/>
          <w:spacing w:val="10"/>
          <w:sz w:val="24"/>
          <w:szCs w:val="24"/>
          <w:highlight w:val="none"/>
          <w:u w:val="single"/>
        </w:rPr>
        <w:t>日</w:t>
      </w:r>
    </w:p>
    <w:p>
      <w:pPr>
        <w:spacing w:line="420" w:lineRule="exact"/>
        <w:jc w:val="left"/>
        <w:rPr>
          <w:rFonts w:ascii="新宋体" w:hAnsi="新宋体" w:eastAsia="新宋体"/>
          <w:color w:val="auto"/>
          <w:spacing w:val="8"/>
          <w:sz w:val="24"/>
          <w:szCs w:val="24"/>
          <w:highlight w:val="none"/>
        </w:rPr>
      </w:pPr>
    </w:p>
    <w:p>
      <w:pPr>
        <w:spacing w:line="420" w:lineRule="exact"/>
        <w:jc w:val="left"/>
        <w:rPr>
          <w:rFonts w:ascii="新宋体" w:hAnsi="新宋体" w:eastAsia="新宋体"/>
          <w:color w:val="auto"/>
          <w:spacing w:val="8"/>
          <w:sz w:val="24"/>
          <w:szCs w:val="24"/>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spacing w:line="440" w:lineRule="exact"/>
        <w:ind w:firstLine="723" w:firstLineChars="200"/>
        <w:jc w:val="center"/>
        <w:rPr>
          <w:rFonts w:ascii="新宋体" w:hAnsi="新宋体" w:eastAsia="新宋体"/>
          <w:b/>
          <w:bCs/>
          <w:color w:val="auto"/>
          <w:sz w:val="36"/>
          <w:szCs w:val="36"/>
          <w:highlight w:val="none"/>
        </w:rPr>
      </w:pPr>
    </w:p>
    <w:p>
      <w:pPr>
        <w:pStyle w:val="2"/>
        <w:rPr>
          <w:color w:val="auto"/>
          <w:highlight w:val="none"/>
        </w:rPr>
      </w:pPr>
    </w:p>
    <w:p>
      <w:pPr>
        <w:pStyle w:val="2"/>
        <w:rPr>
          <w:color w:val="auto"/>
          <w:highlight w:val="none"/>
        </w:rPr>
      </w:pPr>
    </w:p>
    <w:p>
      <w:pPr>
        <w:rPr>
          <w:rFonts w:ascii="新宋体" w:hAnsi="新宋体" w:eastAsia="新宋体"/>
          <w:color w:val="auto"/>
          <w:highlight w:val="none"/>
        </w:rPr>
      </w:pPr>
    </w:p>
    <w:p>
      <w:pPr>
        <w:rPr>
          <w:rFonts w:ascii="新宋体" w:hAnsi="新宋体" w:eastAsia="新宋体"/>
          <w:color w:val="auto"/>
          <w:highlight w:val="none"/>
        </w:rPr>
      </w:pPr>
    </w:p>
    <w:p>
      <w:pPr>
        <w:rPr>
          <w:rFonts w:ascii="新宋体" w:hAnsi="新宋体" w:eastAsia="新宋体"/>
          <w:color w:val="auto"/>
          <w:highlight w:val="none"/>
        </w:rPr>
      </w:pPr>
    </w:p>
    <w:p>
      <w:pPr>
        <w:pStyle w:val="23"/>
        <w:ind w:firstLine="0" w:firstLineChars="0"/>
        <w:rPr>
          <w:color w:val="auto"/>
          <w:highlight w:val="none"/>
        </w:rPr>
      </w:pPr>
      <w:r>
        <w:rPr>
          <w:rFonts w:ascii="宋体" w:hAnsi="宋体"/>
          <w:b/>
          <w:color w:val="auto"/>
          <w:sz w:val="28"/>
          <w:szCs w:val="28"/>
          <w:highlight w:val="none"/>
        </w:rPr>
        <w:br w:type="page"/>
      </w:r>
    </w:p>
    <w:p>
      <w:pPr>
        <w:pStyle w:val="4"/>
        <w:jc w:val="center"/>
        <w:rPr>
          <w:rFonts w:ascii="新宋体" w:hAnsi="新宋体" w:eastAsia="新宋体"/>
          <w:b/>
          <w:bCs/>
          <w:color w:val="auto"/>
          <w:highlight w:val="none"/>
        </w:rPr>
      </w:pPr>
      <w:r>
        <w:rPr>
          <w:rFonts w:hint="eastAsia" w:ascii="新宋体" w:hAnsi="新宋体" w:eastAsia="新宋体" w:cs="新宋体"/>
          <w:b/>
          <w:bCs/>
          <w:color w:val="auto"/>
          <w:sz w:val="36"/>
          <w:szCs w:val="36"/>
          <w:highlight w:val="none"/>
        </w:rPr>
        <w:t>第二部分、技术部分</w:t>
      </w:r>
    </w:p>
    <w:p>
      <w:pPr>
        <w:pStyle w:val="47"/>
        <w:tabs>
          <w:tab w:val="left" w:pos="426"/>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由各供应商根据</w:t>
      </w:r>
      <w:r>
        <w:rPr>
          <w:rFonts w:hint="eastAsia" w:ascii="宋体" w:hAnsi="宋体"/>
          <w:color w:val="auto"/>
          <w:sz w:val="28"/>
          <w:szCs w:val="28"/>
          <w:highlight w:val="none"/>
          <w:lang w:eastAsia="zh-CN"/>
        </w:rPr>
        <w:t>磋商文件</w:t>
      </w:r>
      <w:r>
        <w:rPr>
          <w:rFonts w:hint="eastAsia" w:ascii="宋体" w:hAnsi="宋体"/>
          <w:color w:val="auto"/>
          <w:sz w:val="28"/>
          <w:szCs w:val="28"/>
          <w:highlight w:val="none"/>
        </w:rPr>
        <w:t>自行编写。目录清晰、内容详尽、易于理解和评审并富有建设性的技术方案将在评标时具有优势。具体内容应包括但不限于：</w:t>
      </w:r>
    </w:p>
    <w:p>
      <w:pPr>
        <w:pStyle w:val="47"/>
        <w:spacing w:line="360" w:lineRule="auto"/>
        <w:ind w:firstLine="565" w:firstLineChars="202"/>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1、技术文件目录（目录须涵盖下述所有资料页码清晰，以便查阅）</w:t>
      </w:r>
      <w:r>
        <w:rPr>
          <w:rFonts w:hint="eastAsia" w:ascii="宋体" w:hAnsi="宋体"/>
          <w:color w:val="auto"/>
          <w:sz w:val="28"/>
          <w:szCs w:val="28"/>
          <w:highlight w:val="none"/>
          <w:lang w:eastAsia="zh-CN"/>
        </w:rPr>
        <w:t>。</w:t>
      </w:r>
    </w:p>
    <w:p>
      <w:pPr>
        <w:pStyle w:val="47"/>
        <w:spacing w:line="360" w:lineRule="auto"/>
        <w:ind w:firstLine="565" w:firstLineChars="202"/>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2、服务介绍、项目服务方案</w:t>
      </w:r>
      <w:r>
        <w:rPr>
          <w:rFonts w:hint="eastAsia" w:ascii="宋体" w:hAnsi="宋体"/>
          <w:color w:val="auto"/>
          <w:sz w:val="28"/>
          <w:szCs w:val="28"/>
          <w:highlight w:val="none"/>
          <w:lang w:eastAsia="zh-CN"/>
        </w:rPr>
        <w:t>。</w:t>
      </w:r>
    </w:p>
    <w:p>
      <w:pPr>
        <w:pStyle w:val="47"/>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3、</w:t>
      </w:r>
      <w:r>
        <w:rPr>
          <w:rFonts w:hint="eastAsia" w:ascii="宋体" w:hAnsi="宋体"/>
          <w:color w:val="auto"/>
          <w:sz w:val="28"/>
          <w:szCs w:val="28"/>
          <w:highlight w:val="none"/>
          <w:lang w:eastAsia="zh-CN"/>
        </w:rPr>
        <w:t>磋商</w:t>
      </w:r>
      <w:r>
        <w:rPr>
          <w:rFonts w:hint="eastAsia" w:ascii="宋体" w:hAnsi="宋体"/>
          <w:color w:val="auto"/>
          <w:sz w:val="28"/>
          <w:szCs w:val="28"/>
          <w:highlight w:val="none"/>
        </w:rPr>
        <w:t>供应商认为需提供的证明文件及其它资料。</w:t>
      </w:r>
    </w:p>
    <w:p>
      <w:pPr>
        <w:pStyle w:val="47"/>
        <w:tabs>
          <w:tab w:val="left" w:pos="426"/>
        </w:tabs>
        <w:spacing w:line="500" w:lineRule="exact"/>
        <w:rPr>
          <w:rFonts w:ascii="宋体" w:hAnsi="宋体"/>
          <w:color w:val="auto"/>
          <w:sz w:val="28"/>
          <w:szCs w:val="28"/>
          <w:highlight w:val="none"/>
        </w:rPr>
      </w:pPr>
      <w:r>
        <w:rPr>
          <w:rFonts w:hint="eastAsia" w:ascii="宋体" w:hAnsi="宋体"/>
          <w:color w:val="auto"/>
          <w:sz w:val="28"/>
          <w:szCs w:val="28"/>
          <w:highlight w:val="none"/>
        </w:rPr>
        <w:t>注明：各</w:t>
      </w:r>
      <w:r>
        <w:rPr>
          <w:rFonts w:hint="eastAsia" w:ascii="宋体" w:hAnsi="宋体"/>
          <w:color w:val="auto"/>
          <w:sz w:val="28"/>
          <w:szCs w:val="28"/>
          <w:highlight w:val="none"/>
          <w:lang w:eastAsia="zh-CN"/>
        </w:rPr>
        <w:t>磋商</w:t>
      </w:r>
      <w:r>
        <w:rPr>
          <w:rFonts w:hint="eastAsia" w:ascii="宋体" w:hAnsi="宋体"/>
          <w:color w:val="auto"/>
          <w:sz w:val="28"/>
          <w:szCs w:val="28"/>
          <w:highlight w:val="none"/>
        </w:rPr>
        <w:t>供应商根据项目的需要参照以上内容制作响应文件。</w:t>
      </w:r>
    </w:p>
    <w:p>
      <w:pPr>
        <w:pStyle w:val="23"/>
        <w:ind w:firstLine="0" w:firstLineChars="0"/>
        <w:rPr>
          <w:color w:val="auto"/>
          <w:highlight w:val="none"/>
        </w:rPr>
      </w:pPr>
    </w:p>
    <w:sectPr>
      <w:headerReference r:id="rId7" w:type="default"/>
      <w:footerReference r:id="rId8" w:type="default"/>
      <w:pgSz w:w="11906" w:h="16838"/>
      <w:pgMar w:top="1440" w:right="1706" w:bottom="1440" w:left="1380" w:header="454" w:footer="5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szCs w:val="18"/>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1z5w7rQEAAFID&#10;AAAOAAAAAAAAAAEAIAAAAB8BAABkcnMvZTJvRG9jLnhtbFBLBQYAAAAABgAGAFkBAAA+BQAAAAA=&#10;">
              <v:fill on="f" focussize="0,0"/>
              <v:stroke on="f"/>
              <v:imagedata o:title=""/>
              <o:lock v:ext="edit" aspectratio="f"/>
              <v:textbox inset="0mm,0mm,0mm,0mm" style="mso-fit-shape-to-text:t;">
                <w:txbxContent>
                  <w:p>
                    <w:pPr>
                      <w:snapToGrid w:val="0"/>
                      <w:rPr>
                        <w:sz w:val="18"/>
                        <w:szCs w:val="18"/>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4153"/>
        <w:tab w:val="left" w:pos="4320"/>
      </w:tabs>
      <w:ind w:right="399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cs="宋体"/>
        <w:b/>
        <w:bCs/>
        <w:sz w:val="20"/>
        <w:szCs w:val="20"/>
      </w:rPr>
      <w:t>项目名称：</w:t>
    </w:r>
    <w:r>
      <w:rPr>
        <w:rFonts w:hint="eastAsia" w:cs="宋体"/>
        <w:b/>
        <w:bCs/>
        <w:sz w:val="20"/>
        <w:szCs w:val="20"/>
        <w:lang w:eastAsia="zh-CN"/>
      </w:rPr>
      <w:t>金润源、金源、国资中心财产 保险采购</w:t>
    </w:r>
  </w:p>
  <w:p>
    <w:pPr>
      <w:pStyle w:val="13"/>
      <w:spacing w:line="300" w:lineRule="exact"/>
      <w:jc w:val="left"/>
      <w:rPr>
        <w:rFonts w:hint="eastAsia" w:eastAsia="宋体"/>
        <w:b/>
        <w:bCs/>
        <w:sz w:val="20"/>
        <w:szCs w:val="20"/>
        <w:lang w:eastAsia="zh-CN"/>
      </w:rPr>
    </w:pPr>
    <w:r>
      <w:rPr>
        <w:rFonts w:hint="eastAsia" w:cs="宋体"/>
        <w:b/>
        <w:bCs/>
        <w:sz w:val="20"/>
        <w:szCs w:val="20"/>
      </w:rPr>
      <w:t>项目编号：</w:t>
    </w:r>
    <w:r>
      <w:rPr>
        <w:rFonts w:hint="eastAsia"/>
        <w:b/>
        <w:bCs/>
        <w:sz w:val="20"/>
        <w:szCs w:val="20"/>
        <w:lang w:eastAsia="zh-CN"/>
      </w:rPr>
      <w:t>Zjjry2020-Z063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cs="宋体"/>
        <w:b/>
        <w:bCs/>
        <w:sz w:val="20"/>
        <w:szCs w:val="20"/>
      </w:rPr>
      <w:t>项目名称：</w:t>
    </w:r>
    <w:r>
      <w:rPr>
        <w:rFonts w:hint="eastAsia" w:cs="宋体"/>
        <w:b/>
        <w:bCs/>
        <w:sz w:val="20"/>
        <w:szCs w:val="20"/>
        <w:lang w:eastAsia="zh-CN"/>
      </w:rPr>
      <w:t>金润源、金源、国资中心财产 保险采购</w:t>
    </w:r>
  </w:p>
  <w:p>
    <w:pPr>
      <w:pStyle w:val="13"/>
      <w:spacing w:line="300" w:lineRule="exact"/>
      <w:jc w:val="left"/>
      <w:rPr>
        <w:rFonts w:hint="eastAsia" w:eastAsia="宋体"/>
        <w:lang w:eastAsia="zh-CN"/>
      </w:rPr>
    </w:pPr>
    <w:r>
      <w:rPr>
        <w:rFonts w:hint="eastAsia" w:cs="宋体"/>
        <w:b/>
        <w:bCs/>
        <w:sz w:val="20"/>
        <w:szCs w:val="20"/>
      </w:rPr>
      <w:t>项目编号：</w:t>
    </w:r>
    <w:r>
      <w:rPr>
        <w:rFonts w:hint="eastAsia"/>
        <w:b/>
        <w:bCs/>
        <w:sz w:val="20"/>
        <w:szCs w:val="20"/>
        <w:lang w:eastAsia="zh-CN"/>
      </w:rPr>
      <w:t>Zjjry2020-Z063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cs="宋体"/>
        <w:b/>
        <w:bCs/>
        <w:sz w:val="20"/>
        <w:szCs w:val="20"/>
      </w:rPr>
      <w:t>项目名称：</w:t>
    </w:r>
    <w:r>
      <w:rPr>
        <w:rFonts w:hint="eastAsia" w:cs="宋体"/>
        <w:b/>
        <w:bCs/>
        <w:sz w:val="20"/>
        <w:szCs w:val="20"/>
        <w:lang w:eastAsia="zh-CN"/>
      </w:rPr>
      <w:t>金润源、金源、国资中心财产保险采购</w:t>
    </w:r>
  </w:p>
  <w:p>
    <w:pPr>
      <w:pStyle w:val="13"/>
      <w:spacing w:line="300" w:lineRule="exact"/>
      <w:jc w:val="left"/>
      <w:rPr>
        <w:rFonts w:hint="eastAsia" w:eastAsia="宋体"/>
        <w:b/>
        <w:bCs/>
        <w:sz w:val="20"/>
        <w:szCs w:val="20"/>
        <w:lang w:eastAsia="zh-CN"/>
      </w:rPr>
    </w:pPr>
    <w:r>
      <w:rPr>
        <w:rFonts w:hint="eastAsia" w:cs="宋体"/>
        <w:b/>
        <w:bCs/>
        <w:sz w:val="20"/>
        <w:szCs w:val="20"/>
      </w:rPr>
      <w:t>项目编号：</w:t>
    </w:r>
    <w:r>
      <w:rPr>
        <w:rFonts w:hint="eastAsia"/>
        <w:b/>
        <w:bCs/>
        <w:sz w:val="20"/>
        <w:szCs w:val="20"/>
        <w:lang w:eastAsia="zh-CN"/>
      </w:rPr>
      <w:t>Zjjry2020-Z063</w:t>
    </w:r>
  </w:p>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47EF6"/>
    <w:multiLevelType w:val="singleLevel"/>
    <w:tmpl w:val="87C47EF6"/>
    <w:lvl w:ilvl="0" w:tentative="0">
      <w:start w:val="1"/>
      <w:numFmt w:val="decimal"/>
      <w:suff w:val="nothing"/>
      <w:lvlText w:val="%1、"/>
      <w:lvlJc w:val="left"/>
    </w:lvl>
  </w:abstractNum>
  <w:abstractNum w:abstractNumId="1">
    <w:nsid w:val="DEE098A1"/>
    <w:multiLevelType w:val="singleLevel"/>
    <w:tmpl w:val="DEE098A1"/>
    <w:lvl w:ilvl="0" w:tentative="0">
      <w:start w:val="4"/>
      <w:numFmt w:val="chineseCounting"/>
      <w:lvlText w:val="第%1章"/>
      <w:lvlJc w:val="left"/>
      <w:rPr>
        <w:rFonts w:hint="eastAsia"/>
      </w:rPr>
    </w:lvl>
  </w:abstractNum>
  <w:abstractNum w:abstractNumId="2">
    <w:nsid w:val="00000001"/>
    <w:multiLevelType w:val="multilevel"/>
    <w:tmpl w:val="00000001"/>
    <w:lvl w:ilvl="0" w:tentative="0">
      <w:start w:val="1"/>
      <w:numFmt w:val="decimalEnclosedCircle"/>
      <w:lvlText w:val="%1"/>
      <w:lvlJc w:val="left"/>
      <w:pPr>
        <w:ind w:left="1060" w:hanging="36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3">
    <w:nsid w:val="4DCB36E2"/>
    <w:multiLevelType w:val="multilevel"/>
    <w:tmpl w:val="4DCB36E2"/>
    <w:lvl w:ilvl="0" w:tentative="0">
      <w:start w:val="1"/>
      <w:numFmt w:val="decimal"/>
      <w:lvlText w:val="第%1部分"/>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pStyle w:val="5"/>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96DB5"/>
    <w:rsid w:val="00000A0E"/>
    <w:rsid w:val="000343B9"/>
    <w:rsid w:val="001C69D4"/>
    <w:rsid w:val="0043225A"/>
    <w:rsid w:val="00513B82"/>
    <w:rsid w:val="005461B9"/>
    <w:rsid w:val="006D3A08"/>
    <w:rsid w:val="0078129E"/>
    <w:rsid w:val="00815224"/>
    <w:rsid w:val="00835C6C"/>
    <w:rsid w:val="008F3A7C"/>
    <w:rsid w:val="009D0AC9"/>
    <w:rsid w:val="00A143A4"/>
    <w:rsid w:val="00BE194F"/>
    <w:rsid w:val="00E86D48"/>
    <w:rsid w:val="0123107E"/>
    <w:rsid w:val="013C3306"/>
    <w:rsid w:val="019935E2"/>
    <w:rsid w:val="01EA6A8D"/>
    <w:rsid w:val="024E502A"/>
    <w:rsid w:val="03284A29"/>
    <w:rsid w:val="032D5DA7"/>
    <w:rsid w:val="037E055F"/>
    <w:rsid w:val="03A17EBF"/>
    <w:rsid w:val="04395002"/>
    <w:rsid w:val="043B2B63"/>
    <w:rsid w:val="047C4B4C"/>
    <w:rsid w:val="04907D39"/>
    <w:rsid w:val="049665CE"/>
    <w:rsid w:val="04A470F0"/>
    <w:rsid w:val="0513722D"/>
    <w:rsid w:val="060A77D5"/>
    <w:rsid w:val="066305A0"/>
    <w:rsid w:val="06722422"/>
    <w:rsid w:val="06727E6A"/>
    <w:rsid w:val="06D8372F"/>
    <w:rsid w:val="07C75B7C"/>
    <w:rsid w:val="07FD7BF0"/>
    <w:rsid w:val="08992676"/>
    <w:rsid w:val="08C9343D"/>
    <w:rsid w:val="08F20870"/>
    <w:rsid w:val="08F8756C"/>
    <w:rsid w:val="090A0076"/>
    <w:rsid w:val="09B62576"/>
    <w:rsid w:val="0A2D3F18"/>
    <w:rsid w:val="0ACE46C6"/>
    <w:rsid w:val="0B873304"/>
    <w:rsid w:val="0C1D56D6"/>
    <w:rsid w:val="0C1D621A"/>
    <w:rsid w:val="0C4E3C2C"/>
    <w:rsid w:val="0C532804"/>
    <w:rsid w:val="0C6D0EB9"/>
    <w:rsid w:val="0C714760"/>
    <w:rsid w:val="0CD3772C"/>
    <w:rsid w:val="0CF83F9D"/>
    <w:rsid w:val="0D25387F"/>
    <w:rsid w:val="0D6F3444"/>
    <w:rsid w:val="0D9771DD"/>
    <w:rsid w:val="0DE4593F"/>
    <w:rsid w:val="0E2812DB"/>
    <w:rsid w:val="0E996DB5"/>
    <w:rsid w:val="0EA84364"/>
    <w:rsid w:val="0F5F5535"/>
    <w:rsid w:val="0F767297"/>
    <w:rsid w:val="0FD05BCE"/>
    <w:rsid w:val="0FDE6C22"/>
    <w:rsid w:val="0FEC561F"/>
    <w:rsid w:val="0FFB5392"/>
    <w:rsid w:val="103372B4"/>
    <w:rsid w:val="104871EE"/>
    <w:rsid w:val="1049418B"/>
    <w:rsid w:val="10DE6A3C"/>
    <w:rsid w:val="11617486"/>
    <w:rsid w:val="117D4747"/>
    <w:rsid w:val="11A831F1"/>
    <w:rsid w:val="11BC58C5"/>
    <w:rsid w:val="11BE2C9F"/>
    <w:rsid w:val="13E12B64"/>
    <w:rsid w:val="13F34A64"/>
    <w:rsid w:val="142B12D4"/>
    <w:rsid w:val="1442629D"/>
    <w:rsid w:val="14634492"/>
    <w:rsid w:val="14CB53B7"/>
    <w:rsid w:val="14CB54DD"/>
    <w:rsid w:val="15665500"/>
    <w:rsid w:val="15990F9D"/>
    <w:rsid w:val="15CD305E"/>
    <w:rsid w:val="162162D8"/>
    <w:rsid w:val="16F3686F"/>
    <w:rsid w:val="17A8321E"/>
    <w:rsid w:val="18146CC7"/>
    <w:rsid w:val="1843764F"/>
    <w:rsid w:val="185A1A25"/>
    <w:rsid w:val="188D6BB4"/>
    <w:rsid w:val="18974538"/>
    <w:rsid w:val="18E10B6C"/>
    <w:rsid w:val="199D4070"/>
    <w:rsid w:val="19B45927"/>
    <w:rsid w:val="1A30377A"/>
    <w:rsid w:val="1A4D03E9"/>
    <w:rsid w:val="1A550605"/>
    <w:rsid w:val="1A8B6E5A"/>
    <w:rsid w:val="1B0D10B0"/>
    <w:rsid w:val="1C187DEE"/>
    <w:rsid w:val="1C7E78A6"/>
    <w:rsid w:val="1CD81616"/>
    <w:rsid w:val="1D12081F"/>
    <w:rsid w:val="1D663099"/>
    <w:rsid w:val="1F733D4F"/>
    <w:rsid w:val="1F9F03C5"/>
    <w:rsid w:val="1FF478E5"/>
    <w:rsid w:val="1FF75105"/>
    <w:rsid w:val="201A490D"/>
    <w:rsid w:val="2067430A"/>
    <w:rsid w:val="207641E2"/>
    <w:rsid w:val="20993490"/>
    <w:rsid w:val="2163727F"/>
    <w:rsid w:val="228629D6"/>
    <w:rsid w:val="22AE3440"/>
    <w:rsid w:val="22D071A8"/>
    <w:rsid w:val="22DC7EF0"/>
    <w:rsid w:val="233A0DAD"/>
    <w:rsid w:val="233B05E2"/>
    <w:rsid w:val="237A4CBE"/>
    <w:rsid w:val="243B3C41"/>
    <w:rsid w:val="24500081"/>
    <w:rsid w:val="24CC30B9"/>
    <w:rsid w:val="252444A2"/>
    <w:rsid w:val="253374A3"/>
    <w:rsid w:val="25C47CF8"/>
    <w:rsid w:val="266A4788"/>
    <w:rsid w:val="266D48EE"/>
    <w:rsid w:val="26A13037"/>
    <w:rsid w:val="26C22659"/>
    <w:rsid w:val="26CA4BAA"/>
    <w:rsid w:val="26D05044"/>
    <w:rsid w:val="274D4E5C"/>
    <w:rsid w:val="28060A9C"/>
    <w:rsid w:val="2855734A"/>
    <w:rsid w:val="294C7B9F"/>
    <w:rsid w:val="29E142C5"/>
    <w:rsid w:val="2A483E12"/>
    <w:rsid w:val="2A67012E"/>
    <w:rsid w:val="2C07363E"/>
    <w:rsid w:val="2C0C19C9"/>
    <w:rsid w:val="2C4A4589"/>
    <w:rsid w:val="2D1D2DE7"/>
    <w:rsid w:val="2D9F4883"/>
    <w:rsid w:val="2E366491"/>
    <w:rsid w:val="2E451AA5"/>
    <w:rsid w:val="2E904561"/>
    <w:rsid w:val="2E951DC6"/>
    <w:rsid w:val="2F3F2469"/>
    <w:rsid w:val="2F9365C1"/>
    <w:rsid w:val="2FC83C30"/>
    <w:rsid w:val="2FCD51DD"/>
    <w:rsid w:val="301A6503"/>
    <w:rsid w:val="30AE7C7F"/>
    <w:rsid w:val="310420A4"/>
    <w:rsid w:val="313B5A7B"/>
    <w:rsid w:val="321B546D"/>
    <w:rsid w:val="32242EF7"/>
    <w:rsid w:val="32734E77"/>
    <w:rsid w:val="333D669F"/>
    <w:rsid w:val="33426F00"/>
    <w:rsid w:val="3358794B"/>
    <w:rsid w:val="33950632"/>
    <w:rsid w:val="340A3EB3"/>
    <w:rsid w:val="34712576"/>
    <w:rsid w:val="349866AC"/>
    <w:rsid w:val="34E66328"/>
    <w:rsid w:val="34EB779E"/>
    <w:rsid w:val="34EC3C09"/>
    <w:rsid w:val="359153A3"/>
    <w:rsid w:val="35AB506D"/>
    <w:rsid w:val="35B56F11"/>
    <w:rsid w:val="35BE7412"/>
    <w:rsid w:val="35DA4D1E"/>
    <w:rsid w:val="36AB074E"/>
    <w:rsid w:val="36E130F6"/>
    <w:rsid w:val="37506E9F"/>
    <w:rsid w:val="378A3A88"/>
    <w:rsid w:val="3812262F"/>
    <w:rsid w:val="381F555A"/>
    <w:rsid w:val="3841596A"/>
    <w:rsid w:val="38C13476"/>
    <w:rsid w:val="38C775C3"/>
    <w:rsid w:val="39D93B65"/>
    <w:rsid w:val="3A197911"/>
    <w:rsid w:val="3A6042C2"/>
    <w:rsid w:val="3B0F2792"/>
    <w:rsid w:val="3B966DE3"/>
    <w:rsid w:val="3BCB22E2"/>
    <w:rsid w:val="3BE40B49"/>
    <w:rsid w:val="3C282932"/>
    <w:rsid w:val="3C423FAE"/>
    <w:rsid w:val="3C7B36BF"/>
    <w:rsid w:val="3CB37602"/>
    <w:rsid w:val="3CFB6216"/>
    <w:rsid w:val="3D7A2A81"/>
    <w:rsid w:val="3D905A5F"/>
    <w:rsid w:val="3E166BD6"/>
    <w:rsid w:val="3EBA1CA5"/>
    <w:rsid w:val="3EE14071"/>
    <w:rsid w:val="3F1A59DA"/>
    <w:rsid w:val="3F514AC7"/>
    <w:rsid w:val="3FC2665F"/>
    <w:rsid w:val="4005289B"/>
    <w:rsid w:val="401D56F7"/>
    <w:rsid w:val="408221C9"/>
    <w:rsid w:val="410C0277"/>
    <w:rsid w:val="41884EC3"/>
    <w:rsid w:val="41E45F96"/>
    <w:rsid w:val="420331E1"/>
    <w:rsid w:val="42C96F38"/>
    <w:rsid w:val="43035DDD"/>
    <w:rsid w:val="439847EA"/>
    <w:rsid w:val="448326DE"/>
    <w:rsid w:val="44CA7182"/>
    <w:rsid w:val="44E70A94"/>
    <w:rsid w:val="450F372F"/>
    <w:rsid w:val="452C04FB"/>
    <w:rsid w:val="45815E3A"/>
    <w:rsid w:val="45861E63"/>
    <w:rsid w:val="45D15AAD"/>
    <w:rsid w:val="4659176E"/>
    <w:rsid w:val="466D556D"/>
    <w:rsid w:val="46826879"/>
    <w:rsid w:val="46E34933"/>
    <w:rsid w:val="4721554D"/>
    <w:rsid w:val="47A22936"/>
    <w:rsid w:val="47A46C41"/>
    <w:rsid w:val="480827DB"/>
    <w:rsid w:val="48163CD1"/>
    <w:rsid w:val="48AF2B82"/>
    <w:rsid w:val="490279AD"/>
    <w:rsid w:val="49390DFC"/>
    <w:rsid w:val="49BB2131"/>
    <w:rsid w:val="4A196071"/>
    <w:rsid w:val="4A7D76CA"/>
    <w:rsid w:val="4AD85184"/>
    <w:rsid w:val="4BE52EF7"/>
    <w:rsid w:val="4C49172F"/>
    <w:rsid w:val="4CA00BCD"/>
    <w:rsid w:val="4CC220EE"/>
    <w:rsid w:val="4CF2726C"/>
    <w:rsid w:val="4CF97B50"/>
    <w:rsid w:val="4D5D1DB1"/>
    <w:rsid w:val="4D9C1E6F"/>
    <w:rsid w:val="4DFF7805"/>
    <w:rsid w:val="4EF907C2"/>
    <w:rsid w:val="4F3C55A8"/>
    <w:rsid w:val="4F6E6E7E"/>
    <w:rsid w:val="4FE92042"/>
    <w:rsid w:val="50100413"/>
    <w:rsid w:val="501D718C"/>
    <w:rsid w:val="50FB65CE"/>
    <w:rsid w:val="511A1B70"/>
    <w:rsid w:val="5128353A"/>
    <w:rsid w:val="5143737B"/>
    <w:rsid w:val="517F20C1"/>
    <w:rsid w:val="51B40EFC"/>
    <w:rsid w:val="524207A9"/>
    <w:rsid w:val="526F047A"/>
    <w:rsid w:val="529174FC"/>
    <w:rsid w:val="52C75161"/>
    <w:rsid w:val="52F50AA4"/>
    <w:rsid w:val="538D2A5D"/>
    <w:rsid w:val="53BF1742"/>
    <w:rsid w:val="540B1E1B"/>
    <w:rsid w:val="542F0EBF"/>
    <w:rsid w:val="547E1864"/>
    <w:rsid w:val="55FE4902"/>
    <w:rsid w:val="56056795"/>
    <w:rsid w:val="56242F5F"/>
    <w:rsid w:val="56796CC9"/>
    <w:rsid w:val="569E09DB"/>
    <w:rsid w:val="571A69CA"/>
    <w:rsid w:val="5740646C"/>
    <w:rsid w:val="57442FE3"/>
    <w:rsid w:val="57757540"/>
    <w:rsid w:val="57AB2F35"/>
    <w:rsid w:val="57F57AA5"/>
    <w:rsid w:val="58635379"/>
    <w:rsid w:val="587334EC"/>
    <w:rsid w:val="5911444A"/>
    <w:rsid w:val="59CB62BE"/>
    <w:rsid w:val="59E74DBD"/>
    <w:rsid w:val="59F66734"/>
    <w:rsid w:val="59FC62BC"/>
    <w:rsid w:val="5A9000B6"/>
    <w:rsid w:val="5ABD7D85"/>
    <w:rsid w:val="5B427D48"/>
    <w:rsid w:val="5C901BB7"/>
    <w:rsid w:val="5D8E38FE"/>
    <w:rsid w:val="5DB71CBF"/>
    <w:rsid w:val="5DBF3115"/>
    <w:rsid w:val="5E493CAD"/>
    <w:rsid w:val="5F151ED2"/>
    <w:rsid w:val="5F670592"/>
    <w:rsid w:val="5F761CE3"/>
    <w:rsid w:val="602F2520"/>
    <w:rsid w:val="60631670"/>
    <w:rsid w:val="6072310B"/>
    <w:rsid w:val="6131254B"/>
    <w:rsid w:val="619C23D2"/>
    <w:rsid w:val="61BF010F"/>
    <w:rsid w:val="62A460FB"/>
    <w:rsid w:val="6365075F"/>
    <w:rsid w:val="638A1C38"/>
    <w:rsid w:val="63A0064F"/>
    <w:rsid w:val="63B6031A"/>
    <w:rsid w:val="63FA2614"/>
    <w:rsid w:val="64162136"/>
    <w:rsid w:val="644707D7"/>
    <w:rsid w:val="647517ED"/>
    <w:rsid w:val="65002A5B"/>
    <w:rsid w:val="650F11F5"/>
    <w:rsid w:val="654D0D07"/>
    <w:rsid w:val="658B2FD3"/>
    <w:rsid w:val="65F95090"/>
    <w:rsid w:val="661C51F3"/>
    <w:rsid w:val="665F170A"/>
    <w:rsid w:val="6670234A"/>
    <w:rsid w:val="667F70DE"/>
    <w:rsid w:val="670472ED"/>
    <w:rsid w:val="670C44AC"/>
    <w:rsid w:val="674D4961"/>
    <w:rsid w:val="67A02175"/>
    <w:rsid w:val="67C91CFF"/>
    <w:rsid w:val="68624F17"/>
    <w:rsid w:val="695F67D1"/>
    <w:rsid w:val="69CC123B"/>
    <w:rsid w:val="6A0C7CCE"/>
    <w:rsid w:val="6A12244D"/>
    <w:rsid w:val="6A1D3F97"/>
    <w:rsid w:val="6B0E37F6"/>
    <w:rsid w:val="6B182222"/>
    <w:rsid w:val="6C2B780E"/>
    <w:rsid w:val="6C500EBE"/>
    <w:rsid w:val="6C892EF3"/>
    <w:rsid w:val="6CC87643"/>
    <w:rsid w:val="6CFE38A2"/>
    <w:rsid w:val="6D433564"/>
    <w:rsid w:val="6D457341"/>
    <w:rsid w:val="6DC353FD"/>
    <w:rsid w:val="6DD0677A"/>
    <w:rsid w:val="6E2B3F7B"/>
    <w:rsid w:val="6E77563D"/>
    <w:rsid w:val="6EA91D95"/>
    <w:rsid w:val="6EBE5C35"/>
    <w:rsid w:val="6EEA1D37"/>
    <w:rsid w:val="6F3E375E"/>
    <w:rsid w:val="6FD14FD9"/>
    <w:rsid w:val="705D4376"/>
    <w:rsid w:val="709C1EF4"/>
    <w:rsid w:val="70CC35CA"/>
    <w:rsid w:val="716613E7"/>
    <w:rsid w:val="72945D30"/>
    <w:rsid w:val="72994B76"/>
    <w:rsid w:val="72CC526D"/>
    <w:rsid w:val="72DF3364"/>
    <w:rsid w:val="72E277FE"/>
    <w:rsid w:val="7317595F"/>
    <w:rsid w:val="73717FF9"/>
    <w:rsid w:val="73DD3853"/>
    <w:rsid w:val="74202ACC"/>
    <w:rsid w:val="74F4201F"/>
    <w:rsid w:val="757457D4"/>
    <w:rsid w:val="75CB6921"/>
    <w:rsid w:val="75CE098B"/>
    <w:rsid w:val="76BB4802"/>
    <w:rsid w:val="76F50501"/>
    <w:rsid w:val="76F904C5"/>
    <w:rsid w:val="773A5F4C"/>
    <w:rsid w:val="77870B77"/>
    <w:rsid w:val="77AA4F36"/>
    <w:rsid w:val="77C074DC"/>
    <w:rsid w:val="77D676D4"/>
    <w:rsid w:val="77DA31B1"/>
    <w:rsid w:val="782E0B1A"/>
    <w:rsid w:val="785779D3"/>
    <w:rsid w:val="790B4D39"/>
    <w:rsid w:val="795948B2"/>
    <w:rsid w:val="7985255F"/>
    <w:rsid w:val="79B96997"/>
    <w:rsid w:val="7AED5A39"/>
    <w:rsid w:val="7BB173EF"/>
    <w:rsid w:val="7BF06739"/>
    <w:rsid w:val="7C8373A0"/>
    <w:rsid w:val="7CAC3AA0"/>
    <w:rsid w:val="7CB6316A"/>
    <w:rsid w:val="7E2B1375"/>
    <w:rsid w:val="7ED22FCB"/>
    <w:rsid w:val="7F270E7D"/>
    <w:rsid w:val="7F521A42"/>
    <w:rsid w:val="7F64051A"/>
    <w:rsid w:val="7F686942"/>
    <w:rsid w:val="7FFE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spacing w:line="360" w:lineRule="auto"/>
      <w:jc w:val="center"/>
      <w:outlineLvl w:val="0"/>
    </w:pPr>
    <w:rPr>
      <w:rFonts w:ascii="新宋体" w:hAnsi="新宋体" w:eastAsia="新宋体" w:cs="新宋体"/>
      <w:b/>
      <w:bCs/>
      <w:sz w:val="32"/>
      <w:szCs w:val="32"/>
    </w:rPr>
  </w:style>
  <w:style w:type="paragraph" w:styleId="4">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unhideWhenUsed/>
    <w:qFormat/>
    <w:uiPriority w:val="9"/>
    <w:pPr>
      <w:keepNext/>
      <w:keepLines/>
      <w:numPr>
        <w:ilvl w:val="2"/>
        <w:numId w:val="1"/>
      </w:numPr>
      <w:jc w:val="center"/>
      <w:outlineLvl w:val="2"/>
    </w:pPr>
    <w:rPr>
      <w:b/>
      <w:bCs/>
      <w:sz w:val="28"/>
      <w:szCs w:val="28"/>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新宋体" w:hAnsi="新宋体" w:eastAsia="新宋体" w:cs="新宋体"/>
      <w:sz w:val="24"/>
      <w:szCs w:val="24"/>
    </w:rPr>
  </w:style>
  <w:style w:type="paragraph" w:styleId="6">
    <w:name w:val="Normal Indent"/>
    <w:basedOn w:val="1"/>
    <w:qFormat/>
    <w:uiPriority w:val="99"/>
    <w:pPr>
      <w:ind w:firstLine="420"/>
    </w:pPr>
  </w:style>
  <w:style w:type="paragraph" w:styleId="7">
    <w:name w:val="annotation text"/>
    <w:basedOn w:val="1"/>
    <w:qFormat/>
    <w:uiPriority w:val="99"/>
    <w:pPr>
      <w:jc w:val="left"/>
    </w:pPr>
  </w:style>
  <w:style w:type="paragraph" w:styleId="8">
    <w:name w:val="Body Text Indent"/>
    <w:basedOn w:val="1"/>
    <w:next w:val="9"/>
    <w:qFormat/>
    <w:uiPriority w:val="99"/>
    <w:pPr>
      <w:spacing w:line="240" w:lineRule="atLeast"/>
      <w:ind w:firstLine="390"/>
    </w:pPr>
    <w:rPr>
      <w:rFonts w:ascii="宋体" w:hAnsi="宋体" w:eastAsia="仿宋_GB2312" w:cs="宋体"/>
    </w:rPr>
  </w:style>
  <w:style w:type="paragraph" w:styleId="9">
    <w:name w:val="envelope return"/>
    <w:basedOn w:val="1"/>
    <w:unhideWhenUsed/>
    <w:qFormat/>
    <w:uiPriority w:val="99"/>
    <w:pPr>
      <w:snapToGrid w:val="0"/>
    </w:pPr>
    <w:rPr>
      <w:rFonts w:ascii="Arial" w:hAnsi="Arial"/>
    </w:rPr>
  </w:style>
  <w:style w:type="paragraph" w:styleId="10">
    <w:name w:val="Plain Text"/>
    <w:basedOn w:val="1"/>
    <w:next w:val="1"/>
    <w:link w:val="42"/>
    <w:qFormat/>
    <w:uiPriority w:val="0"/>
    <w:rPr>
      <w:rFonts w:ascii="宋体" w:cs="宋体"/>
    </w:rPr>
  </w:style>
  <w:style w:type="paragraph" w:styleId="11">
    <w:name w:val="Balloon Text"/>
    <w:basedOn w:val="1"/>
    <w:link w:val="4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Body Text Indent 3"/>
    <w:basedOn w:val="1"/>
    <w:qFormat/>
    <w:uiPriority w:val="0"/>
    <w:pPr>
      <w:spacing w:line="360" w:lineRule="atLeast"/>
      <w:ind w:left="720" w:hanging="720"/>
    </w:pPr>
    <w:rPr>
      <w:rFonts w:ascii="楷体_GB2312" w:hAnsi="宋体" w:eastAsia="楷体_GB2312"/>
      <w:sz w:val="24"/>
    </w:rPr>
  </w:style>
  <w:style w:type="paragraph" w:styleId="16">
    <w:name w:val="toc 2"/>
    <w:basedOn w:val="1"/>
    <w:next w:val="1"/>
    <w:qFormat/>
    <w:uiPriority w:val="0"/>
    <w:pPr>
      <w:ind w:left="420" w:leftChars="200"/>
    </w:pPr>
  </w:style>
  <w:style w:type="paragraph" w:styleId="1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8">
    <w:name w:val="Body Text First Indent 2"/>
    <w:basedOn w:val="8"/>
    <w:unhideWhenUsed/>
    <w:qFormat/>
    <w:uiPriority w:val="99"/>
    <w:pPr>
      <w:ind w:left="420"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paragraph" w:customStyle="1" w:styleId="23">
    <w:name w:val="文档正文"/>
    <w:basedOn w:val="6"/>
    <w:qFormat/>
    <w:uiPriority w:val="99"/>
    <w:pPr>
      <w:adjustRightInd w:val="0"/>
      <w:spacing w:line="480" w:lineRule="exact"/>
      <w:ind w:firstLine="200" w:firstLineChars="200"/>
      <w:textAlignment w:val="baseline"/>
    </w:pPr>
    <w:rPr>
      <w:rFonts w:ascii="宋体" w:cs="宋体"/>
      <w:kern w:val="0"/>
      <w:sz w:val="28"/>
      <w:szCs w:val="28"/>
    </w:rPr>
  </w:style>
  <w:style w:type="paragraph" w:customStyle="1" w:styleId="24">
    <w:name w:val="WPSOffice手动目录 1"/>
    <w:qFormat/>
    <w:uiPriority w:val="99"/>
    <w:rPr>
      <w:rFonts w:ascii="Times New Roman" w:hAnsi="Times New Roman" w:eastAsia="宋体" w:cs="Times New Roman"/>
      <w:lang w:val="en-US" w:eastAsia="zh-CN" w:bidi="ar-SA"/>
    </w:rPr>
  </w:style>
  <w:style w:type="paragraph" w:customStyle="1" w:styleId="25">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6">
    <w:name w:val="公正文"/>
    <w:basedOn w:val="6"/>
    <w:qFormat/>
    <w:uiPriority w:val="99"/>
    <w:pPr>
      <w:snapToGrid w:val="0"/>
      <w:spacing w:line="355" w:lineRule="auto"/>
      <w:ind w:firstLine="200" w:firstLineChars="200"/>
    </w:pPr>
    <w:rPr>
      <w:rFonts w:ascii="宋体" w:hAnsi="宋体" w:eastAsia="仿宋_GB2312" w:cs="宋体"/>
      <w:sz w:val="28"/>
      <w:szCs w:val="28"/>
    </w:rPr>
  </w:style>
  <w:style w:type="paragraph" w:customStyle="1" w:styleId="27">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正文缩进1"/>
    <w:basedOn w:val="1"/>
    <w:qFormat/>
    <w:uiPriority w:val="99"/>
    <w:pPr>
      <w:ind w:firstLine="420"/>
    </w:pPr>
  </w:style>
  <w:style w:type="paragraph" w:customStyle="1" w:styleId="29">
    <w:name w:val="正文文本 (17)"/>
    <w:basedOn w:val="1"/>
    <w:qFormat/>
    <w:uiPriority w:val="99"/>
    <w:pPr>
      <w:shd w:val="clear" w:color="auto" w:fill="FFFFFF"/>
      <w:spacing w:before="1080" w:after="1260" w:line="240" w:lineRule="atLeast"/>
      <w:jc w:val="left"/>
    </w:pPr>
    <w:rPr>
      <w:rFonts w:ascii="宋体" w:cs="宋体"/>
      <w:spacing w:val="-20"/>
      <w:kern w:val="0"/>
      <w:sz w:val="68"/>
      <w:szCs w:val="68"/>
    </w:rPr>
  </w:style>
  <w:style w:type="paragraph" w:customStyle="1" w:styleId="30">
    <w:name w:val="正文文本 (5)1"/>
    <w:basedOn w:val="1"/>
    <w:qFormat/>
    <w:uiPriority w:val="99"/>
    <w:pPr>
      <w:shd w:val="clear" w:color="auto" w:fill="FFFFFF"/>
      <w:spacing w:before="2340" w:line="581" w:lineRule="exact"/>
      <w:jc w:val="center"/>
    </w:pPr>
    <w:rPr>
      <w:rFonts w:ascii="宋体" w:cs="宋体"/>
      <w:kern w:val="0"/>
      <w:sz w:val="43"/>
      <w:szCs w:val="43"/>
    </w:rPr>
  </w:style>
  <w:style w:type="paragraph" w:customStyle="1" w:styleId="31">
    <w:name w:val="正文文本 (18)"/>
    <w:basedOn w:val="1"/>
    <w:qFormat/>
    <w:uiPriority w:val="99"/>
    <w:pPr>
      <w:shd w:val="clear" w:color="auto" w:fill="FFFFFF"/>
      <w:spacing w:before="1860" w:line="509" w:lineRule="exact"/>
      <w:jc w:val="left"/>
    </w:pPr>
    <w:rPr>
      <w:rFonts w:ascii="宋体" w:hAnsi="宋体" w:cs="宋体"/>
      <w:b/>
      <w:bCs/>
      <w:spacing w:val="10"/>
      <w:kern w:val="0"/>
      <w:sz w:val="31"/>
      <w:szCs w:val="31"/>
    </w:rPr>
  </w:style>
  <w:style w:type="paragraph" w:customStyle="1" w:styleId="32">
    <w:name w:val="正文文本 (7)1"/>
    <w:basedOn w:val="1"/>
    <w:qFormat/>
    <w:uiPriority w:val="99"/>
    <w:pPr>
      <w:shd w:val="clear" w:color="auto" w:fill="FFFFFF"/>
      <w:spacing w:before="540" w:line="499" w:lineRule="exact"/>
      <w:ind w:hanging="760"/>
      <w:jc w:val="distribute"/>
    </w:pPr>
    <w:rPr>
      <w:rFonts w:ascii="宋体" w:hAnsi="宋体" w:cs="宋体"/>
      <w:spacing w:val="20"/>
      <w:kern w:val="0"/>
      <w:sz w:val="26"/>
      <w:szCs w:val="26"/>
    </w:rPr>
  </w:style>
  <w:style w:type="paragraph" w:customStyle="1" w:styleId="33">
    <w:name w:val="标题 3_0"/>
    <w:basedOn w:val="34"/>
    <w:next w:val="35"/>
    <w:qFormat/>
    <w:uiPriority w:val="99"/>
    <w:pPr>
      <w:keepNext/>
      <w:keepLines/>
      <w:spacing w:before="260" w:after="260" w:line="416" w:lineRule="auto"/>
      <w:outlineLvl w:val="2"/>
    </w:pPr>
    <w:rPr>
      <w:bCs/>
      <w:sz w:val="32"/>
      <w:szCs w:val="32"/>
    </w:rPr>
  </w:style>
  <w:style w:type="paragraph" w:customStyle="1" w:styleId="34">
    <w:name w:val="标题 4_0"/>
    <w:basedOn w:val="35"/>
    <w:next w:val="35"/>
    <w:qFormat/>
    <w:uiPriority w:val="0"/>
    <w:pPr>
      <w:jc w:val="center"/>
      <w:outlineLvl w:val="3"/>
    </w:pPr>
    <w:rPr>
      <w:rFonts w:ascii="宋体" w:hAnsi="宋体" w:eastAsia="宋体"/>
      <w:b/>
      <w:kern w:val="0"/>
      <w:sz w:val="32"/>
      <w:szCs w:val="32"/>
    </w:rPr>
  </w:style>
  <w:style w:type="paragraph" w:customStyle="1" w:styleId="3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2"/>
    <w:qFormat/>
    <w:uiPriority w:val="99"/>
    <w:pPr>
      <w:widowControl w:val="0"/>
      <w:jc w:val="both"/>
    </w:pPr>
    <w:rPr>
      <w:rFonts w:ascii="Calibri" w:hAnsi="Calibri" w:eastAsia="宋体" w:cs="Calibri"/>
      <w:kern w:val="2"/>
      <w:sz w:val="21"/>
      <w:szCs w:val="21"/>
      <w:lang w:val="en-US" w:eastAsia="zh-CN" w:bidi="ar-SA"/>
    </w:rPr>
  </w:style>
  <w:style w:type="paragraph" w:customStyle="1" w:styleId="37">
    <w:name w:val="纯文本_0"/>
    <w:basedOn w:val="36"/>
    <w:qFormat/>
    <w:uiPriority w:val="99"/>
    <w:rPr>
      <w:rFonts w:ascii="宋体" w:hAnsi="Courier New" w:cs="宋体"/>
    </w:rPr>
  </w:style>
  <w:style w:type="paragraph" w:customStyle="1" w:styleId="38">
    <w:name w:val="Table Paragraph"/>
    <w:basedOn w:val="1"/>
    <w:qFormat/>
    <w:uiPriority w:val="1"/>
  </w:style>
  <w:style w:type="table" w:customStyle="1" w:styleId="39">
    <w:name w:val="Table Normal"/>
    <w:unhideWhenUsed/>
    <w:qFormat/>
    <w:uiPriority w:val="2"/>
    <w:tblPr>
      <w:tblCellMar>
        <w:top w:w="0" w:type="dxa"/>
        <w:left w:w="0" w:type="dxa"/>
        <w:bottom w:w="0" w:type="dxa"/>
        <w:right w:w="0" w:type="dxa"/>
      </w:tblCellMar>
    </w:tblPr>
  </w:style>
  <w:style w:type="paragraph" w:customStyle="1" w:styleId="40">
    <w:name w:val="列出段落1"/>
    <w:basedOn w:val="1"/>
    <w:qFormat/>
    <w:uiPriority w:val="1"/>
    <w:pPr>
      <w:ind w:left="615" w:firstLine="480"/>
    </w:pPr>
    <w:rPr>
      <w:rFonts w:ascii="新宋体" w:hAnsi="新宋体" w:eastAsia="新宋体" w:cs="新宋体"/>
    </w:rPr>
  </w:style>
  <w:style w:type="character" w:customStyle="1" w:styleId="41">
    <w:name w:val="批注框文本 Char"/>
    <w:basedOn w:val="21"/>
    <w:link w:val="11"/>
    <w:qFormat/>
    <w:uiPriority w:val="0"/>
    <w:rPr>
      <w:rFonts w:ascii="Times New Roman" w:hAnsi="Times New Roman" w:eastAsia="宋体" w:cs="Times New Roman"/>
      <w:kern w:val="2"/>
      <w:sz w:val="18"/>
      <w:szCs w:val="18"/>
    </w:rPr>
  </w:style>
  <w:style w:type="character" w:customStyle="1" w:styleId="42">
    <w:name w:val="纯文本 Char"/>
    <w:link w:val="10"/>
    <w:qFormat/>
    <w:uiPriority w:val="0"/>
    <w:rPr>
      <w:rFonts w:ascii="宋体" w:hAnsi="Times New Roman" w:eastAsia="宋体" w:cs="宋体"/>
      <w:kern w:val="2"/>
      <w:sz w:val="21"/>
      <w:szCs w:val="21"/>
    </w:rPr>
  </w:style>
  <w:style w:type="paragraph" w:customStyle="1" w:styleId="43">
    <w:name w:val="样式xlj4"/>
    <w:basedOn w:val="1"/>
    <w:qFormat/>
    <w:uiPriority w:val="0"/>
    <w:pPr>
      <w:spacing w:line="360" w:lineRule="auto"/>
      <w:ind w:firstLine="480" w:firstLineChars="200"/>
    </w:pPr>
    <w:rPr>
      <w:sz w:val="24"/>
      <w:szCs w:val="24"/>
    </w:rPr>
  </w:style>
  <w:style w:type="paragraph" w:customStyle="1" w:styleId="44">
    <w:name w:val="No Spacing"/>
    <w:qFormat/>
    <w:uiPriority w:val="1"/>
    <w:rPr>
      <w:rFonts w:hint="eastAsia" w:ascii="宋体" w:hAnsi="宋体" w:eastAsia="宋体" w:cs="Times New Roman"/>
      <w:sz w:val="24"/>
      <w:szCs w:val="24"/>
      <w:lang w:val="en-US" w:eastAsia="zh-CN" w:bidi="ar-SA"/>
    </w:rPr>
  </w:style>
  <w:style w:type="character" w:customStyle="1" w:styleId="45">
    <w:name w:val="s13"/>
    <w:basedOn w:val="21"/>
    <w:qFormat/>
    <w:uiPriority w:val="0"/>
    <w:rPr>
      <w:sz w:val="21"/>
      <w:szCs w:val="21"/>
    </w:rPr>
  </w:style>
  <w:style w:type="paragraph" w:customStyle="1" w:styleId="46">
    <w:name w:val="Normal"/>
    <w:qFormat/>
    <w:uiPriority w:val="0"/>
    <w:rPr>
      <w:rFonts w:ascii="Times New Roman" w:hAnsi="Times New Roman" w:eastAsia="Times New Roman" w:cs="Times New Roman"/>
      <w:sz w:val="24"/>
      <w:szCs w:val="24"/>
      <w:lang w:bidi="ar-SA"/>
    </w:rPr>
  </w:style>
  <w:style w:type="paragraph" w:customStyle="1" w:styleId="47">
    <w:name w:val="正文_1_0"/>
    <w:qFormat/>
    <w:uiPriority w:val="0"/>
    <w:pPr>
      <w:widowControl w:val="0"/>
      <w:jc w:val="both"/>
    </w:pPr>
    <w:rPr>
      <w:rFonts w:ascii="Calibri" w:hAnsi="Calibri" w:eastAsia="宋体" w:cs="Times New Roman"/>
      <w:kern w:val="2"/>
      <w:sz w:val="21"/>
      <w:szCs w:val="22"/>
      <w:lang w:val="en-US" w:eastAsia="zh-CN" w:bidi="ar-SA"/>
    </w:rPr>
  </w:style>
  <w:style w:type="paragraph" w:styleId="48">
    <w:name w:val="List Paragraph"/>
    <w:basedOn w:val="1"/>
    <w:qFormat/>
    <w:uiPriority w:val="1"/>
    <w:pPr>
      <w:ind w:left="398" w:firstLine="508"/>
    </w:pPr>
    <w:rPr>
      <w:rFonts w:ascii="宋体" w:hAnsi="宋体" w:eastAsia="宋体" w:cs="宋体"/>
      <w:lang w:val="zh-CN" w:eastAsia="zh-CN" w:bidi="zh-CN"/>
    </w:rPr>
  </w:style>
  <w:style w:type="paragraph" w:customStyle="1" w:styleId="49">
    <w:name w:val="Other|1"/>
    <w:basedOn w:val="1"/>
    <w:qFormat/>
    <w:uiPriority w:val="0"/>
    <w:pPr>
      <w:widowControl w:val="0"/>
      <w:shd w:val="clear" w:color="auto" w:fill="auto"/>
      <w:spacing w:line="473" w:lineRule="auto"/>
      <w:ind w:firstLine="400"/>
    </w:pPr>
    <w:rPr>
      <w:rFonts w:ascii="宋体" w:hAnsi="宋体" w:eastAsia="宋体" w:cs="宋体"/>
      <w:sz w:val="19"/>
      <w:szCs w:val="19"/>
      <w:u w:val="none"/>
      <w:shd w:val="clear" w:color="auto" w:fill="auto"/>
      <w:lang w:val="zh-TW" w:eastAsia="zh-TW" w:bidi="zh-TW"/>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4404</Words>
  <Characters>25104</Characters>
  <Lines>209</Lines>
  <Paragraphs>58</Paragraphs>
  <TotalTime>3</TotalTime>
  <ScaleCrop>false</ScaleCrop>
  <LinksUpToDate>false</LinksUpToDate>
  <CharactersWithSpaces>29450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2020-01-02T02:32:00Z</dcterms:created>
  <dc:creator>NTKO</dc:creator>
  <cp:lastModifiedBy>雷雷</cp:lastModifiedBy>
  <cp:lastPrinted>2020-11-11T00:40:00Z</cp:lastPrinted>
  <dcterms:modified xsi:type="dcterms:W3CDTF">2020-11-11T09:03:04Z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