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color w:val="000000" w:themeColor="text1"/>
          <w:highlight w:val="none"/>
        </w:rPr>
      </w:pPr>
      <w:r>
        <w:rPr>
          <w:rFonts w:hint="eastAsia" w:ascii="宋体" w:hAnsi="宋体" w:eastAsia="宋体" w:cs="Microsoft JhengHei"/>
          <w:b/>
          <w:bCs/>
          <w:spacing w:val="-20"/>
          <w:sz w:val="48"/>
          <w:szCs w:val="48"/>
          <w:highlight w:val="none"/>
          <w:lang w:eastAsia="zh-CN"/>
        </w:rPr>
        <w:t>金润源水务公司2021年2月15000万元融资租赁项目</w:t>
      </w:r>
    </w:p>
    <w:p>
      <w:pPr>
        <w:jc w:val="center"/>
        <w:rPr>
          <w:rFonts w:ascii="黑体" w:eastAsia="黑体"/>
          <w:b/>
          <w:bCs/>
          <w:color w:val="000000" w:themeColor="text1"/>
          <w:sz w:val="72"/>
          <w:szCs w:val="72"/>
          <w:highlight w:val="none"/>
        </w:rPr>
      </w:pPr>
    </w:p>
    <w:p>
      <w:pPr>
        <w:jc w:val="center"/>
        <w:rPr>
          <w:rFonts w:ascii="黑体" w:eastAsia="黑体"/>
          <w:b/>
          <w:bCs/>
          <w:color w:val="000000" w:themeColor="text1"/>
          <w:sz w:val="72"/>
          <w:szCs w:val="72"/>
          <w:highlight w:val="none"/>
        </w:rPr>
      </w:pPr>
    </w:p>
    <w:p>
      <w:pPr>
        <w:jc w:val="center"/>
        <w:rPr>
          <w:rFonts w:ascii="黑体" w:eastAsia="黑体"/>
          <w:b/>
          <w:bCs/>
          <w:color w:val="000000" w:themeColor="text1"/>
          <w:sz w:val="72"/>
          <w:szCs w:val="72"/>
          <w:highlight w:val="none"/>
        </w:rPr>
      </w:pPr>
      <w:r>
        <w:rPr>
          <w:rFonts w:hint="eastAsia" w:ascii="黑体" w:eastAsia="黑体"/>
          <w:b/>
          <w:bCs/>
          <w:color w:val="000000" w:themeColor="text1"/>
          <w:sz w:val="72"/>
          <w:szCs w:val="72"/>
          <w:highlight w:val="none"/>
        </w:rPr>
        <w:t>竞争性磋商文件</w:t>
      </w:r>
    </w:p>
    <w:p>
      <w:pPr>
        <w:ind w:firstLine="1533" w:firstLineChars="347"/>
        <w:rPr>
          <w:b/>
          <w:bCs/>
          <w:color w:val="000000" w:themeColor="text1"/>
          <w:sz w:val="44"/>
          <w:szCs w:val="44"/>
          <w:highlight w:val="none"/>
        </w:rPr>
      </w:pP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p>
    <w:p>
      <w:pPr>
        <w:ind w:firstLine="1533" w:firstLineChars="347"/>
        <w:rPr>
          <w:b/>
          <w:bCs/>
          <w:color w:val="000000" w:themeColor="text1"/>
          <w:sz w:val="44"/>
          <w:szCs w:val="44"/>
          <w:highlight w:val="none"/>
        </w:rPr>
      </w:pP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r>
        <w:rPr>
          <w:rFonts w:hint="eastAsia"/>
          <w:b/>
          <w:bCs/>
          <w:color w:val="000000" w:themeColor="text1"/>
          <w:sz w:val="44"/>
          <w:szCs w:val="44"/>
          <w:highlight w:val="none"/>
        </w:rPr>
        <w:tab/>
      </w:r>
    </w:p>
    <w:p>
      <w:pPr>
        <w:ind w:firstLine="1533" w:firstLineChars="347"/>
        <w:rPr>
          <w:rFonts w:hint="eastAsia" w:eastAsia="宋体"/>
          <w:b/>
          <w:bCs/>
          <w:color w:val="000000" w:themeColor="text1"/>
          <w:sz w:val="44"/>
          <w:szCs w:val="44"/>
          <w:highlight w:val="none"/>
          <w:lang w:val="en-US" w:eastAsia="zh-CN"/>
        </w:rPr>
      </w:pPr>
    </w:p>
    <w:p>
      <w:pPr>
        <w:ind w:firstLine="1305"/>
        <w:rPr>
          <w:rFonts w:eastAsia="楷体_GB2312"/>
          <w:color w:val="000000" w:themeColor="text1"/>
          <w:sz w:val="44"/>
          <w:highlight w:val="none"/>
        </w:rPr>
      </w:pP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p>
    <w:tbl>
      <w:tblPr>
        <w:tblStyle w:val="29"/>
        <w:tblpPr w:leftFromText="180" w:rightFromText="180" w:vertAnchor="text" w:horzAnchor="page" w:tblpX="1793" w:tblpY="1220"/>
        <w:tblOverlap w:val="never"/>
        <w:tblW w:w="8528" w:type="dxa"/>
        <w:tblInd w:w="0" w:type="dxa"/>
        <w:tblLayout w:type="fixed"/>
        <w:tblCellMar>
          <w:top w:w="0" w:type="dxa"/>
          <w:left w:w="108" w:type="dxa"/>
          <w:bottom w:w="0" w:type="dxa"/>
          <w:right w:w="108" w:type="dxa"/>
        </w:tblCellMar>
      </w:tblPr>
      <w:tblGrid>
        <w:gridCol w:w="3652"/>
        <w:gridCol w:w="4876"/>
      </w:tblGrid>
      <w:tr>
        <w:tblPrEx>
          <w:tblCellMar>
            <w:top w:w="0" w:type="dxa"/>
            <w:left w:w="108" w:type="dxa"/>
            <w:bottom w:w="0" w:type="dxa"/>
            <w:right w:w="108" w:type="dxa"/>
          </w:tblCellMar>
        </w:tblPrEx>
        <w:tc>
          <w:tcPr>
            <w:tcW w:w="3652" w:type="dxa"/>
            <w:shd w:val="clear" w:color="auto" w:fill="auto"/>
          </w:tcPr>
          <w:p>
            <w:pPr>
              <w:jc w:val="right"/>
              <w:rPr>
                <w:b/>
                <w:bCs/>
                <w:color w:val="000000" w:themeColor="text1"/>
                <w:sz w:val="44"/>
                <w:szCs w:val="44"/>
                <w:highlight w:val="none"/>
              </w:rPr>
            </w:pPr>
            <w:r>
              <w:rPr>
                <w:rFonts w:hint="eastAsia"/>
                <w:b/>
                <w:bCs/>
                <w:color w:val="000000" w:themeColor="text1"/>
                <w:sz w:val="44"/>
                <w:szCs w:val="44"/>
                <w:highlight w:val="none"/>
              </w:rPr>
              <w:t>项目编号：</w:t>
            </w:r>
          </w:p>
        </w:tc>
        <w:tc>
          <w:tcPr>
            <w:tcW w:w="4876" w:type="dxa"/>
            <w:shd w:val="clear" w:color="auto" w:fill="auto"/>
          </w:tcPr>
          <w:p>
            <w:pPr>
              <w:rPr>
                <w:rFonts w:hint="eastAsia" w:eastAsia="宋体"/>
                <w:b/>
                <w:bCs/>
                <w:color w:val="000000" w:themeColor="text1"/>
                <w:sz w:val="44"/>
                <w:szCs w:val="44"/>
                <w:highlight w:val="none"/>
                <w:lang w:val="en-US" w:eastAsia="zh-CN"/>
              </w:rPr>
            </w:pPr>
            <w:bookmarkStart w:id="0" w:name="EBc8b049f6579147df9ea5d0b2b3ffc884"/>
            <w:bookmarkEnd w:id="0"/>
            <w:r>
              <w:rPr>
                <w:rFonts w:hint="eastAsia"/>
                <w:b/>
                <w:bCs/>
                <w:color w:val="000000" w:themeColor="text1"/>
                <w:sz w:val="44"/>
                <w:szCs w:val="44"/>
                <w:highlight w:val="none"/>
                <w:lang w:eastAsia="zh-CN"/>
              </w:rPr>
              <w:t>Zjjry2021-Z022</w:t>
            </w:r>
          </w:p>
        </w:tc>
      </w:tr>
    </w:tbl>
    <w:p>
      <w:pPr>
        <w:ind w:firstLine="1305"/>
        <w:rPr>
          <w:rFonts w:eastAsia="楷体_GB2312"/>
          <w:color w:val="000000" w:themeColor="text1"/>
          <w:sz w:val="44"/>
          <w:highlight w:val="none"/>
        </w:rPr>
      </w:pP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r>
        <w:rPr>
          <w:rFonts w:hint="eastAsia" w:eastAsia="楷体_GB2312"/>
          <w:color w:val="000000" w:themeColor="text1"/>
          <w:sz w:val="44"/>
          <w:highlight w:val="none"/>
        </w:rPr>
        <w:tab/>
      </w:r>
    </w:p>
    <w:p>
      <w:pPr>
        <w:jc w:val="center"/>
        <w:rPr>
          <w:rFonts w:eastAsia="楷体_GB2312"/>
          <w:color w:val="000000" w:themeColor="text1"/>
          <w:sz w:val="44"/>
          <w:highlight w:val="none"/>
        </w:rPr>
      </w:pPr>
    </w:p>
    <w:p>
      <w:pPr>
        <w:jc w:val="center"/>
        <w:rPr>
          <w:b/>
          <w:bCs/>
          <w:color w:val="000000" w:themeColor="text1"/>
          <w:sz w:val="44"/>
          <w:szCs w:val="44"/>
          <w:highlight w:val="none"/>
        </w:rPr>
      </w:pPr>
      <w:bookmarkStart w:id="1" w:name="EBf41618c5987e48ae951f6d9c0a42a299"/>
    </w:p>
    <w:p>
      <w:pPr>
        <w:jc w:val="center"/>
        <w:rPr>
          <w:b/>
          <w:bCs/>
          <w:color w:val="000000" w:themeColor="text1"/>
          <w:sz w:val="44"/>
          <w:szCs w:val="44"/>
          <w:highlight w:val="none"/>
        </w:rPr>
      </w:pPr>
    </w:p>
    <w:p>
      <w:pPr>
        <w:jc w:val="center"/>
        <w:rPr>
          <w:b/>
          <w:bCs/>
          <w:color w:val="000000" w:themeColor="text1"/>
          <w:sz w:val="44"/>
          <w:szCs w:val="44"/>
          <w:highlight w:val="none"/>
        </w:rPr>
      </w:pPr>
    </w:p>
    <w:p>
      <w:pPr>
        <w:spacing w:line="360" w:lineRule="auto"/>
        <w:jc w:val="center"/>
        <w:rPr>
          <w:rFonts w:hint="eastAsia" w:eastAsia="宋体"/>
          <w:b/>
          <w:bCs/>
          <w:color w:val="000000" w:themeColor="text1"/>
          <w:sz w:val="36"/>
          <w:szCs w:val="36"/>
          <w:highlight w:val="none"/>
          <w:lang w:eastAsia="zh-CN"/>
        </w:rPr>
      </w:pPr>
      <w:r>
        <w:rPr>
          <w:rFonts w:hint="eastAsia"/>
          <w:b/>
          <w:bCs/>
          <w:color w:val="000000" w:themeColor="text1"/>
          <w:sz w:val="36"/>
          <w:szCs w:val="36"/>
          <w:highlight w:val="none"/>
        </w:rPr>
        <w:t>采购人：</w:t>
      </w:r>
      <w:r>
        <w:rPr>
          <w:rFonts w:hint="eastAsia"/>
          <w:b/>
          <w:bCs/>
          <w:color w:val="000000" w:themeColor="text1"/>
          <w:sz w:val="36"/>
          <w:szCs w:val="36"/>
          <w:highlight w:val="none"/>
          <w:lang w:eastAsia="zh-CN"/>
        </w:rPr>
        <w:t>枝江市金润源水务有限公司</w:t>
      </w:r>
    </w:p>
    <w:p>
      <w:pPr>
        <w:spacing w:line="360" w:lineRule="auto"/>
        <w:jc w:val="center"/>
        <w:rPr>
          <w:b/>
          <w:bCs/>
          <w:color w:val="000000" w:themeColor="text1"/>
          <w:sz w:val="36"/>
          <w:szCs w:val="36"/>
          <w:highlight w:val="none"/>
        </w:rPr>
      </w:pPr>
      <w:r>
        <w:rPr>
          <w:rFonts w:hint="eastAsia"/>
          <w:b/>
          <w:bCs/>
          <w:color w:val="000000" w:themeColor="text1"/>
          <w:sz w:val="36"/>
          <w:szCs w:val="36"/>
          <w:highlight w:val="none"/>
        </w:rPr>
        <w:t>采购代理机构：</w:t>
      </w:r>
      <w:bookmarkEnd w:id="1"/>
      <w:r>
        <w:rPr>
          <w:rFonts w:hint="eastAsia"/>
          <w:b/>
          <w:bCs/>
          <w:color w:val="000000" w:themeColor="text1"/>
          <w:sz w:val="36"/>
          <w:szCs w:val="36"/>
          <w:highlight w:val="none"/>
          <w:lang w:eastAsia="zh-CN"/>
        </w:rPr>
        <w:t>枝江金润源企业管理咨询有限公司</w:t>
      </w:r>
    </w:p>
    <w:p>
      <w:pPr>
        <w:widowControl/>
        <w:spacing w:line="360" w:lineRule="auto"/>
        <w:jc w:val="center"/>
        <w:textAlignment w:val="baseline"/>
        <w:rPr>
          <w:rFonts w:hint="eastAsia" w:ascii="楷体_GB2312" w:eastAsia="楷体_GB2312"/>
          <w:b/>
          <w:color w:val="000000" w:themeColor="text1"/>
          <w:sz w:val="36"/>
          <w:szCs w:val="36"/>
          <w:highlight w:val="none"/>
          <w:lang w:eastAsia="zh-CN"/>
        </w:rPr>
      </w:pPr>
      <w:r>
        <w:rPr>
          <w:rFonts w:hint="eastAsia" w:ascii="楷体_GB2312" w:eastAsia="楷体_GB2312"/>
          <w:b/>
          <w:color w:val="000000" w:themeColor="text1"/>
          <w:sz w:val="36"/>
          <w:szCs w:val="36"/>
          <w:highlight w:val="none"/>
          <w:lang w:eastAsia="zh-CN"/>
        </w:rPr>
        <w:t>2021年1月28日</w:t>
      </w:r>
    </w:p>
    <w:p>
      <w:pPr>
        <w:widowControl/>
        <w:spacing w:line="430" w:lineRule="atLeast"/>
        <w:textAlignment w:val="baseline"/>
        <w:rPr>
          <w:b/>
          <w:bCs/>
          <w:color w:val="000000" w:themeColor="text1"/>
          <w:sz w:val="44"/>
          <w:szCs w:val="44"/>
          <w:highlight w:val="none"/>
        </w:rPr>
      </w:pPr>
    </w:p>
    <w:p>
      <w:pPr>
        <w:widowControl/>
        <w:spacing w:line="430" w:lineRule="atLeast"/>
        <w:textAlignment w:val="baseline"/>
        <w:rPr>
          <w:b/>
          <w:bCs/>
          <w:sz w:val="44"/>
          <w:szCs w:val="44"/>
          <w:highlight w:val="none"/>
        </w:rPr>
      </w:pPr>
    </w:p>
    <w:p>
      <w:pPr>
        <w:pStyle w:val="66"/>
        <w:jc w:val="center"/>
        <w:rPr>
          <w:b/>
          <w:color w:val="auto"/>
          <w:sz w:val="44"/>
          <w:szCs w:val="44"/>
          <w:highlight w:val="none"/>
          <w:lang w:val="zh-CN"/>
        </w:rPr>
        <w:sectPr>
          <w:type w:val="continuous"/>
          <w:pgSz w:w="11906" w:h="16838"/>
          <w:pgMar w:top="1440" w:right="1797" w:bottom="1440" w:left="1797" w:header="851" w:footer="992" w:gutter="0"/>
          <w:cols w:space="425" w:num="1"/>
          <w:docGrid w:linePitch="312" w:charSpace="0"/>
        </w:sectPr>
      </w:pPr>
    </w:p>
    <w:p>
      <w:pPr>
        <w:pStyle w:val="66"/>
        <w:jc w:val="center"/>
        <w:rPr>
          <w:b/>
          <w:color w:val="auto"/>
          <w:sz w:val="44"/>
          <w:szCs w:val="44"/>
          <w:highlight w:val="none"/>
        </w:rPr>
      </w:pPr>
      <w:r>
        <w:rPr>
          <w:b/>
          <w:color w:val="auto"/>
          <w:sz w:val="44"/>
          <w:szCs w:val="44"/>
          <w:highlight w:val="none"/>
          <w:lang w:val="zh-CN"/>
        </w:rPr>
        <w:t>目</w:t>
      </w:r>
      <w:r>
        <w:rPr>
          <w:rFonts w:hint="eastAsia"/>
          <w:b/>
          <w:color w:val="auto"/>
          <w:sz w:val="44"/>
          <w:szCs w:val="44"/>
          <w:highlight w:val="none"/>
          <w:lang w:val="en-US" w:eastAsia="zh-CN"/>
        </w:rPr>
        <w:t xml:space="preserve"> </w:t>
      </w:r>
      <w:r>
        <w:rPr>
          <w:b/>
          <w:color w:val="auto"/>
          <w:sz w:val="44"/>
          <w:szCs w:val="44"/>
          <w:highlight w:val="none"/>
          <w:lang w:val="zh-CN"/>
        </w:rPr>
        <w:t>录</w:t>
      </w:r>
    </w:p>
    <w:p>
      <w:pPr>
        <w:pStyle w:val="24"/>
        <w:tabs>
          <w:tab w:val="right" w:leader="dot" w:pos="8312"/>
          <w:tab w:val="clear" w:pos="8222"/>
        </w:tabs>
        <w:rPr>
          <w:highlight w:val="none"/>
        </w:rPr>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_Toc28767 </w:instrText>
      </w:r>
      <w:r>
        <w:rPr>
          <w:highlight w:val="none"/>
        </w:rPr>
        <w:fldChar w:fldCharType="separate"/>
      </w:r>
      <w:r>
        <w:rPr>
          <w:rFonts w:hint="eastAsia"/>
          <w:highlight w:val="none"/>
        </w:rPr>
        <w:t>第一章</w:t>
      </w:r>
      <w:r>
        <w:rPr>
          <w:rFonts w:hint="eastAsia"/>
          <w:highlight w:val="none"/>
          <w:lang w:val="en-US" w:eastAsia="zh-CN"/>
        </w:rPr>
        <w:t xml:space="preserve"> </w:t>
      </w:r>
      <w:r>
        <w:rPr>
          <w:rFonts w:hint="eastAsia"/>
          <w:highlight w:val="none"/>
        </w:rPr>
        <w:t>竞争性磋商邀请函</w:t>
      </w:r>
      <w:r>
        <w:rPr>
          <w:highlight w:val="none"/>
        </w:rPr>
        <w:tab/>
      </w:r>
      <w:r>
        <w:rPr>
          <w:highlight w:val="none"/>
        </w:rPr>
        <w:fldChar w:fldCharType="begin"/>
      </w:r>
      <w:r>
        <w:rPr>
          <w:highlight w:val="none"/>
        </w:rPr>
        <w:instrText xml:space="preserve"> PAGEREF _Toc28767 </w:instrText>
      </w:r>
      <w:r>
        <w:rPr>
          <w:highlight w:val="none"/>
        </w:rPr>
        <w:fldChar w:fldCharType="separate"/>
      </w:r>
      <w:r>
        <w:rPr>
          <w:highlight w:val="none"/>
        </w:rPr>
        <w:t>2</w:t>
      </w:r>
      <w:r>
        <w:rPr>
          <w:highlight w:val="none"/>
        </w:rPr>
        <w:fldChar w:fldCharType="end"/>
      </w:r>
      <w:r>
        <w:rPr>
          <w:highlight w:val="none"/>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_Toc10360 </w:instrText>
      </w:r>
      <w:r>
        <w:rPr>
          <w:bCs/>
          <w:highlight w:val="none"/>
          <w:lang w:val="zh-CN"/>
        </w:rPr>
        <w:fldChar w:fldCharType="separate"/>
      </w:r>
      <w:r>
        <w:rPr>
          <w:rFonts w:hint="eastAsia"/>
          <w:highlight w:val="none"/>
        </w:rPr>
        <w:t>第二章供应商须知</w:t>
      </w:r>
      <w:r>
        <w:rPr>
          <w:highlight w:val="none"/>
        </w:rPr>
        <w:tab/>
      </w:r>
      <w:r>
        <w:rPr>
          <w:highlight w:val="none"/>
        </w:rPr>
        <w:fldChar w:fldCharType="begin"/>
      </w:r>
      <w:r>
        <w:rPr>
          <w:highlight w:val="none"/>
        </w:rPr>
        <w:instrText xml:space="preserve"> PAGEREF _Toc10360 </w:instrText>
      </w:r>
      <w:r>
        <w:rPr>
          <w:highlight w:val="none"/>
        </w:rPr>
        <w:fldChar w:fldCharType="separate"/>
      </w:r>
      <w:r>
        <w:rPr>
          <w:highlight w:val="none"/>
        </w:rPr>
        <w:t>5</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_Toc9553 </w:instrText>
      </w:r>
      <w:r>
        <w:rPr>
          <w:bCs/>
          <w:highlight w:val="none"/>
          <w:lang w:val="zh-CN"/>
        </w:rPr>
        <w:fldChar w:fldCharType="separate"/>
      </w:r>
      <w:r>
        <w:rPr>
          <w:rFonts w:hint="eastAsia"/>
          <w:highlight w:val="none"/>
        </w:rPr>
        <w:t>供应商须知前附表</w:t>
      </w:r>
      <w:r>
        <w:rPr>
          <w:highlight w:val="none"/>
        </w:rPr>
        <w:tab/>
      </w:r>
      <w:r>
        <w:rPr>
          <w:highlight w:val="none"/>
        </w:rPr>
        <w:fldChar w:fldCharType="begin"/>
      </w:r>
      <w:r>
        <w:rPr>
          <w:highlight w:val="none"/>
        </w:rPr>
        <w:instrText xml:space="preserve"> PAGEREF _Toc9553 </w:instrText>
      </w:r>
      <w:r>
        <w:rPr>
          <w:highlight w:val="none"/>
        </w:rPr>
        <w:fldChar w:fldCharType="separate"/>
      </w:r>
      <w:r>
        <w:rPr>
          <w:highlight w:val="none"/>
        </w:rPr>
        <w:t>5</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_Toc14284 </w:instrText>
      </w:r>
      <w:r>
        <w:rPr>
          <w:bCs/>
          <w:highlight w:val="none"/>
          <w:lang w:val="zh-CN"/>
        </w:rPr>
        <w:fldChar w:fldCharType="separate"/>
      </w:r>
      <w:r>
        <w:rPr>
          <w:rFonts w:hint="eastAsia"/>
          <w:highlight w:val="none"/>
        </w:rPr>
        <w:t>一、 说明</w:t>
      </w:r>
      <w:r>
        <w:rPr>
          <w:highlight w:val="none"/>
        </w:rPr>
        <w:tab/>
      </w:r>
      <w:r>
        <w:rPr>
          <w:highlight w:val="none"/>
        </w:rPr>
        <w:fldChar w:fldCharType="begin"/>
      </w:r>
      <w:r>
        <w:rPr>
          <w:highlight w:val="none"/>
        </w:rPr>
        <w:instrText xml:space="preserve"> PAGEREF _Toc14284 </w:instrText>
      </w:r>
      <w:r>
        <w:rPr>
          <w:highlight w:val="none"/>
        </w:rPr>
        <w:fldChar w:fldCharType="separate"/>
      </w:r>
      <w:r>
        <w:rPr>
          <w:highlight w:val="none"/>
        </w:rPr>
        <w:t>10</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_Toc15352 </w:instrText>
      </w:r>
      <w:r>
        <w:rPr>
          <w:bCs/>
          <w:highlight w:val="none"/>
          <w:lang w:val="zh-CN"/>
        </w:rPr>
        <w:fldChar w:fldCharType="separate"/>
      </w:r>
      <w:r>
        <w:rPr>
          <w:rFonts w:hint="eastAsia"/>
          <w:highlight w:val="none"/>
        </w:rPr>
        <w:t>二、磋商文件</w:t>
      </w:r>
      <w:r>
        <w:rPr>
          <w:highlight w:val="none"/>
        </w:rPr>
        <w:tab/>
      </w:r>
      <w:r>
        <w:rPr>
          <w:highlight w:val="none"/>
        </w:rPr>
        <w:fldChar w:fldCharType="begin"/>
      </w:r>
      <w:r>
        <w:rPr>
          <w:highlight w:val="none"/>
        </w:rPr>
        <w:instrText xml:space="preserve"> PAGEREF _Toc15352 </w:instrText>
      </w:r>
      <w:r>
        <w:rPr>
          <w:highlight w:val="none"/>
        </w:rPr>
        <w:fldChar w:fldCharType="separate"/>
      </w:r>
      <w:r>
        <w:rPr>
          <w:highlight w:val="none"/>
        </w:rPr>
        <w:t>11</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_Toc14474 </w:instrText>
      </w:r>
      <w:r>
        <w:rPr>
          <w:bCs/>
          <w:highlight w:val="none"/>
          <w:lang w:val="zh-CN"/>
        </w:rPr>
        <w:fldChar w:fldCharType="separate"/>
      </w:r>
      <w:r>
        <w:rPr>
          <w:rFonts w:hint="eastAsia"/>
          <w:highlight w:val="none"/>
        </w:rPr>
        <w:t>三、响应文件的编制和数量</w:t>
      </w:r>
      <w:r>
        <w:rPr>
          <w:highlight w:val="none"/>
        </w:rPr>
        <w:tab/>
      </w:r>
      <w:r>
        <w:rPr>
          <w:highlight w:val="none"/>
        </w:rPr>
        <w:fldChar w:fldCharType="begin"/>
      </w:r>
      <w:r>
        <w:rPr>
          <w:highlight w:val="none"/>
        </w:rPr>
        <w:instrText xml:space="preserve"> PAGEREF _Toc14474 </w:instrText>
      </w:r>
      <w:r>
        <w:rPr>
          <w:highlight w:val="none"/>
        </w:rPr>
        <w:fldChar w:fldCharType="separate"/>
      </w:r>
      <w:r>
        <w:rPr>
          <w:highlight w:val="none"/>
        </w:rPr>
        <w:t>12</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_Toc13252 </w:instrText>
      </w:r>
      <w:r>
        <w:rPr>
          <w:bCs/>
          <w:highlight w:val="none"/>
          <w:lang w:val="zh-CN"/>
        </w:rPr>
        <w:fldChar w:fldCharType="separate"/>
      </w:r>
      <w:r>
        <w:rPr>
          <w:rFonts w:hint="eastAsia"/>
          <w:highlight w:val="none"/>
        </w:rPr>
        <w:t>四、响应文件的递交</w:t>
      </w:r>
      <w:r>
        <w:rPr>
          <w:highlight w:val="none"/>
        </w:rPr>
        <w:tab/>
      </w:r>
      <w:r>
        <w:rPr>
          <w:highlight w:val="none"/>
        </w:rPr>
        <w:fldChar w:fldCharType="begin"/>
      </w:r>
      <w:r>
        <w:rPr>
          <w:highlight w:val="none"/>
        </w:rPr>
        <w:instrText xml:space="preserve"> PAGEREF _Toc13252 </w:instrText>
      </w:r>
      <w:r>
        <w:rPr>
          <w:highlight w:val="none"/>
        </w:rPr>
        <w:fldChar w:fldCharType="separate"/>
      </w:r>
      <w:r>
        <w:rPr>
          <w:highlight w:val="none"/>
        </w:rPr>
        <w:t>17</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_Toc2741 </w:instrText>
      </w:r>
      <w:r>
        <w:rPr>
          <w:bCs/>
          <w:highlight w:val="none"/>
          <w:lang w:val="zh-CN"/>
        </w:rPr>
        <w:fldChar w:fldCharType="separate"/>
      </w:r>
      <w:r>
        <w:rPr>
          <w:rFonts w:hint="eastAsia"/>
          <w:highlight w:val="none"/>
        </w:rPr>
        <w:t>五、竞争性磋商程序</w:t>
      </w:r>
      <w:r>
        <w:rPr>
          <w:highlight w:val="none"/>
        </w:rPr>
        <w:tab/>
      </w:r>
      <w:r>
        <w:rPr>
          <w:highlight w:val="none"/>
        </w:rPr>
        <w:fldChar w:fldCharType="begin"/>
      </w:r>
      <w:r>
        <w:rPr>
          <w:highlight w:val="none"/>
        </w:rPr>
        <w:instrText xml:space="preserve"> PAGEREF _Toc2741 </w:instrText>
      </w:r>
      <w:r>
        <w:rPr>
          <w:highlight w:val="none"/>
        </w:rPr>
        <w:fldChar w:fldCharType="separate"/>
      </w:r>
      <w:r>
        <w:rPr>
          <w:highlight w:val="none"/>
        </w:rPr>
        <w:t>19</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_Toc6580 </w:instrText>
      </w:r>
      <w:r>
        <w:rPr>
          <w:bCs/>
          <w:highlight w:val="none"/>
          <w:lang w:val="zh-CN"/>
        </w:rPr>
        <w:fldChar w:fldCharType="separate"/>
      </w:r>
      <w:r>
        <w:rPr>
          <w:rFonts w:hint="eastAsia"/>
          <w:highlight w:val="none"/>
        </w:rPr>
        <w:t>六、 授予合同</w:t>
      </w:r>
      <w:r>
        <w:rPr>
          <w:highlight w:val="none"/>
        </w:rPr>
        <w:tab/>
      </w:r>
      <w:r>
        <w:rPr>
          <w:highlight w:val="none"/>
        </w:rPr>
        <w:fldChar w:fldCharType="begin"/>
      </w:r>
      <w:r>
        <w:rPr>
          <w:highlight w:val="none"/>
        </w:rPr>
        <w:instrText xml:space="preserve"> PAGEREF _Toc6580 </w:instrText>
      </w:r>
      <w:r>
        <w:rPr>
          <w:highlight w:val="none"/>
        </w:rPr>
        <w:fldChar w:fldCharType="separate"/>
      </w:r>
      <w:r>
        <w:rPr>
          <w:highlight w:val="none"/>
        </w:rPr>
        <w:t>23</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_Toc10290 </w:instrText>
      </w:r>
      <w:r>
        <w:rPr>
          <w:bCs/>
          <w:highlight w:val="none"/>
          <w:lang w:val="zh-CN"/>
        </w:rPr>
        <w:fldChar w:fldCharType="separate"/>
      </w:r>
      <w:r>
        <w:rPr>
          <w:rFonts w:hint="eastAsia"/>
          <w:highlight w:val="none"/>
        </w:rPr>
        <w:t>七、磋商文件的解释权</w:t>
      </w:r>
      <w:r>
        <w:rPr>
          <w:highlight w:val="none"/>
        </w:rPr>
        <w:tab/>
      </w:r>
      <w:r>
        <w:rPr>
          <w:highlight w:val="none"/>
        </w:rPr>
        <w:fldChar w:fldCharType="begin"/>
      </w:r>
      <w:r>
        <w:rPr>
          <w:highlight w:val="none"/>
        </w:rPr>
        <w:instrText xml:space="preserve"> PAGEREF _Toc10290 </w:instrText>
      </w:r>
      <w:r>
        <w:rPr>
          <w:highlight w:val="none"/>
        </w:rPr>
        <w:fldChar w:fldCharType="separate"/>
      </w:r>
      <w:r>
        <w:rPr>
          <w:highlight w:val="none"/>
        </w:rPr>
        <w:t>24</w:t>
      </w:r>
      <w:r>
        <w:rPr>
          <w:highlight w:val="none"/>
        </w:rPr>
        <w:fldChar w:fldCharType="end"/>
      </w:r>
      <w:r>
        <w:rPr>
          <w:bCs/>
          <w:highlight w:val="none"/>
          <w:lang w:val="zh-CN"/>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_Toc9586 </w:instrText>
      </w:r>
      <w:r>
        <w:rPr>
          <w:bCs/>
          <w:highlight w:val="none"/>
          <w:lang w:val="zh-CN"/>
        </w:rPr>
        <w:fldChar w:fldCharType="separate"/>
      </w:r>
      <w:r>
        <w:rPr>
          <w:rFonts w:hint="eastAsia"/>
          <w:highlight w:val="none"/>
        </w:rPr>
        <w:t>第三章采购需求</w:t>
      </w:r>
      <w:r>
        <w:rPr>
          <w:highlight w:val="none"/>
        </w:rPr>
        <w:tab/>
      </w:r>
      <w:r>
        <w:rPr>
          <w:highlight w:val="none"/>
        </w:rPr>
        <w:fldChar w:fldCharType="begin"/>
      </w:r>
      <w:r>
        <w:rPr>
          <w:highlight w:val="none"/>
        </w:rPr>
        <w:instrText xml:space="preserve"> PAGEREF _Toc9586 </w:instrText>
      </w:r>
      <w:r>
        <w:rPr>
          <w:highlight w:val="none"/>
        </w:rPr>
        <w:fldChar w:fldCharType="separate"/>
      </w:r>
      <w:r>
        <w:rPr>
          <w:highlight w:val="none"/>
        </w:rPr>
        <w:t>24</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_Toc25080 </w:instrText>
      </w:r>
      <w:r>
        <w:rPr>
          <w:bCs/>
          <w:highlight w:val="none"/>
          <w:lang w:val="zh-CN"/>
        </w:rPr>
        <w:fldChar w:fldCharType="separate"/>
      </w:r>
      <w:r>
        <w:rPr>
          <w:rFonts w:hint="eastAsia"/>
          <w:kern w:val="2"/>
          <w:highlight w:val="none"/>
        </w:rPr>
        <w:t>一、项目基本情况</w:t>
      </w:r>
      <w:r>
        <w:rPr>
          <w:highlight w:val="none"/>
        </w:rPr>
        <w:tab/>
      </w:r>
      <w:r>
        <w:rPr>
          <w:highlight w:val="none"/>
        </w:rPr>
        <w:fldChar w:fldCharType="begin"/>
      </w:r>
      <w:r>
        <w:rPr>
          <w:highlight w:val="none"/>
        </w:rPr>
        <w:instrText xml:space="preserve"> PAGEREF _Toc25080 </w:instrText>
      </w:r>
      <w:r>
        <w:rPr>
          <w:highlight w:val="none"/>
        </w:rPr>
        <w:fldChar w:fldCharType="separate"/>
      </w:r>
      <w:r>
        <w:rPr>
          <w:highlight w:val="none"/>
        </w:rPr>
        <w:t>24</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_Toc17476 </w:instrText>
      </w:r>
      <w:r>
        <w:rPr>
          <w:bCs/>
          <w:highlight w:val="none"/>
          <w:lang w:val="zh-CN"/>
        </w:rPr>
        <w:fldChar w:fldCharType="separate"/>
      </w:r>
      <w:r>
        <w:rPr>
          <w:rFonts w:hint="eastAsia"/>
          <w:kern w:val="2"/>
          <w:highlight w:val="none"/>
        </w:rPr>
        <w:t>二、采购相关要求</w:t>
      </w:r>
      <w:r>
        <w:rPr>
          <w:highlight w:val="none"/>
        </w:rPr>
        <w:tab/>
      </w:r>
      <w:r>
        <w:rPr>
          <w:highlight w:val="none"/>
        </w:rPr>
        <w:fldChar w:fldCharType="begin"/>
      </w:r>
      <w:r>
        <w:rPr>
          <w:highlight w:val="none"/>
        </w:rPr>
        <w:instrText xml:space="preserve"> PAGEREF _Toc17476 </w:instrText>
      </w:r>
      <w:r>
        <w:rPr>
          <w:highlight w:val="none"/>
        </w:rPr>
        <w:fldChar w:fldCharType="separate"/>
      </w:r>
      <w:r>
        <w:rPr>
          <w:highlight w:val="none"/>
        </w:rPr>
        <w:t>24</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_Toc30641 </w:instrText>
      </w:r>
      <w:r>
        <w:rPr>
          <w:bCs/>
          <w:highlight w:val="none"/>
          <w:lang w:val="zh-CN"/>
        </w:rPr>
        <w:fldChar w:fldCharType="separate"/>
      </w:r>
      <w:r>
        <w:rPr>
          <w:rFonts w:hint="eastAsia"/>
          <w:kern w:val="2"/>
          <w:highlight w:val="none"/>
        </w:rPr>
        <w:t>三、商务要求</w:t>
      </w:r>
      <w:r>
        <w:rPr>
          <w:highlight w:val="none"/>
        </w:rPr>
        <w:tab/>
      </w:r>
      <w:r>
        <w:rPr>
          <w:highlight w:val="none"/>
        </w:rPr>
        <w:fldChar w:fldCharType="begin"/>
      </w:r>
      <w:r>
        <w:rPr>
          <w:highlight w:val="none"/>
        </w:rPr>
        <w:instrText xml:space="preserve"> PAGEREF _Toc30641 </w:instrText>
      </w:r>
      <w:r>
        <w:rPr>
          <w:highlight w:val="none"/>
        </w:rPr>
        <w:fldChar w:fldCharType="separate"/>
      </w:r>
      <w:r>
        <w:rPr>
          <w:highlight w:val="none"/>
        </w:rPr>
        <w:t>25</w:t>
      </w:r>
      <w:r>
        <w:rPr>
          <w:highlight w:val="none"/>
        </w:rPr>
        <w:fldChar w:fldCharType="end"/>
      </w:r>
      <w:r>
        <w:rPr>
          <w:bCs/>
          <w:highlight w:val="none"/>
          <w:lang w:val="zh-CN"/>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_Toc10408 </w:instrText>
      </w:r>
      <w:r>
        <w:rPr>
          <w:bCs/>
          <w:highlight w:val="none"/>
          <w:lang w:val="zh-CN"/>
        </w:rPr>
        <w:fldChar w:fldCharType="separate"/>
      </w:r>
      <w:r>
        <w:rPr>
          <w:rFonts w:hint="eastAsia" w:ascii="宋体" w:hAnsi="宋体"/>
          <w:highlight w:val="none"/>
        </w:rPr>
        <w:t>第四章</w:t>
      </w:r>
      <w:r>
        <w:rPr>
          <w:rFonts w:hint="eastAsia" w:ascii="宋体" w:hAnsi="宋体"/>
          <w:highlight w:val="none"/>
          <w:lang w:val="en-US" w:eastAsia="zh-CN"/>
        </w:rPr>
        <w:t xml:space="preserve">  </w:t>
      </w:r>
      <w:r>
        <w:rPr>
          <w:rFonts w:hint="eastAsia" w:ascii="宋体" w:hAnsi="宋体"/>
          <w:highlight w:val="none"/>
        </w:rPr>
        <w:t>评审方法、步骤及标准</w:t>
      </w:r>
      <w:r>
        <w:rPr>
          <w:highlight w:val="none"/>
        </w:rPr>
        <w:tab/>
      </w:r>
      <w:r>
        <w:rPr>
          <w:highlight w:val="none"/>
        </w:rPr>
        <w:fldChar w:fldCharType="begin"/>
      </w:r>
      <w:r>
        <w:rPr>
          <w:highlight w:val="none"/>
        </w:rPr>
        <w:instrText xml:space="preserve"> PAGEREF _Toc10408 </w:instrText>
      </w:r>
      <w:r>
        <w:rPr>
          <w:highlight w:val="none"/>
        </w:rPr>
        <w:fldChar w:fldCharType="separate"/>
      </w:r>
      <w:r>
        <w:rPr>
          <w:highlight w:val="none"/>
        </w:rPr>
        <w:t>26</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_Toc25980 </w:instrText>
      </w:r>
      <w:r>
        <w:rPr>
          <w:bCs/>
          <w:highlight w:val="none"/>
          <w:lang w:val="zh-CN"/>
        </w:rPr>
        <w:fldChar w:fldCharType="separate"/>
      </w:r>
      <w:r>
        <w:rPr>
          <w:rFonts w:hint="eastAsia"/>
          <w:highlight w:val="none"/>
        </w:rPr>
        <w:t>一、磋商步骤</w:t>
      </w:r>
      <w:r>
        <w:rPr>
          <w:highlight w:val="none"/>
        </w:rPr>
        <w:tab/>
      </w:r>
      <w:r>
        <w:rPr>
          <w:highlight w:val="none"/>
        </w:rPr>
        <w:fldChar w:fldCharType="begin"/>
      </w:r>
      <w:r>
        <w:rPr>
          <w:highlight w:val="none"/>
        </w:rPr>
        <w:instrText xml:space="preserve"> PAGEREF _Toc25980 </w:instrText>
      </w:r>
      <w:r>
        <w:rPr>
          <w:highlight w:val="none"/>
        </w:rPr>
        <w:fldChar w:fldCharType="separate"/>
      </w:r>
      <w:r>
        <w:rPr>
          <w:highlight w:val="none"/>
        </w:rPr>
        <w:t>26</w:t>
      </w:r>
      <w:r>
        <w:rPr>
          <w:highlight w:val="none"/>
        </w:rPr>
        <w:fldChar w:fldCharType="end"/>
      </w:r>
      <w:r>
        <w:rPr>
          <w:bCs/>
          <w:highlight w:val="none"/>
          <w:lang w:val="zh-CN"/>
        </w:rPr>
        <w:fldChar w:fldCharType="end"/>
      </w:r>
    </w:p>
    <w:p>
      <w:pPr>
        <w:pStyle w:val="25"/>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_Toc27530 </w:instrText>
      </w:r>
      <w:r>
        <w:rPr>
          <w:bCs/>
          <w:highlight w:val="none"/>
          <w:lang w:val="zh-CN"/>
        </w:rPr>
        <w:fldChar w:fldCharType="separate"/>
      </w:r>
      <w:r>
        <w:rPr>
          <w:rFonts w:hint="eastAsia"/>
          <w:highlight w:val="none"/>
        </w:rPr>
        <w:t>三、评审标准</w:t>
      </w:r>
      <w:r>
        <w:rPr>
          <w:highlight w:val="none"/>
        </w:rPr>
        <w:tab/>
      </w:r>
      <w:r>
        <w:rPr>
          <w:highlight w:val="none"/>
        </w:rPr>
        <w:fldChar w:fldCharType="begin"/>
      </w:r>
      <w:r>
        <w:rPr>
          <w:highlight w:val="none"/>
        </w:rPr>
        <w:instrText xml:space="preserve"> PAGEREF _Toc27530 </w:instrText>
      </w:r>
      <w:r>
        <w:rPr>
          <w:highlight w:val="none"/>
        </w:rPr>
        <w:fldChar w:fldCharType="separate"/>
      </w:r>
      <w:r>
        <w:rPr>
          <w:highlight w:val="none"/>
        </w:rPr>
        <w:t>28</w:t>
      </w:r>
      <w:r>
        <w:rPr>
          <w:highlight w:val="none"/>
        </w:rPr>
        <w:fldChar w:fldCharType="end"/>
      </w:r>
      <w:r>
        <w:rPr>
          <w:bCs/>
          <w:highlight w:val="none"/>
          <w:lang w:val="zh-CN"/>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_Toc24753 </w:instrText>
      </w:r>
      <w:r>
        <w:rPr>
          <w:bCs/>
          <w:highlight w:val="none"/>
          <w:lang w:val="zh-CN"/>
        </w:rPr>
        <w:fldChar w:fldCharType="separate"/>
      </w:r>
      <w:r>
        <w:rPr>
          <w:rFonts w:hint="eastAsia"/>
          <w:highlight w:val="none"/>
        </w:rPr>
        <w:t>第五章</w:t>
      </w:r>
      <w:r>
        <w:rPr>
          <w:rFonts w:hint="eastAsia"/>
          <w:highlight w:val="none"/>
          <w:lang w:val="en-US" w:eastAsia="zh-CN"/>
        </w:rPr>
        <w:t xml:space="preserve"> </w:t>
      </w:r>
      <w:r>
        <w:rPr>
          <w:rFonts w:hint="eastAsia"/>
          <w:highlight w:val="none"/>
        </w:rPr>
        <w:t>合同格式</w:t>
      </w:r>
      <w:r>
        <w:rPr>
          <w:highlight w:val="none"/>
        </w:rPr>
        <w:tab/>
      </w:r>
      <w:r>
        <w:rPr>
          <w:highlight w:val="none"/>
        </w:rPr>
        <w:fldChar w:fldCharType="begin"/>
      </w:r>
      <w:r>
        <w:rPr>
          <w:highlight w:val="none"/>
        </w:rPr>
        <w:instrText xml:space="preserve"> PAGEREF _Toc24753 </w:instrText>
      </w:r>
      <w:r>
        <w:rPr>
          <w:highlight w:val="none"/>
        </w:rPr>
        <w:fldChar w:fldCharType="separate"/>
      </w:r>
      <w:r>
        <w:rPr>
          <w:highlight w:val="none"/>
        </w:rPr>
        <w:t>31</w:t>
      </w:r>
      <w:r>
        <w:rPr>
          <w:highlight w:val="none"/>
        </w:rPr>
        <w:fldChar w:fldCharType="end"/>
      </w:r>
      <w:r>
        <w:rPr>
          <w:bCs/>
          <w:highlight w:val="none"/>
          <w:lang w:val="zh-CN"/>
        </w:rPr>
        <w:fldChar w:fldCharType="end"/>
      </w:r>
    </w:p>
    <w:p>
      <w:pPr>
        <w:pStyle w:val="24"/>
        <w:tabs>
          <w:tab w:val="right" w:leader="dot" w:pos="8312"/>
          <w:tab w:val="clear" w:pos="8222"/>
        </w:tabs>
        <w:rPr>
          <w:highlight w:val="none"/>
        </w:rPr>
      </w:pPr>
      <w:r>
        <w:rPr>
          <w:bCs/>
          <w:highlight w:val="none"/>
          <w:lang w:val="zh-CN"/>
        </w:rPr>
        <w:fldChar w:fldCharType="begin"/>
      </w:r>
      <w:r>
        <w:rPr>
          <w:bCs/>
          <w:highlight w:val="none"/>
          <w:lang w:val="zh-CN"/>
        </w:rPr>
        <w:instrText xml:space="preserve"> HYPERLINK \l _Toc29817 </w:instrText>
      </w:r>
      <w:r>
        <w:rPr>
          <w:bCs/>
          <w:highlight w:val="none"/>
          <w:lang w:val="zh-CN"/>
        </w:rPr>
        <w:fldChar w:fldCharType="separate"/>
      </w:r>
      <w:r>
        <w:rPr>
          <w:rFonts w:hint="eastAsia"/>
          <w:highlight w:val="none"/>
        </w:rPr>
        <w:t>第六章竞争性磋商响应文件格式</w:t>
      </w:r>
      <w:r>
        <w:rPr>
          <w:highlight w:val="none"/>
        </w:rPr>
        <w:tab/>
      </w:r>
      <w:r>
        <w:rPr>
          <w:highlight w:val="none"/>
        </w:rPr>
        <w:fldChar w:fldCharType="begin"/>
      </w:r>
      <w:r>
        <w:rPr>
          <w:highlight w:val="none"/>
        </w:rPr>
        <w:instrText xml:space="preserve"> PAGEREF _Toc29817 </w:instrText>
      </w:r>
      <w:r>
        <w:rPr>
          <w:highlight w:val="none"/>
        </w:rPr>
        <w:fldChar w:fldCharType="separate"/>
      </w:r>
      <w:r>
        <w:rPr>
          <w:highlight w:val="none"/>
        </w:rPr>
        <w:t>32</w:t>
      </w:r>
      <w:r>
        <w:rPr>
          <w:highlight w:val="none"/>
        </w:rPr>
        <w:fldChar w:fldCharType="end"/>
      </w:r>
      <w:r>
        <w:rPr>
          <w:bCs/>
          <w:highlight w:val="none"/>
          <w:lang w:val="zh-CN"/>
        </w:rPr>
        <w:fldChar w:fldCharType="end"/>
      </w:r>
    </w:p>
    <w:p>
      <w:pPr>
        <w:pStyle w:val="18"/>
        <w:tabs>
          <w:tab w:val="right" w:leader="dot" w:pos="8312"/>
        </w:tabs>
        <w:rPr>
          <w:highlight w:val="none"/>
        </w:rPr>
      </w:pPr>
      <w:r>
        <w:rPr>
          <w:bCs/>
          <w:highlight w:val="none"/>
          <w:lang w:val="zh-CN"/>
        </w:rPr>
        <w:fldChar w:fldCharType="begin"/>
      </w:r>
      <w:r>
        <w:rPr>
          <w:bCs/>
          <w:highlight w:val="none"/>
          <w:lang w:val="zh-CN"/>
        </w:rPr>
        <w:instrText xml:space="preserve"> HYPERLINK \l _Toc983 </w:instrText>
      </w:r>
      <w:r>
        <w:rPr>
          <w:bCs/>
          <w:highlight w:val="none"/>
          <w:lang w:val="zh-CN"/>
        </w:rPr>
        <w:fldChar w:fldCharType="separate"/>
      </w:r>
      <w:r>
        <w:rPr>
          <w:rFonts w:hint="eastAsia"/>
          <w:highlight w:val="none"/>
        </w:rPr>
        <w:t>竞争性磋商响应函</w:t>
      </w:r>
      <w:r>
        <w:rPr>
          <w:highlight w:val="none"/>
        </w:rPr>
        <w:tab/>
      </w:r>
      <w:r>
        <w:rPr>
          <w:highlight w:val="none"/>
        </w:rPr>
        <w:fldChar w:fldCharType="begin"/>
      </w:r>
      <w:r>
        <w:rPr>
          <w:highlight w:val="none"/>
        </w:rPr>
        <w:instrText xml:space="preserve"> PAGEREF _Toc983 </w:instrText>
      </w:r>
      <w:r>
        <w:rPr>
          <w:highlight w:val="none"/>
        </w:rPr>
        <w:fldChar w:fldCharType="separate"/>
      </w:r>
      <w:r>
        <w:rPr>
          <w:highlight w:val="none"/>
        </w:rPr>
        <w:t>33</w:t>
      </w:r>
      <w:r>
        <w:rPr>
          <w:highlight w:val="none"/>
        </w:rPr>
        <w:fldChar w:fldCharType="end"/>
      </w:r>
      <w:r>
        <w:rPr>
          <w:bCs/>
          <w:highlight w:val="none"/>
          <w:lang w:val="zh-CN"/>
        </w:rPr>
        <w:fldChar w:fldCharType="end"/>
      </w:r>
    </w:p>
    <w:p>
      <w:pPr>
        <w:pStyle w:val="18"/>
        <w:tabs>
          <w:tab w:val="right" w:leader="dot" w:pos="8312"/>
        </w:tabs>
        <w:rPr>
          <w:highlight w:val="none"/>
        </w:rPr>
      </w:pPr>
      <w:r>
        <w:rPr>
          <w:bCs/>
          <w:highlight w:val="none"/>
          <w:lang w:val="zh-CN"/>
        </w:rPr>
        <w:fldChar w:fldCharType="begin"/>
      </w:r>
      <w:r>
        <w:rPr>
          <w:bCs/>
          <w:highlight w:val="none"/>
          <w:lang w:val="zh-CN"/>
        </w:rPr>
        <w:instrText xml:space="preserve"> HYPERLINK \l _Toc18509 </w:instrText>
      </w:r>
      <w:r>
        <w:rPr>
          <w:bCs/>
          <w:highlight w:val="none"/>
          <w:lang w:val="zh-CN"/>
        </w:rPr>
        <w:fldChar w:fldCharType="separate"/>
      </w:r>
      <w:r>
        <w:rPr>
          <w:rFonts w:hint="eastAsia" w:ascii="宋体" w:hAnsi="宋体"/>
          <w:szCs w:val="28"/>
          <w:highlight w:val="none"/>
        </w:rPr>
        <w:t>法定代表人资格证明文件</w:t>
      </w:r>
      <w:r>
        <w:rPr>
          <w:highlight w:val="none"/>
        </w:rPr>
        <w:tab/>
      </w:r>
      <w:r>
        <w:rPr>
          <w:highlight w:val="none"/>
        </w:rPr>
        <w:fldChar w:fldCharType="begin"/>
      </w:r>
      <w:r>
        <w:rPr>
          <w:highlight w:val="none"/>
        </w:rPr>
        <w:instrText xml:space="preserve"> PAGEREF _Toc18509 </w:instrText>
      </w:r>
      <w:r>
        <w:rPr>
          <w:highlight w:val="none"/>
        </w:rPr>
        <w:fldChar w:fldCharType="separate"/>
      </w:r>
      <w:r>
        <w:rPr>
          <w:highlight w:val="none"/>
        </w:rPr>
        <w:t>35</w:t>
      </w:r>
      <w:r>
        <w:rPr>
          <w:highlight w:val="none"/>
        </w:rPr>
        <w:fldChar w:fldCharType="end"/>
      </w:r>
      <w:r>
        <w:rPr>
          <w:bCs/>
          <w:highlight w:val="none"/>
          <w:lang w:val="zh-CN"/>
        </w:rPr>
        <w:fldChar w:fldCharType="end"/>
      </w:r>
    </w:p>
    <w:p>
      <w:pPr>
        <w:pStyle w:val="18"/>
        <w:tabs>
          <w:tab w:val="right" w:leader="dot" w:pos="8312"/>
        </w:tabs>
        <w:rPr>
          <w:highlight w:val="none"/>
        </w:rPr>
      </w:pPr>
      <w:r>
        <w:rPr>
          <w:bCs/>
          <w:highlight w:val="none"/>
          <w:lang w:val="zh-CN"/>
        </w:rPr>
        <w:fldChar w:fldCharType="begin"/>
      </w:r>
      <w:r>
        <w:rPr>
          <w:bCs/>
          <w:highlight w:val="none"/>
          <w:lang w:val="zh-CN"/>
        </w:rPr>
        <w:instrText xml:space="preserve"> HYPERLINK \l _Toc27433 </w:instrText>
      </w:r>
      <w:r>
        <w:rPr>
          <w:bCs/>
          <w:highlight w:val="none"/>
          <w:lang w:val="zh-CN"/>
        </w:rPr>
        <w:fldChar w:fldCharType="separate"/>
      </w:r>
      <w:r>
        <w:rPr>
          <w:rFonts w:hint="eastAsia" w:ascii="宋体" w:hAnsi="宋体"/>
          <w:szCs w:val="28"/>
          <w:highlight w:val="none"/>
        </w:rPr>
        <w:t>委托授权书</w:t>
      </w:r>
      <w:r>
        <w:rPr>
          <w:highlight w:val="none"/>
        </w:rPr>
        <w:tab/>
      </w:r>
      <w:r>
        <w:rPr>
          <w:highlight w:val="none"/>
        </w:rPr>
        <w:fldChar w:fldCharType="begin"/>
      </w:r>
      <w:r>
        <w:rPr>
          <w:highlight w:val="none"/>
        </w:rPr>
        <w:instrText xml:space="preserve"> PAGEREF _Toc27433 </w:instrText>
      </w:r>
      <w:r>
        <w:rPr>
          <w:highlight w:val="none"/>
        </w:rPr>
        <w:fldChar w:fldCharType="separate"/>
      </w:r>
      <w:r>
        <w:rPr>
          <w:highlight w:val="none"/>
        </w:rPr>
        <w:t>36</w:t>
      </w:r>
      <w:r>
        <w:rPr>
          <w:highlight w:val="none"/>
        </w:rPr>
        <w:fldChar w:fldCharType="end"/>
      </w:r>
      <w:r>
        <w:rPr>
          <w:bCs/>
          <w:highlight w:val="none"/>
          <w:lang w:val="zh-CN"/>
        </w:rPr>
        <w:fldChar w:fldCharType="end"/>
      </w:r>
    </w:p>
    <w:p>
      <w:pPr>
        <w:pStyle w:val="18"/>
        <w:tabs>
          <w:tab w:val="right" w:leader="dot" w:pos="8312"/>
        </w:tabs>
        <w:rPr>
          <w:highlight w:val="none"/>
        </w:rPr>
      </w:pPr>
      <w:r>
        <w:rPr>
          <w:bCs/>
          <w:highlight w:val="none"/>
          <w:lang w:val="zh-CN"/>
        </w:rPr>
        <w:fldChar w:fldCharType="begin"/>
      </w:r>
      <w:r>
        <w:rPr>
          <w:bCs/>
          <w:highlight w:val="none"/>
          <w:lang w:val="zh-CN"/>
        </w:rPr>
        <w:instrText xml:space="preserve"> HYPERLINK \l _Toc6672 </w:instrText>
      </w:r>
      <w:r>
        <w:rPr>
          <w:bCs/>
          <w:highlight w:val="none"/>
          <w:lang w:val="zh-CN"/>
        </w:rPr>
        <w:fldChar w:fldCharType="separate"/>
      </w:r>
      <w:r>
        <w:rPr>
          <w:rFonts w:hint="eastAsia"/>
          <w:highlight w:val="none"/>
        </w:rPr>
        <w:t>磋商供应商的资格声明</w:t>
      </w:r>
      <w:r>
        <w:rPr>
          <w:highlight w:val="none"/>
        </w:rPr>
        <w:tab/>
      </w:r>
      <w:r>
        <w:rPr>
          <w:highlight w:val="none"/>
        </w:rPr>
        <w:fldChar w:fldCharType="begin"/>
      </w:r>
      <w:r>
        <w:rPr>
          <w:highlight w:val="none"/>
        </w:rPr>
        <w:instrText xml:space="preserve"> PAGEREF _Toc6672 </w:instrText>
      </w:r>
      <w:r>
        <w:rPr>
          <w:highlight w:val="none"/>
        </w:rPr>
        <w:fldChar w:fldCharType="separate"/>
      </w:r>
      <w:r>
        <w:rPr>
          <w:highlight w:val="none"/>
        </w:rPr>
        <w:t>37</w:t>
      </w:r>
      <w:r>
        <w:rPr>
          <w:highlight w:val="none"/>
        </w:rPr>
        <w:fldChar w:fldCharType="end"/>
      </w:r>
      <w:r>
        <w:rPr>
          <w:bCs/>
          <w:highlight w:val="none"/>
          <w:lang w:val="zh-CN"/>
        </w:rPr>
        <w:fldChar w:fldCharType="end"/>
      </w:r>
    </w:p>
    <w:p>
      <w:pPr>
        <w:rPr>
          <w:highlight w:val="none"/>
        </w:rPr>
      </w:pPr>
      <w:r>
        <w:rPr>
          <w:bCs/>
          <w:highlight w:val="none"/>
          <w:lang w:val="zh-CN"/>
        </w:rPr>
        <w:fldChar w:fldCharType="end"/>
      </w:r>
    </w:p>
    <w:p>
      <w:pPr>
        <w:widowControl/>
        <w:jc w:val="left"/>
        <w:rPr>
          <w:b/>
          <w:bCs/>
          <w:kern w:val="44"/>
          <w:sz w:val="44"/>
          <w:szCs w:val="44"/>
          <w:highlight w:val="none"/>
        </w:rPr>
      </w:pPr>
      <w:r>
        <w:rPr>
          <w:highlight w:val="none"/>
        </w:rPr>
        <w:br w:type="page"/>
      </w:r>
    </w:p>
    <w:p>
      <w:pPr>
        <w:pStyle w:val="5"/>
        <w:spacing w:line="360" w:lineRule="auto"/>
        <w:rPr>
          <w:highlight w:val="none"/>
        </w:rPr>
      </w:pPr>
      <w:bookmarkStart w:id="2" w:name="_Toc28767"/>
      <w:bookmarkStart w:id="3" w:name="_Toc456718475"/>
      <w:bookmarkStart w:id="4" w:name="_Toc456718476"/>
      <w:r>
        <w:rPr>
          <w:rFonts w:hint="eastAsia"/>
          <w:highlight w:val="none"/>
        </w:rPr>
        <w:t>第一章</w:t>
      </w:r>
      <w:bookmarkStart w:id="5" w:name="_Toc455227389"/>
      <w:bookmarkEnd w:id="5"/>
      <w:r>
        <w:rPr>
          <w:rFonts w:hint="eastAsia"/>
          <w:highlight w:val="none"/>
          <w:lang w:val="en-US" w:eastAsia="zh-CN"/>
        </w:rPr>
        <w:t xml:space="preserve"> </w:t>
      </w:r>
      <w:r>
        <w:rPr>
          <w:rFonts w:hint="eastAsia"/>
          <w:highlight w:val="none"/>
        </w:rPr>
        <w:t>竞争性磋商邀请函</w:t>
      </w:r>
      <w:bookmarkEnd w:id="2"/>
      <w:bookmarkEnd w:id="3"/>
    </w:p>
    <w:p>
      <w:pPr>
        <w:pStyle w:val="77"/>
        <w:spacing w:line="520" w:lineRule="exact"/>
        <w:ind w:firstLine="560" w:firstLineChars="200"/>
        <w:rPr>
          <w:rFonts w:ascii="宋体" w:hAnsi="宋体"/>
          <w:sz w:val="28"/>
          <w:szCs w:val="28"/>
          <w:highlight w:val="none"/>
        </w:rPr>
      </w:pPr>
      <w:bookmarkStart w:id="6" w:name="EBc5d92a1216974de6973cbeb5c1060ef1"/>
      <w:r>
        <w:rPr>
          <w:rFonts w:hint="eastAsia" w:ascii="宋体" w:hAnsi="宋体"/>
          <w:sz w:val="28"/>
          <w:szCs w:val="28"/>
          <w:highlight w:val="none"/>
          <w:lang w:eastAsia="zh-CN"/>
        </w:rPr>
        <w:t>枝江金润源企业管理咨询有限公司</w:t>
      </w:r>
      <w:r>
        <w:rPr>
          <w:rFonts w:hint="eastAsia" w:ascii="宋体" w:hAnsi="宋体"/>
          <w:sz w:val="28"/>
          <w:szCs w:val="28"/>
          <w:highlight w:val="none"/>
        </w:rPr>
        <w:t>受</w:t>
      </w:r>
      <w:r>
        <w:rPr>
          <w:rFonts w:hint="eastAsia" w:ascii="宋体" w:hAnsi="宋体"/>
          <w:sz w:val="28"/>
          <w:szCs w:val="28"/>
          <w:highlight w:val="none"/>
          <w:lang w:eastAsia="zh-CN"/>
        </w:rPr>
        <w:t>枝江市金润源水务有限公司</w:t>
      </w:r>
      <w:r>
        <w:rPr>
          <w:rFonts w:hint="eastAsia" w:ascii="宋体" w:hAnsi="宋体"/>
          <w:sz w:val="28"/>
          <w:szCs w:val="28"/>
          <w:highlight w:val="none"/>
        </w:rPr>
        <w:t>（采购人）委托作为本项目采购代理机构，拟就“</w:t>
      </w:r>
      <w:r>
        <w:rPr>
          <w:rFonts w:hint="eastAsia" w:ascii="宋体" w:hAnsi="宋体"/>
          <w:sz w:val="28"/>
          <w:szCs w:val="28"/>
          <w:highlight w:val="none"/>
          <w:lang w:eastAsia="zh-CN"/>
        </w:rPr>
        <w:t>金润源水务公司2021年2月</w:t>
      </w:r>
      <w:r>
        <w:rPr>
          <w:rFonts w:hint="eastAsia" w:ascii="宋体" w:hAnsi="宋体"/>
          <w:sz w:val="28"/>
          <w:szCs w:val="28"/>
          <w:highlight w:val="none"/>
          <w:lang w:val="en-US" w:eastAsia="zh-CN"/>
        </w:rPr>
        <w:t>1</w:t>
      </w:r>
      <w:r>
        <w:rPr>
          <w:rFonts w:hint="eastAsia" w:ascii="宋体" w:hAnsi="宋体"/>
          <w:sz w:val="28"/>
          <w:szCs w:val="28"/>
          <w:highlight w:val="none"/>
          <w:lang w:eastAsia="zh-CN"/>
        </w:rPr>
        <w:t>5000万元融资租赁项目</w:t>
      </w:r>
      <w:r>
        <w:rPr>
          <w:rFonts w:hint="eastAsia" w:ascii="宋体" w:hAnsi="宋体"/>
          <w:sz w:val="28"/>
          <w:szCs w:val="28"/>
          <w:highlight w:val="none"/>
        </w:rPr>
        <w:t>”采取竞争性磋商方式进行采购，具体公告如下：</w:t>
      </w:r>
      <w:bookmarkStart w:id="154" w:name="_GoBack"/>
      <w:bookmarkEnd w:id="154"/>
    </w:p>
    <w:p>
      <w:pPr>
        <w:pStyle w:val="78"/>
        <w:numPr>
          <w:ilvl w:val="0"/>
          <w:numId w:val="1"/>
        </w:numPr>
        <w:spacing w:line="520" w:lineRule="exact"/>
        <w:ind w:left="588" w:right="92"/>
        <w:jc w:val="both"/>
        <w:rPr>
          <w:rFonts w:cs="宋体"/>
          <w:b/>
          <w:bCs/>
          <w:sz w:val="28"/>
          <w:szCs w:val="28"/>
          <w:highlight w:val="none"/>
          <w:lang w:val="zh-CN"/>
        </w:rPr>
      </w:pPr>
      <w:r>
        <w:rPr>
          <w:rFonts w:cs="宋体"/>
          <w:b/>
          <w:bCs/>
          <w:sz w:val="28"/>
          <w:szCs w:val="28"/>
          <w:highlight w:val="none"/>
          <w:lang w:val="zh-CN"/>
        </w:rPr>
        <w:t>项目基本情况:</w:t>
      </w:r>
    </w:p>
    <w:p>
      <w:pPr>
        <w:pStyle w:val="78"/>
        <w:spacing w:before="32" w:line="520" w:lineRule="exact"/>
        <w:ind w:right="92" w:firstLine="480"/>
        <w:jc w:val="both"/>
        <w:rPr>
          <w:rFonts w:hint="default" w:eastAsia="宋体" w:cs="宋体"/>
          <w:sz w:val="28"/>
          <w:szCs w:val="28"/>
          <w:highlight w:val="none"/>
          <w:lang w:val="en-US" w:eastAsia="zh-CN"/>
        </w:rPr>
      </w:pPr>
      <w:r>
        <w:rPr>
          <w:rFonts w:cs="宋体"/>
          <w:sz w:val="28"/>
          <w:szCs w:val="28"/>
          <w:highlight w:val="none"/>
          <w:lang w:val="zh-CN"/>
        </w:rPr>
        <w:t>（一）</w:t>
      </w:r>
      <w:r>
        <w:rPr>
          <w:rFonts w:hint="eastAsia" w:cs="宋体"/>
          <w:sz w:val="28"/>
          <w:szCs w:val="28"/>
          <w:highlight w:val="none"/>
          <w:lang w:val="en-US" w:eastAsia="zh-CN"/>
        </w:rPr>
        <w:t>项目名称：</w:t>
      </w:r>
      <w:r>
        <w:rPr>
          <w:rFonts w:hint="eastAsia" w:ascii="宋体" w:hAnsi="宋体"/>
          <w:sz w:val="28"/>
          <w:szCs w:val="28"/>
          <w:highlight w:val="none"/>
          <w:lang w:eastAsia="zh-CN"/>
        </w:rPr>
        <w:t>金润源水务公司2021年2月</w:t>
      </w:r>
      <w:r>
        <w:rPr>
          <w:rFonts w:hint="eastAsia" w:ascii="宋体" w:hAnsi="宋体"/>
          <w:sz w:val="28"/>
          <w:szCs w:val="28"/>
          <w:highlight w:val="none"/>
          <w:lang w:val="en-US" w:eastAsia="zh-CN"/>
        </w:rPr>
        <w:t>1</w:t>
      </w:r>
      <w:r>
        <w:rPr>
          <w:rFonts w:hint="eastAsia" w:ascii="宋体" w:hAnsi="宋体"/>
          <w:sz w:val="28"/>
          <w:szCs w:val="28"/>
          <w:highlight w:val="none"/>
          <w:lang w:eastAsia="zh-CN"/>
        </w:rPr>
        <w:t>5000万元融资租赁项目</w:t>
      </w:r>
    </w:p>
    <w:p>
      <w:pPr>
        <w:pStyle w:val="78"/>
        <w:spacing w:before="32" w:line="520" w:lineRule="exact"/>
        <w:ind w:right="92" w:firstLine="480"/>
        <w:jc w:val="both"/>
        <w:rPr>
          <w:rFonts w:hint="default" w:ascii="宋体" w:hAnsi="宋体"/>
          <w:sz w:val="28"/>
          <w:szCs w:val="28"/>
          <w:highlight w:val="none"/>
          <w:lang w:val="en-US" w:eastAsia="zh-CN"/>
        </w:rPr>
      </w:pPr>
      <w:r>
        <w:rPr>
          <w:rFonts w:hint="eastAsia" w:cs="宋体"/>
          <w:sz w:val="28"/>
          <w:szCs w:val="28"/>
          <w:highlight w:val="none"/>
          <w:lang w:val="zh-CN"/>
        </w:rPr>
        <w:t>（</w:t>
      </w:r>
      <w:r>
        <w:rPr>
          <w:rFonts w:hint="eastAsia" w:cs="宋体"/>
          <w:sz w:val="28"/>
          <w:szCs w:val="28"/>
          <w:highlight w:val="none"/>
          <w:lang w:val="en-US" w:eastAsia="zh-CN"/>
        </w:rPr>
        <w:t>二</w:t>
      </w:r>
      <w:r>
        <w:rPr>
          <w:rFonts w:hint="eastAsia" w:cs="宋体"/>
          <w:sz w:val="28"/>
          <w:szCs w:val="28"/>
          <w:highlight w:val="none"/>
          <w:lang w:val="zh-CN"/>
        </w:rPr>
        <w:t>）</w:t>
      </w:r>
      <w:r>
        <w:rPr>
          <w:rFonts w:hint="eastAsia" w:cs="宋体"/>
          <w:sz w:val="28"/>
          <w:szCs w:val="28"/>
          <w:highlight w:val="none"/>
          <w:lang w:val="en-US" w:eastAsia="zh-CN"/>
        </w:rPr>
        <w:t>项目编号：</w:t>
      </w:r>
      <w:r>
        <w:rPr>
          <w:rFonts w:hint="eastAsia" w:ascii="宋体" w:hAnsi="宋体"/>
          <w:sz w:val="28"/>
          <w:szCs w:val="28"/>
          <w:highlight w:val="none"/>
          <w:lang w:eastAsia="zh-CN"/>
        </w:rPr>
        <w:t>Zjjry2021-Z022</w:t>
      </w:r>
    </w:p>
    <w:p>
      <w:pPr>
        <w:pStyle w:val="78"/>
        <w:spacing w:before="32" w:line="520" w:lineRule="exact"/>
        <w:ind w:right="92" w:firstLine="480"/>
        <w:jc w:val="both"/>
        <w:rPr>
          <w:sz w:val="28"/>
          <w:szCs w:val="28"/>
          <w:highlight w:val="none"/>
          <w:lang w:val="zh-CN"/>
        </w:rPr>
      </w:pPr>
      <w:r>
        <w:rPr>
          <w:rFonts w:cs="宋体"/>
          <w:sz w:val="28"/>
          <w:szCs w:val="28"/>
          <w:highlight w:val="none"/>
          <w:lang w:val="zh-CN"/>
        </w:rPr>
        <w:t>（三）项目地点：枝江市。</w:t>
      </w:r>
    </w:p>
    <w:p>
      <w:pPr>
        <w:pStyle w:val="78"/>
        <w:spacing w:before="43" w:line="520" w:lineRule="exact"/>
        <w:ind w:right="92" w:firstLine="480"/>
        <w:jc w:val="both"/>
        <w:rPr>
          <w:rFonts w:hint="default" w:eastAsia="宋体" w:cs="宋体"/>
          <w:sz w:val="28"/>
          <w:szCs w:val="28"/>
          <w:highlight w:val="none"/>
          <w:lang w:val="en-US" w:eastAsia="zh-CN"/>
        </w:rPr>
      </w:pPr>
      <w:r>
        <w:rPr>
          <w:rFonts w:cs="宋体"/>
          <w:sz w:val="28"/>
          <w:szCs w:val="28"/>
          <w:highlight w:val="none"/>
          <w:lang w:val="zh-CN"/>
        </w:rPr>
        <w:t>（</w:t>
      </w:r>
      <w:r>
        <w:rPr>
          <w:rFonts w:hint="eastAsia" w:cs="宋体"/>
          <w:sz w:val="28"/>
          <w:szCs w:val="28"/>
          <w:highlight w:val="none"/>
          <w:lang w:val="en-US" w:eastAsia="zh-CN"/>
        </w:rPr>
        <w:t>四</w:t>
      </w:r>
      <w:r>
        <w:rPr>
          <w:rFonts w:cs="宋体"/>
          <w:sz w:val="28"/>
          <w:szCs w:val="28"/>
          <w:highlight w:val="none"/>
          <w:lang w:val="zh-CN"/>
        </w:rPr>
        <w:t>）融资金额：</w:t>
      </w:r>
      <w:r>
        <w:rPr>
          <w:rFonts w:hint="eastAsia" w:cs="宋体"/>
          <w:sz w:val="28"/>
          <w:szCs w:val="28"/>
          <w:highlight w:val="none"/>
          <w:lang w:val="en-US" w:eastAsia="zh-CN"/>
        </w:rPr>
        <w:t>1</w:t>
      </w:r>
      <w:r>
        <w:rPr>
          <w:rFonts w:hint="eastAsia" w:cs="宋体"/>
          <w:sz w:val="28"/>
          <w:szCs w:val="28"/>
          <w:highlight w:val="none"/>
          <w:lang w:val="zh-CN"/>
        </w:rPr>
        <w:t>5000万</w:t>
      </w:r>
      <w:r>
        <w:rPr>
          <w:rFonts w:hint="eastAsia" w:cs="宋体"/>
          <w:sz w:val="28"/>
          <w:szCs w:val="28"/>
          <w:highlight w:val="none"/>
          <w:lang w:val="en-US" w:eastAsia="zh-CN"/>
        </w:rPr>
        <w:t>元，其中1包段5000万元；2包段10000万元。</w:t>
      </w:r>
    </w:p>
    <w:p>
      <w:pPr>
        <w:pStyle w:val="78"/>
        <w:spacing w:before="43" w:line="520" w:lineRule="exact"/>
        <w:ind w:right="92" w:firstLine="480"/>
        <w:jc w:val="both"/>
        <w:rPr>
          <w:sz w:val="28"/>
          <w:szCs w:val="28"/>
          <w:highlight w:val="none"/>
          <w:lang w:val="zh-CN"/>
        </w:rPr>
      </w:pPr>
      <w:r>
        <w:rPr>
          <w:rFonts w:cs="宋体"/>
          <w:sz w:val="28"/>
          <w:szCs w:val="28"/>
          <w:highlight w:val="none"/>
          <w:lang w:val="zh-CN"/>
        </w:rPr>
        <w:t>（</w:t>
      </w:r>
      <w:r>
        <w:rPr>
          <w:rFonts w:hint="eastAsia" w:cs="宋体"/>
          <w:sz w:val="28"/>
          <w:szCs w:val="28"/>
          <w:highlight w:val="none"/>
          <w:lang w:val="en-US" w:eastAsia="zh-CN"/>
        </w:rPr>
        <w:t>五</w:t>
      </w:r>
      <w:r>
        <w:rPr>
          <w:rFonts w:cs="宋体"/>
          <w:sz w:val="28"/>
          <w:szCs w:val="28"/>
          <w:highlight w:val="none"/>
          <w:lang w:val="zh-CN"/>
        </w:rPr>
        <w:t>）融资年限：计划为不低于</w:t>
      </w:r>
      <w:r>
        <w:rPr>
          <w:rFonts w:hint="eastAsia" w:cs="宋体"/>
          <w:sz w:val="28"/>
          <w:szCs w:val="28"/>
          <w:highlight w:val="none"/>
        </w:rPr>
        <w:t>3</w:t>
      </w:r>
      <w:r>
        <w:rPr>
          <w:rFonts w:cs="宋体"/>
          <w:sz w:val="28"/>
          <w:szCs w:val="28"/>
          <w:highlight w:val="none"/>
          <w:lang w:val="zh-CN"/>
        </w:rPr>
        <w:t>年期（根据融资方的审批意见进行调整）。</w:t>
      </w:r>
    </w:p>
    <w:p>
      <w:pPr>
        <w:pStyle w:val="78"/>
        <w:spacing w:before="43" w:line="520" w:lineRule="exact"/>
        <w:ind w:right="92" w:firstLine="480"/>
        <w:jc w:val="both"/>
        <w:rPr>
          <w:sz w:val="28"/>
          <w:szCs w:val="28"/>
          <w:highlight w:val="none"/>
          <w:lang w:val="zh-CN"/>
        </w:rPr>
      </w:pPr>
      <w:r>
        <w:rPr>
          <w:rFonts w:cs="宋体"/>
          <w:sz w:val="28"/>
          <w:szCs w:val="28"/>
          <w:highlight w:val="none"/>
          <w:lang w:val="zh-CN"/>
        </w:rPr>
        <w:t>（</w:t>
      </w:r>
      <w:r>
        <w:rPr>
          <w:rFonts w:hint="eastAsia" w:cs="宋体"/>
          <w:sz w:val="28"/>
          <w:szCs w:val="28"/>
          <w:highlight w:val="none"/>
          <w:lang w:val="en-US" w:eastAsia="zh-CN"/>
        </w:rPr>
        <w:t>六</w:t>
      </w:r>
      <w:r>
        <w:rPr>
          <w:rFonts w:cs="宋体"/>
          <w:sz w:val="28"/>
          <w:szCs w:val="28"/>
          <w:highlight w:val="none"/>
          <w:lang w:val="zh-CN"/>
        </w:rPr>
        <w:t>）融资成本：</w:t>
      </w:r>
      <w:r>
        <w:rPr>
          <w:rFonts w:hint="eastAsia" w:cs="宋体"/>
          <w:sz w:val="28"/>
          <w:szCs w:val="28"/>
          <w:highlight w:val="none"/>
          <w:lang w:val="zh-CN"/>
        </w:rPr>
        <w:t>年综合成本不高于9.5%</w:t>
      </w:r>
      <w:r>
        <w:rPr>
          <w:rFonts w:cs="宋体"/>
          <w:sz w:val="28"/>
          <w:szCs w:val="28"/>
          <w:highlight w:val="none"/>
          <w:lang w:val="zh-CN"/>
        </w:rPr>
        <w:t>。</w:t>
      </w:r>
    </w:p>
    <w:p>
      <w:pPr>
        <w:pStyle w:val="78"/>
        <w:spacing w:before="43" w:line="520" w:lineRule="exact"/>
        <w:ind w:right="92" w:firstLine="480"/>
        <w:jc w:val="both"/>
        <w:rPr>
          <w:sz w:val="28"/>
          <w:szCs w:val="28"/>
          <w:highlight w:val="none"/>
          <w:lang w:val="zh-CN"/>
        </w:rPr>
      </w:pPr>
      <w:r>
        <w:rPr>
          <w:rFonts w:cs="宋体"/>
          <w:sz w:val="28"/>
          <w:szCs w:val="28"/>
          <w:highlight w:val="none"/>
          <w:lang w:val="zh-CN"/>
        </w:rPr>
        <w:t>（</w:t>
      </w:r>
      <w:r>
        <w:rPr>
          <w:rFonts w:hint="eastAsia" w:cs="宋体"/>
          <w:sz w:val="28"/>
          <w:szCs w:val="28"/>
          <w:highlight w:val="none"/>
          <w:lang w:val="en-US" w:eastAsia="zh-CN"/>
        </w:rPr>
        <w:t>七</w:t>
      </w:r>
      <w:r>
        <w:rPr>
          <w:rFonts w:cs="宋体"/>
          <w:sz w:val="28"/>
          <w:szCs w:val="28"/>
          <w:highlight w:val="none"/>
          <w:lang w:val="zh-CN"/>
        </w:rPr>
        <w:t>）还款计划：根据中标方案确定（如资金方政策变化，可根据政策调整）。</w:t>
      </w:r>
    </w:p>
    <w:p>
      <w:pPr>
        <w:pStyle w:val="78"/>
        <w:spacing w:line="520" w:lineRule="exact"/>
        <w:ind w:right="92" w:firstLine="241"/>
        <w:jc w:val="both"/>
        <w:rPr>
          <w:sz w:val="28"/>
          <w:szCs w:val="28"/>
          <w:highlight w:val="none"/>
          <w:lang w:val="zh-CN"/>
        </w:rPr>
      </w:pPr>
      <w:r>
        <w:rPr>
          <w:rFonts w:cs="宋体"/>
          <w:b/>
          <w:bCs/>
          <w:sz w:val="28"/>
          <w:szCs w:val="28"/>
          <w:highlight w:val="none"/>
          <w:lang w:val="zh-CN"/>
        </w:rPr>
        <w:t>二、供应商资格要求:</w:t>
      </w:r>
    </w:p>
    <w:p>
      <w:pPr>
        <w:pStyle w:val="78"/>
        <w:spacing w:before="32" w:line="520" w:lineRule="exact"/>
        <w:ind w:right="79" w:firstLine="480"/>
        <w:jc w:val="both"/>
        <w:rPr>
          <w:sz w:val="28"/>
          <w:szCs w:val="28"/>
          <w:highlight w:val="none"/>
          <w:lang w:val="zh-CN"/>
        </w:rPr>
      </w:pPr>
      <w:r>
        <w:rPr>
          <w:rFonts w:cs="宋体"/>
          <w:sz w:val="28"/>
          <w:szCs w:val="28"/>
          <w:highlight w:val="none"/>
          <w:lang w:val="zh-CN"/>
        </w:rPr>
        <w:t>1、</w:t>
      </w:r>
      <w:r>
        <w:rPr>
          <w:rFonts w:hint="eastAsia" w:cs="宋体"/>
          <w:sz w:val="28"/>
          <w:szCs w:val="28"/>
          <w:highlight w:val="none"/>
          <w:lang w:val="zh-CN"/>
        </w:rPr>
        <w:t>供应商应具有独立承担民事责任的能力</w:t>
      </w:r>
      <w:r>
        <w:rPr>
          <w:rFonts w:cs="宋体"/>
          <w:sz w:val="28"/>
          <w:szCs w:val="28"/>
          <w:highlight w:val="none"/>
          <w:lang w:val="zh-CN"/>
        </w:rPr>
        <w:t>；</w:t>
      </w:r>
    </w:p>
    <w:p>
      <w:pPr>
        <w:pStyle w:val="78"/>
        <w:spacing w:before="32" w:line="520" w:lineRule="exact"/>
        <w:ind w:right="79" w:firstLine="480"/>
        <w:jc w:val="both"/>
        <w:rPr>
          <w:sz w:val="28"/>
          <w:szCs w:val="28"/>
          <w:highlight w:val="none"/>
          <w:lang w:val="zh-CN"/>
        </w:rPr>
      </w:pPr>
      <w:r>
        <w:rPr>
          <w:rFonts w:cs="宋体"/>
          <w:sz w:val="28"/>
          <w:szCs w:val="28"/>
          <w:highlight w:val="none"/>
          <w:lang w:val="zh-CN"/>
        </w:rPr>
        <w:t>2、响应文件递交截止时间当天，“信用中国”网站(www.creditchina.gov.cn)、中国政府采购网(www.ccgp.gov.cn)查询，供应商未被列入信用记录失信被执行人、重大税收违法案件当事人名单、政府采购严重违法失信行为记录名单；</w:t>
      </w:r>
    </w:p>
    <w:p>
      <w:pPr>
        <w:pStyle w:val="78"/>
        <w:spacing w:before="32" w:line="520" w:lineRule="exact"/>
        <w:ind w:right="79" w:firstLine="480"/>
        <w:jc w:val="both"/>
        <w:rPr>
          <w:sz w:val="28"/>
          <w:szCs w:val="28"/>
          <w:highlight w:val="none"/>
          <w:lang w:val="zh-CN"/>
        </w:rPr>
      </w:pPr>
      <w:r>
        <w:rPr>
          <w:rFonts w:cs="宋体"/>
          <w:sz w:val="28"/>
          <w:szCs w:val="28"/>
          <w:highlight w:val="none"/>
          <w:lang w:val="zh-CN"/>
        </w:rPr>
        <w:t>3、为本项目提供整体设计、规范编制或者项目管理、监理、检测等服务的供应商，不得再参加该本项目的其他采购活动；</w:t>
      </w:r>
    </w:p>
    <w:p>
      <w:pPr>
        <w:pStyle w:val="78"/>
        <w:spacing w:before="32" w:line="520" w:lineRule="exact"/>
        <w:ind w:right="80" w:firstLine="480"/>
        <w:jc w:val="both"/>
        <w:rPr>
          <w:sz w:val="28"/>
          <w:szCs w:val="28"/>
          <w:highlight w:val="none"/>
          <w:lang w:val="zh-CN"/>
        </w:rPr>
      </w:pPr>
      <w:r>
        <w:rPr>
          <w:rFonts w:cs="宋体"/>
          <w:sz w:val="28"/>
          <w:szCs w:val="28"/>
          <w:highlight w:val="none"/>
          <w:lang w:val="zh-CN"/>
        </w:rPr>
        <w:t>4、具有独立的法人资格，具备</w:t>
      </w:r>
      <w:r>
        <w:rPr>
          <w:rFonts w:hint="eastAsia" w:cs="宋体"/>
          <w:sz w:val="28"/>
          <w:szCs w:val="28"/>
          <w:highlight w:val="none"/>
          <w:lang w:val="zh-CN"/>
        </w:rPr>
        <w:t>合法有效的</w:t>
      </w:r>
      <w:r>
        <w:rPr>
          <w:rFonts w:cs="宋体"/>
          <w:sz w:val="28"/>
          <w:szCs w:val="28"/>
          <w:highlight w:val="none"/>
          <w:lang w:val="zh-CN"/>
        </w:rPr>
        <w:t>营业执照</w:t>
      </w:r>
      <w:r>
        <w:rPr>
          <w:rFonts w:hint="eastAsia" w:cs="宋体"/>
          <w:sz w:val="28"/>
          <w:szCs w:val="28"/>
          <w:highlight w:val="none"/>
          <w:lang w:val="zh-CN"/>
        </w:rPr>
        <w:t>，具备</w:t>
      </w:r>
      <w:r>
        <w:rPr>
          <w:rFonts w:cs="宋体"/>
          <w:sz w:val="28"/>
          <w:szCs w:val="28"/>
          <w:highlight w:val="none"/>
          <w:lang w:val="zh-CN"/>
        </w:rPr>
        <w:t>良好的商业信誉和健全的财务制度；</w:t>
      </w:r>
    </w:p>
    <w:p>
      <w:pPr>
        <w:pStyle w:val="78"/>
        <w:spacing w:before="32" w:line="520" w:lineRule="exact"/>
        <w:ind w:right="80" w:firstLine="480"/>
        <w:jc w:val="both"/>
        <w:rPr>
          <w:sz w:val="28"/>
          <w:szCs w:val="28"/>
          <w:highlight w:val="none"/>
          <w:lang w:val="zh-CN"/>
        </w:rPr>
      </w:pPr>
      <w:r>
        <w:rPr>
          <w:rFonts w:hint="eastAsia" w:cs="宋体"/>
          <w:sz w:val="28"/>
          <w:szCs w:val="28"/>
          <w:highlight w:val="none"/>
        </w:rPr>
        <w:t>5</w:t>
      </w:r>
      <w:r>
        <w:rPr>
          <w:rFonts w:cs="宋体"/>
          <w:sz w:val="28"/>
          <w:szCs w:val="28"/>
          <w:highlight w:val="none"/>
          <w:lang w:val="zh-CN"/>
        </w:rPr>
        <w:t>、本项目接收联合体投标（联合体成员不超过3家），其中至少有一个成员具有金融许可证或有效备案证明文件。若供应商是联合体投标的，须提供双方签字盖章后的联合体协议。</w:t>
      </w:r>
    </w:p>
    <w:p>
      <w:pPr>
        <w:pStyle w:val="77"/>
        <w:spacing w:line="520" w:lineRule="exact"/>
        <w:ind w:firstLine="562" w:firstLineChars="200"/>
        <w:rPr>
          <w:rFonts w:hint="eastAsia" w:ascii="宋体" w:hAnsi="宋体" w:cs="宋体"/>
          <w:kern w:val="0"/>
          <w:sz w:val="28"/>
          <w:szCs w:val="28"/>
          <w:highlight w:val="none"/>
          <w:lang w:val="zh-CN"/>
        </w:rPr>
      </w:pPr>
      <w:r>
        <w:rPr>
          <w:rFonts w:cs="宋体"/>
          <w:b/>
          <w:bCs/>
          <w:sz w:val="28"/>
          <w:szCs w:val="28"/>
          <w:highlight w:val="none"/>
          <w:lang w:val="zh-CN"/>
        </w:rPr>
        <w:t xml:space="preserve">只有符合以上所有标准的供应商才能通过资格审查。 </w:t>
      </w:r>
      <w:r>
        <w:rPr>
          <w:rFonts w:hint="eastAsia" w:ascii="宋体" w:hAnsi="宋体" w:cs="宋体"/>
          <w:kern w:val="0"/>
          <w:sz w:val="28"/>
          <w:szCs w:val="28"/>
          <w:highlight w:val="none"/>
          <w:lang w:val="zh-CN"/>
        </w:rPr>
        <w:t>供应商在制作投标文件时，应对照上述资格审查要求在响应文件中提供相应证明材料的原件复印件并加盖公章（复印件需清晰可见），否则评委和采购人将不予采信。</w:t>
      </w:r>
    </w:p>
    <w:p>
      <w:pPr>
        <w:pStyle w:val="77"/>
        <w:spacing w:line="520" w:lineRule="exact"/>
        <w:ind w:firstLine="562" w:firstLineChars="200"/>
        <w:rPr>
          <w:rFonts w:hint="default" w:ascii="宋体" w:hAnsi="宋体" w:eastAsia="宋体" w:cs="宋体"/>
          <w:b/>
          <w:bCs/>
          <w:kern w:val="0"/>
          <w:sz w:val="28"/>
          <w:szCs w:val="28"/>
          <w:highlight w:val="none"/>
          <w:lang w:val="en-US" w:eastAsia="zh-CN"/>
        </w:rPr>
      </w:pPr>
      <w:r>
        <w:rPr>
          <w:rFonts w:hint="eastAsia" w:ascii="宋体" w:hAnsi="宋体" w:cs="宋体"/>
          <w:b/>
          <w:bCs/>
          <w:kern w:val="0"/>
          <w:sz w:val="28"/>
          <w:szCs w:val="28"/>
          <w:highlight w:val="none"/>
          <w:lang w:val="en-US" w:eastAsia="zh-CN"/>
        </w:rPr>
        <w:t>供应商可以参加两个包段的磋商，但只能确认成交一个包段。</w:t>
      </w:r>
    </w:p>
    <w:p>
      <w:pPr>
        <w:pStyle w:val="78"/>
        <w:spacing w:before="32" w:line="520" w:lineRule="exact"/>
        <w:ind w:left="108" w:right="92" w:firstLine="480"/>
        <w:jc w:val="both"/>
        <w:rPr>
          <w:sz w:val="28"/>
          <w:szCs w:val="28"/>
          <w:highlight w:val="none"/>
          <w:lang w:val="zh-CN"/>
        </w:rPr>
      </w:pPr>
      <w:r>
        <w:rPr>
          <w:rFonts w:cs="宋体"/>
          <w:b/>
          <w:bCs/>
          <w:sz w:val="28"/>
          <w:szCs w:val="28"/>
          <w:highlight w:val="none"/>
          <w:lang w:val="zh-CN"/>
        </w:rPr>
        <w:t>三、竞争性磋商文件的获取：</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1、发放时间：从</w:t>
      </w:r>
      <w:r>
        <w:rPr>
          <w:rFonts w:hint="eastAsia" w:cs="宋体"/>
          <w:sz w:val="28"/>
          <w:szCs w:val="28"/>
          <w:highlight w:val="none"/>
          <w:lang w:val="zh-CN"/>
        </w:rPr>
        <w:t>2021年1月28日至2021年2月9日。</w:t>
      </w:r>
    </w:p>
    <w:p>
      <w:pPr>
        <w:pStyle w:val="77"/>
        <w:spacing w:line="520" w:lineRule="exact"/>
        <w:ind w:firstLine="560" w:firstLineChars="200"/>
        <w:rPr>
          <w:rFonts w:cs="宋体"/>
          <w:sz w:val="28"/>
          <w:szCs w:val="28"/>
          <w:highlight w:val="none"/>
          <w:lang w:val="zh-CN"/>
        </w:rPr>
      </w:pPr>
      <w:r>
        <w:rPr>
          <w:rFonts w:cs="宋体"/>
          <w:sz w:val="28"/>
          <w:szCs w:val="28"/>
          <w:highlight w:val="none"/>
          <w:lang w:val="zh-CN"/>
        </w:rPr>
        <w:t>2、下载方法：本项目实行网上下载竞争性磋商文件（以下简称“磋商文件”）。</w:t>
      </w:r>
      <w:r>
        <w:rPr>
          <w:rFonts w:hint="eastAsia" w:cs="宋体"/>
          <w:sz w:val="28"/>
          <w:szCs w:val="28"/>
          <w:highlight w:val="none"/>
          <w:lang w:val="zh-CN"/>
        </w:rPr>
        <w:t>供应商登录枝江市公共资源交易信息网（http://ggzyjy.zgzhijiang.gov.cn/zjSite/）、</w:t>
      </w:r>
      <w:r>
        <w:rPr>
          <w:rFonts w:hint="eastAsia" w:ascii="宋体" w:hAnsi="宋体" w:eastAsia="宋体" w:cs="宋体"/>
          <w:sz w:val="28"/>
          <w:szCs w:val="28"/>
          <w:highlight w:val="none"/>
          <w:lang w:val="en-US" w:eastAsia="zh-CN"/>
        </w:rPr>
        <w:t>枝江金润源建设投资控股集团有限公司</w:t>
      </w:r>
      <w:r>
        <w:rPr>
          <w:rFonts w:hint="eastAsia" w:ascii="宋体" w:hAnsi="宋体" w:eastAsia="宋体" w:cs="宋体"/>
          <w:sz w:val="28"/>
          <w:szCs w:val="28"/>
          <w:highlight w:val="none"/>
        </w:rPr>
        <w:t>官网（http://www.zjjryjt.cn/）</w:t>
      </w:r>
      <w:r>
        <w:rPr>
          <w:rFonts w:hint="eastAsia" w:cs="宋体"/>
          <w:sz w:val="28"/>
          <w:szCs w:val="28"/>
          <w:highlight w:val="none"/>
          <w:lang w:val="zh-CN"/>
        </w:rPr>
        <w:t>在公告附件中下载竞争性磋商文件和相关资料。</w:t>
      </w:r>
    </w:p>
    <w:p>
      <w:pPr>
        <w:pStyle w:val="78"/>
        <w:spacing w:before="32" w:line="520" w:lineRule="exact"/>
        <w:ind w:left="108" w:right="92" w:firstLine="480"/>
        <w:jc w:val="both"/>
        <w:rPr>
          <w:sz w:val="28"/>
          <w:szCs w:val="28"/>
          <w:highlight w:val="none"/>
          <w:lang w:val="zh-CN"/>
        </w:rPr>
      </w:pPr>
      <w:r>
        <w:rPr>
          <w:rFonts w:cs="宋体"/>
          <w:b/>
          <w:bCs/>
          <w:sz w:val="28"/>
          <w:szCs w:val="28"/>
          <w:highlight w:val="none"/>
          <w:lang w:val="zh-CN"/>
        </w:rPr>
        <w:t>四、响应文件递交截止时间及递交方式：</w:t>
      </w:r>
    </w:p>
    <w:p>
      <w:pPr>
        <w:pStyle w:val="78"/>
        <w:spacing w:before="32" w:line="520" w:lineRule="exact"/>
        <w:ind w:left="108" w:right="92" w:firstLine="480"/>
        <w:jc w:val="both"/>
        <w:rPr>
          <w:rFonts w:cs="宋体"/>
          <w:sz w:val="28"/>
          <w:szCs w:val="28"/>
          <w:highlight w:val="none"/>
          <w:lang w:val="zh-CN"/>
        </w:rPr>
      </w:pPr>
      <w:r>
        <w:rPr>
          <w:rFonts w:hint="eastAsia" w:cs="宋体"/>
          <w:sz w:val="28"/>
          <w:szCs w:val="28"/>
          <w:highlight w:val="none"/>
          <w:lang w:val="zh-CN"/>
        </w:rPr>
        <w:t>1、响应文件递交截止时间为：2021年2月9日9:30时。</w:t>
      </w:r>
      <w:r>
        <w:rPr>
          <w:rFonts w:hint="eastAsia" w:cs="宋体"/>
          <w:sz w:val="28"/>
          <w:szCs w:val="28"/>
          <w:highlight w:val="none"/>
        </w:rPr>
        <w:t>供应商应在响应文件提交的截止时间前，将密封的磋商响应文件现场递交至</w:t>
      </w:r>
      <w:r>
        <w:rPr>
          <w:rFonts w:cs="宋体"/>
          <w:sz w:val="28"/>
          <w:szCs w:val="28"/>
          <w:highlight w:val="none"/>
          <w:lang w:val="zh-CN"/>
        </w:rPr>
        <w:t>枝江市仙女大道190号（枝江市公共资源交易中心5楼）</w:t>
      </w:r>
      <w:r>
        <w:rPr>
          <w:rFonts w:hint="eastAsia" w:cs="宋体"/>
          <w:sz w:val="28"/>
          <w:szCs w:val="28"/>
          <w:highlight w:val="none"/>
        </w:rPr>
        <w:t>开标大厅，逾期送达的或未送达指定地点的或未按磋商文件要求密封的响应文件，采购人将拒收。</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2、响应文件递交截止时间与磋商时间是否有变化，请关注本次采购过程中发布的更正公告或澄清修改文件中的相关信息。</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3、供应商的法定代表人或其委托代理人应携带有效身份证明文件（法定代表人身份证明或法人授权委托书）和第二代身份证原件在磋商截止时间前按时签到并参加磋商会。</w:t>
      </w:r>
    </w:p>
    <w:p>
      <w:pPr>
        <w:pStyle w:val="78"/>
        <w:spacing w:before="32" w:line="520" w:lineRule="exact"/>
        <w:ind w:left="108" w:right="92" w:firstLine="480"/>
        <w:jc w:val="both"/>
        <w:rPr>
          <w:sz w:val="28"/>
          <w:szCs w:val="28"/>
          <w:highlight w:val="none"/>
          <w:lang w:val="zh-CN"/>
        </w:rPr>
      </w:pPr>
      <w:r>
        <w:rPr>
          <w:rFonts w:cs="宋体"/>
          <w:b/>
          <w:bCs/>
          <w:sz w:val="28"/>
          <w:szCs w:val="28"/>
          <w:highlight w:val="none"/>
          <w:lang w:val="zh-CN"/>
        </w:rPr>
        <w:t>五、磋商时间和地点：</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1、磋商时间：</w:t>
      </w:r>
      <w:r>
        <w:rPr>
          <w:rFonts w:hint="eastAsia" w:cs="宋体"/>
          <w:sz w:val="28"/>
          <w:szCs w:val="28"/>
          <w:highlight w:val="none"/>
          <w:lang w:val="zh-CN"/>
        </w:rPr>
        <w:t>2021年2月9日</w:t>
      </w:r>
      <w:r>
        <w:rPr>
          <w:rFonts w:hint="eastAsia" w:cs="宋体"/>
          <w:sz w:val="28"/>
          <w:szCs w:val="28"/>
          <w:highlight w:val="none"/>
        </w:rPr>
        <w:t>9:30</w:t>
      </w:r>
      <w:r>
        <w:rPr>
          <w:rFonts w:cs="宋体"/>
          <w:sz w:val="28"/>
          <w:szCs w:val="28"/>
          <w:highlight w:val="none"/>
          <w:lang w:val="zh-CN"/>
        </w:rPr>
        <w:t>时</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2、磋商地点：枝江市仙女大道190号（枝江市公共资源交易中心5楼）</w:t>
      </w:r>
    </w:p>
    <w:p>
      <w:pPr>
        <w:pStyle w:val="78"/>
        <w:spacing w:before="32" w:line="520" w:lineRule="exact"/>
        <w:ind w:left="108" w:right="92" w:firstLine="480"/>
        <w:jc w:val="both"/>
        <w:rPr>
          <w:sz w:val="28"/>
          <w:szCs w:val="28"/>
          <w:highlight w:val="none"/>
          <w:lang w:val="zh-CN"/>
        </w:rPr>
      </w:pPr>
      <w:r>
        <w:rPr>
          <w:rFonts w:cs="宋体"/>
          <w:b/>
          <w:bCs/>
          <w:sz w:val="28"/>
          <w:szCs w:val="28"/>
          <w:highlight w:val="none"/>
          <w:lang w:val="zh-CN"/>
        </w:rPr>
        <w:t>六、联系方式：</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采 购 人：</w:t>
      </w:r>
      <w:r>
        <w:rPr>
          <w:rFonts w:hint="eastAsia" w:cs="宋体"/>
          <w:sz w:val="28"/>
          <w:szCs w:val="28"/>
          <w:highlight w:val="none"/>
          <w:lang w:val="zh-CN"/>
        </w:rPr>
        <w:t>枝江市金润源水务有限公司</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 xml:space="preserve">联 系 人：贾紫娟 </w:t>
      </w:r>
      <w:r>
        <w:rPr>
          <w:rFonts w:hint="eastAsia" w:cs="宋体"/>
          <w:sz w:val="28"/>
          <w:szCs w:val="28"/>
          <w:highlight w:val="none"/>
          <w:lang w:val="en-US" w:eastAsia="zh-CN"/>
        </w:rPr>
        <w:t xml:space="preserve">  </w:t>
      </w:r>
      <w:r>
        <w:rPr>
          <w:rFonts w:cs="宋体"/>
          <w:sz w:val="28"/>
          <w:szCs w:val="28"/>
          <w:highlight w:val="none"/>
          <w:lang w:val="zh-CN"/>
        </w:rPr>
        <w:t xml:space="preserve">电话：13617272228 </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采购代理机构：</w:t>
      </w:r>
      <w:r>
        <w:rPr>
          <w:rFonts w:hint="eastAsia" w:cs="宋体"/>
          <w:sz w:val="28"/>
          <w:szCs w:val="28"/>
          <w:highlight w:val="none"/>
          <w:lang w:val="zh-CN"/>
        </w:rPr>
        <w:t>枝江金润源企业管理咨询有限公司</w:t>
      </w:r>
    </w:p>
    <w:p>
      <w:pPr>
        <w:pStyle w:val="78"/>
        <w:spacing w:before="32" w:line="520" w:lineRule="exact"/>
        <w:ind w:left="108" w:right="92" w:firstLine="480"/>
        <w:jc w:val="both"/>
        <w:rPr>
          <w:rFonts w:hint="default" w:eastAsia="宋体"/>
          <w:sz w:val="28"/>
          <w:szCs w:val="28"/>
          <w:highlight w:val="none"/>
          <w:lang w:val="en-US" w:eastAsia="zh-CN"/>
        </w:rPr>
      </w:pPr>
      <w:r>
        <w:rPr>
          <w:rFonts w:cs="宋体"/>
          <w:sz w:val="28"/>
          <w:szCs w:val="28"/>
          <w:highlight w:val="none"/>
          <w:lang w:val="zh-CN"/>
        </w:rPr>
        <w:t>联 系 人：</w:t>
      </w:r>
      <w:r>
        <w:rPr>
          <w:rFonts w:hint="eastAsia" w:cs="宋体"/>
          <w:sz w:val="28"/>
          <w:szCs w:val="28"/>
          <w:highlight w:val="none"/>
          <w:lang w:val="zh-CN"/>
        </w:rPr>
        <w:t>尹来</w:t>
      </w:r>
      <w:r>
        <w:rPr>
          <w:rFonts w:hint="eastAsia" w:cs="宋体"/>
          <w:sz w:val="28"/>
          <w:szCs w:val="28"/>
          <w:highlight w:val="none"/>
          <w:lang w:val="en-US" w:eastAsia="zh-CN"/>
        </w:rPr>
        <w:t xml:space="preserve"> </w:t>
      </w:r>
      <w:r>
        <w:rPr>
          <w:rFonts w:cs="宋体"/>
          <w:sz w:val="28"/>
          <w:szCs w:val="28"/>
          <w:highlight w:val="none"/>
          <w:lang w:val="zh-CN"/>
        </w:rPr>
        <w:t xml:space="preserve"> </w:t>
      </w:r>
      <w:r>
        <w:rPr>
          <w:rFonts w:hint="eastAsia" w:cs="宋体"/>
          <w:sz w:val="28"/>
          <w:szCs w:val="28"/>
          <w:highlight w:val="none"/>
          <w:lang w:val="en-US" w:eastAsia="zh-CN"/>
        </w:rPr>
        <w:t xml:space="preserve"> </w:t>
      </w:r>
      <w:r>
        <w:rPr>
          <w:rFonts w:cs="宋体"/>
          <w:sz w:val="28"/>
          <w:szCs w:val="28"/>
          <w:highlight w:val="none"/>
          <w:lang w:val="zh-CN"/>
        </w:rPr>
        <w:t>电话：</w:t>
      </w:r>
      <w:r>
        <w:rPr>
          <w:rFonts w:hint="eastAsia" w:cs="宋体"/>
          <w:sz w:val="28"/>
          <w:szCs w:val="28"/>
          <w:highlight w:val="none"/>
          <w:lang w:val="en-US" w:eastAsia="zh-CN"/>
        </w:rPr>
        <w:t>18771783502</w:t>
      </w:r>
    </w:p>
    <w:p>
      <w:pPr>
        <w:pStyle w:val="78"/>
        <w:spacing w:before="32" w:line="520" w:lineRule="exact"/>
        <w:ind w:left="108" w:right="92" w:firstLine="480"/>
        <w:jc w:val="both"/>
        <w:rPr>
          <w:sz w:val="28"/>
          <w:szCs w:val="28"/>
          <w:highlight w:val="none"/>
          <w:lang w:val="zh-CN"/>
        </w:rPr>
      </w:pPr>
      <w:r>
        <w:rPr>
          <w:rFonts w:cs="宋体"/>
          <w:sz w:val="28"/>
          <w:szCs w:val="28"/>
          <w:highlight w:val="none"/>
          <w:lang w:val="zh-CN"/>
        </w:rPr>
        <w:t>注：本</w:t>
      </w:r>
      <w:r>
        <w:rPr>
          <w:rFonts w:hint="eastAsia" w:cs="宋体"/>
          <w:sz w:val="28"/>
          <w:szCs w:val="28"/>
          <w:highlight w:val="none"/>
          <w:lang w:val="zh-CN"/>
        </w:rPr>
        <w:t>竞争性磋商公告</w:t>
      </w:r>
      <w:r>
        <w:rPr>
          <w:rFonts w:cs="宋体"/>
          <w:sz w:val="28"/>
          <w:szCs w:val="28"/>
          <w:highlight w:val="none"/>
          <w:lang w:val="zh-CN"/>
        </w:rPr>
        <w:t>同时在</w:t>
      </w:r>
      <w:r>
        <w:rPr>
          <w:rFonts w:hint="eastAsia" w:cs="宋体"/>
          <w:sz w:val="28"/>
          <w:szCs w:val="28"/>
          <w:highlight w:val="none"/>
          <w:lang w:val="zh-CN"/>
        </w:rPr>
        <w:t>枝江市公共资源交易信息网、枝江金润源建设投资控股集团有限公司官网</w:t>
      </w:r>
      <w:r>
        <w:rPr>
          <w:rFonts w:cs="宋体"/>
          <w:sz w:val="28"/>
          <w:szCs w:val="28"/>
          <w:highlight w:val="none"/>
          <w:lang w:val="zh-CN"/>
        </w:rPr>
        <w:t>等媒体上同步发布。</w:t>
      </w:r>
    </w:p>
    <w:p>
      <w:pPr>
        <w:pStyle w:val="78"/>
        <w:spacing w:before="32" w:line="520" w:lineRule="exact"/>
        <w:ind w:left="108" w:right="92" w:firstLine="480"/>
        <w:jc w:val="right"/>
        <w:rPr>
          <w:sz w:val="28"/>
          <w:szCs w:val="28"/>
          <w:highlight w:val="none"/>
          <w:lang w:val="zh-CN"/>
        </w:rPr>
      </w:pPr>
      <w:r>
        <w:rPr>
          <w:rFonts w:hint="eastAsia" w:cs="宋体"/>
          <w:sz w:val="28"/>
          <w:szCs w:val="28"/>
          <w:highlight w:val="none"/>
          <w:lang w:val="zh-CN"/>
        </w:rPr>
        <w:t>2021年1月28日</w:t>
      </w:r>
    </w:p>
    <w:bookmarkEnd w:id="6"/>
    <w:p>
      <w:pPr>
        <w:widowControl/>
        <w:spacing w:line="520" w:lineRule="exact"/>
        <w:jc w:val="left"/>
        <w:rPr>
          <w:color w:val="000080"/>
          <w:sz w:val="20"/>
          <w:szCs w:val="36"/>
          <w:highlight w:val="none"/>
        </w:rPr>
      </w:pPr>
      <w:r>
        <w:rPr>
          <w:sz w:val="36"/>
          <w:szCs w:val="36"/>
          <w:highlight w:val="none"/>
        </w:rPr>
        <w:br w:type="page"/>
      </w:r>
      <w:bookmarkStart w:id="7" w:name="EB5d8d37567fa94dc3b2c7903e6e3f4fc5"/>
      <w:bookmarkEnd w:id="7"/>
      <w:bookmarkStart w:id="8" w:name="EBd5f22933d11544bca8e92efc63105b19"/>
      <w:bookmarkEnd w:id="8"/>
    </w:p>
    <w:p>
      <w:pPr>
        <w:pStyle w:val="5"/>
        <w:rPr>
          <w:highlight w:val="none"/>
        </w:rPr>
      </w:pPr>
      <w:bookmarkStart w:id="9" w:name="_Toc10360"/>
      <w:r>
        <w:rPr>
          <w:rFonts w:hint="eastAsia"/>
          <w:highlight w:val="none"/>
        </w:rPr>
        <w:t>第二章</w:t>
      </w:r>
      <w:bookmarkStart w:id="10" w:name="_Toc513029202"/>
      <w:bookmarkEnd w:id="10"/>
      <w:bookmarkStart w:id="11" w:name="_Toc120614213"/>
      <w:bookmarkEnd w:id="11"/>
      <w:bookmarkStart w:id="12" w:name="_Toc455227390"/>
      <w:bookmarkEnd w:id="12"/>
      <w:bookmarkStart w:id="13" w:name="_Toc20823274"/>
      <w:bookmarkEnd w:id="13"/>
      <w:bookmarkStart w:id="14" w:name="_Toc16938518"/>
      <w:bookmarkEnd w:id="14"/>
      <w:r>
        <w:rPr>
          <w:rFonts w:hint="eastAsia"/>
          <w:highlight w:val="none"/>
        </w:rPr>
        <w:t>供应商须知</w:t>
      </w:r>
      <w:bookmarkEnd w:id="4"/>
      <w:bookmarkEnd w:id="9"/>
    </w:p>
    <w:p>
      <w:pPr>
        <w:pStyle w:val="6"/>
        <w:rPr>
          <w:highlight w:val="none"/>
        </w:rPr>
      </w:pPr>
      <w:bookmarkStart w:id="15" w:name="_Toc9553"/>
      <w:r>
        <w:rPr>
          <w:rFonts w:hint="eastAsia"/>
          <w:highlight w:val="none"/>
        </w:rPr>
        <w:t>供应商须知前附表</w:t>
      </w:r>
      <w:bookmarkEnd w:id="15"/>
    </w:p>
    <w:p>
      <w:pPr>
        <w:adjustRightInd w:val="0"/>
        <w:snapToGrid w:val="0"/>
        <w:spacing w:beforeLines="50" w:line="360" w:lineRule="auto"/>
        <w:ind w:right="31" w:rightChars="15" w:firstLine="422" w:firstLineChars="200"/>
        <w:rPr>
          <w:szCs w:val="21"/>
          <w:highlight w:val="none"/>
        </w:rPr>
      </w:pPr>
      <w:r>
        <w:rPr>
          <w:rFonts w:hint="eastAsia" w:ascii="宋体" w:hAnsi="宋体"/>
          <w:b/>
          <w:szCs w:val="21"/>
          <w:highlight w:val="none"/>
        </w:rPr>
        <w:t>注： 请在方框□内划√选择。</w:t>
      </w:r>
    </w:p>
    <w:tbl>
      <w:tblPr>
        <w:tblStyle w:val="29"/>
        <w:tblW w:w="909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2693"/>
        <w:gridCol w:w="54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blHeader/>
        </w:trPr>
        <w:tc>
          <w:tcPr>
            <w:tcW w:w="993" w:type="dxa"/>
            <w:vAlign w:val="center"/>
          </w:tcPr>
          <w:p>
            <w:pPr>
              <w:adjustRightInd w:val="0"/>
              <w:snapToGrid w:val="0"/>
              <w:spacing w:beforeLines="50" w:line="360" w:lineRule="auto"/>
              <w:jc w:val="center"/>
              <w:rPr>
                <w:rFonts w:ascii="宋体" w:hAnsi="宋体"/>
                <w:b/>
                <w:sz w:val="28"/>
                <w:szCs w:val="28"/>
                <w:highlight w:val="none"/>
              </w:rPr>
            </w:pPr>
            <w:r>
              <w:rPr>
                <w:rFonts w:hint="eastAsia" w:ascii="宋体" w:hAnsi="宋体"/>
                <w:b/>
                <w:sz w:val="28"/>
                <w:szCs w:val="28"/>
                <w:highlight w:val="none"/>
              </w:rPr>
              <w:t>序列号</w:t>
            </w:r>
          </w:p>
        </w:tc>
        <w:tc>
          <w:tcPr>
            <w:tcW w:w="2693" w:type="dxa"/>
            <w:vAlign w:val="center"/>
          </w:tcPr>
          <w:p>
            <w:pPr>
              <w:adjustRightInd w:val="0"/>
              <w:snapToGrid w:val="0"/>
              <w:spacing w:beforeLines="50" w:line="360" w:lineRule="auto"/>
              <w:jc w:val="center"/>
              <w:rPr>
                <w:rFonts w:ascii="宋体" w:hAnsi="宋体"/>
                <w:b/>
                <w:sz w:val="28"/>
                <w:szCs w:val="28"/>
                <w:highlight w:val="none"/>
              </w:rPr>
            </w:pPr>
            <w:r>
              <w:rPr>
                <w:rFonts w:hint="eastAsia" w:ascii="宋体" w:hAnsi="宋体"/>
                <w:b/>
                <w:sz w:val="28"/>
                <w:szCs w:val="28"/>
                <w:highlight w:val="none"/>
              </w:rPr>
              <w:t>条款名称</w:t>
            </w:r>
          </w:p>
        </w:tc>
        <w:tc>
          <w:tcPr>
            <w:tcW w:w="5410" w:type="dxa"/>
            <w:vAlign w:val="center"/>
          </w:tcPr>
          <w:p>
            <w:pPr>
              <w:adjustRightInd w:val="0"/>
              <w:snapToGrid w:val="0"/>
              <w:spacing w:beforeLines="50" w:line="360" w:lineRule="auto"/>
              <w:rPr>
                <w:rFonts w:ascii="宋体" w:hAnsi="宋体"/>
                <w:b/>
                <w:sz w:val="28"/>
                <w:szCs w:val="28"/>
                <w:highlight w:val="none"/>
              </w:rPr>
            </w:pPr>
            <w:r>
              <w:rPr>
                <w:rFonts w:hint="eastAsia" w:ascii="宋体" w:hAnsi="宋体"/>
                <w:b/>
                <w:sz w:val="28"/>
                <w:szCs w:val="28"/>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1</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项目名称</w:t>
            </w:r>
          </w:p>
        </w:tc>
        <w:tc>
          <w:tcPr>
            <w:tcW w:w="5410" w:type="dxa"/>
            <w:vAlign w:val="center"/>
          </w:tcPr>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lang w:eastAsia="zh-CN"/>
              </w:rPr>
              <w:t>金润源水务公司2021年2月15000万元融资租赁项目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93"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2</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采购人</w:t>
            </w:r>
          </w:p>
        </w:tc>
        <w:tc>
          <w:tcPr>
            <w:tcW w:w="5410" w:type="dxa"/>
            <w:vAlign w:val="center"/>
          </w:tcPr>
          <w:p>
            <w:pPr>
              <w:adjustRightInd w:val="0"/>
              <w:snapToGrid w:val="0"/>
              <w:spacing w:beforeLines="50" w:line="360" w:lineRule="auto"/>
              <w:rPr>
                <w:rFonts w:hint="eastAsia" w:ascii="宋体" w:hAnsi="宋体" w:eastAsia="宋体"/>
                <w:color w:val="auto"/>
                <w:sz w:val="28"/>
                <w:szCs w:val="28"/>
                <w:highlight w:val="none"/>
                <w:u w:val="single"/>
                <w:lang w:eastAsia="zh-CN"/>
              </w:rPr>
            </w:pPr>
            <w:r>
              <w:rPr>
                <w:rFonts w:hint="eastAsia" w:ascii="宋体" w:hAnsi="宋体"/>
                <w:color w:val="auto"/>
                <w:sz w:val="28"/>
                <w:szCs w:val="28"/>
                <w:highlight w:val="none"/>
              </w:rPr>
              <w:t>名称：</w:t>
            </w:r>
            <w:r>
              <w:rPr>
                <w:rFonts w:hint="eastAsia" w:ascii="宋体" w:hAnsi="宋体"/>
                <w:color w:val="auto"/>
                <w:sz w:val="28"/>
                <w:szCs w:val="28"/>
                <w:highlight w:val="none"/>
                <w:lang w:eastAsia="zh-CN"/>
              </w:rPr>
              <w:t>枝江市金润源水务有限公司</w:t>
            </w:r>
          </w:p>
          <w:p>
            <w:pPr>
              <w:adjustRightInd w:val="0"/>
              <w:snapToGrid w:val="0"/>
              <w:spacing w:beforeLines="50" w:line="360" w:lineRule="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地址：</w:t>
            </w:r>
            <w:r>
              <w:rPr>
                <w:rFonts w:hint="eastAsia" w:ascii="宋体" w:hAnsi="宋体"/>
                <w:color w:val="auto"/>
                <w:sz w:val="28"/>
                <w:szCs w:val="28"/>
                <w:highlight w:val="none"/>
                <w:lang w:eastAsia="zh-CN"/>
              </w:rPr>
              <w:t>枝江市沿江大道</w:t>
            </w:r>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电话：</w:t>
            </w:r>
            <w:bookmarkStart w:id="16" w:name="EB07f4c302fae647f98bf33af4ca318e19"/>
            <w:r>
              <w:rPr>
                <w:rFonts w:hint="eastAsia" w:ascii="宋体" w:hAnsi="宋体"/>
                <w:color w:val="auto"/>
                <w:sz w:val="28"/>
                <w:szCs w:val="28"/>
                <w:highlight w:val="none"/>
              </w:rPr>
              <w:t>13617272228</w:t>
            </w:r>
            <w:bookmarkEnd w:id="16"/>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联系人：</w:t>
            </w:r>
            <w:bookmarkStart w:id="17" w:name="EB08fe7522f5414c47814c857df03b3a85"/>
            <w:r>
              <w:rPr>
                <w:rFonts w:hint="eastAsia" w:ascii="宋体" w:hAnsi="宋体"/>
                <w:color w:val="auto"/>
                <w:sz w:val="28"/>
                <w:szCs w:val="28"/>
                <w:highlight w:val="none"/>
              </w:rPr>
              <w:t>贾紫娟</w:t>
            </w:r>
            <w:bookmarkEnd w:id="17"/>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27"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3</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采购代理机构</w:t>
            </w:r>
          </w:p>
        </w:tc>
        <w:tc>
          <w:tcPr>
            <w:tcW w:w="5410" w:type="dxa"/>
            <w:vAlign w:val="center"/>
          </w:tcPr>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名称：</w:t>
            </w:r>
            <w:r>
              <w:rPr>
                <w:rFonts w:hint="eastAsia" w:ascii="宋体" w:hAnsi="宋体"/>
                <w:color w:val="auto"/>
                <w:sz w:val="28"/>
                <w:szCs w:val="28"/>
                <w:highlight w:val="none"/>
                <w:lang w:eastAsia="zh-CN"/>
              </w:rPr>
              <w:t>枝江金润源企业管理咨询有限公司</w:t>
            </w:r>
          </w:p>
          <w:p>
            <w:pPr>
              <w:adjustRightInd w:val="0"/>
              <w:snapToGrid w:val="0"/>
              <w:spacing w:beforeLines="50" w:line="360" w:lineRule="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地址：</w:t>
            </w:r>
            <w:r>
              <w:rPr>
                <w:rFonts w:hint="eastAsia" w:ascii="宋体" w:hAnsi="宋体"/>
                <w:color w:val="auto"/>
                <w:sz w:val="28"/>
                <w:szCs w:val="28"/>
                <w:highlight w:val="none"/>
                <w:lang w:eastAsia="zh-CN"/>
              </w:rPr>
              <w:t>枝江市友谊大道19号</w:t>
            </w:r>
          </w:p>
          <w:p>
            <w:pPr>
              <w:adjustRightInd w:val="0"/>
              <w:snapToGrid w:val="0"/>
              <w:spacing w:beforeLines="50" w:line="360" w:lineRule="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电话：</w:t>
            </w:r>
            <w:r>
              <w:rPr>
                <w:rFonts w:hint="eastAsia" w:ascii="宋体" w:hAnsi="宋体"/>
                <w:color w:val="auto"/>
                <w:sz w:val="28"/>
                <w:szCs w:val="28"/>
                <w:highlight w:val="none"/>
                <w:lang w:eastAsia="zh-CN"/>
              </w:rPr>
              <w:t>18771783502</w:t>
            </w:r>
          </w:p>
          <w:p>
            <w:pPr>
              <w:adjustRightInd w:val="0"/>
              <w:snapToGrid w:val="0"/>
              <w:spacing w:beforeLines="50" w:line="360" w:lineRule="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eastAsia="zh-CN"/>
              </w:rPr>
              <w:t>尹来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4"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4</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监管部门</w:t>
            </w:r>
          </w:p>
        </w:tc>
        <w:tc>
          <w:tcPr>
            <w:tcW w:w="5410" w:type="dxa"/>
            <w:vAlign w:val="center"/>
          </w:tcPr>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名称：</w:t>
            </w:r>
            <w:r>
              <w:rPr>
                <w:rFonts w:ascii="宋体" w:hAnsi="宋体"/>
                <w:sz w:val="28"/>
                <w:szCs w:val="28"/>
                <w:highlight w:val="none"/>
              </w:rPr>
              <w:t xml:space="preserve"> </w:t>
            </w:r>
            <w:r>
              <w:rPr>
                <w:rFonts w:hint="eastAsia" w:ascii="宋体" w:hAnsi="宋体"/>
                <w:sz w:val="28"/>
                <w:szCs w:val="28"/>
                <w:highlight w:val="none"/>
              </w:rPr>
              <w:t>枝江市国有资产监督管理局</w:t>
            </w:r>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地址：</w:t>
            </w:r>
            <w:r>
              <w:rPr>
                <w:rFonts w:ascii="宋体" w:hAnsi="宋体"/>
                <w:sz w:val="28"/>
                <w:szCs w:val="28"/>
                <w:highlight w:val="none"/>
              </w:rPr>
              <w:t xml:space="preserve"> </w:t>
            </w:r>
            <w:r>
              <w:rPr>
                <w:rFonts w:hint="eastAsia" w:ascii="宋体" w:hAnsi="宋体"/>
                <w:sz w:val="28"/>
                <w:szCs w:val="28"/>
                <w:highlight w:val="none"/>
              </w:rPr>
              <w:t>0717-4227694</w:t>
            </w:r>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电话：枝江市胜利路23号</w:t>
            </w:r>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名称：</w:t>
            </w:r>
            <w:bookmarkStart w:id="18" w:name="EB9fca0cebefc3495d84baa2c7db890dc4"/>
            <w:r>
              <w:rPr>
                <w:rFonts w:hint="eastAsia" w:ascii="宋体" w:hAnsi="宋体"/>
                <w:sz w:val="28"/>
                <w:szCs w:val="28"/>
                <w:highlight w:val="none"/>
              </w:rPr>
              <w:t>枝江市公共资源交易监督管理局</w:t>
            </w:r>
            <w:bookmarkEnd w:id="18"/>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地址：</w:t>
            </w:r>
            <w:bookmarkStart w:id="19" w:name="EBdc6ecd74fc784bc3be1c8efc7f7645f9"/>
            <w:r>
              <w:rPr>
                <w:rFonts w:hint="eastAsia" w:ascii="宋体" w:hAnsi="宋体"/>
                <w:sz w:val="28"/>
                <w:szCs w:val="28"/>
                <w:highlight w:val="none"/>
              </w:rPr>
              <w:t>枝江市仙女大道190号</w:t>
            </w:r>
            <w:bookmarkEnd w:id="19"/>
          </w:p>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rPr>
              <w:t>电话：</w:t>
            </w:r>
            <w:bookmarkStart w:id="20" w:name="EBa2a2cf1e64024d788e0721613ffac3b9"/>
            <w:r>
              <w:rPr>
                <w:rFonts w:hint="eastAsia" w:ascii="宋体" w:hAnsi="宋体"/>
                <w:sz w:val="28"/>
                <w:szCs w:val="28"/>
                <w:highlight w:val="none"/>
              </w:rPr>
              <w:t>0717-4519705</w:t>
            </w:r>
            <w:bookmarkEnd w:id="20"/>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87" w:hRule="atLeast"/>
        </w:trPr>
        <w:tc>
          <w:tcPr>
            <w:tcW w:w="9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5</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bCs/>
                <w:sz w:val="28"/>
                <w:szCs w:val="28"/>
                <w:highlight w:val="none"/>
              </w:rPr>
              <w:t>供应商</w:t>
            </w:r>
            <w:r>
              <w:rPr>
                <w:rFonts w:hint="eastAsia" w:ascii="宋体" w:hAnsi="宋体"/>
                <w:sz w:val="28"/>
                <w:szCs w:val="28"/>
                <w:highlight w:val="none"/>
              </w:rPr>
              <w:t>资格条件</w:t>
            </w:r>
          </w:p>
        </w:tc>
        <w:tc>
          <w:tcPr>
            <w:tcW w:w="5410" w:type="dxa"/>
            <w:vAlign w:val="center"/>
          </w:tcPr>
          <w:p>
            <w:pPr>
              <w:adjustRightInd w:val="0"/>
              <w:snapToGrid w:val="0"/>
              <w:spacing w:beforeLines="50" w:line="360" w:lineRule="auto"/>
              <w:rPr>
                <w:rFonts w:ascii="宋体" w:hAnsi="宋体"/>
                <w:sz w:val="28"/>
                <w:szCs w:val="28"/>
                <w:highlight w:val="none"/>
              </w:rPr>
            </w:pPr>
            <w:r>
              <w:rPr>
                <w:rFonts w:hint="eastAsia" w:ascii="宋体" w:hAnsi="宋体"/>
                <w:sz w:val="28"/>
                <w:szCs w:val="28"/>
                <w:highlight w:val="none"/>
                <w:lang w:val="zh-CN"/>
              </w:rPr>
              <w:t>1、供应商应具有独立承担民事责任的能力；</w:t>
            </w:r>
          </w:p>
          <w:p>
            <w:pPr>
              <w:pStyle w:val="26"/>
              <w:wordWrap w:val="0"/>
              <w:spacing w:before="156" w:beforeAutospacing="0" w:after="0" w:afterAutospacing="0" w:line="500" w:lineRule="exact"/>
              <w:jc w:val="both"/>
              <w:rPr>
                <w:rFonts w:cs="宋体"/>
                <w:color w:val="333333"/>
                <w:sz w:val="28"/>
                <w:szCs w:val="28"/>
                <w:highlight w:val="none"/>
              </w:rPr>
            </w:pPr>
            <w:r>
              <w:rPr>
                <w:rFonts w:hint="eastAsia" w:cs="宋体"/>
                <w:color w:val="333333"/>
                <w:sz w:val="28"/>
                <w:szCs w:val="28"/>
                <w:highlight w:val="none"/>
              </w:rPr>
              <w:t>2、响应文件递交截止时间当天，“信用中国”网站(www.creditchina.gov.cn)、中国政府采购网(www.ccgp.gov.cn)查询，供应商未被列入信用记录失信被执行人、重大税收违法案件当事人名单、政府采购严重违法失信行为记录名单；</w:t>
            </w:r>
          </w:p>
          <w:p>
            <w:pPr>
              <w:pStyle w:val="26"/>
              <w:spacing w:before="156" w:beforeAutospacing="0" w:after="0" w:afterAutospacing="0" w:line="500" w:lineRule="exact"/>
              <w:jc w:val="both"/>
              <w:rPr>
                <w:rFonts w:cs="宋体"/>
                <w:color w:val="333333"/>
                <w:sz w:val="28"/>
                <w:szCs w:val="28"/>
                <w:highlight w:val="none"/>
              </w:rPr>
            </w:pPr>
            <w:r>
              <w:rPr>
                <w:rFonts w:hint="eastAsia" w:cs="宋体"/>
                <w:color w:val="333333"/>
                <w:sz w:val="28"/>
                <w:szCs w:val="28"/>
                <w:highlight w:val="none"/>
              </w:rPr>
              <w:t>3、为本项目提供整体设计、规范编制或者项目管理、监理、检测等服务的供应商，不得再参加该本项目的其他采购活动；</w:t>
            </w:r>
          </w:p>
          <w:p>
            <w:pPr>
              <w:pStyle w:val="78"/>
              <w:spacing w:before="32" w:line="520" w:lineRule="atLeast"/>
              <w:ind w:right="80"/>
              <w:jc w:val="both"/>
              <w:rPr>
                <w:sz w:val="28"/>
                <w:szCs w:val="28"/>
                <w:highlight w:val="none"/>
                <w:lang w:val="zh-CN"/>
              </w:rPr>
            </w:pPr>
            <w:r>
              <w:rPr>
                <w:rFonts w:hint="eastAsia" w:cs="宋体"/>
                <w:color w:val="333333"/>
                <w:sz w:val="28"/>
                <w:szCs w:val="28"/>
                <w:highlight w:val="none"/>
              </w:rPr>
              <w:t>4、</w:t>
            </w:r>
            <w:r>
              <w:rPr>
                <w:rFonts w:cs="宋体"/>
                <w:sz w:val="28"/>
                <w:szCs w:val="28"/>
                <w:highlight w:val="none"/>
                <w:lang w:val="zh-CN"/>
              </w:rPr>
              <w:t>具有独立的法人资格，具备</w:t>
            </w:r>
            <w:r>
              <w:rPr>
                <w:rFonts w:hint="eastAsia" w:cs="宋体"/>
                <w:sz w:val="28"/>
                <w:szCs w:val="28"/>
                <w:highlight w:val="none"/>
                <w:lang w:val="zh-CN"/>
              </w:rPr>
              <w:t>合法有效的</w:t>
            </w:r>
            <w:r>
              <w:rPr>
                <w:rFonts w:cs="宋体"/>
                <w:sz w:val="28"/>
                <w:szCs w:val="28"/>
                <w:highlight w:val="none"/>
                <w:lang w:val="zh-CN"/>
              </w:rPr>
              <w:t>营业执照</w:t>
            </w:r>
            <w:r>
              <w:rPr>
                <w:rFonts w:hint="eastAsia" w:cs="宋体"/>
                <w:sz w:val="28"/>
                <w:szCs w:val="28"/>
                <w:highlight w:val="none"/>
                <w:lang w:val="zh-CN"/>
              </w:rPr>
              <w:t>，具备</w:t>
            </w:r>
            <w:r>
              <w:rPr>
                <w:rFonts w:cs="宋体"/>
                <w:sz w:val="28"/>
                <w:szCs w:val="28"/>
                <w:highlight w:val="none"/>
                <w:lang w:val="zh-CN"/>
              </w:rPr>
              <w:t>良好的商业信誉和健全的财务制度；</w:t>
            </w:r>
          </w:p>
          <w:p>
            <w:pPr>
              <w:pStyle w:val="78"/>
              <w:spacing w:before="32" w:line="520" w:lineRule="atLeast"/>
              <w:ind w:right="80"/>
              <w:jc w:val="both"/>
              <w:rPr>
                <w:sz w:val="28"/>
                <w:szCs w:val="28"/>
                <w:highlight w:val="none"/>
                <w:lang w:val="zh-CN"/>
              </w:rPr>
            </w:pPr>
            <w:r>
              <w:rPr>
                <w:rFonts w:hint="eastAsia" w:cs="宋体"/>
                <w:sz w:val="28"/>
                <w:szCs w:val="28"/>
                <w:highlight w:val="none"/>
              </w:rPr>
              <w:t>5</w:t>
            </w:r>
            <w:r>
              <w:rPr>
                <w:rFonts w:cs="宋体"/>
                <w:sz w:val="28"/>
                <w:szCs w:val="28"/>
                <w:highlight w:val="none"/>
                <w:lang w:val="zh-CN"/>
              </w:rPr>
              <w:t>、本项目接收联合体投标（联合体成员不超过3家），其中至少有一个成员具有金融许可证或有效备案证明文件。若供应商是联合体投标的，须提供双方签字盖章后的联合体协议。</w:t>
            </w:r>
          </w:p>
          <w:p>
            <w:pPr>
              <w:pStyle w:val="77"/>
              <w:spacing w:line="360" w:lineRule="auto"/>
              <w:ind w:firstLine="562" w:firstLineChars="200"/>
              <w:rPr>
                <w:rFonts w:cs="宋体"/>
                <w:color w:val="0000FF"/>
                <w:sz w:val="28"/>
                <w:szCs w:val="28"/>
                <w:highlight w:val="none"/>
              </w:rPr>
            </w:pPr>
            <w:r>
              <w:rPr>
                <w:rFonts w:cs="宋体"/>
                <w:b/>
                <w:bCs/>
                <w:sz w:val="28"/>
                <w:szCs w:val="28"/>
                <w:highlight w:val="none"/>
                <w:lang w:val="zh-CN"/>
              </w:rPr>
              <w:t xml:space="preserve">只有符合以上所有标准的供应商才能通过资格审查。 </w:t>
            </w:r>
            <w:r>
              <w:rPr>
                <w:rFonts w:hint="eastAsia" w:ascii="宋体" w:hAnsi="宋体" w:cs="宋体"/>
                <w:kern w:val="0"/>
                <w:sz w:val="28"/>
                <w:szCs w:val="28"/>
                <w:highlight w:val="none"/>
                <w:lang w:val="zh-CN"/>
              </w:rPr>
              <w:t>供应商在制作投标文件时，应对照上述资格审查要求在响应文件中提供相应证明材料的原件复印件并加盖公章（复印件需清晰可见），否则评委和采购人将不予采信。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6</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备选方案</w:t>
            </w:r>
          </w:p>
        </w:tc>
        <w:tc>
          <w:tcPr>
            <w:tcW w:w="5410" w:type="dxa"/>
            <w:vAlign w:val="center"/>
          </w:tcPr>
          <w:p>
            <w:pPr>
              <w:adjustRightInd w:val="0"/>
              <w:snapToGrid w:val="0"/>
              <w:spacing w:beforeLines="50"/>
              <w:rPr>
                <w:rFonts w:ascii="宋体" w:hAnsi="宋体"/>
                <w:color w:val="auto"/>
                <w:sz w:val="28"/>
                <w:szCs w:val="28"/>
                <w:highlight w:val="none"/>
              </w:rPr>
            </w:pPr>
            <w:bookmarkStart w:id="21" w:name="EBa5a983d3a3ae40a0861337bd82d7acae"/>
            <w:r>
              <w:rPr>
                <w:rFonts w:hint="eastAsia" w:ascii="宋体" w:hAnsi="宋体"/>
                <w:color w:val="auto"/>
                <w:sz w:val="28"/>
                <w:szCs w:val="28"/>
                <w:highlight w:val="none"/>
              </w:rPr>
              <w:t xml:space="preserve">□接受 </w:t>
            </w:r>
          </w:p>
          <w:p>
            <w:pPr>
              <w:adjustRightInd w:val="0"/>
              <w:snapToGrid w:val="0"/>
              <w:spacing w:beforeLines="50"/>
              <w:rPr>
                <w:rFonts w:ascii="宋体" w:hAnsi="宋体"/>
                <w:color w:val="auto"/>
                <w:sz w:val="28"/>
                <w:szCs w:val="28"/>
                <w:highlight w:val="none"/>
              </w:rPr>
            </w:pPr>
            <w:r>
              <w:rPr>
                <w:rFonts w:hint="eastAsia" w:ascii="宋体" w:hAnsi="宋体"/>
                <w:color w:val="auto"/>
                <w:sz w:val="28"/>
                <w:szCs w:val="28"/>
                <w:highlight w:val="none"/>
              </w:rPr>
              <w:t>☑不接受</w:t>
            </w:r>
            <w:bookmarkEnd w:id="21"/>
          </w:p>
          <w:p>
            <w:pPr>
              <w:adjustRightInd w:val="0"/>
              <w:snapToGrid w:val="0"/>
              <w:spacing w:beforeLines="50" w:line="360" w:lineRule="auto"/>
              <w:rPr>
                <w:rFonts w:ascii="宋体" w:hAnsi="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7</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样品提供的规定</w:t>
            </w:r>
          </w:p>
        </w:tc>
        <w:tc>
          <w:tcPr>
            <w:tcW w:w="5410" w:type="dxa"/>
            <w:vAlign w:val="center"/>
          </w:tcPr>
          <w:p>
            <w:pPr>
              <w:adjustRightInd w:val="0"/>
              <w:snapToGrid w:val="0"/>
              <w:spacing w:beforeLines="50"/>
              <w:rPr>
                <w:rFonts w:ascii="宋体" w:hAnsi="宋体"/>
                <w:color w:val="auto"/>
                <w:sz w:val="28"/>
                <w:szCs w:val="28"/>
                <w:highlight w:val="none"/>
              </w:rPr>
            </w:pPr>
            <w:bookmarkStart w:id="22" w:name="EB052ff2855a064824938d685264137d26"/>
            <w:r>
              <w:rPr>
                <w:rFonts w:hint="eastAsia" w:ascii="宋体" w:hAnsi="宋体"/>
                <w:color w:val="auto"/>
                <w:sz w:val="28"/>
                <w:szCs w:val="28"/>
                <w:highlight w:val="none"/>
              </w:rPr>
              <w:t xml:space="preserve">□要求提供 </w:t>
            </w:r>
          </w:p>
          <w:p>
            <w:pPr>
              <w:adjustRightInd w:val="0"/>
              <w:snapToGrid w:val="0"/>
              <w:spacing w:beforeLines="50"/>
              <w:rPr>
                <w:rFonts w:ascii="宋体" w:hAnsi="宋体"/>
                <w:color w:val="auto"/>
                <w:sz w:val="28"/>
                <w:szCs w:val="28"/>
                <w:highlight w:val="none"/>
              </w:rPr>
            </w:pPr>
            <w:r>
              <w:rPr>
                <w:rFonts w:hint="eastAsia" w:ascii="宋体" w:hAnsi="宋体"/>
                <w:color w:val="auto"/>
                <w:sz w:val="28"/>
                <w:szCs w:val="28"/>
                <w:highlight w:val="none"/>
              </w:rPr>
              <w:t>☑不要求提供</w:t>
            </w:r>
            <w:bookmarkEnd w:id="22"/>
          </w:p>
          <w:p>
            <w:pPr>
              <w:adjustRightInd w:val="0"/>
              <w:snapToGrid w:val="0"/>
              <w:spacing w:beforeLines="50" w:line="360" w:lineRule="auto"/>
              <w:rPr>
                <w:rFonts w:ascii="宋体" w:hAnsi="宋体"/>
                <w:color w:val="auto"/>
                <w:sz w:val="28"/>
                <w:szCs w:val="28"/>
                <w:highlight w:val="none"/>
              </w:rPr>
            </w:pPr>
          </w:p>
          <w:p>
            <w:pPr>
              <w:adjustRightInd w:val="0"/>
              <w:snapToGrid w:val="0"/>
              <w:spacing w:beforeLines="50"/>
              <w:ind w:left="140" w:hanging="140" w:hangingChars="50"/>
              <w:rPr>
                <w:rFonts w:ascii="宋体" w:hAnsi="宋体"/>
                <w:color w:val="auto"/>
                <w:sz w:val="28"/>
                <w:szCs w:val="28"/>
                <w:highlight w:val="none"/>
              </w:rPr>
            </w:pPr>
            <w:r>
              <w:rPr>
                <w:rFonts w:hint="eastAsia" w:ascii="宋体" w:hAnsi="宋体"/>
                <w:color w:val="auto"/>
                <w:sz w:val="28"/>
                <w:szCs w:val="28"/>
                <w:highlight w:val="none"/>
              </w:rPr>
              <w:t>提交的时间：</w:t>
            </w:r>
            <w:bookmarkStart w:id="23" w:name="EBa0d3e42ff07f425a8dfce3c1eaa3a16a"/>
            <w:bookmarkEnd w:id="23"/>
          </w:p>
          <w:p>
            <w:pPr>
              <w:adjustRightInd w:val="0"/>
              <w:snapToGrid w:val="0"/>
              <w:spacing w:beforeLines="50"/>
              <w:rPr>
                <w:rFonts w:ascii="宋体" w:hAnsi="宋体"/>
                <w:color w:val="auto"/>
                <w:sz w:val="28"/>
                <w:szCs w:val="28"/>
                <w:highlight w:val="none"/>
              </w:rPr>
            </w:pPr>
            <w:r>
              <w:rPr>
                <w:rFonts w:hint="eastAsia" w:ascii="宋体" w:hAnsi="宋体"/>
                <w:color w:val="auto"/>
                <w:sz w:val="28"/>
                <w:szCs w:val="28"/>
                <w:highlight w:val="none"/>
              </w:rPr>
              <w:t>地点：</w:t>
            </w:r>
            <w:bookmarkStart w:id="24" w:name="EBe2d0ad1f9cd74741bcef3132a9f01502"/>
            <w:bookmarkEnd w:id="24"/>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8</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信息公告媒体</w:t>
            </w:r>
          </w:p>
        </w:tc>
        <w:tc>
          <w:tcPr>
            <w:tcW w:w="5410" w:type="dxa"/>
            <w:vAlign w:val="center"/>
          </w:tcPr>
          <w:p>
            <w:pPr>
              <w:adjustRightInd w:val="0"/>
              <w:snapToGrid w:val="0"/>
              <w:spacing w:beforeLines="50" w:line="360" w:lineRule="auto"/>
              <w:rPr>
                <w:rFonts w:hint="eastAsia" w:ascii="宋体" w:hAnsi="宋体" w:eastAsia="宋体"/>
                <w:sz w:val="28"/>
                <w:szCs w:val="28"/>
                <w:highlight w:val="none"/>
                <w:lang w:eastAsia="zh-CN"/>
              </w:rPr>
            </w:pPr>
            <w:bookmarkStart w:id="25" w:name="EBbe6c2d6c77544472a2f1fdc80fe6e53d"/>
            <w:bookmarkEnd w:id="25"/>
            <w:r>
              <w:rPr>
                <w:rFonts w:hint="eastAsia" w:ascii="宋体" w:hAnsi="宋体"/>
                <w:sz w:val="28"/>
                <w:szCs w:val="28"/>
                <w:highlight w:val="none"/>
                <w:lang w:eastAsia="zh-CN"/>
              </w:rPr>
              <w:t>枝江市公共资源交易信息网、枝江金润源建设投资控股集团有限公司官网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9</w:t>
            </w:r>
          </w:p>
        </w:tc>
        <w:tc>
          <w:tcPr>
            <w:tcW w:w="2693" w:type="dxa"/>
            <w:vAlign w:val="center"/>
          </w:tcPr>
          <w:p>
            <w:pPr>
              <w:adjustRightInd w:val="0"/>
              <w:snapToGrid w:val="0"/>
              <w:spacing w:beforeLines="50" w:line="360" w:lineRule="auto"/>
              <w:jc w:val="center"/>
              <w:rPr>
                <w:rFonts w:ascii="宋体" w:hAnsi="宋体"/>
                <w:sz w:val="28"/>
                <w:szCs w:val="28"/>
                <w:highlight w:val="none"/>
              </w:rPr>
            </w:pPr>
            <w:r>
              <w:rPr>
                <w:rFonts w:hint="eastAsia" w:ascii="宋体" w:hAnsi="宋体"/>
                <w:sz w:val="28"/>
                <w:szCs w:val="28"/>
                <w:highlight w:val="none"/>
              </w:rPr>
              <w:t>响应文件递交截止时间</w:t>
            </w:r>
          </w:p>
        </w:tc>
        <w:tc>
          <w:tcPr>
            <w:tcW w:w="5410" w:type="dxa"/>
            <w:vAlign w:val="center"/>
          </w:tcPr>
          <w:p>
            <w:pPr>
              <w:adjustRightInd w:val="0"/>
              <w:snapToGrid w:val="0"/>
              <w:spacing w:beforeLines="50" w:line="360" w:lineRule="auto"/>
              <w:rPr>
                <w:rFonts w:ascii="宋体" w:hAnsi="宋体"/>
                <w:sz w:val="28"/>
                <w:szCs w:val="28"/>
                <w:highlight w:val="none"/>
              </w:rPr>
            </w:pPr>
            <w:bookmarkStart w:id="26" w:name="EBdf9d9d189e874b059cb40b8f10259e00"/>
            <w:bookmarkEnd w:id="26"/>
            <w:r>
              <w:rPr>
                <w:rFonts w:hint="eastAsia" w:ascii="宋体" w:hAnsi="宋体"/>
                <w:sz w:val="28"/>
                <w:szCs w:val="28"/>
                <w:highlight w:val="none"/>
              </w:rPr>
              <w:t>（北京时间）</w:t>
            </w:r>
            <w:r>
              <w:rPr>
                <w:rFonts w:hint="eastAsia" w:ascii="宋体" w:hAnsi="宋体"/>
                <w:sz w:val="28"/>
                <w:szCs w:val="28"/>
                <w:highlight w:val="none"/>
                <w:lang w:eastAsia="zh-CN"/>
              </w:rPr>
              <w:t>2021年2月9日</w:t>
            </w:r>
            <w:r>
              <w:rPr>
                <w:rFonts w:hint="eastAsia" w:ascii="宋体" w:hAnsi="宋体"/>
                <w:sz w:val="28"/>
                <w:szCs w:val="28"/>
                <w:highlight w:val="none"/>
              </w:rPr>
              <w:t>9：30时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80" w:hRule="atLeast"/>
        </w:trPr>
        <w:tc>
          <w:tcPr>
            <w:tcW w:w="993" w:type="dxa"/>
            <w:vAlign w:val="center"/>
          </w:tcPr>
          <w:p>
            <w:pPr>
              <w:adjustRightInd w:val="0"/>
              <w:snapToGrid w:val="0"/>
              <w:spacing w:beforeLines="50" w:line="360" w:lineRule="auto"/>
              <w:jc w:val="center"/>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lang w:val="en-US" w:eastAsia="zh-CN"/>
              </w:rPr>
              <w:t>10</w:t>
            </w:r>
          </w:p>
        </w:tc>
        <w:tc>
          <w:tcPr>
            <w:tcW w:w="2693" w:type="dxa"/>
            <w:vAlign w:val="center"/>
          </w:tcPr>
          <w:p>
            <w:pPr>
              <w:jc w:val="center"/>
              <w:rPr>
                <w:rFonts w:ascii="宋体" w:hAnsi="宋体" w:cs="Arial"/>
                <w:color w:val="auto"/>
                <w:sz w:val="28"/>
                <w:szCs w:val="28"/>
                <w:highlight w:val="none"/>
              </w:rPr>
            </w:pPr>
            <w:r>
              <w:rPr>
                <w:rFonts w:hint="eastAsia" w:ascii="宋体" w:hAnsi="宋体" w:cs="Arial"/>
                <w:color w:val="auto"/>
                <w:sz w:val="28"/>
                <w:szCs w:val="28"/>
                <w:highlight w:val="none"/>
              </w:rPr>
              <w:t>磋商时间、地点</w:t>
            </w:r>
          </w:p>
        </w:tc>
        <w:tc>
          <w:tcPr>
            <w:tcW w:w="5410" w:type="dxa"/>
            <w:vAlign w:val="center"/>
          </w:tcPr>
          <w:p>
            <w:pPr>
              <w:spacing w:line="500" w:lineRule="exact"/>
              <w:rPr>
                <w:rFonts w:ascii="宋体" w:hAnsi="宋体" w:cs="Arial"/>
                <w:b/>
                <w:bCs/>
                <w:color w:val="auto"/>
                <w:sz w:val="28"/>
                <w:szCs w:val="28"/>
                <w:highlight w:val="none"/>
                <w:u w:val="single"/>
              </w:rPr>
            </w:pPr>
            <w:r>
              <w:rPr>
                <w:rFonts w:hint="eastAsia" w:ascii="宋体" w:hAnsi="宋体" w:cs="Arial"/>
                <w:color w:val="auto"/>
                <w:sz w:val="28"/>
                <w:szCs w:val="28"/>
                <w:highlight w:val="none"/>
              </w:rPr>
              <w:t>磋商时间：</w:t>
            </w:r>
            <w:bookmarkStart w:id="27" w:name="EBdd15fe2da6fa49d59ede59cea2693b17"/>
            <w:bookmarkEnd w:id="27"/>
            <w:r>
              <w:rPr>
                <w:rFonts w:hint="eastAsia" w:ascii="宋体" w:hAnsi="宋体"/>
                <w:color w:val="auto"/>
                <w:sz w:val="28"/>
                <w:szCs w:val="28"/>
                <w:highlight w:val="none"/>
                <w:lang w:eastAsia="zh-CN"/>
              </w:rPr>
              <w:t>2021年2月9日</w:t>
            </w:r>
            <w:r>
              <w:rPr>
                <w:rFonts w:hint="eastAsia" w:ascii="宋体" w:hAnsi="宋体"/>
                <w:color w:val="auto"/>
                <w:sz w:val="28"/>
                <w:szCs w:val="28"/>
                <w:highlight w:val="none"/>
              </w:rPr>
              <w:t>9：30时</w:t>
            </w:r>
          </w:p>
          <w:p>
            <w:pPr>
              <w:spacing w:line="500" w:lineRule="exact"/>
              <w:rPr>
                <w:rFonts w:ascii="宋体" w:hAnsi="宋体" w:cs="Arial"/>
                <w:color w:val="auto"/>
                <w:sz w:val="28"/>
                <w:szCs w:val="28"/>
                <w:highlight w:val="none"/>
              </w:rPr>
            </w:pPr>
            <w:r>
              <w:rPr>
                <w:rFonts w:hint="eastAsia" w:ascii="宋体" w:hAnsi="宋体" w:cs="Arial"/>
                <w:color w:val="auto"/>
                <w:sz w:val="28"/>
                <w:szCs w:val="28"/>
                <w:highlight w:val="none"/>
              </w:rPr>
              <w:t>磋商地点：</w:t>
            </w:r>
            <w:bookmarkStart w:id="28" w:name="EB2b6955f4bc7b4761b516f34903a447d6"/>
            <w:r>
              <w:rPr>
                <w:rFonts w:hint="eastAsia" w:ascii="宋体" w:hAnsi="宋体" w:cs="Arial"/>
                <w:color w:val="auto"/>
                <w:sz w:val="28"/>
                <w:szCs w:val="28"/>
                <w:highlight w:val="none"/>
              </w:rPr>
              <w:t>枝江市仙女大道190号（枝江市公共资源交易中心5楼）</w:t>
            </w:r>
            <w:bookmarkEnd w:id="28"/>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993" w:type="dxa"/>
            <w:vAlign w:val="center"/>
          </w:tcPr>
          <w:p>
            <w:pPr>
              <w:adjustRightInd w:val="0"/>
              <w:snapToGrid w:val="0"/>
              <w:spacing w:beforeLines="50" w:line="360" w:lineRule="auto"/>
              <w:jc w:val="center"/>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lang w:val="en-US" w:eastAsia="zh-CN"/>
              </w:rPr>
              <w:t>11</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磋商小组的组建及评审专家的确定方式</w:t>
            </w:r>
          </w:p>
        </w:tc>
        <w:tc>
          <w:tcPr>
            <w:tcW w:w="5410" w:type="dxa"/>
            <w:vAlign w:val="center"/>
          </w:tcPr>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采购单位依法组建磋商小组，共</w:t>
            </w:r>
            <w:bookmarkStart w:id="29" w:name="EB679055080b934cb8907dbf9a52179552"/>
            <w:r>
              <w:rPr>
                <w:rFonts w:hint="eastAsia" w:ascii="宋体" w:hAnsi="宋体"/>
                <w:color w:val="auto"/>
                <w:sz w:val="28"/>
                <w:szCs w:val="28"/>
                <w:highlight w:val="none"/>
              </w:rPr>
              <w:t>3</w:t>
            </w:r>
            <w:bookmarkEnd w:id="29"/>
            <w:r>
              <w:rPr>
                <w:rFonts w:hint="eastAsia" w:ascii="宋体" w:hAnsi="宋体"/>
                <w:color w:val="auto"/>
                <w:sz w:val="28"/>
                <w:szCs w:val="28"/>
                <w:highlight w:val="none"/>
              </w:rPr>
              <w:t>人组成，其中采购人代表</w:t>
            </w:r>
            <w:bookmarkStart w:id="30" w:name="EBf01a0e883c9f4a4ab8fa0181849ff526"/>
            <w:r>
              <w:rPr>
                <w:rFonts w:hint="eastAsia" w:ascii="宋体" w:hAnsi="宋体"/>
                <w:color w:val="auto"/>
                <w:sz w:val="28"/>
                <w:szCs w:val="28"/>
                <w:highlight w:val="none"/>
              </w:rPr>
              <w:t>0</w:t>
            </w:r>
            <w:bookmarkEnd w:id="30"/>
            <w:r>
              <w:rPr>
                <w:rFonts w:hint="eastAsia" w:ascii="宋体" w:hAnsi="宋体"/>
                <w:color w:val="auto"/>
                <w:sz w:val="28"/>
                <w:szCs w:val="28"/>
                <w:highlight w:val="none"/>
              </w:rPr>
              <w:t>人和专家评委</w:t>
            </w:r>
            <w:bookmarkStart w:id="31" w:name="EBeb11a874764c4e86bf225a1ef329966b"/>
            <w:r>
              <w:rPr>
                <w:rFonts w:hint="eastAsia" w:ascii="宋体" w:hAnsi="宋体"/>
                <w:color w:val="auto"/>
                <w:sz w:val="28"/>
                <w:szCs w:val="28"/>
                <w:highlight w:val="none"/>
              </w:rPr>
              <w:t>3</w:t>
            </w:r>
            <w:bookmarkEnd w:id="31"/>
            <w:r>
              <w:rPr>
                <w:rFonts w:hint="eastAsia" w:ascii="宋体" w:hAnsi="宋体"/>
                <w:color w:val="auto"/>
                <w:sz w:val="28"/>
                <w:szCs w:val="28"/>
                <w:highlight w:val="none"/>
              </w:rPr>
              <w:t>人。</w:t>
            </w:r>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评审专家确定方式：</w:t>
            </w:r>
          </w:p>
          <w:p>
            <w:pPr>
              <w:adjustRightInd w:val="0"/>
              <w:snapToGrid w:val="0"/>
              <w:spacing w:beforeLines="50" w:line="360" w:lineRule="auto"/>
              <w:rPr>
                <w:rFonts w:ascii="宋体" w:hAnsi="宋体"/>
                <w:color w:val="auto"/>
                <w:sz w:val="28"/>
                <w:szCs w:val="28"/>
                <w:highlight w:val="none"/>
              </w:rPr>
            </w:pPr>
            <w:bookmarkStart w:id="32" w:name="EBce4bd580abb1480c94d74e02f2cbd9b6"/>
            <w:r>
              <w:rPr>
                <w:rFonts w:hint="eastAsia" w:ascii="宋体" w:hAnsi="宋体"/>
                <w:color w:val="auto"/>
                <w:sz w:val="28"/>
                <w:szCs w:val="28"/>
                <w:highlight w:val="none"/>
              </w:rPr>
              <w:t xml:space="preserve">□计算机随机抽取语音通知方式 </w:t>
            </w:r>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☑其他方式</w:t>
            </w:r>
            <w:bookmarkEnd w:id="32"/>
          </w:p>
          <w:p>
            <w:pPr>
              <w:adjustRightInd w:val="0"/>
              <w:snapToGrid w:val="0"/>
              <w:spacing w:beforeLines="50" w:line="360" w:lineRule="auto"/>
              <w:rPr>
                <w:rFonts w:ascii="宋体" w:hAnsi="宋体"/>
                <w:color w:val="auto"/>
                <w:sz w:val="28"/>
                <w:szCs w:val="28"/>
                <w:highlight w:val="none"/>
              </w:rPr>
            </w:pPr>
            <w:bookmarkStart w:id="33" w:name="EB7942c7dbf26541069b93bea32495e9df"/>
            <w:r>
              <w:rPr>
                <w:rFonts w:hint="eastAsia" w:ascii="宋体" w:hAnsi="宋体"/>
                <w:color w:val="auto"/>
                <w:sz w:val="28"/>
                <w:szCs w:val="28"/>
                <w:highlight w:val="none"/>
              </w:rPr>
              <w:t>由采购人依法组建</w:t>
            </w:r>
            <w:bookmarkEnd w:id="33"/>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2</w:t>
            </w:r>
          </w:p>
        </w:tc>
        <w:tc>
          <w:tcPr>
            <w:tcW w:w="2693" w:type="dxa"/>
            <w:vAlign w:val="center"/>
          </w:tcPr>
          <w:p>
            <w:pPr>
              <w:adjustRightInd w:val="0"/>
              <w:snapToGrid w:val="0"/>
              <w:spacing w:beforeLines="50" w:line="360" w:lineRule="auto"/>
              <w:ind w:left="-533" w:leftChars="-254" w:firstLine="711" w:firstLineChars="254"/>
              <w:jc w:val="center"/>
              <w:rPr>
                <w:rFonts w:ascii="宋体" w:hAnsi="宋体"/>
                <w:color w:val="auto"/>
                <w:sz w:val="28"/>
                <w:szCs w:val="28"/>
                <w:highlight w:val="none"/>
              </w:rPr>
            </w:pPr>
            <w:r>
              <w:rPr>
                <w:rFonts w:hint="eastAsia" w:ascii="宋体" w:hAnsi="宋体"/>
                <w:color w:val="auto"/>
                <w:sz w:val="28"/>
                <w:szCs w:val="28"/>
                <w:highlight w:val="none"/>
              </w:rPr>
              <w:t>磋商保证金</w:t>
            </w:r>
          </w:p>
        </w:tc>
        <w:tc>
          <w:tcPr>
            <w:tcW w:w="5410" w:type="dxa"/>
            <w:vAlign w:val="center"/>
          </w:tcPr>
          <w:p>
            <w:pPr>
              <w:spacing w:line="500" w:lineRule="exact"/>
              <w:ind w:firstLine="2"/>
              <w:rPr>
                <w:rFonts w:ascii="宋体" w:hAnsi="宋体"/>
                <w:bCs/>
                <w:color w:val="auto"/>
                <w:sz w:val="28"/>
                <w:szCs w:val="28"/>
                <w:highlight w:val="none"/>
              </w:rPr>
            </w:pPr>
            <w:r>
              <w:rPr>
                <w:rFonts w:hint="eastAsia" w:ascii="宋体" w:hAnsi="宋体"/>
                <w:bCs/>
                <w:color w:val="auto"/>
                <w:sz w:val="28"/>
                <w:szCs w:val="28"/>
                <w:highlight w:val="none"/>
              </w:rPr>
              <w:t>本项目不收取磋商保证金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3</w:t>
            </w:r>
          </w:p>
        </w:tc>
        <w:tc>
          <w:tcPr>
            <w:tcW w:w="2693" w:type="dxa"/>
            <w:vAlign w:val="center"/>
          </w:tcPr>
          <w:p>
            <w:pPr>
              <w:adjustRightInd w:val="0"/>
              <w:snapToGrid w:val="0"/>
              <w:spacing w:beforeLines="50" w:line="360" w:lineRule="auto"/>
              <w:ind w:left="-533" w:leftChars="-254" w:firstLine="711" w:firstLineChars="254"/>
              <w:jc w:val="center"/>
              <w:rPr>
                <w:rFonts w:ascii="宋体" w:hAnsi="宋体"/>
                <w:color w:val="auto"/>
                <w:sz w:val="28"/>
                <w:szCs w:val="28"/>
                <w:highlight w:val="none"/>
              </w:rPr>
            </w:pPr>
            <w:r>
              <w:rPr>
                <w:rFonts w:hint="eastAsia" w:ascii="宋体" w:hAnsi="宋体"/>
                <w:color w:val="auto"/>
                <w:sz w:val="28"/>
                <w:szCs w:val="28"/>
                <w:highlight w:val="none"/>
              </w:rPr>
              <w:t>评审办法</w:t>
            </w:r>
          </w:p>
        </w:tc>
        <w:tc>
          <w:tcPr>
            <w:tcW w:w="5410" w:type="dxa"/>
            <w:vAlign w:val="center"/>
          </w:tcPr>
          <w:p>
            <w:pPr>
              <w:spacing w:line="500" w:lineRule="exact"/>
              <w:ind w:left="606" w:leftChars="1" w:hanging="604" w:hangingChars="216"/>
              <w:rPr>
                <w:rFonts w:ascii="宋体" w:hAnsi="宋体"/>
                <w:color w:val="auto"/>
                <w:sz w:val="28"/>
                <w:szCs w:val="28"/>
                <w:highlight w:val="none"/>
              </w:rPr>
            </w:pPr>
            <w:r>
              <w:rPr>
                <w:rFonts w:hint="eastAsia" w:ascii="宋体" w:hAnsi="宋体"/>
                <w:color w:val="auto"/>
                <w:sz w:val="28"/>
                <w:szCs w:val="28"/>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4</w:t>
            </w:r>
          </w:p>
        </w:tc>
        <w:tc>
          <w:tcPr>
            <w:tcW w:w="2693" w:type="dxa"/>
            <w:vAlign w:val="center"/>
          </w:tcPr>
          <w:p>
            <w:pPr>
              <w:adjustRightInd w:val="0"/>
              <w:snapToGrid w:val="0"/>
              <w:spacing w:beforeLines="50" w:line="360" w:lineRule="auto"/>
              <w:jc w:val="center"/>
              <w:rPr>
                <w:rFonts w:ascii="宋体" w:hAnsi="宋体"/>
                <w:bCs/>
                <w:color w:val="auto"/>
                <w:sz w:val="28"/>
                <w:szCs w:val="28"/>
                <w:highlight w:val="none"/>
              </w:rPr>
            </w:pPr>
            <w:r>
              <w:rPr>
                <w:rFonts w:hint="eastAsia" w:ascii="宋体" w:hAnsi="宋体"/>
                <w:bCs/>
                <w:color w:val="auto"/>
                <w:sz w:val="28"/>
                <w:szCs w:val="28"/>
                <w:highlight w:val="none"/>
              </w:rPr>
              <w:t>磋商有效期</w:t>
            </w:r>
          </w:p>
        </w:tc>
        <w:tc>
          <w:tcPr>
            <w:tcW w:w="5410" w:type="dxa"/>
            <w:vAlign w:val="center"/>
          </w:tcPr>
          <w:p>
            <w:pPr>
              <w:adjustRightInd w:val="0"/>
              <w:snapToGrid w:val="0"/>
              <w:spacing w:beforeLines="50" w:line="360" w:lineRule="auto"/>
              <w:rPr>
                <w:rFonts w:ascii="宋体" w:hAnsi="宋体"/>
                <w:bCs/>
                <w:color w:val="auto"/>
                <w:sz w:val="28"/>
                <w:szCs w:val="28"/>
                <w:highlight w:val="none"/>
              </w:rPr>
            </w:pPr>
            <w:r>
              <w:rPr>
                <w:rFonts w:ascii="宋体" w:hAnsi="宋体"/>
                <w:color w:val="auto"/>
                <w:sz w:val="28"/>
                <w:szCs w:val="28"/>
                <w:highlight w:val="none"/>
              </w:rPr>
              <w:t>首次递交响应文件截止之日起</w:t>
            </w:r>
            <w:bookmarkStart w:id="34" w:name="EB8cbc2a411963428cbea502cf66627768"/>
            <w:r>
              <w:rPr>
                <w:rFonts w:hint="eastAsia" w:ascii="宋体" w:hAnsi="宋体"/>
                <w:color w:val="auto"/>
                <w:sz w:val="28"/>
                <w:szCs w:val="28"/>
                <w:highlight w:val="none"/>
              </w:rPr>
              <w:t>90</w:t>
            </w:r>
            <w:bookmarkEnd w:id="34"/>
            <w:r>
              <w:rPr>
                <w:rFonts w:hint="eastAsia" w:ascii="宋体" w:hAnsi="宋体"/>
                <w:color w:val="auto"/>
                <w:sz w:val="28"/>
                <w:szCs w:val="28"/>
                <w:highlight w:val="none"/>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5</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响应文件份数</w:t>
            </w:r>
          </w:p>
        </w:tc>
        <w:tc>
          <w:tcPr>
            <w:tcW w:w="5410" w:type="dxa"/>
            <w:vAlign w:val="center"/>
          </w:tcPr>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正本：一份；</w:t>
            </w:r>
          </w:p>
          <w:p>
            <w:pPr>
              <w:adjustRightInd w:val="0"/>
              <w:snapToGrid w:val="0"/>
              <w:spacing w:beforeLines="50" w:line="360" w:lineRule="auto"/>
              <w:rPr>
                <w:rFonts w:ascii="宋体" w:hAnsi="宋体"/>
                <w:color w:val="auto"/>
                <w:sz w:val="28"/>
                <w:szCs w:val="28"/>
                <w:highlight w:val="none"/>
              </w:rPr>
            </w:pPr>
            <w:r>
              <w:rPr>
                <w:rFonts w:hint="eastAsia" w:ascii="宋体" w:hAnsi="宋体"/>
                <w:color w:val="auto"/>
                <w:sz w:val="28"/>
                <w:szCs w:val="28"/>
                <w:highlight w:val="none"/>
              </w:rPr>
              <w:t>副本：一份；</w:t>
            </w:r>
          </w:p>
          <w:p>
            <w:pPr>
              <w:adjustRightInd w:val="0"/>
              <w:snapToGrid w:val="0"/>
              <w:spacing w:beforeLines="50" w:line="360" w:lineRule="auto"/>
              <w:rPr>
                <w:rFonts w:ascii="宋体" w:hAnsi="宋体"/>
                <w:color w:val="auto"/>
                <w:sz w:val="28"/>
                <w:szCs w:val="28"/>
                <w:highlight w:val="none"/>
                <w:u w:val="single"/>
              </w:rPr>
            </w:pPr>
            <w:r>
              <w:rPr>
                <w:rFonts w:hint="eastAsia" w:ascii="宋体" w:hAnsi="宋体"/>
                <w:color w:val="auto"/>
                <w:sz w:val="28"/>
                <w:szCs w:val="28"/>
                <w:highlight w:val="none"/>
              </w:rPr>
              <w:t>电子U盘一份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6</w:t>
            </w:r>
          </w:p>
        </w:tc>
        <w:tc>
          <w:tcPr>
            <w:tcW w:w="2693" w:type="dxa"/>
            <w:vAlign w:val="center"/>
          </w:tcPr>
          <w:p>
            <w:pPr>
              <w:adjustRightInd w:val="0"/>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代理费</w:t>
            </w:r>
          </w:p>
        </w:tc>
        <w:tc>
          <w:tcPr>
            <w:tcW w:w="5410" w:type="dxa"/>
            <w:vAlign w:val="center"/>
          </w:tcPr>
          <w:p>
            <w:pPr>
              <w:rPr>
                <w:rFonts w:ascii="宋体" w:hAnsi="宋体" w:cs="Arial"/>
                <w:color w:val="auto"/>
                <w:sz w:val="28"/>
                <w:szCs w:val="28"/>
                <w:highlight w:val="none"/>
              </w:rPr>
            </w:pPr>
            <w:bookmarkStart w:id="35" w:name="EB08917095d1a845159089614fbb72340a"/>
            <w:r>
              <w:rPr>
                <w:rFonts w:hint="eastAsia" w:ascii="宋体" w:hAnsi="宋体" w:cs="Arial"/>
                <w:color w:val="auto"/>
                <w:sz w:val="28"/>
                <w:szCs w:val="28"/>
                <w:highlight w:val="none"/>
                <w:lang w:eastAsia="zh-CN"/>
              </w:rPr>
              <w:t>本项目</w:t>
            </w:r>
            <w:r>
              <w:rPr>
                <w:rFonts w:hint="eastAsia" w:ascii="宋体" w:hAnsi="宋体" w:cs="Arial"/>
                <w:color w:val="auto"/>
                <w:sz w:val="28"/>
                <w:szCs w:val="28"/>
                <w:highlight w:val="none"/>
                <w:lang w:val="en-US" w:eastAsia="zh-CN"/>
              </w:rPr>
              <w:t>每个包段</w:t>
            </w:r>
            <w:r>
              <w:rPr>
                <w:rFonts w:hint="eastAsia" w:ascii="宋体" w:hAnsi="宋体" w:cs="Arial"/>
                <w:color w:val="auto"/>
                <w:sz w:val="28"/>
                <w:szCs w:val="28"/>
                <w:highlight w:val="none"/>
              </w:rPr>
              <w:t>代理服务费</w:t>
            </w:r>
            <w:r>
              <w:rPr>
                <w:rFonts w:hint="eastAsia" w:ascii="宋体" w:hAnsi="宋体" w:cs="Arial"/>
                <w:color w:val="auto"/>
                <w:sz w:val="28"/>
                <w:szCs w:val="28"/>
                <w:highlight w:val="none"/>
                <w:lang w:val="en-US" w:eastAsia="zh-CN"/>
              </w:rPr>
              <w:t>5000元，</w:t>
            </w:r>
            <w:r>
              <w:rPr>
                <w:rFonts w:hint="eastAsia" w:ascii="宋体" w:hAnsi="宋体" w:cs="Arial"/>
                <w:color w:val="auto"/>
                <w:sz w:val="28"/>
                <w:szCs w:val="28"/>
                <w:highlight w:val="none"/>
              </w:rPr>
              <w:t>由成交人向采购代理公司交纳，成交人报价时应考虑采购代理服务费，由成交人在领取中标通知书时向采购代理机构递交。</w:t>
            </w:r>
            <w:bookmarkEnd w:id="35"/>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993" w:type="dxa"/>
            <w:vAlign w:val="center"/>
          </w:tcPr>
          <w:p>
            <w:pPr>
              <w:adjustRightInd w:val="0"/>
              <w:snapToGrid w:val="0"/>
              <w:spacing w:beforeLines="50" w:line="360" w:lineRule="auto"/>
              <w:jc w:val="center"/>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7</w:t>
            </w:r>
          </w:p>
        </w:tc>
        <w:tc>
          <w:tcPr>
            <w:tcW w:w="2693" w:type="dxa"/>
            <w:vAlign w:val="center"/>
          </w:tcPr>
          <w:p>
            <w:pPr>
              <w:jc w:val="center"/>
              <w:rPr>
                <w:rFonts w:ascii="宋体" w:hAnsi="宋体" w:cs="Arial"/>
                <w:color w:val="auto"/>
                <w:sz w:val="28"/>
                <w:szCs w:val="28"/>
                <w:highlight w:val="none"/>
              </w:rPr>
            </w:pPr>
            <w:r>
              <w:rPr>
                <w:rFonts w:hint="eastAsia" w:ascii="宋体" w:hAnsi="宋体" w:cs="Arial"/>
                <w:color w:val="auto"/>
                <w:sz w:val="28"/>
                <w:szCs w:val="28"/>
                <w:highlight w:val="none"/>
              </w:rPr>
              <w:t>信用记录</w:t>
            </w:r>
          </w:p>
        </w:tc>
        <w:tc>
          <w:tcPr>
            <w:tcW w:w="5410" w:type="dxa"/>
            <w:vAlign w:val="center"/>
          </w:tcPr>
          <w:p>
            <w:pPr>
              <w:pStyle w:val="7"/>
              <w:spacing w:line="360" w:lineRule="auto"/>
              <w:ind w:firstLine="478" w:firstLineChars="171"/>
              <w:rPr>
                <w:rFonts w:ascii="宋体" w:hAnsi="宋体" w:cs="Arial"/>
                <w:color w:val="auto"/>
                <w:sz w:val="28"/>
                <w:szCs w:val="28"/>
                <w:highlight w:val="none"/>
              </w:rPr>
            </w:pPr>
            <w:r>
              <w:rPr>
                <w:rFonts w:hint="eastAsia" w:ascii="宋体" w:hAnsi="宋体" w:cs="Arial"/>
                <w:color w:val="auto"/>
                <w:sz w:val="28"/>
                <w:szCs w:val="28"/>
                <w:highlight w:val="none"/>
              </w:rPr>
              <w:t>根据《财政部关于在政府采购活动中查询及使用信用记录有关问题的通知》财库〔2016〕125号的规定，磋商现场由采购人通过“信用中国”网站（www.creditchina.gov.cn）、中国政府采购网（www.ccgp.gov.cn）等渠道查询主体信用记录，经供应商签字确认后存档留存。</w:t>
            </w:r>
          </w:p>
          <w:p>
            <w:pPr>
              <w:spacing w:line="500" w:lineRule="exact"/>
              <w:rPr>
                <w:rFonts w:ascii="宋体" w:hAnsi="宋体" w:cs="Arial"/>
                <w:color w:val="auto"/>
                <w:sz w:val="28"/>
                <w:szCs w:val="28"/>
                <w:highlight w:val="none"/>
              </w:rPr>
            </w:pPr>
            <w:r>
              <w:rPr>
                <w:rFonts w:hint="eastAsia" w:ascii="宋体" w:hAnsi="宋体" w:cs="Arial"/>
                <w:color w:val="auto"/>
                <w:sz w:val="28"/>
                <w:szCs w:val="28"/>
                <w:highlight w:val="none"/>
              </w:rPr>
              <w:t>对列入失信被执行人、重大税收违法案件当事人名单、政府采购严重违法失信行为记录名单及其他不符合</w:t>
            </w:r>
            <w:r>
              <w:rPr>
                <w:rFonts w:hint="eastAsia" w:ascii="宋体" w:hAnsi="宋体" w:cs="Arial"/>
                <w:color w:val="auto"/>
                <w:sz w:val="28"/>
                <w:szCs w:val="28"/>
                <w:highlight w:val="none"/>
                <w:lang w:eastAsia="zh-CN"/>
              </w:rPr>
              <w:t>相关法律法规的</w:t>
            </w:r>
            <w:r>
              <w:rPr>
                <w:rFonts w:hint="eastAsia" w:ascii="宋体" w:hAnsi="宋体" w:cs="Arial"/>
                <w:color w:val="auto"/>
                <w:sz w:val="28"/>
                <w:szCs w:val="28"/>
                <w:highlight w:val="none"/>
              </w:rPr>
              <w:t>供应商，应当拒绝其参与</w:t>
            </w:r>
            <w:r>
              <w:rPr>
                <w:rFonts w:hint="eastAsia" w:ascii="宋体" w:hAnsi="宋体" w:cs="Arial"/>
                <w:color w:val="auto"/>
                <w:sz w:val="28"/>
                <w:szCs w:val="28"/>
                <w:highlight w:val="none"/>
                <w:lang w:eastAsia="zh-CN"/>
              </w:rPr>
              <w:t>该项目的</w:t>
            </w:r>
            <w:r>
              <w:rPr>
                <w:rFonts w:hint="eastAsia" w:ascii="宋体" w:hAnsi="宋体" w:cs="Arial"/>
                <w:color w:val="auto"/>
                <w:sz w:val="28"/>
                <w:szCs w:val="28"/>
                <w:highlight w:val="none"/>
              </w:rPr>
              <w:t>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993" w:type="dxa"/>
            <w:vAlign w:val="center"/>
          </w:tcPr>
          <w:p>
            <w:pPr>
              <w:adjustRightInd w:val="0"/>
              <w:snapToGrid w:val="0"/>
              <w:spacing w:beforeLines="50" w:line="360" w:lineRule="auto"/>
              <w:jc w:val="center"/>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lang w:val="en-US" w:eastAsia="zh-CN"/>
              </w:rPr>
              <w:t>18</w:t>
            </w:r>
          </w:p>
        </w:tc>
        <w:tc>
          <w:tcPr>
            <w:tcW w:w="2693" w:type="dxa"/>
            <w:vAlign w:val="center"/>
          </w:tcPr>
          <w:p>
            <w:pPr>
              <w:jc w:val="center"/>
              <w:rPr>
                <w:rFonts w:hint="eastAsia" w:ascii="宋体" w:hAnsi="宋体" w:eastAsia="宋体" w:cs="Arial"/>
                <w:color w:val="auto"/>
                <w:sz w:val="28"/>
                <w:szCs w:val="28"/>
                <w:highlight w:val="none"/>
                <w:lang w:eastAsia="zh-CN"/>
              </w:rPr>
            </w:pPr>
            <w:r>
              <w:rPr>
                <w:rFonts w:hint="eastAsia" w:ascii="宋体" w:hAnsi="宋体" w:cs="Arial"/>
                <w:color w:val="auto"/>
                <w:sz w:val="28"/>
                <w:szCs w:val="28"/>
                <w:highlight w:val="none"/>
                <w:lang w:eastAsia="zh-CN"/>
              </w:rPr>
              <w:t>履约保证金</w:t>
            </w:r>
          </w:p>
        </w:tc>
        <w:tc>
          <w:tcPr>
            <w:tcW w:w="5410" w:type="dxa"/>
            <w:vAlign w:val="center"/>
          </w:tcPr>
          <w:p>
            <w:pPr>
              <w:spacing w:line="500" w:lineRule="exact"/>
              <w:rPr>
                <w:rFonts w:hint="default" w:ascii="宋体" w:hAnsi="宋体" w:eastAsia="宋体" w:cs="Arial"/>
                <w:color w:val="auto"/>
                <w:sz w:val="28"/>
                <w:szCs w:val="28"/>
                <w:highlight w:val="none"/>
                <w:lang w:val="en-US" w:eastAsia="zh-CN"/>
              </w:rPr>
            </w:pPr>
            <w:r>
              <w:rPr>
                <w:rFonts w:hint="eastAsia" w:ascii="宋体" w:hAnsi="宋体" w:cs="Arial"/>
                <w:color w:val="auto"/>
                <w:sz w:val="28"/>
                <w:szCs w:val="28"/>
                <w:highlight w:val="none"/>
                <w:lang w:eastAsia="zh-CN"/>
              </w:rPr>
              <w:t>本项目</w:t>
            </w:r>
            <w:r>
              <w:rPr>
                <w:rFonts w:hint="eastAsia" w:ascii="宋体" w:hAnsi="宋体" w:cs="Arial"/>
                <w:color w:val="auto"/>
                <w:sz w:val="28"/>
                <w:szCs w:val="28"/>
                <w:highlight w:val="none"/>
                <w:lang w:val="en-US" w:eastAsia="zh-CN"/>
              </w:rPr>
              <w:t>每个包段</w:t>
            </w:r>
            <w:r>
              <w:rPr>
                <w:rFonts w:hint="eastAsia" w:ascii="宋体" w:hAnsi="宋体" w:cs="Arial"/>
                <w:color w:val="auto"/>
                <w:sz w:val="28"/>
                <w:szCs w:val="28"/>
                <w:highlight w:val="none"/>
                <w:lang w:eastAsia="zh-CN"/>
              </w:rPr>
              <w:t>需提交履约保证金</w:t>
            </w:r>
            <w:r>
              <w:rPr>
                <w:rFonts w:hint="eastAsia" w:ascii="宋体" w:hAnsi="宋体" w:cs="Arial"/>
                <w:color w:val="auto"/>
                <w:sz w:val="28"/>
                <w:szCs w:val="28"/>
                <w:highlight w:val="none"/>
                <w:lang w:val="en-US" w:eastAsia="zh-CN"/>
              </w:rPr>
              <w:t>20000元（现金或保函形式均可）。</w:t>
            </w:r>
          </w:p>
        </w:tc>
      </w:tr>
    </w:tbl>
    <w:p>
      <w:pPr>
        <w:rPr>
          <w:color w:val="auto"/>
          <w:highlight w:val="none"/>
        </w:rPr>
      </w:pPr>
    </w:p>
    <w:p>
      <w:pPr>
        <w:widowControl/>
        <w:jc w:val="left"/>
        <w:rPr>
          <w:rFonts w:ascii="宋体" w:hAnsi="宋体"/>
          <w:b/>
          <w:color w:val="auto"/>
          <w:sz w:val="32"/>
          <w:szCs w:val="28"/>
          <w:highlight w:val="none"/>
        </w:rPr>
      </w:pPr>
      <w:r>
        <w:rPr>
          <w:color w:val="auto"/>
          <w:highlight w:val="none"/>
        </w:rPr>
        <w:br w:type="page"/>
      </w:r>
      <w:bookmarkStart w:id="36" w:name="EBcd28597a01dd45e8a5f8868778c2a7e9"/>
      <w:bookmarkEnd w:id="36"/>
      <w:bookmarkStart w:id="37" w:name="EBd36e8a0b783c46b2b798ab7644e6f3a4"/>
      <w:bookmarkEnd w:id="37"/>
      <w:bookmarkStart w:id="38" w:name="EBe296859d77d14db6b317ea291c4e573c"/>
      <w:bookmarkEnd w:id="38"/>
    </w:p>
    <w:p>
      <w:pPr>
        <w:pStyle w:val="6"/>
        <w:rPr>
          <w:highlight w:val="none"/>
        </w:rPr>
      </w:pPr>
      <w:bookmarkStart w:id="39" w:name="_Toc14284"/>
      <w:r>
        <w:rPr>
          <w:rFonts w:hint="eastAsia"/>
          <w:color w:val="auto"/>
          <w:highlight w:val="none"/>
        </w:rPr>
        <w:t>一、 说明</w:t>
      </w:r>
      <w:bookmarkEnd w:id="39"/>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1.1适用范围</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1.1 .1本磋商文件仅适用于本磋商邀请函中所述项目相关服务的采购。</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1.2定义</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1.2.1“采购人”是指：详见供应商须知前附表.</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1.2.2“采购代理机构”是指：详见供应商须知前附表.</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1.2.3“监管部门”是指：详见供应商须知前附表.</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1.2.4 “供应商”是指：响应磋商文件要求并且符合磋商文件规定资格条件和参加竞争性磋商的法人、其他组织或者自然人。</w:t>
      </w:r>
    </w:p>
    <w:p>
      <w:pPr>
        <w:ind w:firstLine="560" w:firstLineChars="200"/>
        <w:rPr>
          <w:rFonts w:ascii="宋体" w:hAnsi="宋体"/>
          <w:sz w:val="28"/>
          <w:szCs w:val="28"/>
          <w:highlight w:val="none"/>
        </w:rPr>
      </w:pPr>
      <w:r>
        <w:rPr>
          <w:rFonts w:hint="eastAsia" w:ascii="宋体" w:hAnsi="宋体"/>
          <w:sz w:val="28"/>
          <w:szCs w:val="28"/>
          <w:highlight w:val="none"/>
        </w:rPr>
        <w:t>1.2.5“成交供应商”是指: 是指经磋商小组评审，授予合同的供应商。</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1.3、货物和服务</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1.3.1“货物”是指：供应商制造或组织符合磋商文件要求的货物，包括原材料、燃料、设备、产品等。磋商文件中没有提及招标货物来源地的，根据《中华人民共和国政府采购法》的相关规定均应是本国货物，另有规定的除外。</w:t>
      </w:r>
      <w:r>
        <w:rPr>
          <w:rFonts w:hint="eastAsia" w:ascii="宋体" w:hAnsi="宋体"/>
          <w:snapToGrid w:val="0"/>
          <w:kern w:val="0"/>
          <w:sz w:val="28"/>
          <w:szCs w:val="28"/>
          <w:highlight w:val="none"/>
        </w:rPr>
        <w:t>提供的货物必须是其合法生产的符合国家有关标准要求的货物，并能够按照合同规定的品牌、产地、质量、价格和有效期等履约。</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1.3.2“服务”是指：除货物和工程以外的其他政府采购对象。包括：政府自身需要的服务和政府向社会公众提供的公共服务。</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1.4、磋商费用</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1.4.1供应商应承担所有与准备和参加竞争性磋商有关的费用。不论磋商的结果如何，采购人和采购代理机构均无义务和责任承担这些费用。</w:t>
      </w:r>
    </w:p>
    <w:p>
      <w:pPr>
        <w:rPr>
          <w:highlight w:val="none"/>
        </w:rPr>
      </w:pPr>
      <w:bookmarkStart w:id="40" w:name="EBc6138a2cab2c458f98a942ef4c1ffd14"/>
      <w:bookmarkEnd w:id="40"/>
      <w:bookmarkStart w:id="41" w:name="EB28d49acb4323447c8386670a376b8b0d"/>
      <w:bookmarkEnd w:id="41"/>
      <w:bookmarkStart w:id="42" w:name="EB581725511a70497bbf173ee1b85a008f"/>
      <w:bookmarkEnd w:id="42"/>
    </w:p>
    <w:p>
      <w:pPr>
        <w:pStyle w:val="6"/>
        <w:rPr>
          <w:highlight w:val="none"/>
        </w:rPr>
      </w:pPr>
      <w:bookmarkStart w:id="43" w:name="_Toc293738992"/>
      <w:bookmarkStart w:id="44" w:name="_Toc293736011"/>
      <w:bookmarkStart w:id="45" w:name="_Toc15352"/>
      <w:bookmarkStart w:id="46" w:name="_Toc446599311"/>
      <w:bookmarkStart w:id="47" w:name="_Toc293736054"/>
      <w:r>
        <w:rPr>
          <w:rFonts w:hint="eastAsia"/>
          <w:highlight w:val="none"/>
        </w:rPr>
        <w:t>二、磋商文件</w:t>
      </w:r>
      <w:bookmarkEnd w:id="43"/>
      <w:bookmarkEnd w:id="44"/>
      <w:bookmarkEnd w:id="45"/>
      <w:bookmarkEnd w:id="46"/>
      <w:bookmarkEnd w:id="47"/>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2.1.磋商文件的构成</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2.1.1磋商文件由下列文件以及在采购过程中发出的修正和补充文件组成：</w:t>
      </w:r>
    </w:p>
    <w:p>
      <w:pPr>
        <w:pStyle w:val="7"/>
        <w:spacing w:line="500" w:lineRule="exact"/>
        <w:ind w:firstLine="565" w:firstLineChars="202"/>
        <w:rPr>
          <w:rFonts w:ascii="宋体" w:hAnsi="宋体"/>
          <w:color w:val="auto"/>
          <w:sz w:val="28"/>
          <w:szCs w:val="28"/>
          <w:highlight w:val="none"/>
        </w:rPr>
      </w:pPr>
      <w:bookmarkStart w:id="48" w:name="EB5c4e1d2ade224ae8b969fc50e58bb8a0"/>
      <w:r>
        <w:rPr>
          <w:rFonts w:hint="eastAsia" w:ascii="宋体" w:hAnsi="宋体"/>
          <w:color w:val="auto"/>
          <w:sz w:val="28"/>
          <w:szCs w:val="28"/>
          <w:highlight w:val="none"/>
        </w:rPr>
        <w:t>(1)磋商邀请函；</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(2)供应商须知；</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(3)采购项目技术规格、参数及相关服务要求；</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(4)评审方法、步骤、标准；</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(5)合同格式及合同条款；</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(6)响应文件格式；</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(7)在磋商过程中由采购人或者采购代理机构发出的澄清和补充文件等。</w:t>
      </w:r>
    </w:p>
    <w:bookmarkEnd w:id="48"/>
    <w:p>
      <w:pPr>
        <w:pStyle w:val="7"/>
        <w:spacing w:line="500" w:lineRule="exact"/>
        <w:ind w:firstLine="565" w:firstLineChars="202"/>
        <w:rPr>
          <w:rFonts w:ascii="宋体" w:hAnsi="宋体"/>
          <w:color w:val="0000FF"/>
          <w:sz w:val="28"/>
          <w:szCs w:val="28"/>
          <w:highlight w:val="none"/>
        </w:rPr>
      </w:pP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2.1.2供应商应认真阅读磋商文件中所有的事项、格式、条款和技术规范、参数及相关要求等。供应商没有按照磋商文件要求提交全部资料，或者没有对磋商文件在各方面都做出实质性响应是供应商的风险，有可能导致被拒绝，或被按照无效文件处理或被确定为无效文件。</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2.2. 磋商文件的澄清</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2.2.1潜在供应商应仔细阅读和检查磋商文件的全部内容。潜在供应商若对磋商文件有任何疑问，均应在响应文件递交截止时间5日前向招标代理机构通过（Email:</w:t>
      </w:r>
      <w:r>
        <w:rPr>
          <w:rFonts w:hint="eastAsia" w:ascii="宋体" w:hAnsi="宋体"/>
          <w:sz w:val="28"/>
          <w:szCs w:val="28"/>
          <w:highlight w:val="none"/>
          <w:lang w:val="en-US" w:eastAsia="zh-CN"/>
        </w:rPr>
        <w:t>634457695</w:t>
      </w:r>
      <w:r>
        <w:rPr>
          <w:rFonts w:hint="eastAsia" w:ascii="宋体" w:hAnsi="宋体"/>
          <w:sz w:val="28"/>
          <w:szCs w:val="28"/>
          <w:highlight w:val="none"/>
        </w:rPr>
        <w:t>@qq.com）提交采购事宜的质疑，招标代理机构在规定时间内对问题作出整理后</w:t>
      </w:r>
      <w:r>
        <w:rPr>
          <w:rFonts w:hint="eastAsia" w:ascii="宋体" w:hAnsi="宋体" w:cs="宋体"/>
          <w:kern w:val="0"/>
          <w:szCs w:val="21"/>
          <w:highlight w:val="none"/>
        </w:rPr>
        <w:t>，</w:t>
      </w:r>
      <w:r>
        <w:rPr>
          <w:rFonts w:hint="eastAsia" w:ascii="宋体" w:hAnsi="宋体"/>
          <w:sz w:val="28"/>
          <w:szCs w:val="28"/>
          <w:highlight w:val="none"/>
        </w:rPr>
        <w:t>在枝江市公共资源交易信息网和</w:t>
      </w:r>
      <w:r>
        <w:rPr>
          <w:rFonts w:hint="eastAsia" w:ascii="宋体" w:hAnsi="宋体"/>
          <w:color w:val="auto"/>
          <w:sz w:val="28"/>
          <w:szCs w:val="28"/>
          <w:highlight w:val="none"/>
          <w:lang w:eastAsia="zh-CN"/>
        </w:rPr>
        <w:t>枝江金润源建设投资控股集团有限公司官网</w:t>
      </w:r>
      <w:r>
        <w:rPr>
          <w:rFonts w:hint="eastAsia" w:ascii="宋体" w:hAnsi="宋体"/>
          <w:sz w:val="28"/>
          <w:szCs w:val="28"/>
          <w:highlight w:val="none"/>
        </w:rPr>
        <w:t>发布澄清文件，澄清文件作为磋商文件的组成部分，对供应商具有同等约束作用。</w:t>
      </w:r>
    </w:p>
    <w:p>
      <w:pPr>
        <w:pStyle w:val="7"/>
        <w:spacing w:line="500" w:lineRule="exact"/>
        <w:ind w:firstLine="541" w:firstLineChars="202"/>
        <w:rPr>
          <w:rFonts w:ascii="宋体" w:hAnsi="宋体"/>
          <w:sz w:val="28"/>
          <w:szCs w:val="28"/>
          <w:highlight w:val="none"/>
        </w:rPr>
      </w:pPr>
      <w:r>
        <w:rPr>
          <w:rFonts w:hint="eastAsia" w:ascii="宋体" w:hAnsi="宋体"/>
          <w:spacing w:val="-6"/>
          <w:sz w:val="28"/>
          <w:szCs w:val="28"/>
          <w:highlight w:val="none"/>
        </w:rPr>
        <w:t>2.2.2潜在</w:t>
      </w:r>
      <w:r>
        <w:rPr>
          <w:rFonts w:hint="eastAsia" w:ascii="宋体" w:hAnsi="宋体"/>
          <w:sz w:val="28"/>
          <w:szCs w:val="28"/>
          <w:highlight w:val="none"/>
        </w:rPr>
        <w:t>供应商在本项目采购公告期限届满之日起7个工作日内未对磋商文件提出质疑的，采购人或者采购代理机构将视其为同意。在规定的时间后就磋商文件内容提出的质疑将不予受理。</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2.3. 磋商文件的修改</w:t>
      </w:r>
    </w:p>
    <w:p>
      <w:pPr>
        <w:pStyle w:val="7"/>
        <w:spacing w:line="500" w:lineRule="exact"/>
        <w:ind w:firstLine="541" w:firstLineChars="202"/>
        <w:rPr>
          <w:rFonts w:ascii="宋体" w:hAnsi="宋体"/>
          <w:spacing w:val="-6"/>
          <w:sz w:val="28"/>
          <w:szCs w:val="28"/>
          <w:highlight w:val="none"/>
        </w:rPr>
      </w:pPr>
      <w:r>
        <w:rPr>
          <w:rFonts w:hint="eastAsia" w:ascii="宋体" w:hAnsi="宋体"/>
          <w:spacing w:val="-6"/>
          <w:sz w:val="28"/>
          <w:szCs w:val="28"/>
          <w:highlight w:val="none"/>
        </w:rPr>
        <w:t>2.3.1</w:t>
      </w:r>
      <w:r>
        <w:rPr>
          <w:rFonts w:hint="eastAsia" w:ascii="宋体" w:hAnsi="宋体"/>
          <w:sz w:val="28"/>
          <w:szCs w:val="28"/>
          <w:highlight w:val="none"/>
        </w:rPr>
        <w:t>采购人或者采购代理机构</w:t>
      </w:r>
      <w:r>
        <w:rPr>
          <w:rFonts w:hint="eastAsia" w:ascii="宋体" w:hAnsi="宋体"/>
          <w:spacing w:val="-6"/>
          <w:sz w:val="28"/>
          <w:szCs w:val="28"/>
          <w:highlight w:val="none"/>
        </w:rPr>
        <w:t>可以对已发出的磋商文件进行必要的澄清或者修改。</w:t>
      </w:r>
      <w:r>
        <w:rPr>
          <w:rFonts w:hint="eastAsia" w:ascii="宋体" w:hAnsi="宋体"/>
          <w:sz w:val="28"/>
          <w:szCs w:val="28"/>
          <w:highlight w:val="none"/>
        </w:rPr>
        <w:t>澄清或者修改的内容可能影响响应文件编制的，采购人或者采购代理机构将在响应文件递交截止时间5日前在枝江市公共资源交易信息网和</w:t>
      </w:r>
      <w:r>
        <w:rPr>
          <w:rFonts w:hint="eastAsia" w:ascii="宋体" w:hAnsi="宋体"/>
          <w:color w:val="auto"/>
          <w:sz w:val="28"/>
          <w:szCs w:val="28"/>
          <w:highlight w:val="none"/>
          <w:lang w:eastAsia="zh-CN"/>
        </w:rPr>
        <w:t>枝江金润源建设投资控股集团有限公司官网</w:t>
      </w:r>
      <w:r>
        <w:rPr>
          <w:rFonts w:hint="eastAsia" w:ascii="宋体" w:hAnsi="宋体"/>
          <w:sz w:val="28"/>
          <w:szCs w:val="28"/>
          <w:highlight w:val="none"/>
        </w:rPr>
        <w:t xml:space="preserve">发布更正公告。 </w:t>
      </w:r>
    </w:p>
    <w:p>
      <w:pPr>
        <w:pStyle w:val="7"/>
        <w:spacing w:line="500" w:lineRule="exact"/>
        <w:ind w:firstLine="541" w:firstLineChars="202"/>
        <w:rPr>
          <w:rFonts w:ascii="宋体" w:hAnsi="宋体"/>
          <w:sz w:val="28"/>
          <w:szCs w:val="28"/>
          <w:highlight w:val="none"/>
        </w:rPr>
      </w:pPr>
      <w:r>
        <w:rPr>
          <w:rFonts w:hint="eastAsia" w:ascii="宋体" w:hAnsi="宋体"/>
          <w:spacing w:val="-6"/>
          <w:sz w:val="28"/>
          <w:szCs w:val="28"/>
          <w:highlight w:val="none"/>
        </w:rPr>
        <w:t>2.3.2澄清或者修改的内容是磋商文件的组成部分，将在枝江市公共资源交易信息网和</w:t>
      </w:r>
      <w:r>
        <w:rPr>
          <w:rFonts w:hint="eastAsia" w:ascii="宋体" w:hAnsi="宋体"/>
          <w:color w:val="auto"/>
          <w:sz w:val="28"/>
          <w:szCs w:val="28"/>
          <w:highlight w:val="none"/>
          <w:lang w:eastAsia="zh-CN"/>
        </w:rPr>
        <w:t>枝江金润源建设投资控股集团有限公司官网</w:t>
      </w:r>
      <w:r>
        <w:rPr>
          <w:rFonts w:hint="eastAsia" w:ascii="宋体" w:hAnsi="宋体"/>
          <w:sz w:val="28"/>
          <w:szCs w:val="28"/>
          <w:highlight w:val="none"/>
        </w:rPr>
        <w:t>向所有供应商公布，并对供应商具有约束力。</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2.3.3为使潜在供应商有充足的时间对磋商文件的修改部分进行研究，采购人或者采购代理机构可适当推迟响应文件截止期，并通过在</w:t>
      </w:r>
      <w:r>
        <w:rPr>
          <w:rFonts w:hint="eastAsia" w:ascii="宋体" w:hAnsi="宋体"/>
          <w:spacing w:val="-6"/>
          <w:sz w:val="28"/>
          <w:szCs w:val="28"/>
          <w:highlight w:val="none"/>
        </w:rPr>
        <w:t>枝江市公共资源交易信息网和</w:t>
      </w:r>
      <w:r>
        <w:rPr>
          <w:rFonts w:hint="eastAsia" w:ascii="宋体" w:hAnsi="宋体"/>
          <w:color w:val="auto"/>
          <w:sz w:val="28"/>
          <w:szCs w:val="28"/>
          <w:highlight w:val="none"/>
          <w:lang w:eastAsia="zh-CN"/>
        </w:rPr>
        <w:t>枝江金润源建设投资控股集团有限公司官网</w:t>
      </w:r>
      <w:r>
        <w:rPr>
          <w:rFonts w:hint="eastAsia" w:ascii="宋体" w:hAnsi="宋体"/>
          <w:sz w:val="28"/>
          <w:szCs w:val="28"/>
          <w:highlight w:val="none"/>
        </w:rPr>
        <w:t>发布公告方式通知所有下载磋商文件的供应商。</w:t>
      </w:r>
    </w:p>
    <w:p>
      <w:pPr>
        <w:pStyle w:val="7"/>
        <w:spacing w:line="500" w:lineRule="exact"/>
        <w:ind w:firstLine="541" w:firstLineChars="202"/>
        <w:rPr>
          <w:rFonts w:ascii="宋体" w:hAnsi="宋体"/>
          <w:spacing w:val="-6"/>
          <w:sz w:val="28"/>
          <w:szCs w:val="28"/>
          <w:highlight w:val="none"/>
        </w:rPr>
      </w:pPr>
      <w:r>
        <w:rPr>
          <w:rFonts w:hint="eastAsia" w:ascii="宋体" w:hAnsi="宋体"/>
          <w:spacing w:val="-6"/>
          <w:sz w:val="28"/>
          <w:szCs w:val="28"/>
          <w:highlight w:val="none"/>
        </w:rPr>
        <w:t>2.3.4潜在供应商应注意及时浏览网上发布的澄清或修改通知并下载，因供应商原因未及时获知澄清、修改或补充内容而导致的任何后果将由供应商自行承担。</w:t>
      </w:r>
    </w:p>
    <w:p>
      <w:pPr>
        <w:rPr>
          <w:highlight w:val="none"/>
        </w:rPr>
      </w:pPr>
      <w:bookmarkStart w:id="49" w:name="EBf4548babeab74949acc48569f90b0020"/>
      <w:bookmarkEnd w:id="49"/>
      <w:bookmarkStart w:id="50" w:name="EB093ded81045a4394ba373e9d409923f3"/>
      <w:bookmarkEnd w:id="50"/>
      <w:bookmarkStart w:id="51" w:name="EBe001ea2946bf4aceb65589653bf8ae95"/>
      <w:bookmarkEnd w:id="51"/>
    </w:p>
    <w:p>
      <w:pPr>
        <w:pStyle w:val="6"/>
        <w:rPr>
          <w:highlight w:val="none"/>
        </w:rPr>
      </w:pPr>
      <w:bookmarkStart w:id="52" w:name="_Toc293736012"/>
      <w:bookmarkStart w:id="53" w:name="_Toc446599312"/>
      <w:bookmarkStart w:id="54" w:name="_Toc293736055"/>
      <w:bookmarkStart w:id="55" w:name="_Toc293738993"/>
      <w:bookmarkStart w:id="56" w:name="_Toc14474"/>
      <w:r>
        <w:rPr>
          <w:rFonts w:hint="eastAsia"/>
          <w:highlight w:val="none"/>
        </w:rPr>
        <w:t>三、响应文件的编制和数量</w:t>
      </w:r>
      <w:bookmarkEnd w:id="52"/>
      <w:bookmarkEnd w:id="53"/>
      <w:bookmarkEnd w:id="54"/>
      <w:bookmarkEnd w:id="55"/>
      <w:bookmarkEnd w:id="56"/>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3.1．响应文件的语言</w:t>
      </w:r>
    </w:p>
    <w:p>
      <w:pPr>
        <w:pStyle w:val="7"/>
        <w:spacing w:line="500" w:lineRule="exact"/>
        <w:ind w:firstLine="541" w:firstLineChars="202"/>
        <w:rPr>
          <w:rFonts w:ascii="宋体" w:hAnsi="宋体"/>
          <w:spacing w:val="-6"/>
          <w:sz w:val="28"/>
          <w:szCs w:val="28"/>
          <w:highlight w:val="none"/>
        </w:rPr>
      </w:pPr>
      <w:r>
        <w:rPr>
          <w:rFonts w:hint="eastAsia" w:ascii="宋体" w:hAnsi="宋体"/>
          <w:spacing w:val="-6"/>
          <w:sz w:val="28"/>
          <w:szCs w:val="28"/>
          <w:highlight w:val="none"/>
        </w:rPr>
        <w:t>3.1.1供应商提交的响应文件以及供应商与</w:t>
      </w:r>
      <w:r>
        <w:rPr>
          <w:rFonts w:hint="eastAsia" w:ascii="宋体" w:hAnsi="宋体"/>
          <w:sz w:val="28"/>
          <w:szCs w:val="28"/>
          <w:highlight w:val="none"/>
        </w:rPr>
        <w:t>采购人或者采购代理机构</w:t>
      </w:r>
      <w:r>
        <w:rPr>
          <w:rFonts w:hint="eastAsia" w:ascii="宋体" w:hAnsi="宋体"/>
          <w:spacing w:val="-6"/>
          <w:sz w:val="28"/>
          <w:szCs w:val="28"/>
          <w:highlight w:val="none"/>
        </w:rPr>
        <w:t>就有关磋商的所有来往函电均应使用中文简体。供应商提交的支持文件或印刷的文献可以用另一种语言，但相应内容应附有中文简体翻译本，在解释响应文件的修改内容时以中文简体翻译本为准。</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3.2响应文件的构成</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3.2.1供应商编制的响应文件应包括但不少于下列内容：</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（1)</w:t>
      </w:r>
      <w:r>
        <w:rPr>
          <w:rFonts w:hint="eastAsia" w:ascii="宋体" w:hAnsi="宋体"/>
          <w:spacing w:val="-6"/>
          <w:sz w:val="28"/>
          <w:szCs w:val="28"/>
          <w:highlight w:val="none"/>
        </w:rPr>
        <w:t>商务</w:t>
      </w:r>
      <w:r>
        <w:rPr>
          <w:rFonts w:hint="eastAsia" w:ascii="宋体" w:hAnsi="宋体"/>
          <w:sz w:val="28"/>
          <w:szCs w:val="28"/>
          <w:highlight w:val="none"/>
        </w:rPr>
        <w:t>文件内容（详见第六章商务文件组成）</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（2)技术文件内容（详见第六章技术文件组成）</w:t>
      </w:r>
    </w:p>
    <w:p>
      <w:pPr>
        <w:pStyle w:val="19"/>
        <w:spacing w:line="600" w:lineRule="exact"/>
        <w:ind w:firstLine="565" w:firstLineChars="201"/>
        <w:contextualSpacing/>
        <w:rPr>
          <w:rFonts w:hAnsi="宋体"/>
          <w:b/>
          <w:sz w:val="28"/>
          <w:szCs w:val="28"/>
          <w:highlight w:val="none"/>
        </w:rPr>
      </w:pPr>
      <w:r>
        <w:rPr>
          <w:rFonts w:hint="eastAsia" w:hAnsi="宋体"/>
          <w:b/>
          <w:sz w:val="28"/>
          <w:szCs w:val="28"/>
          <w:highlight w:val="none"/>
        </w:rPr>
        <w:t>3.3响应文件编制</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3.3.1供应商应将响应文件按顺序胶装订成册，并编制响应文件资料目录。</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 xml:space="preserve">3.3.2响应文件应采用A4规格纸张进行打印并装订，对未经装订的响应文件可能发生的文件散落或缺损，由此产生的后果其责任由供应商承担； </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3.3.3响应文件须加盖供应商单位公章，并由法定代表人或经其正式授权的代表签字。如为授权代表签字，其《法定代表人授权书》应附在响应文件中。否则视为无效响应文件。</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 xml:space="preserve">3.3.4供应商应完整地填写磋商文件中提供的《竞争性磋商响应函》、《竞争性磋商报价一览表》、《竞争性磋商报价明细表》等磋商文件中规定的所有内容。 </w:t>
      </w:r>
    </w:p>
    <w:p>
      <w:pPr>
        <w:pStyle w:val="7"/>
        <w:spacing w:line="500" w:lineRule="exact"/>
        <w:ind w:firstLine="565" w:firstLineChars="202"/>
        <w:rPr>
          <w:rFonts w:ascii="宋体" w:hAnsi="宋体"/>
          <w:sz w:val="28"/>
          <w:szCs w:val="28"/>
          <w:highlight w:val="none"/>
        </w:rPr>
      </w:pPr>
      <w:r>
        <w:rPr>
          <w:rFonts w:hint="eastAsia" w:ascii="宋体" w:hAnsi="宋体"/>
          <w:sz w:val="28"/>
          <w:szCs w:val="28"/>
          <w:highlight w:val="none"/>
        </w:rPr>
        <w:t xml:space="preserve">3.3.5供应商必须保证响应文件所提供的全部资料真实可靠，并接受采购人或者采购代理机构对其中任何资料进一步核实的要求。 </w:t>
      </w:r>
    </w:p>
    <w:p>
      <w:pPr>
        <w:pStyle w:val="19"/>
        <w:spacing w:line="600" w:lineRule="exact"/>
        <w:ind w:firstLine="562" w:firstLineChars="201"/>
        <w:contextualSpacing/>
        <w:rPr>
          <w:rFonts w:hAnsi="宋体"/>
          <w:b w:val="0"/>
          <w:bCs/>
          <w:sz w:val="28"/>
          <w:szCs w:val="28"/>
          <w:highlight w:val="none"/>
        </w:rPr>
      </w:pPr>
      <w:r>
        <w:rPr>
          <w:rFonts w:hint="eastAsia" w:hAnsi="宋体"/>
          <w:b w:val="0"/>
          <w:bCs/>
          <w:sz w:val="28"/>
          <w:szCs w:val="28"/>
          <w:highlight w:val="none"/>
        </w:rPr>
        <w:t>3.4. 磋商报价要求</w:t>
      </w:r>
    </w:p>
    <w:p>
      <w:pPr>
        <w:pStyle w:val="19"/>
        <w:spacing w:line="600" w:lineRule="exact"/>
        <w:ind w:firstLine="562" w:firstLineChars="201"/>
        <w:contextualSpacing/>
        <w:rPr>
          <w:rFonts w:hAnsi="宋体"/>
          <w:b w:val="0"/>
          <w:bCs/>
          <w:color w:val="auto"/>
          <w:sz w:val="28"/>
          <w:szCs w:val="28"/>
          <w:highlight w:val="none"/>
        </w:rPr>
      </w:pPr>
      <w:bookmarkStart w:id="57" w:name="EB20bfd034d28243b695465f1d69cad174"/>
      <w:r>
        <w:rPr>
          <w:rFonts w:hint="eastAsia" w:hAnsi="宋体"/>
          <w:b w:val="0"/>
          <w:bCs/>
          <w:color w:val="auto"/>
          <w:sz w:val="28"/>
          <w:szCs w:val="28"/>
          <w:highlight w:val="none"/>
        </w:rPr>
        <w:t>3.4.1供应商所提供的货物和服务均以人民币报价。</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3.4.2供应商应按照“第三章 采购需求”规定的货物、服务内容、责任范围以及合同条款进行报价。并按《竞争性磋商报价一览表》和《竞争性磋商报价明细表》确定的格式报出分项价格和总价。磋商报价应为优惠后的报价，任何报价上的优惠应体现在各分项报价中，国家规定的各项税费不得优惠。磋商报价中不得包含磋商文件要求</w:t>
      </w:r>
      <w:r>
        <w:rPr>
          <w:rFonts w:hint="eastAsia" w:hAnsi="宋体"/>
          <w:b/>
          <w:color w:val="auto"/>
          <w:sz w:val="28"/>
          <w:szCs w:val="28"/>
          <w:highlight w:val="none"/>
        </w:rPr>
        <w:t>以</w:t>
      </w:r>
      <w:r>
        <w:rPr>
          <w:rFonts w:hint="eastAsia" w:hAnsi="宋体"/>
          <w:b w:val="0"/>
          <w:bCs/>
          <w:color w:val="auto"/>
          <w:sz w:val="28"/>
          <w:szCs w:val="28"/>
          <w:highlight w:val="none"/>
        </w:rPr>
        <w:t>外的内容，否则，在评审时不予核减。磋商报价中也不得缺漏磋商文件所要求的内容，否则，在评审时将被视为已包含在磋商报价中。</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3.4.3《竞争性磋商报价明细表》填写时应响应下列要求：</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（1）对于报价免费的项目应标明“免费”；</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（2）所有根据合同或其它原因应由供应商支付的税款和其它应交纳的费用都要包括在供应商提交的磋商总价中；</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（3）应包含货物运至最终目的地的运输、保险和伴随货物服务的有关费用。</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3.4.5每一种规格的货物、服务只允许有一个报价，否则将被视为无效响应文件。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3.4.6供应商所报的总价在合同执行过程中是固定不变的，不得以任何理由予以变更。</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3.4.7供应商的最后磋商报价不得超过项目采购预算或最高限价，否则将被视为无效响应文件。</w:t>
      </w:r>
      <w:bookmarkEnd w:id="57"/>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3.5备选方案</w:t>
      </w:r>
    </w:p>
    <w:p>
      <w:pPr>
        <w:pStyle w:val="7"/>
        <w:spacing w:line="500" w:lineRule="exact"/>
        <w:ind w:firstLine="565" w:firstLineChars="202"/>
        <w:rPr>
          <w:rFonts w:ascii="宋体" w:hAnsi="宋体"/>
          <w:b w:val="0"/>
          <w:bCs/>
          <w:color w:val="auto"/>
          <w:kern w:val="0"/>
          <w:sz w:val="28"/>
          <w:szCs w:val="28"/>
          <w:highlight w:val="none"/>
        </w:rPr>
      </w:pPr>
      <w:r>
        <w:rPr>
          <w:rFonts w:hint="eastAsia" w:ascii="宋体" w:hAnsi="宋体"/>
          <w:b w:val="0"/>
          <w:bCs/>
          <w:color w:val="auto"/>
          <w:sz w:val="28"/>
          <w:szCs w:val="28"/>
          <w:highlight w:val="none"/>
        </w:rPr>
        <w:t>3.5.1</w:t>
      </w:r>
      <w:r>
        <w:rPr>
          <w:rFonts w:hint="eastAsia" w:ascii="宋体" w:hAnsi="宋体"/>
          <w:b w:val="0"/>
          <w:bCs/>
          <w:color w:val="auto"/>
          <w:kern w:val="0"/>
          <w:sz w:val="28"/>
          <w:szCs w:val="28"/>
          <w:highlight w:val="none"/>
        </w:rPr>
        <w:t>供应商应按照供应商须知前附表要求编制磋商备选方案，否则</w:t>
      </w:r>
      <w:r>
        <w:rPr>
          <w:rFonts w:hint="eastAsia" w:ascii="宋体" w:hAnsi="宋体"/>
          <w:b w:val="0"/>
          <w:bCs/>
          <w:color w:val="auto"/>
          <w:sz w:val="28"/>
          <w:szCs w:val="28"/>
          <w:highlight w:val="none"/>
        </w:rPr>
        <w:t>将被视为无效响应文件</w:t>
      </w:r>
      <w:r>
        <w:rPr>
          <w:rFonts w:hint="eastAsia" w:ascii="宋体" w:hAnsi="宋体"/>
          <w:b w:val="0"/>
          <w:bCs/>
          <w:color w:val="auto"/>
          <w:kern w:val="0"/>
          <w:sz w:val="28"/>
          <w:szCs w:val="28"/>
          <w:highlight w:val="none"/>
        </w:rPr>
        <w:t>。</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3.6联合体</w:t>
      </w:r>
    </w:p>
    <w:p>
      <w:pPr>
        <w:pStyle w:val="19"/>
        <w:spacing w:line="600" w:lineRule="exact"/>
        <w:ind w:firstLine="562" w:firstLineChars="201"/>
        <w:contextualSpacing/>
        <w:rPr>
          <w:rFonts w:hAnsi="宋体"/>
          <w:b w:val="0"/>
          <w:bCs/>
          <w:color w:val="auto"/>
          <w:sz w:val="28"/>
          <w:szCs w:val="28"/>
          <w:highlight w:val="none"/>
        </w:rPr>
      </w:pPr>
      <w:bookmarkStart w:id="58" w:name="EB170321f6ca304020aeb55fe45d97f9b0"/>
      <w:r>
        <w:rPr>
          <w:rFonts w:hint="eastAsia" w:hAnsi="宋体"/>
          <w:b w:val="0"/>
          <w:bCs/>
          <w:color w:val="auto"/>
          <w:sz w:val="28"/>
          <w:szCs w:val="28"/>
          <w:highlight w:val="none"/>
        </w:rPr>
        <w:t>3.6.1两个以上供应商可以组成一个联合体，以一个供应商的身份共同参与磋商。</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3.6.2采取联合体形式磋商的，联合体各方均应当符合政府采购法第二十二条规定的条件。采购人根据采购项目的特殊要求规定供应商特定条件的，联合体各方中至少有一方符合磋商文件规定的特定条件。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3.6.3联合体各方之间必须签订联合磋商协议，明确约定联合体主体及各方承担的工作和相应的责任，其响应文件中必须提供联合磋商协议。</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3.6.4以联合体形式参加政府采购活动的，联合体各方不得再单独参加或者与其他供应商另外组成联合体参加同一合同项下的政府采购活动。</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3.6.5采取联合体形式投标的，其响应文件必须由联合体所有成员或其各自正式书面授权的代表签署（盖章），以便对所有成员作为整体及作为个体均具有法律约束力。</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3.6.6联合体成交的，联合体各方应当共同与采购人签订采购合同。</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3.6.7联合体中有同类资质的供应商按照联合体分工承担相同工作的，应当按照资质等级较低的供应商确定资质等级。</w:t>
      </w:r>
      <w:bookmarkEnd w:id="58"/>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3.7. 供应商资格证明文件</w:t>
      </w:r>
    </w:p>
    <w:p>
      <w:pPr>
        <w:pStyle w:val="19"/>
        <w:spacing w:line="600" w:lineRule="exact"/>
        <w:ind w:firstLine="562" w:firstLineChars="201"/>
        <w:contextualSpacing/>
        <w:rPr>
          <w:rFonts w:hAnsi="宋体"/>
          <w:b w:val="0"/>
          <w:bCs/>
          <w:color w:val="auto"/>
          <w:sz w:val="28"/>
          <w:szCs w:val="28"/>
          <w:highlight w:val="none"/>
        </w:rPr>
      </w:pPr>
      <w:bookmarkStart w:id="59" w:name="EBae5dd0325787497e80795be9105ebbf6"/>
      <w:r>
        <w:rPr>
          <w:rFonts w:hint="eastAsia" w:hAnsi="宋体"/>
          <w:b w:val="0"/>
          <w:bCs/>
          <w:color w:val="auto"/>
          <w:sz w:val="28"/>
          <w:szCs w:val="28"/>
          <w:highlight w:val="none"/>
        </w:rPr>
        <w:t>3.7.1供应商应提交证明其有资格参加磋商和成交后有能力履行合同的文件，并作为其响应文件的一部分。</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3.7.2资格证明文件必须真实可靠、不得伪造。</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3.7.3供应商相关资格证明文件：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（1）法人或者其他组织的营业执照等证明文件，自然人的身份证明；</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（2）财务状况报告，依法缴纳税收和社会保障资金的相关材料；</w:t>
      </w:r>
    </w:p>
    <w:p>
      <w:pPr>
        <w:pStyle w:val="19"/>
        <w:spacing w:line="600" w:lineRule="exact"/>
        <w:ind w:firstLine="562" w:firstLineChars="201"/>
        <w:contextualSpacing/>
        <w:rPr>
          <w:rFonts w:hAnsi="宋体"/>
          <w:b/>
          <w:color w:val="auto"/>
          <w:sz w:val="28"/>
          <w:szCs w:val="28"/>
          <w:highlight w:val="none"/>
        </w:rPr>
      </w:pPr>
      <w:r>
        <w:rPr>
          <w:rFonts w:hint="eastAsia" w:hAnsi="宋体"/>
          <w:b w:val="0"/>
          <w:bCs/>
          <w:color w:val="auto"/>
          <w:sz w:val="28"/>
          <w:szCs w:val="28"/>
          <w:highlight w:val="none"/>
        </w:rPr>
        <w:t>（3）具备履行合同所必需的设备和专业技术能力的证明材料；</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（4）参加政府采购活动前3年内在经营活动中没有重大违法记录的书面声明；</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（5）具备法律、行政法规规定的其他条件的证明材料；</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（6）采购项目有特殊要求的，供应商还应当提供其符合特殊要求的证明材料或者情况说明；</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（7）信用信息查询记录；</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（8）磋商文件要求或供应商认为需提供的其它相关资格证明材料。</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3.7.4 证明投标货物、服务的合格性和符合磋商文件规定的文件。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采取资格预审方式项目的投标人在递交投标文件时，其资格条件与资格预审时发生变化的，提交变化后的资料。</w:t>
      </w:r>
    </w:p>
    <w:bookmarkEnd w:id="59"/>
    <w:p>
      <w:pPr>
        <w:pStyle w:val="19"/>
        <w:spacing w:line="600" w:lineRule="exact"/>
        <w:ind w:firstLine="562" w:firstLineChars="201"/>
        <w:contextualSpacing/>
        <w:rPr>
          <w:rFonts w:hAnsi="宋体"/>
          <w:b w:val="0"/>
          <w:bCs/>
          <w:color w:val="auto"/>
          <w:sz w:val="28"/>
          <w:szCs w:val="28"/>
          <w:highlight w:val="none"/>
        </w:rPr>
      </w:pP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3.8. 磋商保证金：本项目不收取磋商保证金。</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3.9. 磋商的有效期</w:t>
      </w:r>
    </w:p>
    <w:p>
      <w:pPr>
        <w:pStyle w:val="19"/>
        <w:spacing w:line="600" w:lineRule="exact"/>
        <w:ind w:firstLine="562" w:firstLineChars="201"/>
        <w:contextualSpacing/>
        <w:rPr>
          <w:rFonts w:hAnsi="宋体"/>
          <w:b w:val="0"/>
          <w:bCs/>
          <w:color w:val="auto"/>
          <w:sz w:val="28"/>
          <w:szCs w:val="28"/>
          <w:highlight w:val="none"/>
        </w:rPr>
      </w:pPr>
      <w:bookmarkStart w:id="60" w:name="EB3096edf638b14e94aa781ece98309a08"/>
      <w:r>
        <w:rPr>
          <w:rFonts w:hint="eastAsia" w:hAnsi="宋体"/>
          <w:b w:val="0"/>
          <w:bCs/>
          <w:color w:val="auto"/>
          <w:sz w:val="28"/>
          <w:szCs w:val="28"/>
          <w:highlight w:val="none"/>
        </w:rPr>
        <w:t>3.9.1磋商有效期详见供应商须知前附表。磋商有效期从提交响应文件的截止之日起算。响应文件中承诺的磋商有效期应当不少于磋商文件中载明的磋商有效期。磋商有效期不足，将被视为无效响应文件。</w:t>
      </w:r>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3.9.2特殊情况下，在原磋商有效期截止之前，采购人或者采购代理机构可要求供应商延长磋商有效期。这种要求与答复均应以书面形式提交。供应商可拒绝采购人或者采购代理机构的这种要求，其磋商保证金将不会被没收，但其磋商在原磋商有效期期满后将不再有效。同意延长磋商有效期的供应商将不会被要求和允许修正其磋商，而只会被要求相应地延长其磋商保证金的有效期。在这种情况下，本须知第3.8（条）有关磋商保证金的退还和没收的规定将在延长了的有效期内继续有效。</w:t>
      </w:r>
      <w:bookmarkEnd w:id="60"/>
    </w:p>
    <w:p>
      <w:pPr>
        <w:widowControl/>
        <w:wordWrap w:val="0"/>
        <w:spacing w:before="100" w:beforeAutospacing="1" w:after="100" w:afterAutospacing="1" w:line="500" w:lineRule="atLeast"/>
        <w:ind w:firstLine="567"/>
        <w:rPr>
          <w:rFonts w:ascii="微软雅黑" w:hAnsi="微软雅黑" w:eastAsia="微软雅黑" w:cs="宋体"/>
          <w:b w:val="0"/>
          <w:bCs w:val="0"/>
          <w:color w:val="auto"/>
          <w:kern w:val="0"/>
          <w:sz w:val="16"/>
          <w:szCs w:val="16"/>
          <w:highlight w:val="none"/>
        </w:rPr>
      </w:pPr>
      <w:r>
        <w:rPr>
          <w:rFonts w:hint="eastAsia" w:ascii="宋体" w:hAnsi="宋体" w:cs="宋体"/>
          <w:b w:val="0"/>
          <w:bCs w:val="0"/>
          <w:color w:val="auto"/>
          <w:kern w:val="0"/>
          <w:sz w:val="28"/>
          <w:szCs w:val="28"/>
          <w:highlight w:val="none"/>
        </w:rPr>
        <w:t>3.10相同品牌产品评审原则</w:t>
      </w:r>
    </w:p>
    <w:p>
      <w:pPr>
        <w:widowControl/>
        <w:wordWrap w:val="0"/>
        <w:spacing w:before="100" w:beforeAutospacing="1" w:after="100" w:afterAutospacing="1" w:line="500" w:lineRule="atLeast"/>
        <w:ind w:firstLine="567"/>
        <w:rPr>
          <w:rFonts w:ascii="微软雅黑" w:hAnsi="微软雅黑" w:eastAsia="微软雅黑" w:cs="宋体"/>
          <w:color w:val="auto"/>
          <w:kern w:val="0"/>
          <w:sz w:val="16"/>
          <w:szCs w:val="16"/>
          <w:highlight w:val="none"/>
        </w:rPr>
      </w:pPr>
      <w:r>
        <w:rPr>
          <w:rFonts w:hint="eastAsia" w:ascii="宋体" w:hAnsi="宋体" w:cs="宋体"/>
          <w:color w:val="auto"/>
          <w:kern w:val="0"/>
          <w:sz w:val="28"/>
          <w:szCs w:val="28"/>
          <w:highlight w:val="none"/>
        </w:rPr>
        <w:t>3.10.1提供相同品牌产品的不同供应商参加同一合同项下采购活动的，以其中通过资格审查、符合性审查且评审报价（专门面向中小型企业的项目按最后报价）最低的参加评审；报价相同的，由采购人或者采购人委托磋商小组按照磋商文件规定的方式确定一个参加评审的供应商，磋商文件未规定的采取随机抽取方式确定，其他供应商不参与评审。</w:t>
      </w:r>
    </w:p>
    <w:p>
      <w:pPr>
        <w:widowControl/>
        <w:wordWrap w:val="0"/>
        <w:spacing w:before="100" w:beforeAutospacing="1" w:after="100" w:afterAutospacing="1" w:line="500" w:lineRule="atLeast"/>
        <w:ind w:firstLine="567"/>
        <w:rPr>
          <w:rFonts w:ascii="微软雅黑" w:hAnsi="微软雅黑" w:eastAsia="微软雅黑" w:cs="宋体"/>
          <w:color w:val="auto"/>
          <w:kern w:val="0"/>
          <w:sz w:val="16"/>
          <w:szCs w:val="16"/>
          <w:highlight w:val="none"/>
        </w:rPr>
      </w:pPr>
      <w:r>
        <w:rPr>
          <w:rFonts w:hint="eastAsia" w:ascii="宋体" w:hAnsi="宋体" w:cs="宋体"/>
          <w:color w:val="auto"/>
          <w:kern w:val="0"/>
          <w:sz w:val="28"/>
          <w:szCs w:val="28"/>
          <w:highlight w:val="none"/>
        </w:rPr>
        <w:t>3.10.2非单一产品采购项目，采购人应当根据采购项目技术构成、产品价格比重等合理确定核心产品，并在磋商文件中载明。多家供应商提供的核心产品品牌相同的，按前款规定处理。</w:t>
      </w:r>
    </w:p>
    <w:p>
      <w:pPr>
        <w:pStyle w:val="19"/>
        <w:spacing w:line="600" w:lineRule="exact"/>
        <w:ind w:firstLine="565" w:firstLineChars="201"/>
        <w:contextualSpacing/>
        <w:rPr>
          <w:rFonts w:hAnsi="宋体"/>
          <w:b/>
          <w:color w:val="auto"/>
          <w:sz w:val="28"/>
          <w:szCs w:val="28"/>
          <w:highlight w:val="none"/>
        </w:rPr>
      </w:pPr>
    </w:p>
    <w:p>
      <w:pPr>
        <w:rPr>
          <w:color w:val="auto"/>
          <w:highlight w:val="none"/>
        </w:rPr>
      </w:pPr>
      <w:bookmarkStart w:id="61" w:name="EB2d5202dcc05e40d8b0bf36aa0f2feac2"/>
      <w:bookmarkEnd w:id="61"/>
      <w:bookmarkStart w:id="62" w:name="EB9c658f36328241b1a10f382105454b9e"/>
      <w:bookmarkEnd w:id="62"/>
      <w:bookmarkStart w:id="63" w:name="EBbc0950a281e4479d925ee5f7e9be01b0"/>
      <w:bookmarkEnd w:id="63"/>
    </w:p>
    <w:p>
      <w:pPr>
        <w:pStyle w:val="6"/>
        <w:rPr>
          <w:color w:val="auto"/>
          <w:highlight w:val="none"/>
        </w:rPr>
      </w:pPr>
      <w:bookmarkStart w:id="64" w:name="_Toc293736013"/>
      <w:bookmarkStart w:id="65" w:name="_Toc293738994"/>
      <w:bookmarkStart w:id="66" w:name="_Toc13252"/>
      <w:bookmarkStart w:id="67" w:name="_Toc446599313"/>
      <w:bookmarkStart w:id="68" w:name="_Toc293736056"/>
      <w:r>
        <w:rPr>
          <w:rFonts w:hint="eastAsia"/>
          <w:color w:val="auto"/>
          <w:highlight w:val="none"/>
        </w:rPr>
        <w:t>四、响应文件的递交</w:t>
      </w:r>
      <w:bookmarkEnd w:id="64"/>
      <w:bookmarkEnd w:id="65"/>
      <w:bookmarkEnd w:id="66"/>
      <w:bookmarkEnd w:id="67"/>
      <w:bookmarkEnd w:id="68"/>
    </w:p>
    <w:p>
      <w:pPr>
        <w:pStyle w:val="19"/>
        <w:spacing w:line="600" w:lineRule="exact"/>
        <w:ind w:firstLine="562" w:firstLineChars="201"/>
        <w:contextualSpacing/>
        <w:rPr>
          <w:rFonts w:hAnsi="宋体"/>
          <w:b w:val="0"/>
          <w:bCs/>
          <w:color w:val="auto"/>
          <w:sz w:val="28"/>
          <w:szCs w:val="28"/>
          <w:highlight w:val="none"/>
        </w:rPr>
      </w:pPr>
      <w:r>
        <w:rPr>
          <w:rFonts w:hint="eastAsia" w:hAnsi="宋体"/>
          <w:b w:val="0"/>
          <w:bCs/>
          <w:color w:val="auto"/>
          <w:sz w:val="28"/>
          <w:szCs w:val="28"/>
          <w:highlight w:val="none"/>
        </w:rPr>
        <w:t>4.1 响应文件的密封和标记</w:t>
      </w:r>
    </w:p>
    <w:p>
      <w:pPr>
        <w:pStyle w:val="7"/>
        <w:spacing w:line="500" w:lineRule="exact"/>
        <w:ind w:firstLine="565" w:firstLineChars="202"/>
        <w:rPr>
          <w:rFonts w:ascii="宋体" w:hAnsi="宋体" w:cs="宋体"/>
          <w:color w:val="auto"/>
          <w:kern w:val="0"/>
          <w:sz w:val="28"/>
          <w:szCs w:val="28"/>
          <w:highlight w:val="none"/>
        </w:rPr>
      </w:pPr>
      <w:bookmarkStart w:id="69" w:name="EB388381c6665a43c3a5d7419c3f0167af"/>
      <w:r>
        <w:rPr>
          <w:rFonts w:hint="eastAsia" w:ascii="宋体" w:hAnsi="宋体" w:cs="宋体"/>
          <w:color w:val="auto"/>
          <w:kern w:val="0"/>
          <w:sz w:val="28"/>
          <w:szCs w:val="28"/>
          <w:highlight w:val="none"/>
        </w:rPr>
        <w:t>4.1.1供应商应当编制响应文件正本一份，副本一份，须在响应文件封面上清楚地标明“正本”或“副本”字样。一旦正本和副本不符，以正本为准。电子响应文件一份,载体为U盘，电子文件应为正本文件，电子文件命名公司名称、项目编号，U盘外应标明投标公司名称、项目编号。</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auto"/>
          <w:kern w:val="0"/>
          <w:sz w:val="28"/>
          <w:szCs w:val="28"/>
          <w:highlight w:val="none"/>
        </w:rPr>
        <w:t>4.1.2响应文件的副本可为正本的复印件，正本由供应商法定代表人或其授权代表签字（响应文件不得活页装订，应采用胶包装订的方式）。授权代表须将 “法人授权书”（原件）附在正本响应文件</w:t>
      </w:r>
      <w:r>
        <w:rPr>
          <w:rFonts w:hint="eastAsia" w:ascii="宋体" w:hAnsi="宋体" w:cs="宋体"/>
          <w:color w:val="333333"/>
          <w:kern w:val="0"/>
          <w:sz w:val="28"/>
          <w:szCs w:val="28"/>
          <w:highlight w:val="none"/>
        </w:rPr>
        <w:t>中。</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333333"/>
          <w:kern w:val="0"/>
          <w:sz w:val="28"/>
          <w:szCs w:val="28"/>
          <w:highlight w:val="none"/>
        </w:rPr>
        <w:t>4.1.3除供应商在磋商工作对磋商文件表达不清处做必要修改外，响应文件不得行间插字、涂改或增删。如有修改错漏处，必须由响应文件签署人签字或盖章，否则视为无效磋商。</w:t>
      </w:r>
    </w:p>
    <w:p>
      <w:pPr>
        <w:pStyle w:val="19"/>
        <w:spacing w:line="600" w:lineRule="exact"/>
        <w:ind w:firstLine="484" w:firstLineChars="201"/>
        <w:contextualSpacing/>
        <w:rPr>
          <w:rFonts w:hAnsi="宋体"/>
          <w:b/>
          <w:sz w:val="24"/>
          <w:szCs w:val="24"/>
          <w:highlight w:val="none"/>
        </w:rPr>
      </w:pPr>
      <w:r>
        <w:rPr>
          <w:rFonts w:hint="eastAsia" w:hAnsi="宋体"/>
          <w:b/>
          <w:sz w:val="24"/>
          <w:szCs w:val="24"/>
          <w:highlight w:val="none"/>
        </w:rPr>
        <w:t>4.2响应文件的递交</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4.2.1、供应商应将响应文件正本和副本密封，并加盖单位公章。在磋商文件规定的截止时间前递交的磋商响应文件，响应文件均不退回。</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4.2.2密封的响应文件应注意：</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（1）注明供应商名称，并按竞争性磋商公告中注明的地址送达；</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（2）注明磋商项目名称、项目编号及“请勿在2020年 月 日  （响应文件提交截止时间）之前启封”的字样；</w:t>
      </w:r>
    </w:p>
    <w:p>
      <w:pPr>
        <w:pStyle w:val="19"/>
        <w:spacing w:line="600" w:lineRule="exact"/>
        <w:ind w:firstLine="562" w:firstLineChars="201"/>
        <w:contextualSpacing/>
        <w:rPr>
          <w:rFonts w:hAnsi="宋体" w:cs="宋体"/>
          <w:color w:val="333333"/>
          <w:kern w:val="0"/>
          <w:sz w:val="28"/>
          <w:szCs w:val="28"/>
          <w:highlight w:val="none"/>
        </w:rPr>
      </w:pPr>
      <w:r>
        <w:rPr>
          <w:rFonts w:hint="eastAsia" w:hAnsi="宋体" w:cs="宋体"/>
          <w:color w:val="333333"/>
          <w:kern w:val="0"/>
          <w:sz w:val="28"/>
          <w:szCs w:val="28"/>
          <w:highlight w:val="none"/>
        </w:rPr>
        <w:t>（3）如因标注不清而产生的后果由供应商自负。</w:t>
      </w:r>
    </w:p>
    <w:p>
      <w:pPr>
        <w:pStyle w:val="19"/>
        <w:spacing w:line="600" w:lineRule="exact"/>
        <w:ind w:firstLine="562" w:firstLineChars="201"/>
        <w:contextualSpacing/>
        <w:rPr>
          <w:rFonts w:hAnsi="宋体" w:cs="宋体"/>
          <w:kern w:val="0"/>
          <w:sz w:val="22"/>
          <w:highlight w:val="none"/>
        </w:rPr>
      </w:pPr>
      <w:r>
        <w:rPr>
          <w:rFonts w:hint="eastAsia" w:hAnsi="宋体" w:cs="宋体"/>
          <w:color w:val="333333"/>
          <w:kern w:val="0"/>
          <w:sz w:val="28"/>
          <w:szCs w:val="28"/>
          <w:highlight w:val="none"/>
        </w:rPr>
        <w:t>4.2.3未按要求密封和加写标记，采购单位对误投或过早启封概不负责。对由此造成提前开封的响应文件，采购单位将予以拒绝。</w:t>
      </w:r>
    </w:p>
    <w:p>
      <w:pPr>
        <w:pStyle w:val="19"/>
        <w:spacing w:line="600" w:lineRule="exact"/>
        <w:ind w:firstLine="484" w:firstLineChars="201"/>
        <w:contextualSpacing/>
        <w:rPr>
          <w:rFonts w:hAnsi="宋体"/>
          <w:b/>
          <w:sz w:val="24"/>
          <w:szCs w:val="24"/>
          <w:highlight w:val="none"/>
        </w:rPr>
      </w:pPr>
      <w:r>
        <w:rPr>
          <w:rFonts w:hint="eastAsia" w:hAnsi="宋体"/>
          <w:b/>
          <w:sz w:val="24"/>
          <w:szCs w:val="24"/>
          <w:highlight w:val="none"/>
        </w:rPr>
        <w:t>4.3迟交的响应文件</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333333"/>
          <w:kern w:val="0"/>
          <w:sz w:val="28"/>
          <w:szCs w:val="28"/>
          <w:highlight w:val="none"/>
        </w:rPr>
        <w:t>采购单位将拒绝并原封退回在规定的截止期后收到的任何响应文件。</w:t>
      </w:r>
    </w:p>
    <w:p>
      <w:pPr>
        <w:pStyle w:val="7"/>
        <w:spacing w:line="500" w:lineRule="exact"/>
        <w:ind w:firstLine="487" w:firstLineChars="202"/>
        <w:rPr>
          <w:rFonts w:ascii="宋体" w:hAnsi="宋体"/>
          <w:b/>
          <w:sz w:val="24"/>
          <w:szCs w:val="24"/>
          <w:highlight w:val="none"/>
        </w:rPr>
      </w:pPr>
      <w:r>
        <w:rPr>
          <w:rFonts w:hint="eastAsia" w:ascii="宋体" w:hAnsi="宋体"/>
          <w:b/>
          <w:sz w:val="24"/>
          <w:szCs w:val="24"/>
          <w:highlight w:val="none"/>
        </w:rPr>
        <w:t>4.4响应文件的修改和撤回</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333333"/>
          <w:kern w:val="0"/>
          <w:sz w:val="28"/>
          <w:szCs w:val="28"/>
          <w:highlight w:val="none"/>
        </w:rPr>
        <w:t>4.4.1供应商在提交响应文件截止时间前，可以对所提交的响应文件进行补充、修改或者撤回，并书面通知采购人或采购代理机构。补充、修改的内容作为响应文件的组成部分。补充、修改的内容与响应文件不一致的，以补充、修改的内容为准。</w:t>
      </w:r>
    </w:p>
    <w:p>
      <w:pPr>
        <w:pStyle w:val="7"/>
        <w:spacing w:line="500" w:lineRule="exact"/>
        <w:ind w:firstLine="565" w:firstLineChars="202"/>
        <w:rPr>
          <w:rFonts w:ascii="宋体" w:hAnsi="宋体" w:cs="宋体"/>
          <w:color w:val="333333"/>
          <w:kern w:val="0"/>
          <w:sz w:val="28"/>
          <w:szCs w:val="28"/>
          <w:highlight w:val="none"/>
        </w:rPr>
      </w:pPr>
      <w:r>
        <w:rPr>
          <w:rFonts w:hint="eastAsia" w:ascii="宋体" w:hAnsi="宋体" w:cs="宋体"/>
          <w:color w:val="333333"/>
          <w:kern w:val="0"/>
          <w:sz w:val="28"/>
          <w:szCs w:val="28"/>
          <w:highlight w:val="none"/>
        </w:rPr>
        <w:t>4.4.2供应商所提交的响应文件在磋商结束后，无论成交与否都不退还。</w:t>
      </w:r>
    </w:p>
    <w:bookmarkEnd w:id="69"/>
    <w:p>
      <w:pPr>
        <w:rPr>
          <w:highlight w:val="none"/>
        </w:rPr>
      </w:pPr>
      <w:bookmarkStart w:id="70" w:name="EB4cc561cbd28f43feb49938d02cdeed65"/>
      <w:bookmarkEnd w:id="70"/>
      <w:bookmarkStart w:id="71" w:name="EBa167508bed01493a80e05ca40487f214"/>
      <w:bookmarkEnd w:id="71"/>
    </w:p>
    <w:p>
      <w:pPr>
        <w:pStyle w:val="6"/>
        <w:rPr>
          <w:highlight w:val="none"/>
        </w:rPr>
      </w:pPr>
      <w:bookmarkStart w:id="72" w:name="_Toc293736014"/>
      <w:bookmarkStart w:id="73" w:name="_Toc293738995"/>
      <w:bookmarkStart w:id="74" w:name="_Toc446599314"/>
      <w:bookmarkStart w:id="75" w:name="_Toc293736057"/>
      <w:bookmarkStart w:id="76" w:name="_Toc2741"/>
      <w:r>
        <w:rPr>
          <w:rFonts w:hint="eastAsia"/>
          <w:highlight w:val="none"/>
        </w:rPr>
        <w:t>五、</w:t>
      </w:r>
      <w:bookmarkEnd w:id="72"/>
      <w:bookmarkEnd w:id="73"/>
      <w:bookmarkEnd w:id="74"/>
      <w:bookmarkEnd w:id="75"/>
      <w:r>
        <w:rPr>
          <w:rFonts w:hint="eastAsia"/>
          <w:highlight w:val="none"/>
        </w:rPr>
        <w:t>竞争性磋商程序</w:t>
      </w:r>
      <w:bookmarkEnd w:id="76"/>
    </w:p>
    <w:p>
      <w:pPr>
        <w:widowControl/>
        <w:spacing w:line="520" w:lineRule="atLeast"/>
        <w:ind w:firstLine="420"/>
        <w:textAlignment w:val="baseline"/>
        <w:rPr>
          <w:rFonts w:ascii="宋体" w:hAnsi="宋体"/>
          <w:b w:val="0"/>
          <w:bCs/>
          <w:sz w:val="28"/>
          <w:szCs w:val="28"/>
          <w:highlight w:val="none"/>
        </w:rPr>
      </w:pPr>
      <w:r>
        <w:rPr>
          <w:rFonts w:hint="eastAsia" w:ascii="宋体" w:hAnsi="宋体"/>
          <w:b w:val="0"/>
          <w:bCs/>
          <w:sz w:val="28"/>
          <w:szCs w:val="28"/>
          <w:highlight w:val="none"/>
        </w:rPr>
        <w:t>5</w:t>
      </w:r>
      <w:r>
        <w:rPr>
          <w:rFonts w:hint="eastAsia" w:ascii="宋体" w:hAnsi="宋体" w:cs="宋体"/>
          <w:b w:val="0"/>
          <w:bCs/>
          <w:kern w:val="0"/>
          <w:sz w:val="28"/>
          <w:szCs w:val="28"/>
          <w:highlight w:val="none"/>
        </w:rPr>
        <w:t>.</w:t>
      </w:r>
      <w:r>
        <w:rPr>
          <w:rFonts w:hint="eastAsia" w:ascii="宋体" w:hAnsi="宋体"/>
          <w:b w:val="0"/>
          <w:bCs/>
          <w:sz w:val="28"/>
          <w:szCs w:val="28"/>
          <w:highlight w:val="none"/>
        </w:rPr>
        <w:t>1磋商小组的组成</w:t>
      </w:r>
    </w:p>
    <w:p>
      <w:pPr>
        <w:widowControl/>
        <w:spacing w:line="520" w:lineRule="atLeast"/>
        <w:ind w:firstLine="420"/>
        <w:textAlignment w:val="baseline"/>
        <w:rPr>
          <w:rFonts w:ascii="宋体" w:hAnsi="宋体"/>
          <w:b w:val="0"/>
          <w:bCs/>
          <w:color w:val="auto"/>
          <w:sz w:val="28"/>
          <w:szCs w:val="28"/>
          <w:highlight w:val="none"/>
        </w:rPr>
      </w:pPr>
      <w:bookmarkStart w:id="77" w:name="EB947e361d132545e5aa6dd658788b5a57"/>
      <w:r>
        <w:rPr>
          <w:rFonts w:hint="eastAsia" w:ascii="宋体" w:hAnsi="宋体"/>
          <w:b w:val="0"/>
          <w:bCs/>
          <w:color w:val="auto"/>
          <w:sz w:val="28"/>
          <w:szCs w:val="28"/>
          <w:highlight w:val="none"/>
        </w:rPr>
        <w:t>5.1.1磋商小组由采购人代表和评审专家共3人以上单数组成，</w:t>
      </w:r>
      <w:r>
        <w:rPr>
          <w:rFonts w:hint="eastAsia" w:ascii="宋体" w:hAnsi="宋体"/>
          <w:b/>
          <w:color w:val="auto"/>
          <w:sz w:val="28"/>
          <w:szCs w:val="28"/>
          <w:highlight w:val="none"/>
        </w:rPr>
        <w:t>其</w:t>
      </w:r>
      <w:r>
        <w:rPr>
          <w:rFonts w:hint="eastAsia" w:ascii="宋体" w:hAnsi="宋体"/>
          <w:b w:val="0"/>
          <w:bCs/>
          <w:color w:val="auto"/>
          <w:sz w:val="28"/>
          <w:szCs w:val="28"/>
          <w:highlight w:val="none"/>
        </w:rPr>
        <w:t>中评审专家人数不得少于磋商小组成员总数的2/3。采购人代表不得以评审专家身份参加本部门或本单位采购项目的评审。采购代理机构人员不得参加本机构代理的采购项目的评审。</w:t>
      </w:r>
    </w:p>
    <w:p>
      <w:pPr>
        <w:widowControl/>
        <w:spacing w:line="520" w:lineRule="atLeast"/>
        <w:ind w:firstLine="420"/>
        <w:textAlignment w:val="baseline"/>
        <w:rPr>
          <w:rFonts w:ascii="宋体" w:hAnsi="宋体"/>
          <w:b w:val="0"/>
          <w:bCs/>
          <w:color w:val="auto"/>
          <w:sz w:val="28"/>
          <w:szCs w:val="28"/>
          <w:highlight w:val="none"/>
        </w:rPr>
      </w:pPr>
      <w:r>
        <w:rPr>
          <w:rFonts w:hint="eastAsia" w:ascii="宋体" w:hAnsi="宋体"/>
          <w:b w:val="0"/>
          <w:bCs/>
          <w:color w:val="auto"/>
          <w:sz w:val="28"/>
          <w:szCs w:val="28"/>
          <w:highlight w:val="none"/>
        </w:rPr>
        <w:t>5.1．2采用竞争性磋商方式的政府采购项目，评审专家应当从政府采购评审专家库内相关专业的专家名单中随机抽取。特殊情况下、通过随机方式难以确定合适的评审专家的项目，经主管预算单位同意，可以自行选定评审专家。技术复杂、专业性强的采购项目，评审专家中应当包含1名法律专家。</w:t>
      </w:r>
      <w:bookmarkEnd w:id="77"/>
    </w:p>
    <w:p>
      <w:pPr>
        <w:widowControl/>
        <w:spacing w:line="520" w:lineRule="atLeast"/>
        <w:ind w:firstLine="280" w:firstLineChars="100"/>
        <w:textAlignment w:val="baseline"/>
        <w:rPr>
          <w:rFonts w:ascii="宋体" w:hAnsi="宋体"/>
          <w:b w:val="0"/>
          <w:bCs/>
          <w:color w:val="auto"/>
          <w:sz w:val="28"/>
          <w:szCs w:val="28"/>
          <w:highlight w:val="none"/>
        </w:rPr>
      </w:pPr>
      <w:r>
        <w:rPr>
          <w:rFonts w:hint="eastAsia" w:ascii="宋体" w:hAnsi="宋体"/>
          <w:b w:val="0"/>
          <w:bCs/>
          <w:color w:val="auto"/>
          <w:sz w:val="28"/>
          <w:szCs w:val="28"/>
          <w:highlight w:val="none"/>
        </w:rPr>
        <w:t>5.2磋商方法</w:t>
      </w:r>
    </w:p>
    <w:p>
      <w:pPr>
        <w:widowControl/>
        <w:spacing w:line="520" w:lineRule="atLeast"/>
        <w:ind w:firstLine="420"/>
        <w:textAlignment w:val="baseline"/>
        <w:rPr>
          <w:rFonts w:ascii="宋体" w:hAnsi="宋体"/>
          <w:b w:val="0"/>
          <w:bCs/>
          <w:color w:val="auto"/>
          <w:sz w:val="28"/>
          <w:szCs w:val="28"/>
          <w:highlight w:val="none"/>
        </w:rPr>
      </w:pPr>
      <w:bookmarkStart w:id="78" w:name="EBd38609b01d694b1e87dbfd98b6adf252"/>
      <w:r>
        <w:rPr>
          <w:rFonts w:hint="eastAsia" w:ascii="宋体" w:hAnsi="宋体"/>
          <w:b w:val="0"/>
          <w:bCs/>
          <w:color w:val="auto"/>
          <w:sz w:val="28"/>
          <w:szCs w:val="28"/>
          <w:highlight w:val="none"/>
        </w:rPr>
        <w:t>5.2.1磋商小组将按照磋商文件确定的磋商方法进行评审。磋商小组对响应文件的评审分为响应文件初审、澄清有关问题、比较与评价响应文件、推荐成交候选人名单。</w:t>
      </w:r>
    </w:p>
    <w:p>
      <w:pPr>
        <w:widowControl/>
        <w:spacing w:line="520" w:lineRule="atLeast"/>
        <w:ind w:firstLine="420"/>
        <w:textAlignment w:val="baseline"/>
        <w:rPr>
          <w:rFonts w:ascii="宋体" w:hAnsi="宋体"/>
          <w:b w:val="0"/>
          <w:bCs/>
          <w:color w:val="auto"/>
          <w:sz w:val="28"/>
          <w:szCs w:val="28"/>
          <w:highlight w:val="none"/>
        </w:rPr>
      </w:pPr>
      <w:r>
        <w:rPr>
          <w:rFonts w:hint="eastAsia" w:ascii="宋体" w:hAnsi="宋体"/>
          <w:b w:val="0"/>
          <w:bCs/>
          <w:color w:val="auto"/>
          <w:sz w:val="28"/>
          <w:szCs w:val="28"/>
          <w:highlight w:val="none"/>
        </w:rPr>
        <w:t>5.2.2本项目评审方法详见磋商文件“第四章评审方法、步骤及标准”。</w:t>
      </w:r>
      <w:bookmarkEnd w:id="78"/>
    </w:p>
    <w:p>
      <w:pPr>
        <w:pStyle w:val="19"/>
        <w:spacing w:line="600" w:lineRule="exact"/>
        <w:ind w:firstLine="280" w:firstLineChars="100"/>
        <w:contextualSpacing/>
        <w:rPr>
          <w:rFonts w:hAnsi="宋体"/>
          <w:b w:val="0"/>
          <w:bCs/>
          <w:color w:val="auto"/>
          <w:sz w:val="28"/>
          <w:szCs w:val="28"/>
          <w:highlight w:val="none"/>
        </w:rPr>
      </w:pPr>
      <w:r>
        <w:rPr>
          <w:rFonts w:hint="eastAsia" w:hAnsi="宋体"/>
          <w:b w:val="0"/>
          <w:bCs/>
          <w:color w:val="auto"/>
          <w:sz w:val="28"/>
          <w:szCs w:val="28"/>
          <w:highlight w:val="none"/>
        </w:rPr>
        <w:t>5.3响应文件的初审</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响应文件的初审分为资格性检查和符合性检查。</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5.3.1资格性检查</w:t>
      </w:r>
    </w:p>
    <w:p>
      <w:pPr>
        <w:pStyle w:val="7"/>
        <w:spacing w:line="500" w:lineRule="exact"/>
        <w:ind w:firstLine="565" w:firstLineChars="202"/>
        <w:rPr>
          <w:rFonts w:ascii="宋体" w:hAnsi="宋体"/>
          <w:color w:val="auto"/>
          <w:kern w:val="0"/>
          <w:sz w:val="28"/>
          <w:szCs w:val="28"/>
          <w:highlight w:val="none"/>
        </w:rPr>
      </w:pPr>
      <w:bookmarkStart w:id="79" w:name="EBf942974210a34c51874e0a7f62c10e8a"/>
      <w:r>
        <w:rPr>
          <w:rFonts w:hint="eastAsia" w:ascii="宋体" w:hAnsi="宋体"/>
          <w:color w:val="auto"/>
          <w:kern w:val="0"/>
          <w:sz w:val="28"/>
          <w:szCs w:val="28"/>
          <w:highlight w:val="none"/>
        </w:rPr>
        <w:t>（1）磋商小组根据磋商文件规定的资格性审查内容进行资格审查，对供应商的响应文件进行资格审查。资格性审查不合格的供应商的响应文件将视为无效响应文件。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（2）磋商小组在进行资格审查时，不得改变磋商文件中已载明的资格条件、标准和办法。资格性审查不合格的供应商的响应文件将视为无效响应文件。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（3）供应商在递交响应文件的同时，应逐项对照上述资格性审查要求提交相应的证明材料和资格证明文件供磋商小组核查，否则磋商小组将不予采信。</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（5）通过资格性审查的合格供应商，其响应文件方可进入下一个审查阶段。</w:t>
      </w:r>
      <w:bookmarkEnd w:id="79"/>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5.3.2符合性检查</w:t>
      </w:r>
    </w:p>
    <w:p>
      <w:pPr>
        <w:pStyle w:val="7"/>
        <w:spacing w:line="500" w:lineRule="exact"/>
        <w:ind w:firstLine="565" w:firstLineChars="202"/>
        <w:rPr>
          <w:rFonts w:ascii="宋体" w:hAnsi="宋体"/>
          <w:color w:val="auto"/>
          <w:kern w:val="0"/>
          <w:sz w:val="28"/>
          <w:szCs w:val="28"/>
          <w:highlight w:val="none"/>
        </w:rPr>
      </w:pPr>
      <w:bookmarkStart w:id="80" w:name="EBbe4544e250ec4ae4880596388bf57bf3"/>
      <w:r>
        <w:rPr>
          <w:rFonts w:hint="eastAsia" w:ascii="宋体" w:hAnsi="宋体"/>
          <w:color w:val="auto"/>
          <w:kern w:val="0"/>
          <w:sz w:val="28"/>
          <w:szCs w:val="28"/>
          <w:highlight w:val="none"/>
        </w:rPr>
        <w:t>磋商小组根据磋商文件规定的符合性审查内容进行符合性审查，对供应商的响应文件进行符合性检查。符合性检查不合格的供应商的响应文件作无效响应文件。</w:t>
      </w:r>
      <w:bookmarkEnd w:id="80"/>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在磋商过程中，磋商小组发现供应商有下列行为之一的，将视为无效响应文件：</w:t>
      </w:r>
    </w:p>
    <w:p>
      <w:pPr>
        <w:pStyle w:val="7"/>
        <w:spacing w:line="500" w:lineRule="exact"/>
        <w:ind w:firstLine="565" w:firstLineChars="202"/>
        <w:rPr>
          <w:rFonts w:ascii="宋体" w:hAnsi="宋体"/>
          <w:color w:val="auto"/>
          <w:kern w:val="0"/>
          <w:sz w:val="28"/>
          <w:szCs w:val="28"/>
          <w:highlight w:val="none"/>
        </w:rPr>
      </w:pPr>
      <w:bookmarkStart w:id="81" w:name="EB31289bcc6cd64456a9e288b12a6b82c9"/>
      <w:r>
        <w:rPr>
          <w:rFonts w:hint="eastAsia" w:ascii="宋体" w:hAnsi="宋体"/>
          <w:color w:val="auto"/>
          <w:kern w:val="0"/>
          <w:sz w:val="28"/>
          <w:szCs w:val="28"/>
          <w:highlight w:val="none"/>
        </w:rPr>
        <w:t>（1）属于同一集团、协会、商会等组织成员的供应商按照该组织要求协同投标；</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（2）不同供应商的响应文件由同一单位或者个人编制；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（3）不同供应商委托同一单位或者个人办理投标事宜；</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（4）不同供应商的响应文件载明的项目管理成员为同一人；</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（5）不同供应商的响应文件异常一致或者投标报价呈规律性差异；</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（6）不同供应商的响应文件相互混装；</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（7）不同供应商的投标保证金从同一单位或者个人的账户转出；</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（8）使用伪造、变造的行政许可证件；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（9）提供虚假的财务状况或者业绩；</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（10）提供虚假的项目负责人或者主要技术人员简历、劳动关系证明；</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（11）提供虚假的信用状况；</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（12）其他弄虚作假的行为。</w:t>
      </w:r>
      <w:bookmarkEnd w:id="81"/>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5.3.3 磋商小组审查响应文件是否完整、有无计算上的错误等。</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5.3.4磋商报价的修正　</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磋商小组对确定为实质上响应磋商文件要求的响应文件进行校核，看其是否有计算或表达上的错误，算术错误将按以下方法更正：</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响应文件的大写金额和小写金额不一致的，以大写金额为准；总价金额与单价汇总金额不一致的，以单价汇总金额计算结果为准；单价金额小数点有明显错位的，应以总价为准，并修改单价。如果供应商不接受对其错误的更正，其将被视为无效响应文件。</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5.3.5在详细评审之前，磋商小组要审查每份响应文件是否实质上响应了磋商文件的要求。实质上响应的响应文件应该是与磋商文件要求的关键条款、条件和规格相符没有重大偏离的响应文件。对关键条款的偏离或反对将被认定为是实质上的不响应。磋商小组决定响应文件的响应性只根据响应文件本身的真实无误的内容，而不依据外部的证据。但响应文件有不真实不正确的内容的除外。</w:t>
      </w:r>
    </w:p>
    <w:p>
      <w:pPr>
        <w:pStyle w:val="7"/>
        <w:spacing w:line="500" w:lineRule="exact"/>
        <w:ind w:firstLine="565" w:firstLineChars="202"/>
        <w:rPr>
          <w:rFonts w:ascii="宋体" w:hAnsi="宋体"/>
          <w:color w:val="auto"/>
          <w:kern w:val="0"/>
          <w:sz w:val="28"/>
          <w:szCs w:val="28"/>
          <w:highlight w:val="none"/>
        </w:rPr>
      </w:pPr>
      <w:r>
        <w:rPr>
          <w:rFonts w:hint="eastAsia" w:ascii="宋体" w:hAnsi="宋体"/>
          <w:color w:val="auto"/>
          <w:kern w:val="0"/>
          <w:sz w:val="28"/>
          <w:szCs w:val="28"/>
          <w:highlight w:val="none"/>
        </w:rPr>
        <w:t>5.3.6实质上没有响应磋商文件要求的响应将被视为无效响应文件。供应商不得通过修正或撤销不合要求的偏离从而使其响应文件成为实质上响应的响应文件。</w:t>
      </w:r>
    </w:p>
    <w:p>
      <w:pPr>
        <w:pStyle w:val="7"/>
        <w:spacing w:line="500" w:lineRule="exact"/>
        <w:ind w:firstLine="565" w:firstLineChars="202"/>
        <w:rPr>
          <w:rFonts w:ascii="宋体" w:hAnsi="宋体"/>
          <w:color w:val="auto"/>
          <w:sz w:val="28"/>
          <w:szCs w:val="28"/>
          <w:highlight w:val="none"/>
        </w:rPr>
      </w:pPr>
      <w:r>
        <w:rPr>
          <w:rFonts w:hint="eastAsia" w:ascii="宋体" w:hAnsi="宋体"/>
          <w:color w:val="auto"/>
          <w:kern w:val="0"/>
          <w:sz w:val="28"/>
          <w:szCs w:val="28"/>
          <w:highlight w:val="none"/>
        </w:rPr>
        <w:t>5.3.7供应商的澄清文件是其响应文件</w:t>
      </w:r>
      <w:r>
        <w:rPr>
          <w:rFonts w:hint="eastAsia" w:ascii="宋体" w:hAnsi="宋体"/>
          <w:color w:val="auto"/>
          <w:sz w:val="28"/>
          <w:szCs w:val="28"/>
          <w:highlight w:val="none"/>
        </w:rPr>
        <w:t>的组成部分。</w:t>
      </w:r>
    </w:p>
    <w:p>
      <w:pPr>
        <w:pStyle w:val="7"/>
        <w:spacing w:line="500" w:lineRule="exact"/>
        <w:ind w:firstLine="562"/>
        <w:rPr>
          <w:rFonts w:hint="eastAsia" w:ascii="宋体" w:hAnsi="宋体"/>
          <w:b w:val="0"/>
          <w:bCs/>
          <w:color w:val="auto"/>
          <w:kern w:val="0"/>
          <w:sz w:val="28"/>
          <w:szCs w:val="28"/>
          <w:highlight w:val="none"/>
        </w:rPr>
      </w:pPr>
      <w:r>
        <w:rPr>
          <w:rFonts w:hint="eastAsia" w:ascii="宋体" w:hAnsi="宋体"/>
          <w:b w:val="0"/>
          <w:bCs/>
          <w:color w:val="auto"/>
          <w:kern w:val="0"/>
          <w:sz w:val="28"/>
          <w:szCs w:val="28"/>
          <w:highlight w:val="none"/>
        </w:rPr>
        <w:t>5.4磋商</w:t>
      </w:r>
      <w:bookmarkStart w:id="82" w:name="EB22aa4da8357a416884239198adc0a1cb"/>
    </w:p>
    <w:p>
      <w:pPr>
        <w:tabs>
          <w:tab w:val="left" w:pos="5336"/>
        </w:tabs>
        <w:bidi w:val="0"/>
        <w:jc w:val="left"/>
        <w:rPr>
          <w:rFonts w:hint="eastAsia" w:eastAsia="宋体"/>
          <w:b w:val="0"/>
          <w:bCs/>
          <w:color w:val="auto"/>
          <w:highlight w:val="none"/>
          <w:lang w:eastAsia="zh-CN"/>
        </w:rPr>
      </w:pPr>
      <w:r>
        <w:rPr>
          <w:rFonts w:hint="eastAsia"/>
          <w:b w:val="0"/>
          <w:bCs/>
          <w:color w:val="auto"/>
          <w:highlight w:val="none"/>
          <w:lang w:eastAsia="zh-CN"/>
        </w:rPr>
        <w:tab/>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5.4.1磋商小组应当集中与单一供应商分别进行磋商，并给予所有参加磋商的供应商平等的磋商机会。</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5.4.2在磋商过程中，磋商小组可以根据磋商文件和磋商情况实质性变动采购需求中的技术、服务要求以及合同草案条款，但不得变动磋商文件中的其他内容。实质性变动的内容，须经采购人代表确认。</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5.4.3对磋商文件作出的实质性变动是磋商文件的有效组成部分，磋商小组应当及时通知所有参加磋商的供应商。</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5.4.4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5.4.5磋商文件能够详细列明采购标的的技术、服务要求的，磋商结束后，磋商小组应当要求所有实质性响应的供应商在规定时间内提交最后报价，最后报价是供应商响应文件的有效组成部分，提交最后报价的供应商不得少于3家。</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5.4.6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5.4.7符合下列情形，在采购过程中符合要求的供应商可以为2家：</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（1）政府购买服务项目（含政府和社会资本合作项目）；</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（2）市场竞争不充分的科研项目，以及需要扶持的科技成果转化项目。</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5.4.8已提交响应文件的供应商，在提交最后报价之前，可以根据磋商情况退出磋商。其磋商保证金将予以退还。</w:t>
      </w:r>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5.4.9经磋商确定最终采购需求和提交最后报价的供应商后，由磋商小组采用综合评分法对提交最后报价的供应商的响应文件和最后报价进行综合评分。</w:t>
      </w:r>
      <w:bookmarkEnd w:id="82"/>
    </w:p>
    <w:p>
      <w:pPr>
        <w:pStyle w:val="7"/>
        <w:spacing w:line="500" w:lineRule="exact"/>
        <w:ind w:firstLine="562"/>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5.5采购结果确认</w:t>
      </w:r>
    </w:p>
    <w:p>
      <w:pPr>
        <w:pStyle w:val="7"/>
        <w:spacing w:line="500" w:lineRule="exact"/>
        <w:ind w:firstLine="560"/>
        <w:rPr>
          <w:rFonts w:ascii="宋体" w:hAnsi="宋体"/>
          <w:b w:val="0"/>
          <w:bCs/>
          <w:color w:val="auto"/>
          <w:kern w:val="0"/>
          <w:sz w:val="28"/>
          <w:szCs w:val="28"/>
          <w:highlight w:val="none"/>
        </w:rPr>
      </w:pPr>
      <w:bookmarkStart w:id="83" w:name="EB3549597e7b4443a8b7a54cc7cbcdcfd7"/>
      <w:r>
        <w:rPr>
          <w:rFonts w:hint="eastAsia" w:ascii="宋体" w:hAnsi="宋体"/>
          <w:b w:val="0"/>
          <w:bCs/>
          <w:color w:val="auto"/>
          <w:kern w:val="0"/>
          <w:sz w:val="28"/>
          <w:szCs w:val="28"/>
          <w:highlight w:val="none"/>
        </w:rPr>
        <w:t>磋商小组按照采购文件确定的评标方法、步骤、标准，对响应文件进行评审。按评审后得分由高到底顺序排列。得分相同的，按供应商报价由低到高的顺序排列。得分且报价相同的，按技术指标优劣顺序排列。磋商小组依据对各响应文件的评审结果，按各供应商的得分由高到低的顺序向采购人推荐成交候选供应商。</w:t>
      </w:r>
      <w:bookmarkEnd w:id="83"/>
    </w:p>
    <w:p>
      <w:pPr>
        <w:pStyle w:val="7"/>
        <w:spacing w:line="500" w:lineRule="exact"/>
        <w:ind w:firstLine="560"/>
        <w:rPr>
          <w:rFonts w:ascii="宋体" w:hAnsi="宋体"/>
          <w:b w:val="0"/>
          <w:bCs/>
          <w:color w:val="auto"/>
          <w:kern w:val="0"/>
          <w:sz w:val="28"/>
          <w:szCs w:val="28"/>
          <w:highlight w:val="none"/>
        </w:rPr>
      </w:pPr>
      <w:r>
        <w:rPr>
          <w:rFonts w:hint="eastAsia" w:ascii="宋体" w:hAnsi="宋体"/>
          <w:b w:val="0"/>
          <w:bCs/>
          <w:color w:val="auto"/>
          <w:kern w:val="0"/>
          <w:sz w:val="28"/>
          <w:szCs w:val="28"/>
          <w:highlight w:val="none"/>
        </w:rPr>
        <w:t>5.6公示或公告</w:t>
      </w:r>
    </w:p>
    <w:p>
      <w:pPr>
        <w:pStyle w:val="7"/>
        <w:spacing w:line="500" w:lineRule="exact"/>
        <w:ind w:firstLine="560"/>
        <w:rPr>
          <w:rFonts w:ascii="宋体" w:hAnsi="宋体"/>
          <w:b w:val="0"/>
          <w:bCs/>
          <w:color w:val="auto"/>
          <w:kern w:val="0"/>
          <w:sz w:val="28"/>
          <w:szCs w:val="28"/>
          <w:highlight w:val="none"/>
        </w:rPr>
      </w:pPr>
      <w:bookmarkStart w:id="84" w:name="EBe40544e1a6954c7094f842d85638501a"/>
      <w:r>
        <w:rPr>
          <w:rFonts w:hint="eastAsia" w:ascii="宋体" w:hAnsi="宋体"/>
          <w:b w:val="0"/>
          <w:bCs/>
          <w:color w:val="auto"/>
          <w:kern w:val="0"/>
          <w:sz w:val="28"/>
          <w:szCs w:val="28"/>
          <w:highlight w:val="none"/>
        </w:rPr>
        <w:t>5.6.1成交供应商确定后，采购代理机构将在枝江市公共资源交易信息网和</w:t>
      </w:r>
      <w:r>
        <w:rPr>
          <w:rFonts w:hint="eastAsia" w:ascii="宋体" w:hAnsi="宋体"/>
          <w:b w:val="0"/>
          <w:bCs/>
          <w:color w:val="auto"/>
          <w:sz w:val="28"/>
          <w:szCs w:val="28"/>
          <w:highlight w:val="none"/>
          <w:lang w:eastAsia="zh-CN"/>
        </w:rPr>
        <w:t>枝江金润源建设投资控股集团有限公司官网</w:t>
      </w:r>
      <w:r>
        <w:rPr>
          <w:rFonts w:hint="eastAsia" w:ascii="宋体" w:hAnsi="宋体"/>
          <w:b w:val="0"/>
          <w:bCs/>
          <w:color w:val="auto"/>
          <w:kern w:val="0"/>
          <w:sz w:val="28"/>
          <w:szCs w:val="28"/>
          <w:highlight w:val="none"/>
        </w:rPr>
        <w:t>上发布成交公告，同时向成交供应商发出《成交通知书》。《成交通知书》是合同的组成部分,对成交供应商和采购人具有同等法律效力。</w:t>
      </w:r>
      <w:bookmarkEnd w:id="84"/>
    </w:p>
    <w:p>
      <w:pPr>
        <w:pStyle w:val="6"/>
        <w:ind w:firstLine="2560" w:firstLineChars="800"/>
        <w:jc w:val="both"/>
        <w:rPr>
          <w:b w:val="0"/>
          <w:bCs/>
          <w:color w:val="auto"/>
          <w:highlight w:val="none"/>
        </w:rPr>
      </w:pPr>
      <w:bookmarkStart w:id="85" w:name="EB6a85fcf52dde485ab0c24660559aeffc"/>
      <w:bookmarkEnd w:id="85"/>
      <w:bookmarkStart w:id="86" w:name="EBc8fda26b5cf4465ba8844c3de881e871"/>
      <w:bookmarkEnd w:id="86"/>
      <w:bookmarkStart w:id="87" w:name="EB7341cf63281f45409c2a7b3f88858ffa"/>
      <w:bookmarkEnd w:id="87"/>
      <w:bookmarkStart w:id="88" w:name="_Toc293736058"/>
      <w:bookmarkStart w:id="89" w:name="_Toc293738996"/>
      <w:bookmarkStart w:id="90" w:name="_Toc6580"/>
      <w:bookmarkStart w:id="91" w:name="_Toc446599315"/>
      <w:bookmarkStart w:id="92" w:name="_Toc293736015"/>
      <w:r>
        <w:rPr>
          <w:rFonts w:hint="eastAsia"/>
          <w:b w:val="0"/>
          <w:bCs/>
          <w:color w:val="auto"/>
          <w:highlight w:val="none"/>
        </w:rPr>
        <w:t>六、 授予合同</w:t>
      </w:r>
      <w:bookmarkEnd w:id="88"/>
      <w:bookmarkEnd w:id="89"/>
      <w:bookmarkEnd w:id="90"/>
      <w:bookmarkEnd w:id="91"/>
      <w:bookmarkEnd w:id="92"/>
    </w:p>
    <w:p>
      <w:pPr>
        <w:pStyle w:val="19"/>
        <w:spacing w:line="600" w:lineRule="exact"/>
        <w:contextualSpacing/>
        <w:jc w:val="left"/>
        <w:rPr>
          <w:rFonts w:hAnsi="宋体"/>
          <w:b w:val="0"/>
          <w:bCs/>
          <w:color w:val="auto"/>
          <w:sz w:val="28"/>
          <w:szCs w:val="28"/>
          <w:highlight w:val="none"/>
        </w:rPr>
      </w:pPr>
      <w:bookmarkStart w:id="93" w:name="EB9657f9672417406c89fd1d3627d42d4d"/>
      <w:r>
        <w:rPr>
          <w:rFonts w:hint="eastAsia" w:hAnsi="宋体"/>
          <w:b w:val="0"/>
          <w:bCs/>
          <w:color w:val="auto"/>
          <w:sz w:val="28"/>
          <w:szCs w:val="28"/>
          <w:highlight w:val="none"/>
        </w:rPr>
        <w:t>6.1合同授予标准</w:t>
      </w:r>
    </w:p>
    <w:p>
      <w:pPr>
        <w:pStyle w:val="19"/>
        <w:spacing w:line="600" w:lineRule="exact"/>
        <w:contextualSpacing/>
        <w:jc w:val="left"/>
        <w:rPr>
          <w:rFonts w:hAnsi="宋体"/>
          <w:b w:val="0"/>
          <w:bCs/>
          <w:color w:val="auto"/>
          <w:sz w:val="28"/>
          <w:szCs w:val="28"/>
          <w:highlight w:val="none"/>
        </w:rPr>
      </w:pPr>
      <w:r>
        <w:rPr>
          <w:rFonts w:hint="eastAsia" w:hAnsi="宋体"/>
          <w:b w:val="0"/>
          <w:bCs/>
          <w:color w:val="auto"/>
          <w:sz w:val="28"/>
          <w:szCs w:val="28"/>
          <w:highlight w:val="none"/>
        </w:rPr>
        <w:t>6.1.1采购人将把合同授予被确定为实质上响应磋商文件的成交供应商。</w:t>
      </w:r>
    </w:p>
    <w:p>
      <w:pPr>
        <w:pStyle w:val="19"/>
        <w:spacing w:line="600" w:lineRule="exact"/>
        <w:contextualSpacing/>
        <w:jc w:val="left"/>
        <w:rPr>
          <w:rFonts w:hAnsi="宋体"/>
          <w:b w:val="0"/>
          <w:bCs/>
          <w:color w:val="auto"/>
          <w:sz w:val="28"/>
          <w:szCs w:val="28"/>
          <w:highlight w:val="none"/>
        </w:rPr>
      </w:pPr>
      <w:r>
        <w:rPr>
          <w:rFonts w:hint="eastAsia" w:hAnsi="宋体"/>
          <w:b w:val="0"/>
          <w:bCs/>
          <w:color w:val="auto"/>
          <w:sz w:val="28"/>
          <w:szCs w:val="28"/>
          <w:highlight w:val="none"/>
        </w:rPr>
        <w:t>6.2签订合同</w:t>
      </w:r>
    </w:p>
    <w:p>
      <w:pPr>
        <w:pStyle w:val="19"/>
        <w:spacing w:line="600" w:lineRule="exact"/>
        <w:contextualSpacing/>
        <w:jc w:val="left"/>
        <w:rPr>
          <w:rFonts w:hAnsi="宋体"/>
          <w:b w:val="0"/>
          <w:bCs/>
          <w:color w:val="auto"/>
          <w:sz w:val="28"/>
          <w:szCs w:val="28"/>
          <w:highlight w:val="none"/>
        </w:rPr>
      </w:pPr>
      <w:r>
        <w:rPr>
          <w:rFonts w:hint="eastAsia" w:hAnsi="宋体"/>
          <w:b w:val="0"/>
          <w:bCs/>
          <w:color w:val="auto"/>
          <w:sz w:val="28"/>
          <w:szCs w:val="28"/>
          <w:highlight w:val="none"/>
        </w:rPr>
        <w:t>6.2.1采购人应在《成交通知书》发出之日起30天内，按照磋商文件规定和成交供应商的承诺，与成交供应商签订合同。</w:t>
      </w:r>
    </w:p>
    <w:bookmarkEnd w:id="93"/>
    <w:p>
      <w:pPr>
        <w:widowControl/>
        <w:rPr>
          <w:rFonts w:ascii="宋体" w:hAnsi="宋体"/>
          <w:b w:val="0"/>
          <w:bCs/>
          <w:color w:val="auto"/>
          <w:kern w:val="0"/>
          <w:sz w:val="28"/>
          <w:szCs w:val="28"/>
          <w:highlight w:val="none"/>
        </w:rPr>
      </w:pPr>
      <w:bookmarkStart w:id="94" w:name="EB90b301e49a8d45e2a1ce4d932be599b3"/>
      <w:bookmarkEnd w:id="94"/>
      <w:bookmarkStart w:id="95" w:name="EB30a8d56010f04252b7bc281c6ed172f4"/>
      <w:bookmarkEnd w:id="95"/>
      <w:bookmarkStart w:id="96" w:name="EB4cac58d067ac4fe98cd39f33c7171206"/>
      <w:bookmarkEnd w:id="96"/>
    </w:p>
    <w:p>
      <w:pPr>
        <w:pStyle w:val="6"/>
        <w:rPr>
          <w:color w:val="auto"/>
          <w:highlight w:val="none"/>
        </w:rPr>
      </w:pPr>
      <w:bookmarkStart w:id="97" w:name="_Toc272247702"/>
      <w:bookmarkStart w:id="98" w:name="_Toc278891599"/>
      <w:bookmarkStart w:id="99" w:name="_Toc10290"/>
      <w:bookmarkStart w:id="100" w:name="_Toc437611460"/>
      <w:bookmarkStart w:id="101" w:name="_Toc446599319"/>
      <w:r>
        <w:rPr>
          <w:rFonts w:hint="eastAsia"/>
          <w:color w:val="auto"/>
          <w:highlight w:val="none"/>
        </w:rPr>
        <w:t>七、磋商文件的解释权</w:t>
      </w:r>
      <w:bookmarkEnd w:id="97"/>
      <w:bookmarkEnd w:id="98"/>
      <w:bookmarkEnd w:id="99"/>
      <w:bookmarkEnd w:id="100"/>
      <w:bookmarkEnd w:id="101"/>
    </w:p>
    <w:p>
      <w:pPr>
        <w:pStyle w:val="7"/>
        <w:spacing w:line="500" w:lineRule="exact"/>
        <w:ind w:firstLine="565" w:firstLineChars="202"/>
        <w:rPr>
          <w:color w:val="auto"/>
          <w:sz w:val="28"/>
          <w:szCs w:val="28"/>
          <w:highlight w:val="none"/>
        </w:rPr>
      </w:pPr>
      <w:r>
        <w:rPr>
          <w:rFonts w:hint="eastAsia" w:ascii="宋体" w:hAnsi="宋体"/>
          <w:color w:val="auto"/>
          <w:sz w:val="28"/>
          <w:szCs w:val="28"/>
          <w:highlight w:val="none"/>
        </w:rPr>
        <w:t>7.1本项目磋商文件的最终解释权为</w:t>
      </w:r>
      <w:r>
        <w:rPr>
          <w:rFonts w:hint="eastAsia" w:ascii="宋体" w:hAnsi="宋体"/>
          <w:color w:val="auto"/>
          <w:kern w:val="0"/>
          <w:sz w:val="28"/>
          <w:szCs w:val="28"/>
          <w:highlight w:val="none"/>
        </w:rPr>
        <w:t>采购人或者采购代理机构</w:t>
      </w:r>
      <w:r>
        <w:rPr>
          <w:rFonts w:hint="eastAsia" w:ascii="宋体" w:hAnsi="宋体"/>
          <w:color w:val="auto"/>
          <w:sz w:val="28"/>
          <w:szCs w:val="28"/>
          <w:highlight w:val="none"/>
        </w:rPr>
        <w:t>所有。</w:t>
      </w:r>
    </w:p>
    <w:p>
      <w:pPr>
        <w:rPr>
          <w:color w:val="auto"/>
          <w:highlight w:val="none"/>
        </w:rPr>
      </w:pPr>
      <w:bookmarkStart w:id="102" w:name="_Toc294515580"/>
      <w:bookmarkStart w:id="103" w:name="EB1c9da4a5bf4e4224825c4bcddc61eaac"/>
      <w:bookmarkStart w:id="104" w:name="_Toc293736063"/>
      <w:bookmarkStart w:id="105" w:name="_Toc293736020"/>
      <w:bookmarkStart w:id="106" w:name="_Toc293739001"/>
      <w:bookmarkStart w:id="107" w:name="_Toc446599322"/>
    </w:p>
    <w:p>
      <w:pPr>
        <w:pStyle w:val="68"/>
        <w:ind w:firstLine="0" w:firstLineChars="0"/>
        <w:rPr>
          <w:color w:val="auto"/>
          <w:highlight w:val="none"/>
        </w:rPr>
      </w:pPr>
      <w:bookmarkStart w:id="108" w:name="_Toc293736019"/>
      <w:bookmarkStart w:id="109" w:name="_Toc293736062"/>
      <w:bookmarkStart w:id="110" w:name="_Toc293739000"/>
      <w:bookmarkStart w:id="111" w:name="_Toc446599321"/>
      <w:bookmarkStart w:id="112" w:name="_Toc9586"/>
      <w:r>
        <w:rPr>
          <w:rFonts w:hint="eastAsia"/>
          <w:color w:val="auto"/>
          <w:highlight w:val="none"/>
        </w:rPr>
        <w:t>第三章</w:t>
      </w:r>
      <w:r>
        <w:rPr>
          <w:rFonts w:hint="eastAsia"/>
          <w:color w:val="auto"/>
          <w:highlight w:val="none"/>
          <w:lang w:val="en-US" w:eastAsia="zh-CN"/>
        </w:rPr>
        <w:t xml:space="preserve"> </w:t>
      </w:r>
      <w:r>
        <w:rPr>
          <w:rFonts w:hint="eastAsia"/>
          <w:color w:val="auto"/>
          <w:highlight w:val="none"/>
        </w:rPr>
        <w:t>采购</w:t>
      </w:r>
      <w:bookmarkEnd w:id="108"/>
      <w:bookmarkEnd w:id="109"/>
      <w:bookmarkEnd w:id="110"/>
      <w:r>
        <w:rPr>
          <w:rFonts w:hint="eastAsia"/>
          <w:color w:val="auto"/>
          <w:highlight w:val="none"/>
        </w:rPr>
        <w:t>需求</w:t>
      </w:r>
      <w:bookmarkEnd w:id="111"/>
      <w:bookmarkEnd w:id="112"/>
    </w:p>
    <w:bookmarkEnd w:id="102"/>
    <w:p>
      <w:pPr>
        <w:pStyle w:val="71"/>
        <w:ind w:firstLine="0" w:firstLineChars="0"/>
        <w:rPr>
          <w:color w:val="auto"/>
          <w:kern w:val="2"/>
          <w:highlight w:val="none"/>
        </w:rPr>
      </w:pPr>
      <w:bookmarkStart w:id="113" w:name="_Toc25080"/>
      <w:bookmarkStart w:id="114" w:name="_Toc25580675"/>
      <w:r>
        <w:rPr>
          <w:rFonts w:hint="eastAsia"/>
          <w:color w:val="auto"/>
          <w:kern w:val="2"/>
          <w:highlight w:val="none"/>
        </w:rPr>
        <w:t>一、项目基本情况</w:t>
      </w:r>
      <w:bookmarkEnd w:id="113"/>
      <w:bookmarkEnd w:id="114"/>
    </w:p>
    <w:p>
      <w:pPr>
        <w:pStyle w:val="72"/>
        <w:spacing w:before="32"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（一）项目地点：枝江市。</w:t>
      </w:r>
    </w:p>
    <w:p>
      <w:pPr>
        <w:pStyle w:val="72"/>
        <w:spacing w:before="32" w:line="520" w:lineRule="exact"/>
        <w:ind w:right="92" w:firstLine="700" w:firstLineChars="25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(二)出租性质：融资租赁。</w:t>
      </w:r>
    </w:p>
    <w:p>
      <w:pPr>
        <w:pStyle w:val="72"/>
        <w:spacing w:before="43"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（三）融资金额：15000万元。</w:t>
      </w:r>
    </w:p>
    <w:p>
      <w:pPr>
        <w:pStyle w:val="72"/>
        <w:spacing w:before="43"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（四）融资年限：计划为不低于3年期（根据融资方的审批意见进行调整）。</w:t>
      </w:r>
    </w:p>
    <w:p>
      <w:pPr>
        <w:pStyle w:val="72"/>
        <w:spacing w:before="43"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（五）融资成本：年综合成本不高于9.5%。</w:t>
      </w:r>
    </w:p>
    <w:p>
      <w:pPr>
        <w:pStyle w:val="72"/>
        <w:spacing w:before="43" w:line="520" w:lineRule="exact"/>
        <w:ind w:right="92" w:firstLine="700" w:firstLineChars="25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(六)手续费（服务费）：包含于融资成本中。</w:t>
      </w:r>
    </w:p>
    <w:p>
      <w:pPr>
        <w:pStyle w:val="72"/>
        <w:spacing w:before="43" w:line="520" w:lineRule="exact"/>
        <w:ind w:right="92" w:firstLine="48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（七）还款计划：根据中标方案确定（如资金方政策变化，可根据政策调整）。</w:t>
      </w:r>
    </w:p>
    <w:p>
      <w:pPr>
        <w:pStyle w:val="71"/>
        <w:ind w:firstLine="0" w:firstLineChars="0"/>
        <w:rPr>
          <w:rFonts w:hint="eastAsia" w:ascii="宋体" w:hAnsi="宋体" w:eastAsia="宋体" w:cs="Times New Roman"/>
          <w:b w:val="0"/>
          <w:color w:val="auto"/>
          <w:kern w:val="2"/>
          <w:sz w:val="28"/>
          <w:szCs w:val="28"/>
          <w:highlight w:val="none"/>
          <w:lang w:val="en-US" w:eastAsia="zh-CN" w:bidi="ar-SA"/>
        </w:rPr>
      </w:pPr>
      <w:bookmarkStart w:id="115" w:name="_Toc17476"/>
      <w:bookmarkStart w:id="116" w:name="_Toc25580676"/>
      <w:r>
        <w:rPr>
          <w:rFonts w:hint="eastAsia"/>
          <w:color w:val="auto"/>
          <w:kern w:val="2"/>
          <w:highlight w:val="none"/>
        </w:rPr>
        <w:t>二</w:t>
      </w:r>
      <w:r>
        <w:rPr>
          <w:rFonts w:hint="eastAsia" w:ascii="宋体" w:hAnsi="宋体" w:eastAsia="宋体" w:cs="Times New Roman"/>
          <w:b w:val="0"/>
          <w:color w:val="auto"/>
          <w:kern w:val="2"/>
          <w:sz w:val="28"/>
          <w:szCs w:val="28"/>
          <w:highlight w:val="none"/>
          <w:lang w:val="en-US" w:eastAsia="zh-CN" w:bidi="ar-SA"/>
        </w:rPr>
        <w:t>、采购相关要求</w:t>
      </w:r>
      <w:bookmarkEnd w:id="115"/>
      <w:bookmarkEnd w:id="116"/>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1、按照《融资租赁企业监督管理办法》要求执行，参照国务院关于《国务院办公厅关于加快融资租赁业发展的指导意见》的指导思想执行；</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2．附加要求：</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2.1投标人近三年内无严重的违法行为，近三年内未受到主管部门的处罚。</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2.2企业及其主要股东或管理人员无重大违法违规行为；</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2.3具有健全的管理制度和内部控制制度。</w:t>
      </w:r>
    </w:p>
    <w:p>
      <w:pPr>
        <w:pStyle w:val="74"/>
        <w:spacing w:beforeLines="50" w:afterLines="50"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3、公司融资租赁服务范围</w:t>
      </w:r>
    </w:p>
    <w:p>
      <w:pPr>
        <w:pStyle w:val="72"/>
        <w:spacing w:line="360" w:lineRule="auto"/>
        <w:ind w:firstLine="48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投标人必须负责完成的服务内容：通过融资租赁方式完成采购人的融资需求。</w:t>
      </w:r>
    </w:p>
    <w:p>
      <w:pPr>
        <w:pStyle w:val="74"/>
        <w:spacing w:line="360" w:lineRule="auto"/>
        <w:ind w:left="0" w:leftChars="0" w:firstLine="560" w:firstLineChars="200"/>
        <w:rPr>
          <w:rFonts w:hint="eastAsia" w:ascii="宋体" w:hAnsi="宋体" w:eastAsia="宋体" w:cs="Times New Roman"/>
          <w:b w:val="0"/>
          <w:color w:val="auto"/>
          <w:kern w:val="2"/>
          <w:sz w:val="28"/>
          <w:szCs w:val="28"/>
          <w:highlight w:val="none"/>
          <w:lang w:val="en-US" w:eastAsia="zh-CN" w:bidi="ar-SA"/>
        </w:rPr>
      </w:pPr>
      <w:r>
        <w:rPr>
          <w:rFonts w:hint="eastAsia" w:ascii="宋体" w:hAnsi="宋体" w:eastAsia="宋体" w:cs="Times New Roman"/>
          <w:b w:val="0"/>
          <w:color w:val="auto"/>
          <w:kern w:val="2"/>
          <w:sz w:val="28"/>
          <w:szCs w:val="28"/>
          <w:highlight w:val="none"/>
          <w:lang w:val="en-US" w:eastAsia="zh-CN" w:bidi="ar-SA"/>
        </w:rPr>
        <w:t>（1）中标后，根据《融资租赁企业监督管理办法》等相关法律法规要求，编制融资租赁方案。</w:t>
      </w:r>
    </w:p>
    <w:p>
      <w:pPr>
        <w:pStyle w:val="74"/>
        <w:spacing w:line="360" w:lineRule="auto"/>
        <w:ind w:left="0" w:leftChars="0" w:firstLine="560" w:firstLineChars="200"/>
        <w:rPr>
          <w:rFonts w:ascii="Calibri" w:hAnsi="Calibri" w:eastAsia="宋体"/>
          <w:color w:val="auto"/>
          <w:kern w:val="2"/>
          <w:sz w:val="21"/>
          <w:szCs w:val="22"/>
          <w:highlight w:val="none"/>
        </w:rPr>
      </w:pPr>
      <w:r>
        <w:rPr>
          <w:rFonts w:hint="eastAsia" w:ascii="宋体" w:hAnsi="宋体" w:eastAsia="宋体" w:cs="Times New Roman"/>
          <w:b w:val="0"/>
          <w:color w:val="auto"/>
          <w:kern w:val="2"/>
          <w:sz w:val="28"/>
          <w:szCs w:val="28"/>
          <w:highlight w:val="none"/>
          <w:lang w:val="en-US" w:eastAsia="zh-CN" w:bidi="ar-SA"/>
        </w:rPr>
        <w:t>（2）投标人须在磋商响应文件中提供详细的融资租赁方案。</w:t>
      </w:r>
    </w:p>
    <w:p>
      <w:pPr>
        <w:pStyle w:val="71"/>
        <w:ind w:firstLine="0" w:firstLineChars="0"/>
        <w:rPr>
          <w:color w:val="auto"/>
          <w:kern w:val="2"/>
          <w:highlight w:val="none"/>
        </w:rPr>
      </w:pPr>
      <w:bookmarkStart w:id="117" w:name="_Toc25580677"/>
      <w:bookmarkStart w:id="118" w:name="_Toc30641"/>
      <w:r>
        <w:rPr>
          <w:rFonts w:hint="eastAsia"/>
          <w:color w:val="auto"/>
          <w:kern w:val="2"/>
          <w:highlight w:val="none"/>
        </w:rPr>
        <w:t>三、商务要求</w:t>
      </w:r>
      <w:bookmarkEnd w:id="117"/>
      <w:bookmarkEnd w:id="118"/>
    </w:p>
    <w:p>
      <w:pPr>
        <w:pStyle w:val="74"/>
        <w:spacing w:beforeLines="50" w:afterLines="50" w:line="360" w:lineRule="auto"/>
        <w:ind w:left="0" w:leftChars="0" w:firstLine="482" w:firstLineChars="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1、年综合成本计算方式</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（1）租金=本金+利息。</w:t>
      </w:r>
    </w:p>
    <w:p>
      <w:pPr>
        <w:pStyle w:val="74"/>
        <w:spacing w:line="360" w:lineRule="auto"/>
        <w:ind w:left="399" w:leftChars="190"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（2）</w:t>
      </w:r>
      <w:r>
        <w:rPr>
          <w:rFonts w:hint="eastAsia" w:ascii="宋体" w:hAnsi="宋体" w:eastAsia="宋体"/>
          <w:b/>
          <w:color w:val="auto"/>
          <w:kern w:val="2"/>
          <w:sz w:val="24"/>
          <w:szCs w:val="24"/>
          <w:highlight w:val="none"/>
          <w:lang w:eastAsia="zh-CN"/>
        </w:rPr>
        <w:t>第二期</w:t>
      </w:r>
      <w:r>
        <w:rPr>
          <w:rFonts w:hint="eastAsia" w:ascii="宋体" w:hAnsi="宋体" w:eastAsia="宋体"/>
          <w:b/>
          <w:color w:val="auto"/>
          <w:kern w:val="2"/>
          <w:sz w:val="24"/>
          <w:szCs w:val="24"/>
          <w:highlight w:val="none"/>
        </w:rPr>
        <w:t>资金使用数=融资总额-保证金；</w:t>
      </w:r>
      <w:r>
        <w:rPr>
          <w:rFonts w:hint="eastAsia" w:ascii="宋体" w:hAnsi="宋体" w:eastAsia="宋体"/>
          <w:b/>
          <w:color w:val="auto"/>
          <w:kern w:val="2"/>
          <w:sz w:val="24"/>
          <w:szCs w:val="24"/>
          <w:highlight w:val="none"/>
          <w:lang w:eastAsia="zh-CN"/>
        </w:rPr>
        <w:t>第二期</w:t>
      </w:r>
      <w:r>
        <w:rPr>
          <w:rFonts w:hint="eastAsia" w:ascii="宋体" w:hAnsi="宋体" w:eastAsia="宋体"/>
          <w:b/>
          <w:color w:val="auto"/>
          <w:kern w:val="2"/>
          <w:sz w:val="24"/>
          <w:szCs w:val="24"/>
          <w:highlight w:val="none"/>
        </w:rPr>
        <w:t>至最后一期资金使用数=上期资金使用数-本期归还本金。</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（3）本期资金积数=本期资金使用数*本期资金使用天数；资金积数总额=每期资金积数之和。</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（4）成本总额=利息总额+手续费。</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（5）年利率（年综合成本）=成本总额/资金积数总额*360天*100%。</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2、竞争性磋商控制价：按本文件规定的年综合成本计算方式计算，年综合成本控制在</w:t>
      </w:r>
      <w:r>
        <w:rPr>
          <w:rFonts w:hint="eastAsia" w:ascii="宋体" w:hAnsi="宋体" w:eastAsia="宋体"/>
          <w:b/>
          <w:color w:val="auto"/>
          <w:kern w:val="2"/>
          <w:sz w:val="24"/>
          <w:szCs w:val="24"/>
          <w:highlight w:val="none"/>
          <w:lang w:eastAsia="zh-CN"/>
        </w:rPr>
        <w:t>9.5%</w:t>
      </w:r>
      <w:r>
        <w:rPr>
          <w:rFonts w:hint="eastAsia" w:ascii="宋体" w:hAnsi="宋体" w:eastAsia="宋体"/>
          <w:b/>
          <w:color w:val="auto"/>
          <w:kern w:val="2"/>
          <w:sz w:val="24"/>
          <w:szCs w:val="24"/>
          <w:highlight w:val="none"/>
        </w:rPr>
        <w:t>以内（最终成交综合年利率），高于成交综合年利率的为废标。</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3、</w:t>
      </w:r>
      <w:r>
        <w:rPr>
          <w:rFonts w:ascii="宋体" w:hAnsi="宋体" w:eastAsia="宋体"/>
          <w:b/>
          <w:color w:val="auto"/>
          <w:kern w:val="2"/>
          <w:sz w:val="24"/>
          <w:szCs w:val="24"/>
          <w:highlight w:val="none"/>
        </w:rPr>
        <w:t>付款方式及税收要求：</w:t>
      </w:r>
      <w:r>
        <w:rPr>
          <w:rFonts w:hint="eastAsia" w:ascii="宋体" w:hAnsi="宋体" w:eastAsia="宋体"/>
          <w:b/>
          <w:color w:val="auto"/>
          <w:kern w:val="2"/>
          <w:sz w:val="24"/>
          <w:szCs w:val="24"/>
          <w:highlight w:val="none"/>
        </w:rPr>
        <w:t>由双方协商后在承包合同上具体约定。</w:t>
      </w:r>
    </w:p>
    <w:p>
      <w:pPr>
        <w:pStyle w:val="74"/>
        <w:spacing w:line="360" w:lineRule="auto"/>
        <w:ind w:firstLine="200"/>
        <w:rPr>
          <w:rFonts w:ascii="宋体" w:hAnsi="宋体" w:eastAsia="宋体"/>
          <w:b/>
          <w:color w:val="auto"/>
          <w:kern w:val="2"/>
          <w:sz w:val="24"/>
          <w:szCs w:val="24"/>
          <w:highlight w:val="none"/>
        </w:rPr>
      </w:pPr>
      <w:r>
        <w:rPr>
          <w:rFonts w:hint="eastAsia" w:ascii="宋体" w:hAnsi="宋体" w:eastAsia="宋体"/>
          <w:b/>
          <w:color w:val="auto"/>
          <w:kern w:val="2"/>
          <w:sz w:val="24"/>
          <w:szCs w:val="24"/>
          <w:highlight w:val="none"/>
        </w:rPr>
        <w:t>4、进场交易服务费</w:t>
      </w:r>
    </w:p>
    <w:p>
      <w:pPr>
        <w:pStyle w:val="72"/>
        <w:spacing w:before="32" w:line="276" w:lineRule="auto"/>
        <w:ind w:left="108" w:right="92" w:firstLine="482"/>
        <w:rPr>
          <w:rFonts w:ascii="宋体" w:hAnsi="宋体" w:eastAsia="宋体"/>
          <w:b/>
          <w:bCs/>
          <w:color w:val="auto"/>
          <w:kern w:val="2"/>
          <w:sz w:val="24"/>
          <w:szCs w:val="24"/>
          <w:highlight w:val="none"/>
        </w:rPr>
      </w:pPr>
      <w:r>
        <w:rPr>
          <w:rFonts w:hint="eastAsia" w:ascii="宋体" w:hAnsi="宋体" w:eastAsia="宋体"/>
          <w:b/>
          <w:bCs/>
          <w:color w:val="auto"/>
          <w:kern w:val="2"/>
          <w:sz w:val="24"/>
          <w:szCs w:val="24"/>
          <w:highlight w:val="none"/>
        </w:rPr>
        <w:t>交易进场服务费由成交人按规定向市公共资源交易中心交纳。收费标准如下（详见鄂价工服规[2017]61号）</w:t>
      </w:r>
    </w:p>
    <w:tbl>
      <w:tblPr>
        <w:tblStyle w:val="29"/>
        <w:tblW w:w="7540" w:type="dxa"/>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4137"/>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档次</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成交额（万元）</w:t>
            </w:r>
          </w:p>
        </w:tc>
        <w:tc>
          <w:tcPr>
            <w:tcW w:w="1928" w:type="dxa"/>
            <w:vAlign w:val="center"/>
          </w:tcPr>
          <w:p>
            <w:pPr>
              <w:pStyle w:val="72"/>
              <w:spacing w:before="32" w:line="276" w:lineRule="auto"/>
              <w:ind w:right="92" w:firstLine="0" w:firstLineChars="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累进计费率（‰）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100及以下</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2</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100-1000（含1000）</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3</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1000-5000（含5000）</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4</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5000-10000（含10000））</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75"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5</w:t>
            </w:r>
          </w:p>
        </w:tc>
        <w:tc>
          <w:tcPr>
            <w:tcW w:w="4137"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10000以上</w:t>
            </w:r>
          </w:p>
        </w:tc>
        <w:tc>
          <w:tcPr>
            <w:tcW w:w="1928" w:type="dxa"/>
            <w:vAlign w:val="center"/>
          </w:tcPr>
          <w:p>
            <w:pPr>
              <w:pStyle w:val="72"/>
              <w:spacing w:before="32" w:line="276" w:lineRule="auto"/>
              <w:ind w:left="108" w:right="92" w:firstLine="48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0.14</w:t>
            </w:r>
          </w:p>
        </w:tc>
      </w:tr>
    </w:tbl>
    <w:p>
      <w:pPr>
        <w:pStyle w:val="69"/>
        <w:ind w:firstLine="0" w:firstLineChars="0"/>
        <w:rPr>
          <w:rFonts w:ascii="Calibri" w:hAnsi="Calibri" w:eastAsia="宋体"/>
          <w:color w:val="auto"/>
          <w:kern w:val="2"/>
          <w:sz w:val="21"/>
          <w:szCs w:val="22"/>
          <w:highlight w:val="none"/>
        </w:rPr>
      </w:pPr>
    </w:p>
    <w:bookmarkEnd w:id="103"/>
    <w:p>
      <w:pPr>
        <w:rPr>
          <w:color w:val="auto"/>
          <w:sz w:val="20"/>
          <w:highlight w:val="none"/>
        </w:rPr>
      </w:pPr>
    </w:p>
    <w:p>
      <w:pPr>
        <w:pStyle w:val="5"/>
        <w:rPr>
          <w:rFonts w:ascii="宋体" w:hAnsi="宋体"/>
          <w:color w:val="auto"/>
          <w:highlight w:val="none"/>
        </w:rPr>
      </w:pPr>
      <w:bookmarkStart w:id="119" w:name="_Toc10408"/>
      <w:r>
        <w:rPr>
          <w:rFonts w:hint="eastAsia" w:ascii="宋体" w:hAnsi="宋体"/>
          <w:color w:val="auto"/>
          <w:highlight w:val="none"/>
        </w:rPr>
        <w:t>第四章</w:t>
      </w:r>
      <w:r>
        <w:rPr>
          <w:rFonts w:hint="eastAsia" w:ascii="宋体" w:hAnsi="宋体"/>
          <w:color w:val="auto"/>
          <w:highlight w:val="none"/>
          <w:lang w:val="en-US" w:eastAsia="zh-CN"/>
        </w:rPr>
        <w:t xml:space="preserve">  </w:t>
      </w:r>
      <w:r>
        <w:rPr>
          <w:rFonts w:hint="eastAsia" w:ascii="宋体" w:hAnsi="宋体"/>
          <w:color w:val="auto"/>
          <w:highlight w:val="none"/>
        </w:rPr>
        <w:t>评审方法、步骤及标准</w:t>
      </w:r>
      <w:bookmarkEnd w:id="104"/>
      <w:bookmarkEnd w:id="105"/>
      <w:bookmarkEnd w:id="106"/>
      <w:bookmarkEnd w:id="107"/>
      <w:bookmarkEnd w:id="119"/>
    </w:p>
    <w:p>
      <w:pPr>
        <w:pStyle w:val="7"/>
        <w:spacing w:line="500" w:lineRule="exact"/>
        <w:ind w:firstLine="400"/>
        <w:jc w:val="left"/>
        <w:rPr>
          <w:rFonts w:ascii="宋体" w:hAnsi="宋体"/>
          <w:color w:val="auto"/>
          <w:sz w:val="20"/>
          <w:szCs w:val="28"/>
          <w:highlight w:val="none"/>
        </w:rPr>
      </w:pPr>
      <w:bookmarkStart w:id="120" w:name="EB5665ffd834f04f278bc32d407b6a2ed1"/>
      <w:bookmarkEnd w:id="120"/>
      <w:bookmarkStart w:id="121" w:name="EB3c17c6fcabe04158958d0a5665069069"/>
      <w:bookmarkEnd w:id="121"/>
    </w:p>
    <w:p>
      <w:pPr>
        <w:pStyle w:val="7"/>
        <w:spacing w:line="500" w:lineRule="exact"/>
        <w:ind w:firstLine="560"/>
        <w:rPr>
          <w:rFonts w:ascii="宋体" w:hAnsi="宋体"/>
          <w:color w:val="auto"/>
          <w:sz w:val="28"/>
          <w:szCs w:val="28"/>
          <w:highlight w:val="none"/>
        </w:rPr>
      </w:pPr>
      <w:bookmarkStart w:id="122" w:name="_Toc293736066"/>
      <w:bookmarkStart w:id="123" w:name="_Toc293739004"/>
      <w:bookmarkStart w:id="124" w:name="_Toc293736023"/>
      <w:r>
        <w:rPr>
          <w:rFonts w:hint="eastAsia" w:ascii="宋体" w:hAnsi="宋体"/>
          <w:color w:val="auto"/>
          <w:sz w:val="28"/>
          <w:szCs w:val="28"/>
          <w:highlight w:val="none"/>
          <w:lang w:eastAsia="zh-CN"/>
        </w:rPr>
        <w:t>参照</w:t>
      </w:r>
      <w:r>
        <w:rPr>
          <w:rFonts w:hint="eastAsia" w:ascii="宋体" w:hAnsi="宋体"/>
          <w:color w:val="auto"/>
          <w:sz w:val="28"/>
          <w:szCs w:val="28"/>
          <w:highlight w:val="none"/>
        </w:rPr>
        <w:t>《中华人民共和国政府采购法》、《中华人民共和国政府采购实施条例》、</w:t>
      </w:r>
      <w:r>
        <w:rPr>
          <w:rFonts w:hint="eastAsia" w:ascii="宋体" w:hAnsi="宋体"/>
          <w:bCs/>
          <w:color w:val="auto"/>
          <w:sz w:val="28"/>
          <w:szCs w:val="28"/>
          <w:highlight w:val="none"/>
        </w:rPr>
        <w:t>《政府采购竞争性磋商采购方式管理暂行办法》</w:t>
      </w:r>
      <w:r>
        <w:rPr>
          <w:rFonts w:hint="eastAsia" w:ascii="宋体" w:hAnsi="宋体"/>
          <w:color w:val="auto"/>
          <w:sz w:val="28"/>
          <w:szCs w:val="28"/>
          <w:highlight w:val="none"/>
        </w:rPr>
        <w:t>等相关规定确定以下评审方法、步骤及标准。</w:t>
      </w:r>
    </w:p>
    <w:p>
      <w:pPr>
        <w:pStyle w:val="6"/>
        <w:rPr>
          <w:color w:val="auto"/>
          <w:highlight w:val="none"/>
        </w:rPr>
      </w:pPr>
      <w:bookmarkStart w:id="125" w:name="_Toc483319422"/>
      <w:bookmarkStart w:id="126" w:name="_Toc25980"/>
      <w:bookmarkStart w:id="127" w:name="_Toc459226636"/>
      <w:bookmarkStart w:id="128" w:name="_Toc459297226"/>
      <w:bookmarkStart w:id="129" w:name="_Toc459227619"/>
      <w:bookmarkStart w:id="130" w:name="_Toc459227386"/>
      <w:bookmarkStart w:id="131" w:name="_Toc459223860"/>
      <w:r>
        <w:rPr>
          <w:rFonts w:hint="eastAsia"/>
          <w:color w:val="auto"/>
          <w:highlight w:val="none"/>
        </w:rPr>
        <w:t>一、磋商步骤</w:t>
      </w:r>
      <w:bookmarkEnd w:id="125"/>
      <w:bookmarkEnd w:id="126"/>
      <w:bookmarkEnd w:id="127"/>
      <w:bookmarkEnd w:id="128"/>
      <w:bookmarkEnd w:id="129"/>
      <w:bookmarkEnd w:id="130"/>
      <w:bookmarkEnd w:id="131"/>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磋商小组对响应文件的评审分为资格性审查和符合性审查、商务评议、技术评议和价格评议。</w:t>
      </w:r>
    </w:p>
    <w:p>
      <w:pPr>
        <w:pStyle w:val="7"/>
        <w:spacing w:line="500" w:lineRule="exact"/>
        <w:ind w:firstLine="560"/>
        <w:rPr>
          <w:rFonts w:ascii="宋体" w:hAnsi="宋体"/>
          <w:color w:val="auto"/>
          <w:sz w:val="28"/>
          <w:szCs w:val="28"/>
          <w:highlight w:val="none"/>
        </w:rPr>
      </w:pPr>
      <w:r>
        <w:rPr>
          <w:rFonts w:hint="eastAsia" w:ascii="宋体" w:hAnsi="宋体"/>
          <w:color w:val="auto"/>
          <w:sz w:val="28"/>
          <w:szCs w:val="28"/>
          <w:highlight w:val="none"/>
        </w:rPr>
        <w:t>（一）资格性和符合性审查</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1、磋商小组审查每份响应文件是否实质上响应了磋商文件的要求。磋商小组决定其是否响应只根据响应文件本身的内容，而不依据外部的证据，但响应文件有不真实不正确的内容时除外。</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（二）供应商的澄清</w:t>
      </w:r>
    </w:p>
    <w:p>
      <w:pPr>
        <w:pStyle w:val="7"/>
        <w:spacing w:line="500" w:lineRule="exact"/>
        <w:ind w:firstLine="540" w:firstLineChars="193"/>
        <w:rPr>
          <w:rFonts w:ascii="宋体" w:hAnsi="宋体"/>
          <w:bCs/>
          <w:color w:val="auto"/>
          <w:sz w:val="28"/>
          <w:szCs w:val="28"/>
          <w:highlight w:val="none"/>
        </w:rPr>
      </w:pPr>
      <w:r>
        <w:rPr>
          <w:rFonts w:hint="eastAsia" w:ascii="宋体" w:hAnsi="宋体"/>
          <w:bCs/>
          <w:color w:val="auto"/>
          <w:sz w:val="28"/>
          <w:szCs w:val="28"/>
          <w:highlight w:val="none"/>
        </w:rPr>
        <w:t>磋商小组要求供应商澄清、说明或者更正响应文件将以书面形式作出。供应商的澄清、说明或者更正应当由法定代表人或其授权代表签字或者加盖公章。</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（三）磋商及最后报价</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1、磋商小组所有成员应当集中与单一供应商分别进行磋商，并按照响应文件递交的顺序给予所有参加磋商的供应商平等的磋商机会。</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2、在磋商过程中，磋商小组可以根据磋商文件和磋商情况实质性变动采购需求中的技术、服务要求以及合同草案条款，但不得变动磋商文件中的其他内容。实质性变动的内容，经采购人代表确认后，将作为磋商文件的有效组成部分，磋商小组应当及时以书面形式同时通知所有参加磋商的供应商。</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3、供应商应当按照磋商文件的变动情况和磋商小组的要求重新提交响应文件，并由其法定代表人或授权代表签字或者加盖公章。</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4、磋商结束后，磋商小组将要求所有实质性响应的供应商在规定时间内密封提交最后报价，最后报价是供应商响应文件的有效组成部分。</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未实质性响应磋商文件的响应文件按无效响应处理，磋商小组应及时告知该供应商，不再进行最后报价和进入详细评审。</w:t>
      </w:r>
    </w:p>
    <w:p>
      <w:pPr>
        <w:pStyle w:val="7"/>
        <w:spacing w:line="500" w:lineRule="exact"/>
        <w:ind w:firstLine="560"/>
        <w:rPr>
          <w:rFonts w:ascii="宋体" w:hAnsi="宋体"/>
          <w:bCs/>
          <w:color w:val="auto"/>
          <w:sz w:val="28"/>
          <w:szCs w:val="28"/>
          <w:highlight w:val="none"/>
        </w:rPr>
      </w:pPr>
      <w:r>
        <w:rPr>
          <w:rFonts w:hint="eastAsia" w:ascii="宋体" w:hAnsi="宋体"/>
          <w:bCs/>
          <w:color w:val="auto"/>
          <w:sz w:val="28"/>
          <w:szCs w:val="28"/>
          <w:highlight w:val="none"/>
        </w:rPr>
        <w:t>（四）详细评审</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供应商提交最后报价后由磋商小组对参与最后报价的供应商的最终响应文件进行综合评分。</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1.比较与评价响应文件</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（1）商务、技术评议</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磋商小组只对资格审查和符合性检查合格的响应文件进行商务、技术评议并依据本章“评审标准”中的分值进行综合比较和评分。</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（2）价格评议</w:t>
      </w:r>
    </w:p>
    <w:p>
      <w:pPr>
        <w:spacing w:line="460" w:lineRule="exact"/>
        <w:ind w:firstLine="560" w:firstLineChars="200"/>
        <w:rPr>
          <w:rFonts w:ascii="宋体" w:hAnsi="宋体" w:cs="宋体"/>
          <w:color w:val="auto"/>
          <w:sz w:val="28"/>
          <w:szCs w:val="28"/>
          <w:highlight w:val="none"/>
        </w:rPr>
      </w:pPr>
      <w:r>
        <w:rPr>
          <w:rFonts w:hint="eastAsia" w:hAnsi="宋体" w:cs="宋体"/>
          <w:bCs/>
          <w:color w:val="auto"/>
          <w:sz w:val="28"/>
          <w:szCs w:val="28"/>
          <w:highlight w:val="none"/>
        </w:rPr>
        <w:t>磋商小组只对资格和符合性审查合格的响应文件进行价格评议，报价分采用低价优先法计算，即满足采购文件要求且最后报价最低的供应商的价格为磋商基准价，其价格分为满分。其他供应商的价格分按本章第三节评审标准中“价格评议”的具体计算方式计算。</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（五）计分办法</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（1）采购代理机构负责对各磋商小组的总分进行复核和汇总。各项统计结果均精确到小数点后两位。</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（2）各供应商的最终得分为磋商小组所评定分数的算术平均值。</w:t>
      </w:r>
    </w:p>
    <w:p>
      <w:pPr>
        <w:pStyle w:val="7"/>
        <w:spacing w:line="500" w:lineRule="exact"/>
        <w:ind w:firstLine="548" w:firstLineChars="196"/>
        <w:rPr>
          <w:rFonts w:ascii="宋体" w:hAnsi="宋体"/>
          <w:color w:val="auto"/>
          <w:sz w:val="28"/>
          <w:szCs w:val="28"/>
          <w:highlight w:val="none"/>
        </w:rPr>
      </w:pPr>
      <w:r>
        <w:rPr>
          <w:rFonts w:hint="eastAsia" w:ascii="宋体" w:hAnsi="宋体"/>
          <w:color w:val="auto"/>
          <w:sz w:val="28"/>
          <w:szCs w:val="28"/>
          <w:highlight w:val="none"/>
        </w:rPr>
        <w:t xml:space="preserve">（3）评审过程中，不得去掉最后报价中的最高报价和最低报价。 </w:t>
      </w:r>
    </w:p>
    <w:p>
      <w:pPr>
        <w:pStyle w:val="7"/>
        <w:spacing w:line="500" w:lineRule="exact"/>
        <w:ind w:firstLine="560"/>
        <w:rPr>
          <w:rFonts w:ascii="宋体" w:hAnsi="宋体"/>
          <w:bCs/>
          <w:color w:val="auto"/>
          <w:kern w:val="0"/>
          <w:sz w:val="28"/>
          <w:szCs w:val="28"/>
          <w:highlight w:val="none"/>
        </w:rPr>
      </w:pPr>
      <w:r>
        <w:rPr>
          <w:rFonts w:hint="eastAsia" w:ascii="宋体" w:hAnsi="宋体"/>
          <w:bCs/>
          <w:color w:val="auto"/>
          <w:kern w:val="0"/>
          <w:sz w:val="28"/>
          <w:szCs w:val="28"/>
          <w:highlight w:val="none"/>
        </w:rPr>
        <w:t>（六）推荐成交候选人</w:t>
      </w:r>
    </w:p>
    <w:p>
      <w:pPr>
        <w:pStyle w:val="7"/>
        <w:spacing w:line="500" w:lineRule="exact"/>
        <w:ind w:firstLine="560"/>
        <w:rPr>
          <w:rFonts w:ascii="宋体" w:hAnsi="宋体"/>
          <w:bCs/>
          <w:color w:val="auto"/>
          <w:kern w:val="0"/>
          <w:sz w:val="28"/>
          <w:szCs w:val="28"/>
          <w:highlight w:val="none"/>
        </w:rPr>
      </w:pPr>
      <w:r>
        <w:rPr>
          <w:rFonts w:hint="eastAsia" w:ascii="宋体" w:hAnsi="宋体"/>
          <w:bCs/>
          <w:color w:val="auto"/>
          <w:kern w:val="0"/>
          <w:sz w:val="28"/>
          <w:szCs w:val="28"/>
          <w:highlight w:val="none"/>
        </w:rPr>
        <w:t>磋商小组应当根据综合评分情况，按照评审得分由高到低顺序（评审得分相同的，按照最后报价由低到高的顺序确定，评审得分且最后报价相同的，按照技术指标优劣顺序确定）推荐3名成交候选供应商（法律规定可以推荐2家成交候选供应商的情形除外），并编写评审报告。评审得分相同的，按照最后报价有低到高的顺序推荐。评审得分且最后报价相同的，按照技术指标优劣顺序推荐。</w:t>
      </w:r>
    </w:p>
    <w:p>
      <w:pPr>
        <w:pStyle w:val="7"/>
        <w:spacing w:line="500" w:lineRule="exact"/>
        <w:ind w:firstLine="0" w:firstLineChars="0"/>
        <w:jc w:val="left"/>
        <w:rPr>
          <w:rFonts w:ascii="宋体" w:hAnsi="宋体"/>
          <w:color w:val="auto"/>
          <w:sz w:val="28"/>
          <w:szCs w:val="28"/>
          <w:highlight w:val="none"/>
        </w:rPr>
      </w:pPr>
    </w:p>
    <w:p>
      <w:pPr>
        <w:pStyle w:val="6"/>
        <w:rPr>
          <w:color w:val="auto"/>
          <w:highlight w:val="none"/>
        </w:rPr>
      </w:pPr>
      <w:bookmarkStart w:id="132" w:name="_Toc446599325"/>
      <w:bookmarkStart w:id="133" w:name="_Toc27530"/>
      <w:r>
        <w:rPr>
          <w:rFonts w:hint="eastAsia"/>
          <w:color w:val="auto"/>
          <w:highlight w:val="none"/>
        </w:rPr>
        <w:t>三、评审标准</w:t>
      </w:r>
      <w:bookmarkEnd w:id="122"/>
      <w:bookmarkEnd w:id="123"/>
      <w:bookmarkEnd w:id="124"/>
      <w:bookmarkEnd w:id="132"/>
      <w:bookmarkEnd w:id="133"/>
    </w:p>
    <w:p>
      <w:pPr>
        <w:pStyle w:val="7"/>
        <w:spacing w:line="500" w:lineRule="exact"/>
        <w:ind w:firstLine="0" w:firstLineChars="0"/>
        <w:jc w:val="center"/>
        <w:rPr>
          <w:rFonts w:ascii="宋体" w:hAnsi="宋体"/>
          <w:bCs/>
          <w:color w:val="auto"/>
          <w:sz w:val="28"/>
          <w:szCs w:val="28"/>
          <w:highlight w:val="none"/>
        </w:rPr>
      </w:pPr>
      <w:r>
        <w:rPr>
          <w:rFonts w:hint="eastAsia" w:ascii="宋体" w:hAnsi="宋体"/>
          <w:bCs/>
          <w:color w:val="auto"/>
          <w:sz w:val="28"/>
          <w:szCs w:val="28"/>
          <w:highlight w:val="none"/>
        </w:rPr>
        <w:t>（一）资格性检查和符合性检查内容及标准</w:t>
      </w:r>
    </w:p>
    <w:tbl>
      <w:tblPr>
        <w:tblStyle w:val="29"/>
        <w:tblW w:w="8343"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34"/>
        <w:gridCol w:w="834"/>
        <w:gridCol w:w="2502"/>
        <w:gridCol w:w="417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72" w:hRule="atLeast"/>
        </w:trPr>
        <w:tc>
          <w:tcPr>
            <w:tcW w:w="1668" w:type="dxa"/>
            <w:gridSpan w:val="2"/>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序号</w:t>
            </w:r>
          </w:p>
        </w:tc>
        <w:tc>
          <w:tcPr>
            <w:tcW w:w="2502"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检查内容</w:t>
            </w:r>
          </w:p>
        </w:tc>
        <w:tc>
          <w:tcPr>
            <w:tcW w:w="4173"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1</w:t>
            </w:r>
          </w:p>
        </w:tc>
        <w:tc>
          <w:tcPr>
            <w:tcW w:w="834"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资格性检查</w:t>
            </w: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具有独立承担民事责任的能力</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具有独立的法人资格，具备合法有效的营业执照，具备良好的商业信誉和健全的财务制度。</w:t>
            </w:r>
            <w:r>
              <w:rPr>
                <w:rFonts w:hint="eastAsia"/>
                <w:color w:val="auto"/>
                <w:highlight w:val="none"/>
              </w:rPr>
              <w:t>（</w:t>
            </w:r>
            <w:r>
              <w:rPr>
                <w:rFonts w:hint="eastAsia" w:ascii="宋体" w:hAnsi="宋体" w:cs="宋体"/>
                <w:bCs/>
                <w:color w:val="auto"/>
                <w:szCs w:val="20"/>
                <w:highlight w:val="none"/>
              </w:rPr>
              <w:t>提供复印件加盖供应商公章）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金融许可证书</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金融许可证书副本或有效备案证明文件</w:t>
            </w:r>
            <w:r>
              <w:rPr>
                <w:rFonts w:hint="eastAsia"/>
                <w:color w:val="auto"/>
                <w:highlight w:val="none"/>
              </w:rPr>
              <w:t>。（提供复印件加盖供应商公章）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有依法缴纳税收的良好记录</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提供近期的税务证明材料</w:t>
            </w:r>
            <w:r>
              <w:rPr>
                <w:rFonts w:hint="eastAsia"/>
                <w:color w:val="auto"/>
                <w:highlight w:val="none"/>
              </w:rPr>
              <w:t>。（提供相应证明材料的复印件加盖供应商公章）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主体信用记录</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通过“信用中国”网站 （www.cred i tchina.g ov .cn）、中国 政府采购网（www. ccg p.gov. cn）等渠道查询的主体信用记录，未被列入信用记录失信被执行人、重大税收违法案件当事人名单、政府采购严重违法失信行为记录名单。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前期服务</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为本项目提供整体设计、规范编制或者项目管 理、监理、检测等服务的供应商，不得再参加 该项目的其他采购活动。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357" w:hRule="atLeast"/>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联合体磋商</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本项目接收联合体投标（联合体成员不超过 3家），其中至少有一个成员具有金融许可证 或 有效备案证明文件。若</w:t>
            </w:r>
            <w:r>
              <w:rPr>
                <w:rFonts w:hint="eastAsia"/>
                <w:color w:val="auto"/>
                <w:highlight w:val="none"/>
              </w:rPr>
              <w:t>供应商</w:t>
            </w:r>
            <w:r>
              <w:rPr>
                <w:color w:val="auto"/>
                <w:highlight w:val="none"/>
              </w:rPr>
              <w:t>是联合体</w:t>
            </w:r>
            <w:r>
              <w:rPr>
                <w:rFonts w:hint="eastAsia"/>
                <w:color w:val="auto"/>
                <w:highlight w:val="none"/>
              </w:rPr>
              <w:t>磋商</w:t>
            </w:r>
            <w:r>
              <w:rPr>
                <w:color w:val="auto"/>
                <w:highlight w:val="none"/>
              </w:rPr>
              <w:t>的，须提供</w:t>
            </w:r>
            <w:r>
              <w:rPr>
                <w:rFonts w:hint="eastAsia"/>
                <w:color w:val="auto"/>
                <w:highlight w:val="none"/>
              </w:rPr>
              <w:t>联合体各</w:t>
            </w:r>
            <w:r>
              <w:rPr>
                <w:color w:val="auto"/>
                <w:highlight w:val="none"/>
              </w:rPr>
              <w:t xml:space="preserve">方签字盖章后的联合体协议。 </w:t>
            </w:r>
            <w:r>
              <w:rPr>
                <w:rFonts w:hint="eastAsia"/>
                <w:color w:val="auto"/>
                <w:highlight w:val="none"/>
              </w:rPr>
              <w:t>（提供联合体协议原件。）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2</w:t>
            </w:r>
          </w:p>
        </w:tc>
        <w:tc>
          <w:tcPr>
            <w:tcW w:w="834"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符合性检查</w:t>
            </w: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供应商名称</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与营业执照等其他证件一致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磋商响应性文件签署</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符合磋商文件要求在规定区域加盖单位公章和法定代表人</w:t>
            </w:r>
            <w:r>
              <w:rPr>
                <w:rFonts w:hint="eastAsia"/>
                <w:color w:val="auto"/>
                <w:highlight w:val="none"/>
              </w:rPr>
              <w:t>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法定代表人和授权代表资格</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具有法定代表人资格证明和法定代表人授权委托书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磋商有效期</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符合供应商须知前附表的规定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磋商报价</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按本文件规定的年综合成本计算方式计算，年 综合成本控制在</w:t>
            </w:r>
            <w:r>
              <w:rPr>
                <w:rFonts w:hint="eastAsia"/>
                <w:color w:val="auto"/>
                <w:highlight w:val="none"/>
                <w:lang w:eastAsia="zh-CN"/>
              </w:rPr>
              <w:t>9.5%</w:t>
            </w:r>
            <w:r>
              <w:rPr>
                <w:color w:val="auto"/>
                <w:highlight w:val="none"/>
              </w:rPr>
              <w:t xml:space="preserve"> 以内（最终成交综合年 利率），高于成交综合年利率的为废标。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违法违规行为</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无磋商文件中的任一情形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磋商要求</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法定代表人或授权代表未按要求到达现场</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34"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502"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其它要求</w:t>
            </w:r>
          </w:p>
        </w:tc>
        <w:tc>
          <w:tcPr>
            <w:tcW w:w="4173"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符合法律法规和磋商文件规定的其它实质性要求 </w:t>
            </w:r>
          </w:p>
        </w:tc>
      </w:tr>
    </w:tbl>
    <w:p>
      <w:pPr>
        <w:spacing w:after="280" w:afterAutospacing="1"/>
        <w:rPr>
          <w:rFonts w:ascii="宋体" w:hAnsi="宋体"/>
          <w:bCs/>
          <w:color w:val="auto"/>
          <w:sz w:val="28"/>
          <w:szCs w:val="28"/>
          <w:highlight w:val="none"/>
        </w:rPr>
      </w:pPr>
      <w:bookmarkStart w:id="134" w:name="EB00466db80c5f46cba99e2ffae7019928"/>
      <w:bookmarkEnd w:id="134"/>
    </w:p>
    <w:p>
      <w:pPr>
        <w:pStyle w:val="7"/>
        <w:spacing w:line="500" w:lineRule="exact"/>
        <w:ind w:firstLine="0" w:firstLineChars="0"/>
        <w:jc w:val="center"/>
        <w:rPr>
          <w:rFonts w:ascii="宋体" w:hAnsi="宋体"/>
          <w:color w:val="auto"/>
          <w:sz w:val="24"/>
          <w:highlight w:val="none"/>
        </w:rPr>
      </w:pPr>
      <w:r>
        <w:rPr>
          <w:rFonts w:hint="eastAsia" w:ascii="宋体" w:hAnsi="宋体"/>
          <w:color w:val="auto"/>
          <w:sz w:val="24"/>
          <w:highlight w:val="none"/>
        </w:rPr>
        <w:t>以上检查内容必须全部符合检查标准，否则为无效响应文件。</w:t>
      </w:r>
    </w:p>
    <w:p>
      <w:pPr>
        <w:pStyle w:val="7"/>
        <w:spacing w:line="500" w:lineRule="exact"/>
        <w:ind w:firstLine="0" w:firstLineChars="0"/>
        <w:jc w:val="center"/>
        <w:rPr>
          <w:rFonts w:ascii="宋体" w:hAnsi="宋体"/>
          <w:color w:val="auto"/>
          <w:sz w:val="24"/>
          <w:highlight w:val="none"/>
        </w:rPr>
      </w:pPr>
    </w:p>
    <w:p>
      <w:pPr>
        <w:pStyle w:val="7"/>
        <w:spacing w:line="500" w:lineRule="exact"/>
        <w:ind w:firstLine="0" w:firstLineChars="0"/>
        <w:jc w:val="center"/>
        <w:rPr>
          <w:rFonts w:ascii="宋体" w:hAnsi="宋体"/>
          <w:color w:val="auto"/>
          <w:sz w:val="28"/>
          <w:szCs w:val="28"/>
          <w:highlight w:val="none"/>
        </w:rPr>
      </w:pPr>
      <w:r>
        <w:rPr>
          <w:rFonts w:hint="eastAsia" w:ascii="宋体" w:hAnsi="宋体"/>
          <w:color w:val="auto"/>
          <w:sz w:val="28"/>
          <w:szCs w:val="28"/>
          <w:highlight w:val="none"/>
        </w:rPr>
        <w:t>（二）商务、技术、价格评审内容及标准</w:t>
      </w:r>
    </w:p>
    <w:tbl>
      <w:tblPr>
        <w:tblStyle w:val="29"/>
        <w:tblW w:w="8538"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46"/>
        <w:gridCol w:w="861"/>
        <w:gridCol w:w="2005"/>
        <w:gridCol w:w="1015"/>
        <w:gridCol w:w="381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707" w:type="dxa"/>
            <w:gridSpan w:val="2"/>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序号</w:t>
            </w:r>
          </w:p>
        </w:tc>
        <w:tc>
          <w:tcPr>
            <w:tcW w:w="2005"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评议内容</w:t>
            </w:r>
          </w:p>
        </w:tc>
        <w:tc>
          <w:tcPr>
            <w:tcW w:w="1015"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分值</w:t>
            </w:r>
          </w:p>
        </w:tc>
        <w:tc>
          <w:tcPr>
            <w:tcW w:w="3811"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3</w:t>
            </w:r>
          </w:p>
        </w:tc>
        <w:tc>
          <w:tcPr>
            <w:tcW w:w="861"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商务评议</w:t>
            </w:r>
          </w:p>
        </w:tc>
        <w:tc>
          <w:tcPr>
            <w:tcW w:w="2005" w:type="dxa"/>
            <w:vMerge w:val="restart"/>
            <w:tcBorders>
              <w:top w:val="outset" w:color="auto" w:sz="6" w:space="0"/>
              <w:left w:val="outset" w:color="auto" w:sz="6" w:space="0"/>
              <w:right w:val="outset" w:color="auto" w:sz="6" w:space="0"/>
            </w:tcBorders>
            <w:vAlign w:val="center"/>
          </w:tcPr>
          <w:p>
            <w:pPr>
              <w:jc w:val="left"/>
              <w:rPr>
                <w:color w:val="auto"/>
                <w:highlight w:val="none"/>
              </w:rPr>
            </w:pPr>
            <w:r>
              <w:rPr>
                <w:color w:val="auto"/>
                <w:highlight w:val="none"/>
              </w:rPr>
              <w:t>融资期限</w:t>
            </w:r>
            <w:r>
              <w:rPr>
                <w:rFonts w:hint="eastAsia"/>
                <w:color w:val="auto"/>
                <w:highlight w:val="none"/>
              </w:rPr>
              <w:t>（</w:t>
            </w:r>
            <w:r>
              <w:rPr>
                <w:color w:val="auto"/>
                <w:highlight w:val="none"/>
              </w:rPr>
              <w:t>融资期限不低于</w:t>
            </w:r>
            <w:r>
              <w:rPr>
                <w:rFonts w:hint="eastAsia"/>
                <w:color w:val="auto"/>
                <w:highlight w:val="none"/>
              </w:rPr>
              <w:t>3</w:t>
            </w:r>
            <w:r>
              <w:rPr>
                <w:color w:val="auto"/>
                <w:highlight w:val="none"/>
              </w:rPr>
              <w:t>年</w:t>
            </w:r>
            <w:r>
              <w:rPr>
                <w:rFonts w:hint="eastAsia"/>
                <w:color w:val="auto"/>
                <w:highlight w:val="none"/>
              </w:rPr>
              <w:t>）</w:t>
            </w:r>
          </w:p>
        </w:tc>
        <w:tc>
          <w:tcPr>
            <w:tcW w:w="1015" w:type="dxa"/>
            <w:vMerge w:val="restart"/>
            <w:tcBorders>
              <w:top w:val="outset" w:color="auto" w:sz="6" w:space="0"/>
              <w:left w:val="outset" w:color="auto" w:sz="6" w:space="0"/>
              <w:right w:val="outset" w:color="auto" w:sz="6" w:space="0"/>
            </w:tcBorders>
            <w:vAlign w:val="center"/>
          </w:tcPr>
          <w:p>
            <w:pPr>
              <w:jc w:val="left"/>
              <w:rPr>
                <w:color w:val="auto"/>
                <w:highlight w:val="none"/>
              </w:rPr>
            </w:pPr>
            <w:r>
              <w:rPr>
                <w:color w:val="auto"/>
                <w:highlight w:val="none"/>
              </w:rPr>
              <w:t>10.00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融资期限</w:t>
            </w:r>
            <w:r>
              <w:rPr>
                <w:rFonts w:hint="eastAsia"/>
                <w:color w:val="auto"/>
                <w:highlight w:val="none"/>
              </w:rPr>
              <w:t>为5年及以上的</w:t>
            </w:r>
            <w:r>
              <w:rPr>
                <w:color w:val="auto"/>
                <w:highlight w:val="none"/>
              </w:rPr>
              <w:t>得</w:t>
            </w:r>
            <w:r>
              <w:rPr>
                <w:rFonts w:hint="eastAsia"/>
                <w:color w:val="auto"/>
                <w:highlight w:val="none"/>
              </w:rPr>
              <w:t>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left w:val="outset" w:color="auto" w:sz="6" w:space="0"/>
              <w:right w:val="outset" w:color="auto" w:sz="6" w:space="0"/>
            </w:tcBorders>
            <w:vAlign w:val="center"/>
          </w:tcPr>
          <w:p>
            <w:pPr>
              <w:jc w:val="center"/>
              <w:rPr>
                <w:color w:val="auto"/>
                <w:highlight w:val="none"/>
              </w:rPr>
            </w:pPr>
          </w:p>
        </w:tc>
        <w:tc>
          <w:tcPr>
            <w:tcW w:w="861" w:type="dxa"/>
            <w:vMerge w:val="continue"/>
            <w:tcBorders>
              <w:left w:val="outset" w:color="auto" w:sz="6" w:space="0"/>
              <w:right w:val="outset" w:color="auto" w:sz="6" w:space="0"/>
            </w:tcBorders>
            <w:vAlign w:val="center"/>
          </w:tcPr>
          <w:p>
            <w:pPr>
              <w:jc w:val="center"/>
              <w:rPr>
                <w:color w:val="auto"/>
                <w:highlight w:val="none"/>
              </w:rPr>
            </w:pPr>
          </w:p>
        </w:tc>
        <w:tc>
          <w:tcPr>
            <w:tcW w:w="2005" w:type="dxa"/>
            <w:vMerge w:val="continue"/>
            <w:tcBorders>
              <w:left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融资期限</w:t>
            </w:r>
            <w:r>
              <w:rPr>
                <w:rFonts w:hint="eastAsia"/>
                <w:color w:val="auto"/>
                <w:highlight w:val="none"/>
              </w:rPr>
              <w:t>为4年的</w:t>
            </w:r>
            <w:r>
              <w:rPr>
                <w:color w:val="auto"/>
                <w:highlight w:val="none"/>
              </w:rPr>
              <w:t>得</w:t>
            </w:r>
            <w:r>
              <w:rPr>
                <w:rFonts w:hint="eastAsia"/>
                <w:color w:val="auto"/>
                <w:highlight w:val="none"/>
              </w:rPr>
              <w:t>6分。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left w:val="outset" w:color="auto" w:sz="6" w:space="0"/>
              <w:right w:val="outset" w:color="auto" w:sz="6" w:space="0"/>
            </w:tcBorders>
            <w:vAlign w:val="center"/>
          </w:tcPr>
          <w:p>
            <w:pPr>
              <w:jc w:val="center"/>
              <w:rPr>
                <w:color w:val="auto"/>
                <w:highlight w:val="none"/>
              </w:rPr>
            </w:pPr>
          </w:p>
        </w:tc>
        <w:tc>
          <w:tcPr>
            <w:tcW w:w="861" w:type="dxa"/>
            <w:vMerge w:val="continue"/>
            <w:tcBorders>
              <w:left w:val="outset" w:color="auto" w:sz="6" w:space="0"/>
              <w:right w:val="outset" w:color="auto" w:sz="6" w:space="0"/>
            </w:tcBorders>
            <w:vAlign w:val="center"/>
          </w:tcPr>
          <w:p>
            <w:pPr>
              <w:jc w:val="center"/>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融资期限</w:t>
            </w:r>
            <w:r>
              <w:rPr>
                <w:rFonts w:hint="eastAsia"/>
                <w:color w:val="auto"/>
                <w:highlight w:val="none"/>
              </w:rPr>
              <w:t>为3年的</w:t>
            </w:r>
            <w:r>
              <w:rPr>
                <w:color w:val="auto"/>
                <w:highlight w:val="none"/>
              </w:rPr>
              <w:t>得</w:t>
            </w:r>
            <w:r>
              <w:rPr>
                <w:rFonts w:hint="eastAsia"/>
                <w:color w:val="auto"/>
                <w:highlight w:val="none"/>
              </w:rPr>
              <w:t>3分。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还款计划</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10.00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分期还款，方案中每期还款时间间隔均为</w:t>
            </w:r>
            <w:r>
              <w:rPr>
                <w:rFonts w:hint="eastAsia"/>
                <w:color w:val="auto"/>
                <w:highlight w:val="none"/>
              </w:rPr>
              <w:t>6</w:t>
            </w:r>
            <w:r>
              <w:rPr>
                <w:color w:val="auto"/>
                <w:highlight w:val="none"/>
              </w:rPr>
              <w:t>个月</w:t>
            </w:r>
            <w:r>
              <w:rPr>
                <w:rFonts w:hint="eastAsia"/>
                <w:color w:val="auto"/>
                <w:highlight w:val="none"/>
              </w:rPr>
              <w:t>及</w:t>
            </w:r>
            <w:r>
              <w:rPr>
                <w:color w:val="auto"/>
                <w:highlight w:val="none"/>
              </w:rPr>
              <w:t>以上的得</w:t>
            </w:r>
            <w:r>
              <w:rPr>
                <w:rFonts w:hint="eastAsia"/>
                <w:color w:val="auto"/>
                <w:highlight w:val="none"/>
              </w:rPr>
              <w:t>10</w:t>
            </w:r>
            <w:r>
              <w:rPr>
                <w:color w:val="auto"/>
                <w:highlight w:val="none"/>
              </w:rPr>
              <w:t>分，每期还款时间间隔均为</w:t>
            </w:r>
            <w:r>
              <w:rPr>
                <w:rFonts w:hint="eastAsia"/>
                <w:color w:val="auto"/>
                <w:highlight w:val="none"/>
              </w:rPr>
              <w:t>3</w:t>
            </w:r>
            <w:r>
              <w:rPr>
                <w:color w:val="auto"/>
                <w:highlight w:val="none"/>
              </w:rPr>
              <w:t>个月以上的得</w:t>
            </w:r>
            <w:r>
              <w:rPr>
                <w:rFonts w:hint="eastAsia"/>
                <w:color w:val="auto"/>
                <w:highlight w:val="none"/>
              </w:rPr>
              <w:t>6</w:t>
            </w:r>
            <w:r>
              <w:rPr>
                <w:color w:val="auto"/>
                <w:highlight w:val="none"/>
              </w:rPr>
              <w:t xml:space="preserve">分，如有一期还款时间间隔低于3个月的， 扣2分，直至扣完为止 。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手续费（服务费）</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10</w:t>
            </w:r>
            <w:r>
              <w:rPr>
                <w:color w:val="auto"/>
                <w:highlight w:val="none"/>
              </w:rPr>
              <w:t>.00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手续费（服务费）价格最低的得10分，次低价</w:t>
            </w:r>
            <w:r>
              <w:rPr>
                <w:rFonts w:hint="eastAsia"/>
                <w:color w:val="auto"/>
                <w:highlight w:val="none"/>
                <w:lang w:val="en-US" w:eastAsia="zh-CN"/>
              </w:rPr>
              <w:t>得8</w:t>
            </w:r>
            <w:r>
              <w:rPr>
                <w:rFonts w:hint="eastAsia"/>
                <w:color w:val="auto"/>
                <w:highlight w:val="none"/>
              </w:rPr>
              <w:t>分，以此类推，</w:t>
            </w:r>
            <w:r>
              <w:rPr>
                <w:rFonts w:hint="eastAsia"/>
                <w:color w:val="auto"/>
                <w:highlight w:val="none"/>
                <w:lang w:val="en-US" w:eastAsia="zh-CN"/>
              </w:rPr>
              <w:t>最低得0分</w:t>
            </w:r>
            <w:r>
              <w:rPr>
                <w:color w:val="auto"/>
                <w:highlight w:val="none"/>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保证金</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5.00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保证金价格最低得5 分，次低价</w:t>
            </w:r>
            <w:r>
              <w:rPr>
                <w:rFonts w:hint="eastAsia"/>
                <w:color w:val="auto"/>
                <w:highlight w:val="none"/>
                <w:lang w:val="en-US" w:eastAsia="zh-CN"/>
              </w:rPr>
              <w:t>的4</w:t>
            </w:r>
            <w:r>
              <w:rPr>
                <w:rFonts w:hint="eastAsia"/>
                <w:color w:val="auto"/>
                <w:highlight w:val="none"/>
              </w:rPr>
              <w:t>分，以此类推，</w:t>
            </w:r>
            <w:r>
              <w:rPr>
                <w:rFonts w:hint="eastAsia"/>
                <w:color w:val="auto"/>
                <w:highlight w:val="none"/>
                <w:lang w:val="en-US" w:eastAsia="zh-CN"/>
              </w:rPr>
              <w:t>最低得0分</w:t>
            </w:r>
            <w:r>
              <w:rPr>
                <w:color w:val="auto"/>
                <w:highlight w:val="none"/>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77" w:hRule="atLeast"/>
        </w:trPr>
        <w:tc>
          <w:tcPr>
            <w:tcW w:w="846"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4</w:t>
            </w:r>
          </w:p>
        </w:tc>
        <w:tc>
          <w:tcPr>
            <w:tcW w:w="861"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技术评议</w:t>
            </w:r>
          </w:p>
        </w:tc>
        <w:tc>
          <w:tcPr>
            <w:tcW w:w="2005" w:type="dxa"/>
            <w:vMerge w:val="restart"/>
            <w:tcBorders>
              <w:top w:val="outset" w:color="auto" w:sz="6" w:space="0"/>
              <w:left w:val="outset" w:color="auto" w:sz="6" w:space="0"/>
              <w:right w:val="outset" w:color="auto" w:sz="6" w:space="0"/>
            </w:tcBorders>
            <w:vAlign w:val="center"/>
          </w:tcPr>
          <w:p>
            <w:pPr>
              <w:jc w:val="left"/>
              <w:rPr>
                <w:color w:val="auto"/>
                <w:highlight w:val="none"/>
              </w:rPr>
            </w:pPr>
            <w:r>
              <w:rPr>
                <w:color w:val="auto"/>
                <w:highlight w:val="none"/>
              </w:rPr>
              <w:t>工作方案</w:t>
            </w:r>
          </w:p>
        </w:tc>
        <w:tc>
          <w:tcPr>
            <w:tcW w:w="1015" w:type="dxa"/>
            <w:vMerge w:val="restart"/>
            <w:tcBorders>
              <w:top w:val="outset" w:color="auto" w:sz="6" w:space="0"/>
              <w:left w:val="outset" w:color="auto" w:sz="6" w:space="0"/>
              <w:right w:val="outset" w:color="auto" w:sz="6" w:space="0"/>
            </w:tcBorders>
            <w:vAlign w:val="center"/>
          </w:tcPr>
          <w:p>
            <w:pPr>
              <w:jc w:val="left"/>
              <w:rPr>
                <w:color w:val="auto"/>
                <w:highlight w:val="none"/>
              </w:rPr>
            </w:pPr>
            <w:r>
              <w:rPr>
                <w:rFonts w:hint="eastAsia"/>
                <w:color w:val="auto"/>
                <w:highlight w:val="none"/>
              </w:rPr>
              <w:t>10</w:t>
            </w:r>
            <w:r>
              <w:rPr>
                <w:color w:val="auto"/>
                <w:highlight w:val="none"/>
              </w:rPr>
              <w:t>.00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无抵押且无质押的</w:t>
            </w:r>
            <w:r>
              <w:rPr>
                <w:color w:val="auto"/>
                <w:highlight w:val="none"/>
              </w:rPr>
              <w:t>方案</w:t>
            </w:r>
            <w:r>
              <w:rPr>
                <w:rFonts w:hint="eastAsia"/>
                <w:color w:val="auto"/>
                <w:highlight w:val="none"/>
              </w:rPr>
              <w:t>得10</w:t>
            </w:r>
            <w:r>
              <w:rPr>
                <w:color w:val="auto"/>
                <w:highlight w:val="none"/>
              </w:rPr>
              <w:t xml:space="preserve">分 </w:t>
            </w:r>
            <w:r>
              <w:rPr>
                <w:rFonts w:hint="eastAsia"/>
                <w:color w:val="auto"/>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04" w:hRule="atLeast"/>
        </w:trPr>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要求提供融资额50%含以下抵押物的方案得6分。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24" w:hRule="atLeast"/>
        </w:trPr>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要求提供融资额50%以上抵押物的方案得2分。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19" w:hRule="atLeast"/>
        </w:trPr>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要求提供抵押及其他权利质押双重担保的方案不得分。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59" w:hRule="atLeast"/>
        </w:trPr>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vMerge w:val="continue"/>
            <w:tcBorders>
              <w:left w:val="outset" w:color="auto" w:sz="6" w:space="0"/>
              <w:bottom w:val="outset" w:color="auto" w:sz="6" w:space="0"/>
              <w:right w:val="outset" w:color="auto" w:sz="6" w:space="0"/>
            </w:tcBorders>
            <w:vAlign w:val="center"/>
          </w:tcPr>
          <w:p>
            <w:pPr>
              <w:jc w:val="left"/>
              <w:rPr>
                <w:color w:val="auto"/>
                <w:highlight w:val="none"/>
              </w:rPr>
            </w:pP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5</w:t>
            </w:r>
            <w:r>
              <w:rPr>
                <w:color w:val="auto"/>
                <w:highlight w:val="none"/>
              </w:rPr>
              <w:t>.00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提供完整的融资租赁方案，</w:t>
            </w:r>
            <w:r>
              <w:rPr>
                <w:rFonts w:hint="eastAsia"/>
                <w:color w:val="auto"/>
                <w:highlight w:val="none"/>
              </w:rPr>
              <w:t>根据</w:t>
            </w:r>
            <w:r>
              <w:rPr>
                <w:color w:val="auto"/>
                <w:highlight w:val="none"/>
              </w:rPr>
              <w:t>方案</w:t>
            </w:r>
            <w:r>
              <w:rPr>
                <w:rFonts w:hint="eastAsia"/>
                <w:color w:val="auto"/>
                <w:highlight w:val="none"/>
              </w:rPr>
              <w:t>的合理可行性得1-5</w:t>
            </w:r>
            <w:r>
              <w:rPr>
                <w:color w:val="auto"/>
                <w:highlight w:val="none"/>
              </w:rPr>
              <w:t>分</w:t>
            </w:r>
            <w:r>
              <w:rPr>
                <w:rFonts w:hint="eastAsia"/>
                <w:color w:val="auto"/>
                <w:highlight w:val="none"/>
              </w:rPr>
              <w:t>，不合理不得分</w:t>
            </w:r>
            <w:r>
              <w:rPr>
                <w:color w:val="auto"/>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工作进度</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20.00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融资租赁服务时间安排紧凑合理，时间节点明确，关键要素齐全， 出具批复时间最短者得满分。其他报价得分公式：（最短批复时间/ 出具批复时间）*20 % *100。 （投标人报名成功后，可向采购人收集资料并制订融资方案，融资方案中必须明确授信和放款条件）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5</w:t>
            </w:r>
          </w:p>
        </w:tc>
        <w:tc>
          <w:tcPr>
            <w:tcW w:w="861"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价格评议</w:t>
            </w:r>
          </w:p>
        </w:tc>
        <w:tc>
          <w:tcPr>
            <w:tcW w:w="200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价格分</w:t>
            </w:r>
          </w:p>
        </w:tc>
        <w:tc>
          <w:tcPr>
            <w:tcW w:w="1015"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rFonts w:hint="eastAsia"/>
                <w:color w:val="auto"/>
                <w:highlight w:val="none"/>
              </w:rPr>
              <w:t>3</w:t>
            </w:r>
            <w:r>
              <w:rPr>
                <w:color w:val="auto"/>
                <w:highlight w:val="none"/>
              </w:rPr>
              <w:t>0.00</w:t>
            </w:r>
          </w:p>
        </w:tc>
        <w:tc>
          <w:tcPr>
            <w:tcW w:w="3811" w:type="dxa"/>
            <w:tcBorders>
              <w:top w:val="outset" w:color="auto" w:sz="6" w:space="0"/>
              <w:left w:val="outset" w:color="auto" w:sz="6" w:space="0"/>
              <w:bottom w:val="outset" w:color="auto" w:sz="6" w:space="0"/>
              <w:right w:val="outset" w:color="auto" w:sz="6" w:space="0"/>
            </w:tcBorders>
            <w:vAlign w:val="center"/>
          </w:tcPr>
          <w:p>
            <w:pPr>
              <w:jc w:val="left"/>
              <w:rPr>
                <w:color w:val="auto"/>
                <w:highlight w:val="none"/>
              </w:rPr>
            </w:pPr>
            <w:r>
              <w:rPr>
                <w:color w:val="auto"/>
                <w:highlight w:val="none"/>
              </w:rPr>
              <w:t xml:space="preserve">磋商小组只对资格和符合性检查合格的响应文件进行价格评议，报价分采用低价优先法计算 ，即满足磋商文件要求且最后报价最低为评审基准价，其价格分为满分。其 他供应商的价格分按照下列公式计算： 磋商报价得分=(评审基准价／投标报价)× 价格分。 </w:t>
            </w:r>
          </w:p>
        </w:tc>
      </w:tr>
    </w:tbl>
    <w:p>
      <w:pPr>
        <w:spacing w:after="280" w:afterAutospacing="1"/>
        <w:rPr>
          <w:rFonts w:ascii="宋体" w:hAnsi="宋体"/>
          <w:color w:val="auto"/>
          <w:sz w:val="28"/>
          <w:szCs w:val="28"/>
          <w:highlight w:val="none"/>
        </w:rPr>
      </w:pPr>
      <w:bookmarkStart w:id="135" w:name="EB91c4cf8e75b140d1a173b906f153c463"/>
      <w:bookmarkEnd w:id="135"/>
    </w:p>
    <w:p>
      <w:pPr>
        <w:pStyle w:val="7"/>
        <w:spacing w:line="500" w:lineRule="exact"/>
        <w:ind w:firstLine="700" w:firstLineChars="250"/>
        <w:rPr>
          <w:rFonts w:ascii="宋体" w:hAnsi="宋体"/>
          <w:color w:val="auto"/>
          <w:sz w:val="28"/>
          <w:szCs w:val="28"/>
          <w:highlight w:val="none"/>
        </w:rPr>
      </w:pPr>
      <w:r>
        <w:rPr>
          <w:rFonts w:ascii="宋体" w:hAnsi="宋体"/>
          <w:color w:val="auto"/>
          <w:sz w:val="28"/>
          <w:szCs w:val="28"/>
          <w:highlight w:val="none"/>
        </w:rPr>
        <w:br w:type="page"/>
      </w:r>
    </w:p>
    <w:p>
      <w:pPr>
        <w:pStyle w:val="5"/>
        <w:rPr>
          <w:b w:val="0"/>
          <w:color w:val="auto"/>
          <w:highlight w:val="none"/>
        </w:rPr>
      </w:pPr>
      <w:bookmarkStart w:id="136" w:name="_Toc24753"/>
      <w:bookmarkStart w:id="137" w:name="EBf6829c1946754778b1e56448c24b6d10"/>
      <w:r>
        <w:rPr>
          <w:rFonts w:hint="eastAsia"/>
          <w:color w:val="auto"/>
          <w:highlight w:val="none"/>
        </w:rPr>
        <w:t>第五章</w:t>
      </w:r>
      <w:r>
        <w:rPr>
          <w:rFonts w:hint="eastAsia"/>
          <w:color w:val="auto"/>
          <w:highlight w:val="none"/>
          <w:lang w:val="en-US" w:eastAsia="zh-CN"/>
        </w:rPr>
        <w:t xml:space="preserve"> </w:t>
      </w:r>
      <w:r>
        <w:rPr>
          <w:rFonts w:hint="eastAsia"/>
          <w:color w:val="auto"/>
          <w:highlight w:val="none"/>
        </w:rPr>
        <w:t>合同格式</w:t>
      </w:r>
      <w:bookmarkEnd w:id="136"/>
    </w:p>
    <w:p>
      <w:pPr>
        <w:pStyle w:val="76"/>
        <w:rPr>
          <w:color w:val="auto"/>
          <w:sz w:val="44"/>
          <w:szCs w:val="44"/>
          <w:highlight w:val="none"/>
        </w:rPr>
      </w:pPr>
    </w:p>
    <w:p>
      <w:pPr>
        <w:pStyle w:val="76"/>
        <w:rPr>
          <w:color w:val="auto"/>
          <w:sz w:val="44"/>
          <w:szCs w:val="44"/>
          <w:highlight w:val="none"/>
        </w:rPr>
      </w:pPr>
    </w:p>
    <w:p>
      <w:pPr>
        <w:pStyle w:val="76"/>
        <w:rPr>
          <w:color w:val="auto"/>
          <w:sz w:val="44"/>
          <w:szCs w:val="44"/>
          <w:highlight w:val="none"/>
        </w:rPr>
      </w:pPr>
    </w:p>
    <w:p>
      <w:pPr>
        <w:pStyle w:val="76"/>
        <w:ind w:left="0" w:leftChars="0" w:firstLine="0" w:firstLineChars="0"/>
        <w:jc w:val="center"/>
        <w:rPr>
          <w:color w:val="auto"/>
          <w:highlight w:val="none"/>
        </w:rPr>
      </w:pPr>
      <w:r>
        <w:rPr>
          <w:color w:val="auto"/>
          <w:sz w:val="44"/>
          <w:szCs w:val="44"/>
          <w:highlight w:val="none"/>
        </w:rPr>
        <w:t>成交后另行签订</w:t>
      </w:r>
    </w:p>
    <w:bookmarkEnd w:id="137"/>
    <w:p>
      <w:pPr>
        <w:widowControl/>
        <w:jc w:val="left"/>
        <w:rPr>
          <w:rFonts w:ascii="宋体" w:hAnsi="宋体"/>
          <w:bCs/>
          <w:color w:val="auto"/>
          <w:sz w:val="20"/>
          <w:szCs w:val="28"/>
          <w:highlight w:val="none"/>
        </w:rPr>
      </w:pPr>
      <w:r>
        <w:rPr>
          <w:rFonts w:ascii="宋体" w:hAnsi="宋体"/>
          <w:bCs/>
          <w:color w:val="auto"/>
          <w:sz w:val="28"/>
          <w:szCs w:val="28"/>
          <w:highlight w:val="none"/>
        </w:rPr>
        <w:br w:type="page"/>
      </w:r>
    </w:p>
    <w:p>
      <w:pPr>
        <w:pStyle w:val="5"/>
        <w:rPr>
          <w:color w:val="auto"/>
          <w:highlight w:val="none"/>
        </w:rPr>
      </w:pPr>
      <w:bookmarkStart w:id="138" w:name="_Toc446599331"/>
      <w:bookmarkStart w:id="139" w:name="_Toc293739008"/>
      <w:bookmarkStart w:id="140" w:name="_Toc293736070"/>
      <w:bookmarkStart w:id="141" w:name="_Toc293736027"/>
      <w:bookmarkStart w:id="142" w:name="_Toc29817"/>
      <w:r>
        <w:rPr>
          <w:rFonts w:hint="eastAsia"/>
          <w:color w:val="auto"/>
          <w:highlight w:val="none"/>
        </w:rPr>
        <w:t>第六章</w:t>
      </w:r>
      <w:bookmarkEnd w:id="138"/>
      <w:bookmarkEnd w:id="139"/>
      <w:bookmarkEnd w:id="140"/>
      <w:bookmarkEnd w:id="141"/>
      <w:bookmarkStart w:id="143" w:name="_Toc257633148"/>
      <w:r>
        <w:rPr>
          <w:rFonts w:hint="eastAsia"/>
          <w:color w:val="auto"/>
          <w:highlight w:val="none"/>
          <w:lang w:val="en-US" w:eastAsia="zh-CN"/>
        </w:rPr>
        <w:t xml:space="preserve"> </w:t>
      </w:r>
      <w:r>
        <w:rPr>
          <w:rFonts w:hint="eastAsia"/>
          <w:color w:val="auto"/>
          <w:highlight w:val="none"/>
        </w:rPr>
        <w:t>竞争性磋商响应文件格式</w:t>
      </w:r>
      <w:bookmarkEnd w:id="142"/>
    </w:p>
    <w:p>
      <w:pPr>
        <w:jc w:val="center"/>
        <w:rPr>
          <w:rFonts w:ascii="黑体" w:eastAsia="黑体"/>
          <w:b/>
          <w:bCs/>
          <w:color w:val="auto"/>
          <w:sz w:val="120"/>
          <w:highlight w:val="none"/>
        </w:rPr>
      </w:pPr>
      <w:r>
        <w:rPr>
          <w:rFonts w:hint="eastAsia"/>
          <w:b/>
          <w:bCs/>
          <w:color w:val="auto"/>
          <w:sz w:val="44"/>
          <w:szCs w:val="44"/>
          <w:highlight w:val="none"/>
          <w:lang w:eastAsia="zh-CN"/>
        </w:rPr>
        <w:t>金润源水务公司2021年2月15000万元融资租赁项目</w:t>
      </w:r>
    </w:p>
    <w:p>
      <w:pPr>
        <w:rPr>
          <w:color w:val="auto"/>
          <w:highlight w:val="none"/>
        </w:rPr>
      </w:pPr>
    </w:p>
    <w:bookmarkEnd w:id="143"/>
    <w:p>
      <w:pPr>
        <w:rPr>
          <w:color w:val="auto"/>
          <w:highlight w:val="none"/>
        </w:rPr>
      </w:pPr>
      <w:bookmarkStart w:id="144" w:name="EBa031de7d05184f7dba1e6193eb4afe4c"/>
    </w:p>
    <w:p>
      <w:pPr>
        <w:pStyle w:val="79"/>
        <w:ind w:firstLine="420"/>
        <w:rPr>
          <w:color w:val="auto"/>
          <w:highlight w:val="none"/>
        </w:rPr>
      </w:pPr>
    </w:p>
    <w:p>
      <w:pPr>
        <w:pStyle w:val="79"/>
        <w:jc w:val="center"/>
        <w:rPr>
          <w:rFonts w:ascii="黑体" w:eastAsia="黑体"/>
          <w:b/>
          <w:bCs/>
          <w:color w:val="auto"/>
          <w:sz w:val="120"/>
          <w:highlight w:val="none"/>
        </w:rPr>
      </w:pPr>
    </w:p>
    <w:p>
      <w:pPr>
        <w:pStyle w:val="79"/>
        <w:jc w:val="center"/>
        <w:rPr>
          <w:rFonts w:ascii="黑体" w:eastAsia="黑体"/>
          <w:b/>
          <w:bCs/>
          <w:color w:val="auto"/>
          <w:sz w:val="120"/>
          <w:highlight w:val="none"/>
        </w:rPr>
      </w:pPr>
    </w:p>
    <w:p>
      <w:pPr>
        <w:pStyle w:val="79"/>
        <w:jc w:val="center"/>
        <w:rPr>
          <w:rFonts w:ascii="黑体" w:eastAsia="黑体"/>
          <w:b/>
          <w:bCs/>
          <w:color w:val="auto"/>
          <w:sz w:val="72"/>
          <w:szCs w:val="72"/>
          <w:highlight w:val="none"/>
        </w:rPr>
      </w:pPr>
      <w:r>
        <w:rPr>
          <w:rFonts w:hint="eastAsia" w:ascii="黑体" w:eastAsia="黑体"/>
          <w:b/>
          <w:bCs/>
          <w:color w:val="auto"/>
          <w:sz w:val="72"/>
          <w:szCs w:val="72"/>
          <w:highlight w:val="none"/>
        </w:rPr>
        <w:t>竞争性磋商响应文件</w:t>
      </w:r>
    </w:p>
    <w:p>
      <w:pPr>
        <w:pStyle w:val="79"/>
        <w:ind w:firstLine="1533" w:firstLineChars="347"/>
        <w:rPr>
          <w:b/>
          <w:bCs/>
          <w:color w:val="auto"/>
          <w:sz w:val="44"/>
          <w:szCs w:val="44"/>
          <w:highlight w:val="none"/>
        </w:rPr>
      </w:pP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p>
    <w:p>
      <w:pPr>
        <w:pStyle w:val="79"/>
        <w:ind w:firstLine="1533" w:firstLineChars="347"/>
        <w:rPr>
          <w:b/>
          <w:bCs/>
          <w:color w:val="auto"/>
          <w:sz w:val="44"/>
          <w:szCs w:val="44"/>
          <w:highlight w:val="none"/>
        </w:rPr>
      </w:pP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r>
        <w:rPr>
          <w:rFonts w:hint="eastAsia"/>
          <w:b/>
          <w:bCs/>
          <w:color w:val="auto"/>
          <w:sz w:val="44"/>
          <w:szCs w:val="44"/>
          <w:highlight w:val="none"/>
        </w:rPr>
        <w:tab/>
      </w:r>
    </w:p>
    <w:tbl>
      <w:tblPr>
        <w:tblStyle w:val="29"/>
        <w:tblW w:w="9076" w:type="dxa"/>
        <w:tblInd w:w="0" w:type="dxa"/>
        <w:tblLayout w:type="fixed"/>
        <w:tblCellMar>
          <w:top w:w="0" w:type="dxa"/>
          <w:left w:w="108" w:type="dxa"/>
          <w:bottom w:w="0" w:type="dxa"/>
          <w:right w:w="108" w:type="dxa"/>
        </w:tblCellMar>
      </w:tblPr>
      <w:tblGrid>
        <w:gridCol w:w="3976"/>
        <w:gridCol w:w="5100"/>
      </w:tblGrid>
      <w:tr>
        <w:tblPrEx>
          <w:tblCellMar>
            <w:top w:w="0" w:type="dxa"/>
            <w:left w:w="108" w:type="dxa"/>
            <w:bottom w:w="0" w:type="dxa"/>
            <w:right w:w="108" w:type="dxa"/>
          </w:tblCellMar>
        </w:tblPrEx>
        <w:trPr>
          <w:trHeight w:val="905" w:hRule="atLeast"/>
        </w:trPr>
        <w:tc>
          <w:tcPr>
            <w:tcW w:w="3976" w:type="dxa"/>
            <w:shd w:val="clear" w:color="auto" w:fill="auto"/>
          </w:tcPr>
          <w:p>
            <w:pPr>
              <w:pStyle w:val="79"/>
              <w:ind w:firstLine="883" w:firstLineChars="200"/>
              <w:rPr>
                <w:b/>
                <w:bCs/>
                <w:color w:val="auto"/>
                <w:sz w:val="44"/>
                <w:szCs w:val="44"/>
                <w:highlight w:val="none"/>
              </w:rPr>
            </w:pPr>
            <w:r>
              <w:rPr>
                <w:rFonts w:hint="eastAsia"/>
                <w:b/>
                <w:bCs/>
                <w:color w:val="auto"/>
                <w:sz w:val="44"/>
                <w:szCs w:val="44"/>
                <w:highlight w:val="none"/>
              </w:rPr>
              <w:t>项目编号：</w:t>
            </w:r>
          </w:p>
        </w:tc>
        <w:tc>
          <w:tcPr>
            <w:tcW w:w="5100" w:type="dxa"/>
            <w:shd w:val="clear" w:color="auto" w:fill="auto"/>
          </w:tcPr>
          <w:p>
            <w:pPr>
              <w:pStyle w:val="79"/>
              <w:rPr>
                <w:b/>
                <w:bCs/>
                <w:color w:val="auto"/>
                <w:sz w:val="44"/>
                <w:szCs w:val="44"/>
                <w:highlight w:val="none"/>
                <w:u w:val="single"/>
              </w:rPr>
            </w:pPr>
          </w:p>
        </w:tc>
      </w:tr>
      <w:tr>
        <w:tblPrEx>
          <w:tblCellMar>
            <w:top w:w="0" w:type="dxa"/>
            <w:left w:w="108" w:type="dxa"/>
            <w:bottom w:w="0" w:type="dxa"/>
            <w:right w:w="108" w:type="dxa"/>
          </w:tblCellMar>
        </w:tblPrEx>
        <w:trPr>
          <w:trHeight w:val="962" w:hRule="atLeast"/>
        </w:trPr>
        <w:tc>
          <w:tcPr>
            <w:tcW w:w="3976" w:type="dxa"/>
            <w:shd w:val="clear" w:color="auto" w:fill="auto"/>
          </w:tcPr>
          <w:p>
            <w:pPr>
              <w:pStyle w:val="79"/>
              <w:rPr>
                <w:b/>
                <w:bCs/>
                <w:color w:val="auto"/>
                <w:sz w:val="44"/>
                <w:szCs w:val="44"/>
                <w:highlight w:val="none"/>
              </w:rPr>
            </w:pPr>
            <w:r>
              <w:rPr>
                <w:rFonts w:hint="eastAsia"/>
                <w:b/>
                <w:bCs/>
                <w:color w:val="auto"/>
                <w:sz w:val="44"/>
                <w:szCs w:val="44"/>
                <w:highlight w:val="none"/>
              </w:rPr>
              <w:t>供应商名称（公章）：</w:t>
            </w:r>
          </w:p>
        </w:tc>
        <w:tc>
          <w:tcPr>
            <w:tcW w:w="5100" w:type="dxa"/>
            <w:shd w:val="clear" w:color="auto" w:fill="auto"/>
          </w:tcPr>
          <w:p>
            <w:pPr>
              <w:pStyle w:val="79"/>
              <w:rPr>
                <w:b/>
                <w:bCs/>
                <w:color w:val="auto"/>
                <w:sz w:val="44"/>
                <w:szCs w:val="44"/>
                <w:highlight w:val="none"/>
                <w:u w:val="single"/>
              </w:rPr>
            </w:pPr>
          </w:p>
        </w:tc>
      </w:tr>
    </w:tbl>
    <w:p>
      <w:pPr>
        <w:pStyle w:val="79"/>
        <w:ind w:firstLine="1533" w:firstLineChars="347"/>
        <w:rPr>
          <w:b/>
          <w:bCs/>
          <w:color w:val="auto"/>
          <w:sz w:val="44"/>
          <w:szCs w:val="44"/>
          <w:highlight w:val="none"/>
        </w:rPr>
      </w:pPr>
    </w:p>
    <w:p>
      <w:pPr>
        <w:pStyle w:val="79"/>
        <w:ind w:firstLine="1305"/>
        <w:rPr>
          <w:rFonts w:eastAsia="楷体_GB2312"/>
          <w:color w:val="auto"/>
          <w:sz w:val="44"/>
          <w:highlight w:val="none"/>
        </w:rPr>
      </w:pP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r>
        <w:rPr>
          <w:rFonts w:hint="eastAsia" w:eastAsia="楷体_GB2312"/>
          <w:color w:val="auto"/>
          <w:sz w:val="44"/>
          <w:highlight w:val="none"/>
        </w:rPr>
        <w:tab/>
      </w:r>
    </w:p>
    <w:p>
      <w:pPr>
        <w:pStyle w:val="79"/>
        <w:jc w:val="center"/>
        <w:rPr>
          <w:rFonts w:eastAsia="楷体_GB2312"/>
          <w:color w:val="auto"/>
          <w:sz w:val="44"/>
          <w:highlight w:val="none"/>
        </w:rPr>
      </w:pPr>
    </w:p>
    <w:p>
      <w:pPr>
        <w:pStyle w:val="79"/>
        <w:jc w:val="center"/>
        <w:rPr>
          <w:b/>
          <w:bCs/>
          <w:color w:val="auto"/>
          <w:sz w:val="44"/>
          <w:szCs w:val="44"/>
          <w:highlight w:val="none"/>
        </w:rPr>
      </w:pPr>
    </w:p>
    <w:p>
      <w:pPr>
        <w:pStyle w:val="79"/>
        <w:widowControl/>
        <w:spacing w:line="430" w:lineRule="atLeast"/>
        <w:jc w:val="center"/>
        <w:textAlignment w:val="baseline"/>
        <w:rPr>
          <w:rFonts w:ascii="楷体_GB2312" w:eastAsia="楷体_GB2312"/>
          <w:b/>
          <w:color w:val="auto"/>
          <w:sz w:val="44"/>
          <w:szCs w:val="44"/>
          <w:highlight w:val="none"/>
        </w:rPr>
      </w:pPr>
      <w:r>
        <w:rPr>
          <w:rFonts w:hint="eastAsia" w:ascii="楷体_GB2312" w:eastAsia="楷体_GB2312"/>
          <w:b/>
          <w:color w:val="auto"/>
          <w:sz w:val="44"/>
          <w:szCs w:val="44"/>
          <w:highlight w:val="none"/>
        </w:rPr>
        <w:t>年</w:t>
      </w:r>
      <w:r>
        <w:rPr>
          <w:rFonts w:hint="eastAsia" w:ascii="楷体_GB2312" w:eastAsia="楷体_GB2312"/>
          <w:b/>
          <w:color w:val="auto"/>
          <w:sz w:val="44"/>
          <w:szCs w:val="44"/>
          <w:highlight w:val="none"/>
          <w:lang w:val="en-US" w:eastAsia="zh-CN"/>
        </w:rPr>
        <w:t xml:space="preserve">  </w:t>
      </w:r>
      <w:r>
        <w:rPr>
          <w:rFonts w:hint="eastAsia" w:ascii="楷体_GB2312" w:eastAsia="楷体_GB2312"/>
          <w:b/>
          <w:color w:val="auto"/>
          <w:sz w:val="44"/>
          <w:szCs w:val="44"/>
          <w:highlight w:val="none"/>
        </w:rPr>
        <w:t>月</w:t>
      </w:r>
      <w:r>
        <w:rPr>
          <w:rFonts w:hint="eastAsia" w:ascii="楷体_GB2312" w:eastAsia="楷体_GB2312"/>
          <w:b/>
          <w:color w:val="auto"/>
          <w:sz w:val="44"/>
          <w:szCs w:val="44"/>
          <w:highlight w:val="none"/>
          <w:lang w:val="en-US" w:eastAsia="zh-CN"/>
        </w:rPr>
        <w:t xml:space="preserve">  </w:t>
      </w:r>
      <w:r>
        <w:rPr>
          <w:rFonts w:hint="eastAsia" w:ascii="楷体_GB2312" w:eastAsia="楷体_GB2312"/>
          <w:b/>
          <w:color w:val="auto"/>
          <w:sz w:val="44"/>
          <w:szCs w:val="44"/>
          <w:highlight w:val="none"/>
        </w:rPr>
        <w:t>日</w:t>
      </w:r>
    </w:p>
    <w:p>
      <w:pPr>
        <w:pStyle w:val="79"/>
        <w:widowControl/>
        <w:spacing w:line="430" w:lineRule="atLeast"/>
        <w:textAlignment w:val="baseline"/>
        <w:rPr>
          <w:b/>
          <w:bCs/>
          <w:color w:val="auto"/>
          <w:sz w:val="44"/>
          <w:szCs w:val="44"/>
          <w:highlight w:val="none"/>
        </w:rPr>
      </w:pPr>
    </w:p>
    <w:p>
      <w:pPr>
        <w:pStyle w:val="80"/>
        <w:jc w:val="center"/>
        <w:rPr>
          <w:color w:val="auto"/>
          <w:highlight w:val="none"/>
        </w:rPr>
      </w:pPr>
      <w:bookmarkStart w:id="145" w:name="_Toc983"/>
      <w:bookmarkStart w:id="146" w:name="_Toc25580682"/>
      <w:r>
        <w:rPr>
          <w:rFonts w:hint="eastAsia"/>
          <w:color w:val="auto"/>
          <w:highlight w:val="none"/>
        </w:rPr>
        <w:t>竞争性磋商响应函</w:t>
      </w:r>
      <w:bookmarkEnd w:id="145"/>
      <w:bookmarkEnd w:id="146"/>
    </w:p>
    <w:p>
      <w:pPr>
        <w:pStyle w:val="83"/>
        <w:spacing w:line="440" w:lineRule="exact"/>
        <w:rPr>
          <w:rFonts w:hAnsi="宋体"/>
          <w:color w:val="auto"/>
          <w:sz w:val="28"/>
          <w:szCs w:val="28"/>
          <w:highlight w:val="none"/>
          <w:u w:val="single"/>
        </w:rPr>
      </w:pPr>
      <w:r>
        <w:rPr>
          <w:rFonts w:hint="eastAsia" w:hAnsi="宋体"/>
          <w:color w:val="auto"/>
          <w:sz w:val="28"/>
          <w:szCs w:val="28"/>
          <w:highlight w:val="none"/>
          <w:u w:val="single"/>
        </w:rPr>
        <w:t>（</w:t>
      </w:r>
      <w:r>
        <w:rPr>
          <w:rFonts w:hint="eastAsia" w:hAnsi="宋体"/>
          <w:color w:val="auto"/>
          <w:sz w:val="28"/>
          <w:szCs w:val="28"/>
          <w:highlight w:val="none"/>
          <w:u w:val="single"/>
          <w:lang w:val="en-US" w:eastAsia="zh-CN"/>
        </w:rPr>
        <w:t>采购人</w:t>
      </w:r>
      <w:r>
        <w:rPr>
          <w:rFonts w:hint="eastAsia" w:hAnsi="宋体"/>
          <w:color w:val="auto"/>
          <w:sz w:val="28"/>
          <w:szCs w:val="28"/>
          <w:highlight w:val="none"/>
          <w:u w:val="single"/>
        </w:rPr>
        <w:t>名称）：</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 xml:space="preserve">根据贵方 </w:t>
      </w:r>
      <w:r>
        <w:rPr>
          <w:rFonts w:hint="eastAsia" w:hAnsi="宋体"/>
          <w:color w:val="auto"/>
          <w:sz w:val="28"/>
          <w:szCs w:val="28"/>
          <w:highlight w:val="none"/>
          <w:u w:val="single"/>
        </w:rPr>
        <w:t xml:space="preserve">(采购项目名称/采购项目编号) </w:t>
      </w:r>
      <w:r>
        <w:rPr>
          <w:rFonts w:hint="eastAsia" w:hAnsi="宋体"/>
          <w:color w:val="auto"/>
          <w:sz w:val="28"/>
          <w:szCs w:val="28"/>
          <w:highlight w:val="none"/>
        </w:rPr>
        <w:t>项目政府采购的磋商邀请，我方代表</w:t>
      </w:r>
      <w:r>
        <w:rPr>
          <w:rFonts w:hint="eastAsia" w:hAnsi="宋体"/>
          <w:color w:val="auto"/>
          <w:sz w:val="28"/>
          <w:szCs w:val="28"/>
          <w:highlight w:val="none"/>
          <w:u w:val="single"/>
        </w:rPr>
        <w:t>（姓名、职务）</w:t>
      </w:r>
      <w:r>
        <w:rPr>
          <w:rFonts w:hint="eastAsia" w:hAnsi="宋体"/>
          <w:color w:val="auto"/>
          <w:sz w:val="28"/>
          <w:szCs w:val="28"/>
          <w:highlight w:val="none"/>
        </w:rPr>
        <w:t>被正式授权代表磋商供应商</w:t>
      </w:r>
      <w:r>
        <w:rPr>
          <w:rFonts w:hint="eastAsia" w:hAnsi="宋体"/>
          <w:color w:val="auto"/>
          <w:sz w:val="28"/>
          <w:szCs w:val="28"/>
          <w:highlight w:val="none"/>
          <w:u w:val="single"/>
        </w:rPr>
        <w:t>（磋商供应商名称、地址）</w:t>
      </w:r>
      <w:r>
        <w:rPr>
          <w:rFonts w:hint="eastAsia" w:hAnsi="宋体"/>
          <w:color w:val="auto"/>
          <w:sz w:val="28"/>
          <w:szCs w:val="28"/>
          <w:highlight w:val="none"/>
        </w:rPr>
        <w:t>，向贵方提交响应文件二份，电子文件U盘一份。</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 xml:space="preserve">1、我方承诺愿以 </w:t>
      </w:r>
      <w:r>
        <w:rPr>
          <w:rFonts w:hint="eastAsia" w:hAnsi="宋体"/>
          <w:color w:val="auto"/>
          <w:sz w:val="28"/>
          <w:szCs w:val="28"/>
          <w:highlight w:val="none"/>
          <w:u w:val="single"/>
        </w:rPr>
        <w:t>（投标报价）</w:t>
      </w:r>
      <w:r>
        <w:rPr>
          <w:rFonts w:hint="eastAsia" w:hAnsi="宋体"/>
          <w:color w:val="auto"/>
          <w:sz w:val="28"/>
          <w:szCs w:val="28"/>
          <w:highlight w:val="none"/>
        </w:rPr>
        <w:t>为采购人提供融资租赁服务的全部过程。</w:t>
      </w:r>
    </w:p>
    <w:p>
      <w:pPr>
        <w:pStyle w:val="83"/>
        <w:spacing w:line="440" w:lineRule="exact"/>
        <w:ind w:firstLine="426"/>
        <w:rPr>
          <w:rFonts w:hAnsi="宋体"/>
          <w:color w:val="auto"/>
          <w:sz w:val="28"/>
          <w:szCs w:val="28"/>
          <w:highlight w:val="none"/>
          <w:u w:val="single"/>
        </w:rPr>
      </w:pPr>
      <w:r>
        <w:rPr>
          <w:rFonts w:hint="eastAsia" w:hAnsi="宋体"/>
          <w:color w:val="auto"/>
          <w:sz w:val="28"/>
          <w:szCs w:val="28"/>
          <w:highlight w:val="none"/>
        </w:rPr>
        <w:t>2、承诺融资资金到账时间为：</w:t>
      </w:r>
      <w:r>
        <w:rPr>
          <w:rFonts w:hint="eastAsia" w:hAnsi="宋体"/>
          <w:color w:val="auto"/>
          <w:sz w:val="28"/>
          <w:szCs w:val="28"/>
          <w:highlight w:val="none"/>
          <w:u w:val="single"/>
        </w:rPr>
        <w:t>（必填）</w:t>
      </w:r>
    </w:p>
    <w:p>
      <w:pPr>
        <w:pStyle w:val="83"/>
        <w:spacing w:line="440" w:lineRule="exact"/>
        <w:ind w:firstLine="426"/>
        <w:rPr>
          <w:rFonts w:hAnsi="宋体"/>
          <w:color w:val="auto"/>
          <w:sz w:val="28"/>
          <w:szCs w:val="28"/>
          <w:highlight w:val="none"/>
          <w:u w:val="single"/>
        </w:rPr>
      </w:pPr>
      <w:r>
        <w:rPr>
          <w:rFonts w:hint="eastAsia" w:hAnsi="宋体"/>
          <w:color w:val="auto"/>
          <w:sz w:val="28"/>
          <w:szCs w:val="28"/>
          <w:highlight w:val="none"/>
        </w:rPr>
        <w:t xml:space="preserve">3、承诺融资资金到账额度为： </w:t>
      </w:r>
      <w:r>
        <w:rPr>
          <w:rFonts w:hint="eastAsia" w:hAnsi="宋体"/>
          <w:color w:val="auto"/>
          <w:sz w:val="28"/>
          <w:szCs w:val="28"/>
          <w:highlight w:val="none"/>
          <w:u w:val="single"/>
        </w:rPr>
        <w:t>（必填）</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4、愿意向贵方提供任何与该项目有关的数据、情况和技术资料。</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5、我方愿意无偿提供融资租赁方案。</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6、理解贵方有权对未成交投标人不作任何解释。在此，我方宣布同意如下：</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（1）我方将按磋商文件的约定履行合同责任和义务。</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（2）我方已审阅全部磋商文件，包括磋商文件的澄清和更正公告（如有）及相关附件，我方已完全理解磋商文件并对磋商文件不存在任何异议。</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（3）所提交的响应文件在磋商文件规定的磋商有效期内有效，在此期间内如果成交，我方将受此约束。</w:t>
      </w:r>
    </w:p>
    <w:p>
      <w:pPr>
        <w:pStyle w:val="83"/>
        <w:spacing w:line="440" w:lineRule="exact"/>
        <w:ind w:firstLine="426"/>
        <w:rPr>
          <w:rFonts w:hAnsi="宋体"/>
          <w:color w:val="auto"/>
          <w:sz w:val="28"/>
          <w:szCs w:val="28"/>
          <w:highlight w:val="none"/>
        </w:rPr>
      </w:pPr>
      <w:r>
        <w:rPr>
          <w:rFonts w:hint="eastAsia" w:hAnsi="宋体"/>
          <w:color w:val="auto"/>
          <w:sz w:val="28"/>
          <w:szCs w:val="28"/>
          <w:highlight w:val="none"/>
        </w:rPr>
        <w:t>（4）我方承诺所提交的响应文件及相关资料真实有效。</w:t>
      </w:r>
    </w:p>
    <w:p>
      <w:pPr>
        <w:pStyle w:val="83"/>
        <w:spacing w:line="440" w:lineRule="exact"/>
        <w:ind w:firstLine="426"/>
        <w:rPr>
          <w:rFonts w:hAnsi="宋体"/>
          <w:color w:val="auto"/>
          <w:sz w:val="28"/>
          <w:szCs w:val="28"/>
          <w:highlight w:val="none"/>
          <w:u w:val="single"/>
        </w:rPr>
      </w:pPr>
      <w:r>
        <w:rPr>
          <w:rFonts w:hint="eastAsia" w:hAnsi="宋体"/>
          <w:color w:val="auto"/>
          <w:sz w:val="28"/>
          <w:szCs w:val="28"/>
          <w:highlight w:val="none"/>
        </w:rPr>
        <w:t>（5）与本磋商有关的一切正式往来信函请寄：。</w:t>
      </w:r>
    </w:p>
    <w:p>
      <w:pPr>
        <w:pStyle w:val="83"/>
        <w:spacing w:line="440" w:lineRule="exact"/>
        <w:ind w:firstLine="426"/>
        <w:rPr>
          <w:rFonts w:hAnsi="宋体"/>
          <w:color w:val="auto"/>
          <w:sz w:val="28"/>
          <w:szCs w:val="28"/>
          <w:highlight w:val="none"/>
          <w:u w:val="single"/>
        </w:rPr>
      </w:pPr>
      <w:r>
        <w:rPr>
          <w:rFonts w:hint="eastAsia" w:hAnsi="宋体"/>
          <w:color w:val="auto"/>
          <w:sz w:val="28"/>
          <w:szCs w:val="28"/>
          <w:highlight w:val="none"/>
        </w:rPr>
        <w:t>（6）其他：</w:t>
      </w:r>
      <w:r>
        <w:rPr>
          <w:rFonts w:hint="eastAsia" w:hAnsi="宋体"/>
          <w:color w:val="auto"/>
          <w:sz w:val="28"/>
          <w:szCs w:val="28"/>
          <w:highlight w:val="none"/>
          <w:u w:val="single"/>
        </w:rPr>
        <w:t>_______________________________</w:t>
      </w:r>
      <w:r>
        <w:rPr>
          <w:rFonts w:hint="eastAsia" w:hAnsi="宋体"/>
          <w:color w:val="auto"/>
          <w:sz w:val="28"/>
          <w:szCs w:val="28"/>
          <w:highlight w:val="none"/>
        </w:rPr>
        <w:t>。</w:t>
      </w:r>
    </w:p>
    <w:p>
      <w:pPr>
        <w:pStyle w:val="83"/>
        <w:spacing w:line="440" w:lineRule="exact"/>
        <w:ind w:firstLine="840"/>
        <w:rPr>
          <w:rFonts w:hAnsi="宋体"/>
          <w:color w:val="auto"/>
          <w:sz w:val="28"/>
          <w:szCs w:val="28"/>
          <w:highlight w:val="none"/>
        </w:rPr>
      </w:pPr>
    </w:p>
    <w:p>
      <w:pPr>
        <w:pStyle w:val="83"/>
        <w:spacing w:line="440" w:lineRule="exact"/>
        <w:ind w:firstLine="840"/>
        <w:rPr>
          <w:rFonts w:hAnsi="宋体"/>
          <w:color w:val="auto"/>
          <w:sz w:val="28"/>
          <w:szCs w:val="28"/>
          <w:highlight w:val="none"/>
          <w:u w:val="single"/>
        </w:rPr>
      </w:pPr>
      <w:r>
        <w:rPr>
          <w:rFonts w:hint="eastAsia" w:hAnsi="宋体"/>
          <w:color w:val="auto"/>
          <w:sz w:val="28"/>
          <w:szCs w:val="28"/>
          <w:highlight w:val="none"/>
        </w:rPr>
        <w:t>磋商供应商名称（公章）：</w:t>
      </w:r>
    </w:p>
    <w:p>
      <w:pPr>
        <w:pStyle w:val="83"/>
        <w:spacing w:line="440" w:lineRule="exact"/>
        <w:ind w:firstLine="840"/>
        <w:rPr>
          <w:rFonts w:hAnsi="宋体"/>
          <w:color w:val="auto"/>
          <w:sz w:val="28"/>
          <w:szCs w:val="28"/>
          <w:highlight w:val="none"/>
          <w:u w:val="single"/>
        </w:rPr>
      </w:pPr>
      <w:r>
        <w:rPr>
          <w:rFonts w:hint="eastAsia" w:hAnsi="宋体"/>
          <w:color w:val="auto"/>
          <w:sz w:val="28"/>
          <w:szCs w:val="28"/>
          <w:highlight w:val="none"/>
        </w:rPr>
        <w:t>磋商供应商法定代表人（签字或印章）：</w:t>
      </w:r>
    </w:p>
    <w:p>
      <w:pPr>
        <w:pStyle w:val="83"/>
        <w:spacing w:line="440" w:lineRule="exact"/>
        <w:ind w:firstLine="840"/>
        <w:rPr>
          <w:rFonts w:hAnsi="宋体"/>
          <w:color w:val="auto"/>
          <w:sz w:val="28"/>
          <w:szCs w:val="28"/>
          <w:highlight w:val="none"/>
          <w:u w:val="single"/>
        </w:rPr>
      </w:pPr>
      <w:r>
        <w:rPr>
          <w:rFonts w:hint="eastAsia" w:hAnsi="宋体"/>
          <w:color w:val="auto"/>
          <w:sz w:val="28"/>
          <w:szCs w:val="28"/>
          <w:highlight w:val="none"/>
        </w:rPr>
        <w:t>日期：年月日</w:t>
      </w:r>
    </w:p>
    <w:p>
      <w:pPr>
        <w:pStyle w:val="85"/>
        <w:spacing w:line="500" w:lineRule="exact"/>
        <w:rPr>
          <w:rFonts w:ascii="宋体" w:hAnsi="宋体"/>
          <w:b/>
          <w:color w:val="auto"/>
          <w:sz w:val="28"/>
          <w:szCs w:val="28"/>
          <w:highlight w:val="none"/>
        </w:rPr>
      </w:pPr>
      <w:r>
        <w:rPr>
          <w:rFonts w:ascii="宋体" w:hAnsi="宋体"/>
          <w:b/>
          <w:color w:val="auto"/>
          <w:sz w:val="32"/>
          <w:szCs w:val="32"/>
          <w:highlight w:val="none"/>
        </w:rPr>
        <w:br w:type="page"/>
      </w:r>
    </w:p>
    <w:p>
      <w:pPr>
        <w:pStyle w:val="83"/>
        <w:spacing w:line="440" w:lineRule="exact"/>
        <w:ind w:firstLine="426"/>
        <w:jc w:val="center"/>
        <w:rPr>
          <w:rFonts w:hint="eastAsia" w:hAnsi="宋体" w:eastAsia="宋体"/>
          <w:b/>
          <w:bCs/>
          <w:sz w:val="28"/>
          <w:szCs w:val="28"/>
          <w:highlight w:val="none"/>
          <w:lang w:eastAsia="zh-CN"/>
        </w:rPr>
      </w:pPr>
      <w:r>
        <w:rPr>
          <w:rFonts w:hint="eastAsia" w:hAnsi="宋体"/>
          <w:b/>
          <w:bCs/>
          <w:sz w:val="28"/>
          <w:szCs w:val="28"/>
          <w:highlight w:val="none"/>
        </w:rPr>
        <w:t>报价一览表</w:t>
      </w:r>
      <w:r>
        <w:rPr>
          <w:rFonts w:hint="eastAsia" w:hAnsi="宋体"/>
          <w:b/>
          <w:bCs/>
          <w:sz w:val="28"/>
          <w:szCs w:val="28"/>
          <w:highlight w:val="none"/>
          <w:lang w:eastAsia="zh-CN"/>
        </w:rPr>
        <w:t>（</w:t>
      </w:r>
      <w:r>
        <w:rPr>
          <w:rFonts w:hint="eastAsia" w:hAnsi="宋体"/>
          <w:b/>
          <w:bCs/>
          <w:sz w:val="28"/>
          <w:szCs w:val="28"/>
          <w:highlight w:val="none"/>
          <w:lang w:val="en-US" w:eastAsia="zh-CN"/>
        </w:rPr>
        <w:t>1包段</w:t>
      </w:r>
      <w:r>
        <w:rPr>
          <w:rFonts w:hint="eastAsia" w:hAnsi="宋体"/>
          <w:b/>
          <w:bCs/>
          <w:sz w:val="28"/>
          <w:szCs w:val="28"/>
          <w:highlight w:val="none"/>
          <w:lang w:eastAsia="zh-CN"/>
        </w:rPr>
        <w:t>）</w:t>
      </w:r>
    </w:p>
    <w:p>
      <w:pPr>
        <w:pStyle w:val="83"/>
        <w:spacing w:line="440" w:lineRule="exact"/>
        <w:ind w:firstLine="426"/>
        <w:rPr>
          <w:rFonts w:hAnsi="宋体"/>
          <w:sz w:val="28"/>
          <w:szCs w:val="28"/>
          <w:highlight w:val="none"/>
        </w:rPr>
      </w:pPr>
      <w:r>
        <w:rPr>
          <w:rFonts w:hint="eastAsia" w:hAnsi="宋体"/>
          <w:sz w:val="28"/>
          <w:szCs w:val="28"/>
          <w:highlight w:val="none"/>
        </w:rPr>
        <w:t>项目名称：</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报价</w:t>
            </w:r>
          </w:p>
        </w:tc>
        <w:tc>
          <w:tcPr>
            <w:tcW w:w="5174" w:type="dxa"/>
            <w:vAlign w:val="center"/>
          </w:tcPr>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小写：</w:t>
            </w:r>
            <w:r>
              <w:rPr>
                <w:rFonts w:hint="eastAsia" w:hAnsi="宋体"/>
                <w:sz w:val="28"/>
                <w:szCs w:val="28"/>
                <w:highlight w:val="none"/>
                <w:u w:val="single"/>
                <w:lang w:val="en-US" w:eastAsia="zh-CN"/>
              </w:rPr>
              <w:t xml:space="preserve">                    </w:t>
            </w:r>
          </w:p>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大写：</w:t>
            </w:r>
            <w:r>
              <w:rPr>
                <w:rFonts w:hint="eastAsia" w:hAnsi="宋体"/>
                <w:sz w:val="28"/>
                <w:szCs w:val="28"/>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供应商名称</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int="default" w:hAnsi="宋体" w:eastAsia="宋体"/>
                <w:sz w:val="28"/>
                <w:szCs w:val="28"/>
                <w:highlight w:val="none"/>
                <w:lang w:val="en-US" w:eastAsia="zh-CN"/>
              </w:rPr>
            </w:pPr>
            <w:r>
              <w:rPr>
                <w:rFonts w:hint="eastAsia" w:hAnsi="宋体"/>
                <w:sz w:val="28"/>
                <w:szCs w:val="28"/>
                <w:highlight w:val="none"/>
                <w:lang w:val="en-US" w:eastAsia="zh-CN"/>
              </w:rPr>
              <w:t>服务期限</w:t>
            </w:r>
          </w:p>
        </w:tc>
        <w:tc>
          <w:tcPr>
            <w:tcW w:w="5174" w:type="dxa"/>
            <w:vAlign w:val="center"/>
          </w:tcPr>
          <w:p>
            <w:pPr>
              <w:pStyle w:val="83"/>
              <w:spacing w:line="440" w:lineRule="exact"/>
              <w:ind w:firstLine="426"/>
              <w:rPr>
                <w:rFonts w:hAnsi="宋体"/>
                <w:sz w:val="28"/>
                <w:szCs w:val="28"/>
                <w:highlight w:val="none"/>
              </w:rPr>
            </w:pPr>
          </w:p>
        </w:tc>
      </w:tr>
    </w:tbl>
    <w:p>
      <w:pPr>
        <w:pStyle w:val="83"/>
        <w:spacing w:line="440" w:lineRule="exact"/>
        <w:ind w:firstLine="426"/>
        <w:rPr>
          <w:rFonts w:hAnsi="宋体"/>
          <w:sz w:val="28"/>
          <w:szCs w:val="28"/>
          <w:highlight w:val="none"/>
        </w:rPr>
      </w:pPr>
    </w:p>
    <w:p>
      <w:pPr>
        <w:pStyle w:val="83"/>
        <w:spacing w:line="440" w:lineRule="exact"/>
        <w:ind w:firstLine="426"/>
        <w:rPr>
          <w:rFonts w:hAnsi="宋体"/>
          <w:sz w:val="28"/>
          <w:szCs w:val="28"/>
          <w:highlight w:val="none"/>
        </w:rPr>
      </w:pPr>
    </w:p>
    <w:p>
      <w:pPr>
        <w:pStyle w:val="85"/>
        <w:widowControl/>
        <w:tabs>
          <w:tab w:val="left" w:pos="750"/>
        </w:tabs>
        <w:adjustRightInd w:val="0"/>
        <w:snapToGrid w:val="0"/>
        <w:spacing w:before="120" w:after="120" w:line="500" w:lineRule="exact"/>
        <w:ind w:left="1072" w:hanging="1072"/>
        <w:rPr>
          <w:rFonts w:ascii="宋体" w:hAnsi="宋体"/>
          <w:sz w:val="28"/>
          <w:szCs w:val="28"/>
          <w:highlight w:val="none"/>
        </w:rPr>
      </w:pPr>
      <w:r>
        <w:rPr>
          <w:rFonts w:hint="eastAsia" w:ascii="宋体" w:hAnsi="宋体"/>
          <w:sz w:val="28"/>
          <w:szCs w:val="28"/>
          <w:highlight w:val="none"/>
        </w:rPr>
        <w:t>供应商名称（公章）：</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法定代表人或授权代表（签字或印章） ：</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日期：    年   月   日</w:t>
      </w: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ascii="宋体" w:hAnsi="宋体"/>
          <w:b/>
          <w:sz w:val="32"/>
          <w:szCs w:val="32"/>
          <w:highlight w:val="none"/>
        </w:rPr>
      </w:pPr>
      <w:r>
        <w:rPr>
          <w:rFonts w:hint="eastAsia" w:hAnsi="宋体"/>
          <w:b/>
          <w:sz w:val="32"/>
          <w:szCs w:val="32"/>
          <w:highlight w:val="none"/>
          <w:lang w:val="en-US" w:eastAsia="zh-CN"/>
        </w:rPr>
        <w:t>若供应商只参加其中一个包段的磋商，则只填报该包段的报价。</w:t>
      </w:r>
      <w:r>
        <w:rPr>
          <w:rFonts w:hAnsi="宋体"/>
          <w:b/>
          <w:sz w:val="32"/>
          <w:szCs w:val="32"/>
          <w:highlight w:val="none"/>
        </w:rPr>
        <w:br w:type="page"/>
      </w:r>
    </w:p>
    <w:p>
      <w:pPr>
        <w:pStyle w:val="83"/>
        <w:spacing w:line="440" w:lineRule="exact"/>
        <w:ind w:firstLine="426"/>
        <w:jc w:val="center"/>
        <w:rPr>
          <w:rFonts w:hint="eastAsia" w:hAnsi="宋体" w:eastAsia="宋体"/>
          <w:b/>
          <w:bCs/>
          <w:sz w:val="28"/>
          <w:szCs w:val="28"/>
          <w:highlight w:val="none"/>
          <w:lang w:eastAsia="zh-CN"/>
        </w:rPr>
      </w:pPr>
      <w:bookmarkStart w:id="147" w:name="_Toc25580683"/>
      <w:bookmarkStart w:id="148" w:name="_Toc18509"/>
      <w:r>
        <w:rPr>
          <w:rFonts w:hint="eastAsia" w:hAnsi="宋体"/>
          <w:b/>
          <w:bCs/>
          <w:sz w:val="28"/>
          <w:szCs w:val="28"/>
          <w:highlight w:val="none"/>
        </w:rPr>
        <w:t>报价一览表</w:t>
      </w:r>
      <w:r>
        <w:rPr>
          <w:rFonts w:hint="eastAsia" w:hAnsi="宋体"/>
          <w:b/>
          <w:bCs/>
          <w:sz w:val="28"/>
          <w:szCs w:val="28"/>
          <w:highlight w:val="none"/>
          <w:lang w:eastAsia="zh-CN"/>
        </w:rPr>
        <w:t>（</w:t>
      </w:r>
      <w:r>
        <w:rPr>
          <w:rFonts w:hint="eastAsia" w:hAnsi="宋体"/>
          <w:b/>
          <w:bCs/>
          <w:sz w:val="28"/>
          <w:szCs w:val="28"/>
          <w:highlight w:val="none"/>
          <w:lang w:val="en-US" w:eastAsia="zh-CN"/>
        </w:rPr>
        <w:t>2包段</w:t>
      </w:r>
      <w:r>
        <w:rPr>
          <w:rFonts w:hint="eastAsia" w:hAnsi="宋体"/>
          <w:b/>
          <w:bCs/>
          <w:sz w:val="28"/>
          <w:szCs w:val="28"/>
          <w:highlight w:val="none"/>
          <w:lang w:eastAsia="zh-CN"/>
        </w:rPr>
        <w:t>）</w:t>
      </w:r>
    </w:p>
    <w:p>
      <w:pPr>
        <w:pStyle w:val="83"/>
        <w:spacing w:line="440" w:lineRule="exact"/>
        <w:ind w:firstLine="426"/>
        <w:jc w:val="center"/>
        <w:rPr>
          <w:rFonts w:hAnsi="宋体"/>
          <w:b/>
          <w:bCs/>
          <w:sz w:val="28"/>
          <w:szCs w:val="28"/>
          <w:highlight w:val="none"/>
        </w:rPr>
      </w:pPr>
    </w:p>
    <w:p>
      <w:pPr>
        <w:pStyle w:val="83"/>
        <w:spacing w:line="440" w:lineRule="exact"/>
        <w:ind w:firstLine="426"/>
        <w:rPr>
          <w:rFonts w:hAnsi="宋体"/>
          <w:sz w:val="28"/>
          <w:szCs w:val="28"/>
          <w:highlight w:val="none"/>
        </w:rPr>
      </w:pPr>
      <w:r>
        <w:rPr>
          <w:rFonts w:hint="eastAsia" w:hAnsi="宋体"/>
          <w:sz w:val="28"/>
          <w:szCs w:val="28"/>
          <w:highlight w:val="none"/>
        </w:rPr>
        <w:t>项目名称：</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报价</w:t>
            </w:r>
          </w:p>
        </w:tc>
        <w:tc>
          <w:tcPr>
            <w:tcW w:w="5174" w:type="dxa"/>
            <w:vAlign w:val="center"/>
          </w:tcPr>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小写：</w:t>
            </w:r>
            <w:r>
              <w:rPr>
                <w:rFonts w:hint="eastAsia" w:hAnsi="宋体"/>
                <w:sz w:val="28"/>
                <w:szCs w:val="28"/>
                <w:highlight w:val="none"/>
                <w:u w:val="single"/>
                <w:lang w:val="en-US" w:eastAsia="zh-CN"/>
              </w:rPr>
              <w:t xml:space="preserve">                    </w:t>
            </w:r>
          </w:p>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大写：</w:t>
            </w:r>
            <w:r>
              <w:rPr>
                <w:rFonts w:hint="eastAsia" w:hAnsi="宋体"/>
                <w:sz w:val="28"/>
                <w:szCs w:val="28"/>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供应商名称</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int="default" w:hAnsi="宋体" w:eastAsia="宋体"/>
                <w:sz w:val="28"/>
                <w:szCs w:val="28"/>
                <w:highlight w:val="none"/>
                <w:lang w:val="en-US" w:eastAsia="zh-CN"/>
              </w:rPr>
            </w:pPr>
            <w:r>
              <w:rPr>
                <w:rFonts w:hint="eastAsia" w:hAnsi="宋体"/>
                <w:sz w:val="28"/>
                <w:szCs w:val="28"/>
                <w:highlight w:val="none"/>
                <w:lang w:val="en-US" w:eastAsia="zh-CN"/>
              </w:rPr>
              <w:t>服务期限</w:t>
            </w:r>
          </w:p>
        </w:tc>
        <w:tc>
          <w:tcPr>
            <w:tcW w:w="5174" w:type="dxa"/>
            <w:vAlign w:val="center"/>
          </w:tcPr>
          <w:p>
            <w:pPr>
              <w:pStyle w:val="83"/>
              <w:spacing w:line="440" w:lineRule="exact"/>
              <w:ind w:firstLine="426"/>
              <w:rPr>
                <w:rFonts w:hAnsi="宋体"/>
                <w:sz w:val="28"/>
                <w:szCs w:val="28"/>
                <w:highlight w:val="none"/>
              </w:rPr>
            </w:pPr>
          </w:p>
        </w:tc>
      </w:tr>
    </w:tbl>
    <w:p>
      <w:pPr>
        <w:pStyle w:val="83"/>
        <w:spacing w:line="440" w:lineRule="exact"/>
        <w:ind w:firstLine="426"/>
        <w:rPr>
          <w:rFonts w:hAnsi="宋体"/>
          <w:sz w:val="28"/>
          <w:szCs w:val="28"/>
          <w:highlight w:val="none"/>
        </w:rPr>
      </w:pPr>
    </w:p>
    <w:p>
      <w:pPr>
        <w:pStyle w:val="83"/>
        <w:spacing w:line="440" w:lineRule="exact"/>
        <w:ind w:firstLine="426"/>
        <w:rPr>
          <w:rFonts w:hAnsi="宋体"/>
          <w:sz w:val="28"/>
          <w:szCs w:val="28"/>
          <w:highlight w:val="none"/>
        </w:rPr>
      </w:pPr>
    </w:p>
    <w:p>
      <w:pPr>
        <w:pStyle w:val="85"/>
        <w:widowControl/>
        <w:tabs>
          <w:tab w:val="left" w:pos="750"/>
        </w:tabs>
        <w:adjustRightInd w:val="0"/>
        <w:snapToGrid w:val="0"/>
        <w:spacing w:before="120" w:after="120" w:line="500" w:lineRule="exact"/>
        <w:ind w:left="1072" w:hanging="1072"/>
        <w:rPr>
          <w:rFonts w:ascii="宋体" w:hAnsi="宋体"/>
          <w:sz w:val="28"/>
          <w:szCs w:val="28"/>
          <w:highlight w:val="none"/>
        </w:rPr>
      </w:pPr>
      <w:r>
        <w:rPr>
          <w:rFonts w:hint="eastAsia" w:ascii="宋体" w:hAnsi="宋体"/>
          <w:sz w:val="28"/>
          <w:szCs w:val="28"/>
          <w:highlight w:val="none"/>
        </w:rPr>
        <w:t>供应商名称（公章）：</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法定代表人或授权代表（签字或印章） ：</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日期：    年   月   日</w:t>
      </w: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hAnsi="宋体"/>
          <w:b/>
          <w:sz w:val="32"/>
          <w:szCs w:val="32"/>
          <w:highlight w:val="none"/>
        </w:rPr>
      </w:pPr>
    </w:p>
    <w:p>
      <w:pPr>
        <w:widowControl/>
        <w:jc w:val="left"/>
        <w:rPr>
          <w:rFonts w:ascii="宋体" w:hAnsi="宋体"/>
          <w:b/>
          <w:sz w:val="32"/>
          <w:szCs w:val="32"/>
          <w:highlight w:val="none"/>
        </w:rPr>
      </w:pPr>
      <w:r>
        <w:rPr>
          <w:rFonts w:hint="eastAsia" w:hAnsi="宋体"/>
          <w:b/>
          <w:sz w:val="32"/>
          <w:szCs w:val="32"/>
          <w:highlight w:val="none"/>
          <w:lang w:val="en-US" w:eastAsia="zh-CN"/>
        </w:rPr>
        <w:t>若供应商只参加其中一个包段的磋商，则只填报该包段的报价。</w:t>
      </w:r>
      <w:r>
        <w:rPr>
          <w:rFonts w:hAnsi="宋体"/>
          <w:b/>
          <w:sz w:val="32"/>
          <w:szCs w:val="32"/>
          <w:highlight w:val="none"/>
        </w:rPr>
        <w:br w:type="page"/>
      </w:r>
    </w:p>
    <w:p>
      <w:pPr>
        <w:pStyle w:val="85"/>
        <w:autoSpaceDE w:val="0"/>
        <w:autoSpaceDN w:val="0"/>
        <w:adjustRightInd w:val="0"/>
        <w:spacing w:line="500" w:lineRule="exact"/>
        <w:jc w:val="center"/>
        <w:outlineLvl w:val="2"/>
        <w:rPr>
          <w:rFonts w:ascii="宋体" w:hAnsi="宋体"/>
          <w:b/>
          <w:color w:val="auto"/>
          <w:sz w:val="28"/>
          <w:szCs w:val="28"/>
          <w:highlight w:val="none"/>
        </w:rPr>
      </w:pPr>
      <w:r>
        <w:rPr>
          <w:rFonts w:hint="eastAsia" w:ascii="宋体" w:hAnsi="宋体"/>
          <w:b/>
          <w:color w:val="auto"/>
          <w:sz w:val="28"/>
          <w:szCs w:val="28"/>
          <w:highlight w:val="none"/>
        </w:rPr>
        <w:t>法定代表人资格证明文件</w:t>
      </w:r>
      <w:bookmarkEnd w:id="147"/>
      <w:bookmarkEnd w:id="148"/>
    </w:p>
    <w:p>
      <w:pPr>
        <w:pStyle w:val="85"/>
        <w:widowControl/>
        <w:adjustRightInd w:val="0"/>
        <w:snapToGrid w:val="0"/>
        <w:spacing w:before="120" w:after="120" w:line="500" w:lineRule="exact"/>
        <w:ind w:left="1072" w:hanging="1072"/>
        <w:jc w:val="left"/>
        <w:rPr>
          <w:rFonts w:ascii="宋体" w:hAnsi="宋体"/>
          <w:color w:val="auto"/>
          <w:sz w:val="28"/>
          <w:szCs w:val="28"/>
          <w:highlight w:val="none"/>
        </w:rPr>
      </w:pP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采购人</w:t>
      </w:r>
      <w:r>
        <w:rPr>
          <w:rFonts w:hint="eastAsia" w:ascii="宋体" w:hAnsi="宋体"/>
          <w:color w:val="auto"/>
          <w:sz w:val="28"/>
          <w:szCs w:val="28"/>
          <w:highlight w:val="none"/>
          <w:u w:val="single"/>
        </w:rPr>
        <w:t>名称）</w:t>
      </w:r>
      <w:r>
        <w:rPr>
          <w:rFonts w:hint="eastAsia" w:ascii="宋体" w:hAnsi="宋体"/>
          <w:color w:val="auto"/>
          <w:sz w:val="28"/>
          <w:szCs w:val="28"/>
          <w:highlight w:val="none"/>
        </w:rPr>
        <w:t>：</w:t>
      </w:r>
    </w:p>
    <w:p>
      <w:pPr>
        <w:pStyle w:val="85"/>
        <w:widowControl/>
        <w:adjustRightInd w:val="0"/>
        <w:snapToGrid w:val="0"/>
        <w:spacing w:before="120" w:after="120" w:line="500" w:lineRule="exact"/>
        <w:ind w:firstLine="420" w:firstLineChars="150"/>
        <w:jc w:val="left"/>
        <w:rPr>
          <w:rFonts w:ascii="宋体" w:hAnsi="宋体"/>
          <w:color w:val="auto"/>
          <w:sz w:val="28"/>
          <w:szCs w:val="28"/>
          <w:highlight w:val="none"/>
        </w:rPr>
      </w:pPr>
      <w:r>
        <w:rPr>
          <w:rFonts w:hint="eastAsia" w:ascii="宋体" w:hAnsi="宋体"/>
          <w:color w:val="auto"/>
          <w:sz w:val="28"/>
          <w:szCs w:val="28"/>
          <w:highlight w:val="none"/>
        </w:rPr>
        <w:t xml:space="preserve">兹有同志为法定代表人，代表我单位办理一切社会公务事宜，具有法律效力。 </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rPr>
      </w:pPr>
      <w:r>
        <w:rPr>
          <w:rFonts w:hint="eastAsia" w:ascii="宋体" w:hAnsi="宋体"/>
          <w:color w:val="auto"/>
          <w:sz w:val="28"/>
          <w:szCs w:val="28"/>
          <w:highlight w:val="none"/>
        </w:rPr>
        <w:t xml:space="preserve">附法定代表人基本情况： </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u w:val="single"/>
        </w:rPr>
      </w:pPr>
      <w:r>
        <w:rPr>
          <w:rFonts w:hint="eastAsia" w:ascii="宋体" w:hAnsi="宋体"/>
          <w:color w:val="auto"/>
          <w:sz w:val="28"/>
          <w:szCs w:val="28"/>
          <w:highlight w:val="none"/>
        </w:rPr>
        <w:t>姓名：</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rPr>
      </w:pPr>
      <w:r>
        <w:rPr>
          <w:rFonts w:hint="eastAsia" w:ascii="宋体" w:hAnsi="宋体"/>
          <w:color w:val="auto"/>
          <w:sz w:val="28"/>
          <w:szCs w:val="28"/>
          <w:highlight w:val="none"/>
        </w:rPr>
        <w:t>身份证号码：</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rPr>
      </w:pPr>
      <w:r>
        <w:rPr>
          <w:rFonts w:hint="eastAsia" w:ascii="宋体" w:hAnsi="宋体"/>
          <w:color w:val="auto"/>
          <w:sz w:val="28"/>
          <w:szCs w:val="28"/>
          <w:highlight w:val="none"/>
        </w:rPr>
        <w:t>通讯地址：</w:t>
      </w:r>
    </w:p>
    <w:p>
      <w:pPr>
        <w:pStyle w:val="85"/>
        <w:widowControl/>
        <w:adjustRightInd w:val="0"/>
        <w:snapToGrid w:val="0"/>
        <w:spacing w:before="120" w:after="120" w:line="500" w:lineRule="exact"/>
        <w:ind w:left="1069" w:leftChars="200" w:hanging="649" w:hangingChars="232"/>
        <w:jc w:val="left"/>
        <w:rPr>
          <w:rFonts w:ascii="宋体" w:hAnsi="宋体"/>
          <w:color w:val="auto"/>
          <w:sz w:val="28"/>
          <w:szCs w:val="28"/>
          <w:highlight w:val="none"/>
        </w:rPr>
      </w:pPr>
      <w:r>
        <w:rPr>
          <w:rFonts w:hint="eastAsia" w:ascii="宋体" w:hAnsi="宋体"/>
          <w:color w:val="auto"/>
          <w:sz w:val="28"/>
          <w:szCs w:val="28"/>
          <w:highlight w:val="none"/>
        </w:rPr>
        <w:t>电话号码：邮政编码：</w:t>
      </w:r>
    </w:p>
    <w:p>
      <w:pPr>
        <w:pStyle w:val="85"/>
        <w:widowControl/>
        <w:adjustRightInd w:val="0"/>
        <w:snapToGrid w:val="0"/>
        <w:spacing w:before="120" w:after="120" w:line="500" w:lineRule="exact"/>
        <w:ind w:left="1072" w:hanging="1072"/>
        <w:rPr>
          <w:rFonts w:ascii="宋体" w:hAnsi="宋体"/>
          <w:color w:val="auto"/>
          <w:sz w:val="28"/>
          <w:szCs w:val="28"/>
          <w:highlight w:val="none"/>
        </w:rPr>
      </w:pPr>
    </w:p>
    <w:tbl>
      <w:tblPr>
        <w:tblStyle w:val="29"/>
        <w:tblW w:w="6810" w:type="dxa"/>
        <w:tblInd w:w="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10" w:type="dxa"/>
            <w:tcBorders>
              <w:top w:val="single" w:color="auto" w:sz="4" w:space="0"/>
              <w:left w:val="single" w:color="auto" w:sz="4" w:space="0"/>
              <w:bottom w:val="single" w:color="auto" w:sz="4" w:space="0"/>
              <w:right w:val="single" w:color="auto" w:sz="4" w:space="0"/>
            </w:tcBorders>
          </w:tcPr>
          <w:p>
            <w:pPr>
              <w:pStyle w:val="85"/>
              <w:widowControl/>
              <w:adjustRightInd w:val="0"/>
              <w:snapToGrid w:val="0"/>
              <w:spacing w:before="120" w:after="120" w:line="500" w:lineRule="exact"/>
              <w:ind w:left="1072" w:hanging="1072"/>
              <w:jc w:val="center"/>
              <w:rPr>
                <w:rFonts w:ascii="宋体" w:hAnsi="宋体"/>
                <w:color w:val="auto"/>
                <w:sz w:val="28"/>
                <w:szCs w:val="28"/>
                <w:highlight w:val="none"/>
              </w:rPr>
            </w:pPr>
          </w:p>
          <w:p>
            <w:pPr>
              <w:pStyle w:val="85"/>
              <w:widowControl/>
              <w:adjustRightInd w:val="0"/>
              <w:snapToGrid w:val="0"/>
              <w:spacing w:before="120" w:after="120" w:line="500" w:lineRule="exact"/>
              <w:ind w:left="1072" w:hanging="1072"/>
              <w:jc w:val="center"/>
              <w:rPr>
                <w:rFonts w:ascii="宋体" w:hAnsi="宋体"/>
                <w:color w:val="auto"/>
                <w:sz w:val="28"/>
                <w:szCs w:val="28"/>
                <w:highlight w:val="none"/>
              </w:rPr>
            </w:pPr>
          </w:p>
          <w:p>
            <w:pPr>
              <w:pStyle w:val="85"/>
              <w:widowControl/>
              <w:adjustRightInd w:val="0"/>
              <w:snapToGrid w:val="0"/>
              <w:spacing w:before="120" w:after="120" w:line="500" w:lineRule="exact"/>
              <w:ind w:left="1072" w:hanging="1072"/>
              <w:jc w:val="center"/>
              <w:rPr>
                <w:rFonts w:ascii="宋体" w:hAnsi="宋体"/>
                <w:color w:val="auto"/>
                <w:sz w:val="28"/>
                <w:szCs w:val="28"/>
                <w:highlight w:val="none"/>
              </w:rPr>
            </w:pPr>
            <w:r>
              <w:rPr>
                <w:rFonts w:hint="eastAsia" w:ascii="宋体" w:hAnsi="宋体"/>
                <w:color w:val="auto"/>
                <w:sz w:val="28"/>
                <w:szCs w:val="28"/>
                <w:highlight w:val="none"/>
              </w:rPr>
              <w:t>法定代表人《居民身份证》扫描件</w:t>
            </w:r>
          </w:p>
        </w:tc>
      </w:tr>
    </w:tbl>
    <w:p>
      <w:pPr>
        <w:pStyle w:val="85"/>
        <w:widowControl/>
        <w:adjustRightInd w:val="0"/>
        <w:snapToGrid w:val="0"/>
        <w:spacing w:before="120" w:after="120" w:line="500" w:lineRule="exact"/>
        <w:ind w:left="1072" w:hanging="1072"/>
        <w:rPr>
          <w:rFonts w:ascii="宋体" w:hAnsi="宋体"/>
          <w:color w:val="auto"/>
          <w:sz w:val="28"/>
          <w:szCs w:val="28"/>
          <w:highlight w:val="none"/>
        </w:rPr>
      </w:pPr>
    </w:p>
    <w:p>
      <w:pPr>
        <w:pStyle w:val="85"/>
        <w:widowControl/>
        <w:tabs>
          <w:tab w:val="left" w:pos="750"/>
        </w:tabs>
        <w:adjustRightInd w:val="0"/>
        <w:snapToGrid w:val="0"/>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ab/>
      </w:r>
      <w:r>
        <w:rPr>
          <w:rFonts w:hint="eastAsia" w:ascii="宋体" w:hAnsi="宋体"/>
          <w:color w:val="auto"/>
          <w:sz w:val="28"/>
          <w:szCs w:val="28"/>
          <w:highlight w:val="none"/>
        </w:rPr>
        <w:t>供应商名称（公章）：</w:t>
      </w:r>
    </w:p>
    <w:p>
      <w:pPr>
        <w:pStyle w:val="85"/>
        <w:widowControl/>
        <w:tabs>
          <w:tab w:val="left" w:pos="750"/>
        </w:tabs>
        <w:adjustRightInd w:val="0"/>
        <w:snapToGrid w:val="0"/>
        <w:spacing w:before="120" w:after="120" w:line="500" w:lineRule="exact"/>
        <w:ind w:left="1069" w:leftChars="400" w:hanging="229" w:hangingChars="82"/>
        <w:rPr>
          <w:rFonts w:ascii="宋体" w:hAnsi="宋体"/>
          <w:color w:val="auto"/>
          <w:sz w:val="28"/>
          <w:szCs w:val="28"/>
          <w:highlight w:val="none"/>
        </w:rPr>
      </w:pPr>
      <w:r>
        <w:rPr>
          <w:rFonts w:hint="eastAsia" w:ascii="宋体" w:hAnsi="宋体"/>
          <w:color w:val="auto"/>
          <w:sz w:val="28"/>
          <w:szCs w:val="28"/>
          <w:highlight w:val="none"/>
        </w:rPr>
        <w:t>法定代表人（签字或印章） ：</w:t>
      </w:r>
    </w:p>
    <w:p>
      <w:pPr>
        <w:pStyle w:val="85"/>
        <w:widowControl/>
        <w:tabs>
          <w:tab w:val="left" w:pos="750"/>
        </w:tabs>
        <w:adjustRightInd w:val="0"/>
        <w:snapToGrid w:val="0"/>
        <w:spacing w:before="120" w:after="120" w:line="500" w:lineRule="exact"/>
        <w:ind w:left="1069" w:leftChars="400" w:hanging="229" w:hangingChars="82"/>
        <w:rPr>
          <w:rFonts w:ascii="宋体" w:hAnsi="宋体"/>
          <w:color w:val="auto"/>
          <w:sz w:val="28"/>
          <w:szCs w:val="28"/>
          <w:highlight w:val="none"/>
        </w:rPr>
      </w:pPr>
      <w:r>
        <w:rPr>
          <w:rFonts w:hint="eastAsia" w:ascii="宋体" w:hAnsi="宋体"/>
          <w:color w:val="auto"/>
          <w:sz w:val="28"/>
          <w:szCs w:val="28"/>
          <w:highlight w:val="none"/>
        </w:rPr>
        <w:t>日期：年月日</w:t>
      </w:r>
    </w:p>
    <w:p>
      <w:pPr>
        <w:pStyle w:val="85"/>
        <w:widowControl/>
        <w:adjustRightInd w:val="0"/>
        <w:snapToGrid w:val="0"/>
        <w:spacing w:before="120" w:after="120" w:line="500" w:lineRule="exact"/>
        <w:ind w:left="1072" w:hanging="1072"/>
        <w:rPr>
          <w:rFonts w:ascii="宋体" w:hAnsi="宋体"/>
          <w:color w:val="auto"/>
          <w:sz w:val="28"/>
          <w:szCs w:val="28"/>
          <w:highlight w:val="none"/>
        </w:rPr>
      </w:pPr>
    </w:p>
    <w:p>
      <w:pPr>
        <w:pStyle w:val="85"/>
        <w:widowControl/>
        <w:spacing w:before="120" w:after="120" w:line="500" w:lineRule="exact"/>
        <w:ind w:left="1072" w:hanging="1072"/>
        <w:rPr>
          <w:rFonts w:ascii="宋体" w:hAnsi="宋体"/>
          <w:b/>
          <w:color w:val="auto"/>
          <w:sz w:val="28"/>
          <w:szCs w:val="28"/>
          <w:highlight w:val="none"/>
        </w:rPr>
      </w:pPr>
    </w:p>
    <w:p>
      <w:pPr>
        <w:pStyle w:val="85"/>
        <w:widowControl/>
        <w:spacing w:before="120" w:after="120" w:line="500" w:lineRule="exact"/>
        <w:ind w:left="1072" w:hanging="1072"/>
        <w:rPr>
          <w:rFonts w:ascii="宋体" w:hAnsi="宋体"/>
          <w:b/>
          <w:color w:val="auto"/>
          <w:sz w:val="28"/>
          <w:szCs w:val="28"/>
          <w:highlight w:val="none"/>
        </w:rPr>
      </w:pPr>
    </w:p>
    <w:p>
      <w:pPr>
        <w:pStyle w:val="85"/>
        <w:autoSpaceDE w:val="0"/>
        <w:autoSpaceDN w:val="0"/>
        <w:adjustRightInd w:val="0"/>
        <w:spacing w:line="500" w:lineRule="exact"/>
        <w:jc w:val="center"/>
        <w:outlineLvl w:val="2"/>
        <w:rPr>
          <w:rFonts w:ascii="宋体" w:hAnsi="宋体"/>
          <w:b/>
          <w:color w:val="auto"/>
          <w:sz w:val="28"/>
          <w:szCs w:val="28"/>
          <w:highlight w:val="none"/>
        </w:rPr>
      </w:pPr>
      <w:bookmarkStart w:id="149" w:name="_Toc25580684"/>
    </w:p>
    <w:p>
      <w:pPr>
        <w:pStyle w:val="85"/>
        <w:autoSpaceDE w:val="0"/>
        <w:autoSpaceDN w:val="0"/>
        <w:adjustRightInd w:val="0"/>
        <w:spacing w:line="500" w:lineRule="exact"/>
        <w:jc w:val="center"/>
        <w:outlineLvl w:val="2"/>
        <w:rPr>
          <w:rFonts w:ascii="宋体" w:hAnsi="宋体"/>
          <w:b/>
          <w:color w:val="auto"/>
          <w:sz w:val="28"/>
          <w:szCs w:val="28"/>
          <w:highlight w:val="none"/>
        </w:rPr>
      </w:pPr>
      <w:bookmarkStart w:id="150" w:name="_Toc27433"/>
      <w:r>
        <w:rPr>
          <w:rFonts w:hint="eastAsia" w:ascii="宋体" w:hAnsi="宋体"/>
          <w:b/>
          <w:color w:val="auto"/>
          <w:sz w:val="28"/>
          <w:szCs w:val="28"/>
          <w:highlight w:val="none"/>
        </w:rPr>
        <w:t>委托授权书</w:t>
      </w:r>
      <w:bookmarkEnd w:id="149"/>
      <w:bookmarkEnd w:id="150"/>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采购人</w:t>
      </w:r>
      <w:r>
        <w:rPr>
          <w:rFonts w:hint="eastAsia" w:ascii="宋体" w:hAnsi="宋体"/>
          <w:color w:val="auto"/>
          <w:sz w:val="28"/>
          <w:szCs w:val="28"/>
          <w:highlight w:val="none"/>
          <w:u w:val="single"/>
        </w:rPr>
        <w:t>名称）</w:t>
      </w:r>
      <w:r>
        <w:rPr>
          <w:rFonts w:hint="eastAsia" w:ascii="宋体" w:hAnsi="宋体"/>
          <w:color w:val="auto"/>
          <w:sz w:val="28"/>
          <w:szCs w:val="28"/>
          <w:highlight w:val="none"/>
        </w:rPr>
        <w:t>：</w:t>
      </w:r>
    </w:p>
    <w:p>
      <w:pPr>
        <w:pStyle w:val="85"/>
        <w:widowControl/>
        <w:spacing w:before="120" w:after="120"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兹授权同志为我单位参加贵单位组织的编号为</w:t>
      </w:r>
      <w:r>
        <w:rPr>
          <w:rFonts w:hint="eastAsia" w:ascii="宋体" w:hAnsi="宋体"/>
          <w:color w:val="auto"/>
          <w:sz w:val="28"/>
          <w:szCs w:val="28"/>
          <w:highlight w:val="none"/>
          <w:u w:val="single"/>
        </w:rPr>
        <w:t>（项目编号）</w:t>
      </w:r>
      <w:r>
        <w:rPr>
          <w:rFonts w:hint="eastAsia" w:ascii="宋体" w:hAnsi="宋体"/>
          <w:color w:val="auto"/>
          <w:sz w:val="28"/>
          <w:szCs w:val="28"/>
          <w:highlight w:val="none"/>
        </w:rPr>
        <w:t>的</w:t>
      </w:r>
      <w:r>
        <w:rPr>
          <w:rFonts w:hint="eastAsia" w:ascii="宋体" w:hAnsi="宋体"/>
          <w:color w:val="auto"/>
          <w:sz w:val="28"/>
          <w:szCs w:val="28"/>
          <w:highlight w:val="none"/>
          <w:u w:val="single"/>
        </w:rPr>
        <w:t>（项 目 名 称）</w:t>
      </w:r>
      <w:r>
        <w:rPr>
          <w:rFonts w:hint="eastAsia" w:ascii="宋体" w:hAnsi="宋体"/>
          <w:color w:val="auto"/>
          <w:sz w:val="28"/>
          <w:szCs w:val="28"/>
          <w:highlight w:val="none"/>
        </w:rPr>
        <w:t xml:space="preserve">采购活动的代表人，全权代表我单位处理在该项目采购活动中的一切事宜。代理期限从年月日起至年月日止。 </w:t>
      </w:r>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供应商名称（公章）：</w:t>
      </w:r>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签发日期：年月日</w:t>
      </w:r>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附：</w:t>
      </w:r>
    </w:p>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代理人工作单位：</w:t>
      </w:r>
    </w:p>
    <w:p>
      <w:pPr>
        <w:pStyle w:val="85"/>
        <w:widowControl/>
        <w:spacing w:before="120" w:after="120" w:line="500" w:lineRule="exact"/>
        <w:ind w:left="1072" w:hanging="1072"/>
        <w:rPr>
          <w:rFonts w:ascii="宋体" w:hAnsi="宋体"/>
          <w:color w:val="auto"/>
          <w:sz w:val="28"/>
          <w:szCs w:val="28"/>
          <w:highlight w:val="none"/>
          <w:u w:val="single"/>
        </w:rPr>
      </w:pPr>
      <w:r>
        <w:rPr>
          <w:rFonts w:hint="eastAsia" w:ascii="宋体" w:hAnsi="宋体"/>
          <w:color w:val="auto"/>
          <w:sz w:val="28"/>
          <w:szCs w:val="28"/>
          <w:highlight w:val="none"/>
        </w:rPr>
        <w:t>联系电话（手机）：</w:t>
      </w:r>
    </w:p>
    <w:p>
      <w:pPr>
        <w:pStyle w:val="85"/>
        <w:widowControl/>
        <w:adjustRightInd w:val="0"/>
        <w:snapToGrid w:val="0"/>
        <w:spacing w:before="120" w:after="120" w:line="500" w:lineRule="exact"/>
        <w:ind w:left="1072" w:hanging="1072"/>
        <w:rPr>
          <w:rFonts w:ascii="宋体" w:hAnsi="宋体"/>
          <w:color w:val="auto"/>
          <w:sz w:val="28"/>
          <w:szCs w:val="28"/>
          <w:highlight w:val="none"/>
          <w:u w:val="single"/>
        </w:rPr>
      </w:pPr>
      <w:r>
        <w:rPr>
          <w:rFonts w:hint="eastAsia" w:ascii="宋体" w:hAnsi="宋体"/>
          <w:color w:val="auto"/>
          <w:sz w:val="28"/>
          <w:szCs w:val="28"/>
          <w:highlight w:val="none"/>
        </w:rPr>
        <w:t>身份证号码：</w:t>
      </w:r>
    </w:p>
    <w:p>
      <w:pPr>
        <w:pStyle w:val="85"/>
        <w:widowControl/>
        <w:adjustRightInd w:val="0"/>
        <w:snapToGrid w:val="0"/>
        <w:spacing w:before="120" w:after="120" w:line="500" w:lineRule="exact"/>
        <w:ind w:left="-88" w:leftChars="-42" w:firstLine="700" w:firstLineChars="250"/>
        <w:rPr>
          <w:rFonts w:ascii="宋体" w:hAnsi="宋体"/>
          <w:color w:val="auto"/>
          <w:sz w:val="28"/>
          <w:szCs w:val="28"/>
          <w:highlight w:val="none"/>
          <w:u w:val="single"/>
        </w:rPr>
      </w:pPr>
    </w:p>
    <w:tbl>
      <w:tblPr>
        <w:tblStyle w:val="29"/>
        <w:tblW w:w="7665"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5" w:type="dxa"/>
            <w:tcBorders>
              <w:top w:val="single" w:color="auto" w:sz="4" w:space="0"/>
              <w:left w:val="single" w:color="auto" w:sz="4" w:space="0"/>
              <w:bottom w:val="single" w:color="auto" w:sz="4" w:space="0"/>
              <w:right w:val="single" w:color="auto" w:sz="4" w:space="0"/>
            </w:tcBorders>
          </w:tcPr>
          <w:p>
            <w:pPr>
              <w:pStyle w:val="85"/>
              <w:widowControl/>
              <w:spacing w:before="120" w:after="120" w:line="500" w:lineRule="exact"/>
              <w:ind w:left="1072" w:hanging="1072"/>
              <w:rPr>
                <w:rFonts w:ascii="宋体" w:hAnsi="宋体"/>
                <w:color w:val="auto"/>
                <w:sz w:val="28"/>
                <w:szCs w:val="28"/>
                <w:highlight w:val="none"/>
              </w:rPr>
            </w:pPr>
            <w:r>
              <w:rPr>
                <w:rFonts w:hint="eastAsia" w:ascii="宋体" w:hAnsi="宋体"/>
                <w:color w:val="auto"/>
                <w:sz w:val="28"/>
                <w:szCs w:val="28"/>
                <w:highlight w:val="none"/>
              </w:rPr>
              <w:t>粘贴被授权人身份证（扫描件）</w:t>
            </w:r>
          </w:p>
        </w:tc>
      </w:tr>
    </w:tbl>
    <w:p>
      <w:pPr>
        <w:pStyle w:val="85"/>
        <w:widowControl/>
        <w:autoSpaceDE w:val="0"/>
        <w:autoSpaceDN w:val="0"/>
        <w:spacing w:before="120" w:after="120" w:line="500" w:lineRule="exact"/>
        <w:rPr>
          <w:rFonts w:ascii="宋体" w:hAnsi="宋体"/>
          <w:color w:val="auto"/>
          <w:sz w:val="28"/>
          <w:szCs w:val="28"/>
          <w:highlight w:val="none"/>
        </w:rPr>
      </w:pPr>
    </w:p>
    <w:p>
      <w:pPr>
        <w:pStyle w:val="85"/>
        <w:widowControl/>
        <w:spacing w:before="120" w:after="120" w:line="500" w:lineRule="exact"/>
        <w:ind w:left="1072" w:hanging="1072"/>
        <w:jc w:val="center"/>
        <w:rPr>
          <w:rFonts w:ascii="宋体" w:hAnsi="宋体"/>
          <w:b/>
          <w:bCs/>
          <w:color w:val="auto"/>
          <w:kern w:val="0"/>
          <w:sz w:val="28"/>
          <w:szCs w:val="28"/>
          <w:highlight w:val="none"/>
        </w:rPr>
      </w:pPr>
    </w:p>
    <w:p>
      <w:pPr>
        <w:pStyle w:val="85"/>
        <w:rPr>
          <w:color w:val="auto"/>
          <w:sz w:val="28"/>
          <w:szCs w:val="28"/>
          <w:highlight w:val="none"/>
        </w:rPr>
      </w:pPr>
      <w:r>
        <w:rPr>
          <w:rFonts w:hint="eastAsia"/>
          <w:color w:val="auto"/>
          <w:sz w:val="28"/>
          <w:szCs w:val="28"/>
          <w:highlight w:val="none"/>
        </w:rPr>
        <w:t>注：本表适用于法人、其他组织、自然人</w:t>
      </w:r>
    </w:p>
    <w:p>
      <w:pPr>
        <w:pStyle w:val="80"/>
        <w:jc w:val="center"/>
        <w:rPr>
          <w:color w:val="auto"/>
          <w:highlight w:val="none"/>
        </w:rPr>
      </w:pPr>
      <w:r>
        <w:rPr>
          <w:color w:val="auto"/>
          <w:highlight w:val="none"/>
        </w:rPr>
        <w:br w:type="page"/>
      </w:r>
      <w:bookmarkStart w:id="151" w:name="_Toc25580685"/>
      <w:bookmarkStart w:id="152" w:name="_Toc6672"/>
      <w:r>
        <w:rPr>
          <w:rFonts w:hint="eastAsia"/>
          <w:color w:val="auto"/>
          <w:highlight w:val="none"/>
        </w:rPr>
        <w:t>磋商供应商的资格声明</w:t>
      </w:r>
      <w:bookmarkEnd w:id="151"/>
      <w:bookmarkEnd w:id="152"/>
    </w:p>
    <w:p>
      <w:pPr>
        <w:pStyle w:val="85"/>
        <w:spacing w:line="500" w:lineRule="exact"/>
        <w:rPr>
          <w:rFonts w:ascii="宋体" w:hAnsi="宋体"/>
          <w:color w:val="auto"/>
          <w:sz w:val="28"/>
          <w:szCs w:val="28"/>
          <w:highlight w:val="none"/>
        </w:rPr>
      </w:pPr>
    </w:p>
    <w:p>
      <w:pPr>
        <w:pStyle w:val="85"/>
        <w:spacing w:line="500" w:lineRule="exact"/>
        <w:rPr>
          <w:rFonts w:ascii="宋体" w:hAnsi="宋体"/>
          <w:color w:val="auto"/>
          <w:sz w:val="28"/>
          <w:szCs w:val="28"/>
          <w:highlight w:val="none"/>
        </w:rPr>
      </w:pPr>
      <w:r>
        <w:rPr>
          <w:rFonts w:hint="eastAsia" w:ascii="宋体" w:hAnsi="宋体"/>
          <w:color w:val="auto"/>
          <w:sz w:val="28"/>
          <w:szCs w:val="28"/>
          <w:highlight w:val="none"/>
        </w:rPr>
        <w:t>1、名称及基本情况：</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（1）磋商供应商名称：</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（2）地址：   邮编：</w:t>
      </w:r>
    </w:p>
    <w:p>
      <w:pPr>
        <w:pStyle w:val="85"/>
        <w:spacing w:line="500" w:lineRule="exact"/>
        <w:ind w:firstLine="980" w:firstLineChars="350"/>
        <w:rPr>
          <w:rFonts w:ascii="宋体" w:hAnsi="宋体"/>
          <w:color w:val="auto"/>
          <w:sz w:val="28"/>
          <w:szCs w:val="28"/>
          <w:highlight w:val="none"/>
          <w:u w:val="single"/>
        </w:rPr>
      </w:pPr>
      <w:r>
        <w:rPr>
          <w:rFonts w:hint="eastAsia" w:ascii="宋体" w:hAnsi="宋体"/>
          <w:color w:val="auto"/>
          <w:sz w:val="28"/>
          <w:szCs w:val="28"/>
          <w:highlight w:val="none"/>
        </w:rPr>
        <w:t>电话：   传真：</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（3）成立或注册日期：</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（4）公司性质：</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（5）法定代表人或主要负责人：</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（6）员工人数：</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（7）注册资本：</w:t>
      </w:r>
    </w:p>
    <w:p>
      <w:pPr>
        <w:pStyle w:val="85"/>
        <w:spacing w:line="500" w:lineRule="exact"/>
        <w:ind w:firstLine="280" w:firstLineChars="100"/>
        <w:rPr>
          <w:rFonts w:ascii="宋体" w:hAnsi="宋体"/>
          <w:color w:val="auto"/>
          <w:sz w:val="28"/>
          <w:szCs w:val="28"/>
          <w:highlight w:val="none"/>
        </w:rPr>
      </w:pPr>
      <w:r>
        <w:rPr>
          <w:rFonts w:hint="eastAsia" w:ascii="宋体" w:hAnsi="宋体"/>
          <w:color w:val="auto"/>
          <w:sz w:val="28"/>
          <w:szCs w:val="28"/>
          <w:highlight w:val="none"/>
        </w:rPr>
        <w:t>（8）实收资本：</w:t>
      </w:r>
    </w:p>
    <w:p>
      <w:pPr>
        <w:pStyle w:val="85"/>
        <w:spacing w:line="500" w:lineRule="exact"/>
        <w:rPr>
          <w:rFonts w:ascii="宋体" w:hAnsi="宋体"/>
          <w:color w:val="auto"/>
          <w:sz w:val="28"/>
          <w:szCs w:val="28"/>
          <w:highlight w:val="none"/>
        </w:rPr>
      </w:pPr>
    </w:p>
    <w:p>
      <w:pPr>
        <w:pStyle w:val="85"/>
        <w:spacing w:line="500" w:lineRule="exact"/>
        <w:rPr>
          <w:rFonts w:ascii="宋体" w:hAnsi="宋体"/>
          <w:color w:val="auto"/>
          <w:sz w:val="28"/>
          <w:szCs w:val="28"/>
          <w:highlight w:val="none"/>
        </w:rPr>
      </w:pPr>
    </w:p>
    <w:p>
      <w:pPr>
        <w:pStyle w:val="85"/>
        <w:spacing w:line="500" w:lineRule="exact"/>
        <w:rPr>
          <w:rFonts w:ascii="宋体" w:hAnsi="宋体"/>
          <w:color w:val="auto"/>
          <w:sz w:val="28"/>
          <w:szCs w:val="28"/>
          <w:highlight w:val="none"/>
        </w:rPr>
      </w:pPr>
    </w:p>
    <w:p>
      <w:pPr>
        <w:pStyle w:val="85"/>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磋商供应商名称：</w:t>
      </w:r>
      <w:r>
        <w:rPr>
          <w:rFonts w:hint="eastAsia" w:ascii="宋体" w:hAnsi="宋体"/>
          <w:color w:val="auto"/>
          <w:sz w:val="28"/>
          <w:szCs w:val="28"/>
          <w:highlight w:val="none"/>
          <w:u w:val="single"/>
        </w:rPr>
        <w:t xml:space="preserve">       （公章）       </w:t>
      </w:r>
    </w:p>
    <w:p>
      <w:pPr>
        <w:pStyle w:val="85"/>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法定代表人签章：</w:t>
      </w:r>
      <w:r>
        <w:rPr>
          <w:rFonts w:hint="eastAsia" w:ascii="宋体" w:hAnsi="宋体"/>
          <w:color w:val="auto"/>
          <w:sz w:val="28"/>
          <w:szCs w:val="28"/>
          <w:highlight w:val="none"/>
          <w:u w:val="single"/>
        </w:rPr>
        <w:t>（签字或印章）</w:t>
      </w:r>
    </w:p>
    <w:p>
      <w:pPr>
        <w:pStyle w:val="85"/>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电      话：</w:t>
      </w:r>
    </w:p>
    <w:p>
      <w:pPr>
        <w:pStyle w:val="85"/>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传      真：</w:t>
      </w:r>
    </w:p>
    <w:p>
      <w:pPr>
        <w:pStyle w:val="85"/>
        <w:autoSpaceDE w:val="0"/>
        <w:autoSpaceDN w:val="0"/>
        <w:spacing w:line="500" w:lineRule="exact"/>
        <w:ind w:firstLine="480"/>
        <w:rPr>
          <w:rFonts w:ascii="宋体" w:hAnsi="宋体"/>
          <w:color w:val="auto"/>
          <w:sz w:val="28"/>
          <w:szCs w:val="28"/>
          <w:highlight w:val="none"/>
        </w:rPr>
      </w:pPr>
      <w:r>
        <w:rPr>
          <w:rFonts w:hint="eastAsia" w:ascii="宋体" w:hAnsi="宋体"/>
          <w:color w:val="auto"/>
          <w:sz w:val="28"/>
          <w:szCs w:val="28"/>
          <w:highlight w:val="none"/>
        </w:rPr>
        <w:t>日      期：年月日</w:t>
      </w:r>
    </w:p>
    <w:p>
      <w:pPr>
        <w:pStyle w:val="85"/>
        <w:autoSpaceDE w:val="0"/>
        <w:autoSpaceDN w:val="0"/>
        <w:spacing w:line="500" w:lineRule="exact"/>
        <w:ind w:firstLine="480"/>
        <w:rPr>
          <w:rFonts w:ascii="宋体" w:hAnsi="宋体"/>
          <w:color w:val="auto"/>
          <w:sz w:val="28"/>
          <w:szCs w:val="28"/>
          <w:highlight w:val="none"/>
        </w:rPr>
      </w:pPr>
    </w:p>
    <w:p>
      <w:pPr>
        <w:pStyle w:val="85"/>
        <w:autoSpaceDE w:val="0"/>
        <w:autoSpaceDN w:val="0"/>
        <w:spacing w:line="500" w:lineRule="exact"/>
        <w:ind w:firstLine="480"/>
        <w:rPr>
          <w:rFonts w:ascii="宋体" w:hAnsi="宋体"/>
          <w:color w:val="auto"/>
          <w:sz w:val="28"/>
          <w:szCs w:val="28"/>
          <w:highlight w:val="none"/>
        </w:rPr>
      </w:pPr>
    </w:p>
    <w:p>
      <w:pPr>
        <w:pStyle w:val="80"/>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tabs>
          <w:tab w:val="left" w:pos="0"/>
        </w:tabs>
        <w:spacing w:beforeLines="50" w:afterLines="50" w:line="360" w:lineRule="auto"/>
        <w:jc w:val="center"/>
        <w:rPr>
          <w:rFonts w:ascii="宋体" w:hAnsi="宋体"/>
          <w:b/>
          <w:color w:val="auto"/>
          <w:sz w:val="32"/>
          <w:szCs w:val="24"/>
          <w:highlight w:val="none"/>
        </w:rPr>
      </w:pPr>
      <w:r>
        <w:rPr>
          <w:rFonts w:ascii="宋体" w:hAnsi="宋体"/>
          <w:b/>
          <w:color w:val="auto"/>
          <w:sz w:val="32"/>
          <w:szCs w:val="24"/>
          <w:highlight w:val="none"/>
        </w:rPr>
        <w:t>拟派本项目工作人员一览表</w:t>
      </w:r>
    </w:p>
    <w:tbl>
      <w:tblPr>
        <w:tblStyle w:val="29"/>
        <w:tblW w:w="7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97"/>
        <w:gridCol w:w="842"/>
        <w:gridCol w:w="1044"/>
        <w:gridCol w:w="1802"/>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序号</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姓名</w:t>
            </w:r>
          </w:p>
        </w:tc>
        <w:tc>
          <w:tcPr>
            <w:tcW w:w="842"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年龄</w:t>
            </w: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专业</w:t>
            </w:r>
          </w:p>
        </w:tc>
        <w:tc>
          <w:tcPr>
            <w:tcW w:w="1802"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在本项目中担任的角色</w:t>
            </w: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1</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2</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3</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4</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5</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color w:val="auto"/>
                <w:sz w:val="24"/>
                <w:szCs w:val="24"/>
                <w:highlight w:val="none"/>
              </w:rPr>
            </w:pPr>
            <w:r>
              <w:rPr>
                <w:rFonts w:ascii="宋体" w:hAnsi="宋体"/>
                <w:color w:val="auto"/>
                <w:sz w:val="24"/>
                <w:szCs w:val="24"/>
                <w:highlight w:val="none"/>
              </w:rPr>
              <w:t>6</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jc w:val="center"/>
              <w:rPr>
                <w:rFonts w:ascii="宋体" w:hAnsi="宋体"/>
                <w:b/>
                <w:color w:val="auto"/>
                <w:sz w:val="24"/>
                <w:szCs w:val="24"/>
                <w:highlight w:val="none"/>
              </w:rPr>
            </w:pPr>
            <w:r>
              <w:rPr>
                <w:rFonts w:ascii="宋体" w:hAnsi="宋体"/>
                <w:b/>
                <w:color w:val="auto"/>
                <w:sz w:val="24"/>
                <w:szCs w:val="24"/>
                <w:highlight w:val="none"/>
              </w:rPr>
              <w:t>…</w:t>
            </w:r>
          </w:p>
        </w:tc>
        <w:tc>
          <w:tcPr>
            <w:tcW w:w="1297"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84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0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c>
          <w:tcPr>
            <w:tcW w:w="1802" w:type="dxa"/>
            <w:tcBorders>
              <w:top w:val="single" w:color="auto" w:sz="4" w:space="0"/>
              <w:left w:val="single" w:color="auto" w:sz="4" w:space="0"/>
              <w:bottom w:val="single" w:color="auto" w:sz="4" w:space="0"/>
              <w:right w:val="single" w:color="auto" w:sz="4" w:space="0"/>
            </w:tcBorders>
          </w:tcPr>
          <w:p>
            <w:pPr>
              <w:pStyle w:val="85"/>
              <w:spacing w:before="120" w:line="360" w:lineRule="auto"/>
              <w:rPr>
                <w:rFonts w:ascii="宋体" w:hAnsi="宋体"/>
                <w:color w:val="auto"/>
                <w:sz w:val="24"/>
                <w:szCs w:val="24"/>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pStyle w:val="85"/>
              <w:spacing w:before="120" w:line="360" w:lineRule="auto"/>
              <w:rPr>
                <w:rFonts w:ascii="宋体" w:hAnsi="宋体"/>
                <w:color w:val="auto"/>
                <w:sz w:val="24"/>
                <w:szCs w:val="24"/>
                <w:highlight w:val="none"/>
              </w:rPr>
            </w:pPr>
          </w:p>
        </w:tc>
      </w:tr>
    </w:tbl>
    <w:p>
      <w:pPr>
        <w:pStyle w:val="85"/>
        <w:spacing w:before="120" w:after="120" w:line="360" w:lineRule="auto"/>
        <w:ind w:firstLine="482"/>
        <w:rPr>
          <w:rFonts w:ascii="宋体" w:hAnsi="宋体"/>
          <w:color w:val="auto"/>
          <w:sz w:val="24"/>
          <w:szCs w:val="24"/>
          <w:highlight w:val="none"/>
        </w:rPr>
      </w:pPr>
    </w:p>
    <w:p>
      <w:pPr>
        <w:pStyle w:val="85"/>
        <w:spacing w:before="120" w:after="120" w:line="360" w:lineRule="auto"/>
        <w:ind w:firstLine="482"/>
        <w:rPr>
          <w:rFonts w:ascii="宋体" w:hAnsi="宋体"/>
          <w:color w:val="auto"/>
          <w:sz w:val="24"/>
          <w:szCs w:val="24"/>
          <w:highlight w:val="none"/>
        </w:rPr>
      </w:pPr>
    </w:p>
    <w:p>
      <w:pPr>
        <w:pStyle w:val="85"/>
        <w:spacing w:before="120" w:after="120" w:line="360" w:lineRule="auto"/>
        <w:ind w:firstLine="562"/>
        <w:rPr>
          <w:rFonts w:ascii="宋体" w:hAnsi="宋体"/>
          <w:color w:val="auto"/>
          <w:position w:val="6"/>
          <w:sz w:val="24"/>
          <w:szCs w:val="24"/>
          <w:highlight w:val="none"/>
        </w:rPr>
      </w:pPr>
    </w:p>
    <w:p>
      <w:pPr>
        <w:pStyle w:val="85"/>
        <w:spacing w:before="120" w:after="120" w:line="360" w:lineRule="auto"/>
        <w:ind w:firstLine="482"/>
        <w:rPr>
          <w:rFonts w:ascii="宋体" w:hAnsi="宋体"/>
          <w:color w:val="auto"/>
          <w:position w:val="6"/>
          <w:sz w:val="28"/>
          <w:szCs w:val="28"/>
          <w:highlight w:val="none"/>
        </w:rPr>
      </w:pPr>
      <w:r>
        <w:rPr>
          <w:rFonts w:hint="eastAsia" w:ascii="宋体" w:hAnsi="宋体"/>
          <w:color w:val="auto"/>
          <w:position w:val="6"/>
          <w:sz w:val="28"/>
          <w:szCs w:val="28"/>
          <w:highlight w:val="none"/>
        </w:rPr>
        <w:t>投标人（公章）</w:t>
      </w:r>
      <w:r>
        <w:rPr>
          <w:rFonts w:ascii="宋体" w:hAnsi="宋体"/>
          <w:color w:val="auto"/>
          <w:position w:val="6"/>
          <w:sz w:val="28"/>
          <w:szCs w:val="28"/>
          <w:highlight w:val="none"/>
        </w:rPr>
        <w:t>：</w:t>
      </w:r>
    </w:p>
    <w:p>
      <w:pPr>
        <w:pStyle w:val="85"/>
        <w:spacing w:before="120" w:after="120" w:line="360" w:lineRule="auto"/>
        <w:ind w:firstLine="482"/>
        <w:rPr>
          <w:rFonts w:ascii="宋体" w:hAnsi="宋体"/>
          <w:color w:val="auto"/>
          <w:sz w:val="28"/>
          <w:szCs w:val="28"/>
          <w:highlight w:val="none"/>
          <w:u w:val="single"/>
        </w:rPr>
      </w:pPr>
      <w:r>
        <w:rPr>
          <w:rFonts w:ascii="宋体" w:hAnsi="宋体"/>
          <w:color w:val="auto"/>
          <w:position w:val="6"/>
          <w:sz w:val="28"/>
          <w:szCs w:val="28"/>
          <w:highlight w:val="none"/>
        </w:rPr>
        <w:t>法定代表人或其委托代理人</w:t>
      </w:r>
      <w:r>
        <w:rPr>
          <w:rFonts w:hint="eastAsia" w:ascii="宋体" w:hAnsi="宋体"/>
          <w:color w:val="auto"/>
          <w:position w:val="6"/>
          <w:sz w:val="28"/>
          <w:szCs w:val="28"/>
          <w:highlight w:val="none"/>
        </w:rPr>
        <w:t>（签字或印章）</w:t>
      </w:r>
      <w:r>
        <w:rPr>
          <w:rFonts w:ascii="宋体" w:hAnsi="宋体"/>
          <w:color w:val="auto"/>
          <w:position w:val="6"/>
          <w:sz w:val="28"/>
          <w:szCs w:val="28"/>
          <w:highlight w:val="none"/>
        </w:rPr>
        <w:t>：</w:t>
      </w:r>
    </w:p>
    <w:p>
      <w:pPr>
        <w:pStyle w:val="85"/>
        <w:spacing w:before="120" w:after="120" w:line="360" w:lineRule="auto"/>
        <w:ind w:firstLine="560" w:firstLineChars="200"/>
        <w:rPr>
          <w:rFonts w:ascii="宋体" w:hAnsi="宋体" w:cs="Courier New"/>
          <w:color w:val="auto"/>
          <w:sz w:val="28"/>
          <w:szCs w:val="28"/>
          <w:highlight w:val="none"/>
        </w:rPr>
      </w:pPr>
      <w:r>
        <w:rPr>
          <w:rFonts w:ascii="宋体" w:hAnsi="宋体"/>
          <w:color w:val="auto"/>
          <w:sz w:val="28"/>
          <w:szCs w:val="28"/>
          <w:highlight w:val="none"/>
        </w:rPr>
        <w:t>年月日</w:t>
      </w:r>
    </w:p>
    <w:p>
      <w:pPr>
        <w:pStyle w:val="80"/>
        <w:jc w:val="center"/>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tabs>
          <w:tab w:val="left" w:pos="0"/>
        </w:tabs>
        <w:spacing w:beforeLines="50" w:afterLines="50" w:line="360" w:lineRule="auto"/>
        <w:jc w:val="center"/>
        <w:rPr>
          <w:rFonts w:ascii="宋体" w:hAnsi="宋体"/>
          <w:b/>
          <w:color w:val="auto"/>
          <w:sz w:val="32"/>
          <w:szCs w:val="24"/>
          <w:highlight w:val="none"/>
        </w:rPr>
      </w:pPr>
      <w:r>
        <w:rPr>
          <w:rFonts w:hint="eastAsia" w:ascii="宋体" w:hAnsi="宋体"/>
          <w:b/>
          <w:color w:val="auto"/>
          <w:sz w:val="32"/>
          <w:szCs w:val="24"/>
          <w:highlight w:val="none"/>
        </w:rPr>
        <w:t>磋商文件中资格审查及符合性审查要求提供的资料</w:t>
      </w:r>
    </w:p>
    <w:p>
      <w:pPr>
        <w:pStyle w:val="80"/>
        <w:jc w:val="center"/>
        <w:rPr>
          <w:color w:val="auto"/>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ind w:firstLine="482" w:firstLineChars="200"/>
        <w:rPr>
          <w:rFonts w:ascii="宋体" w:hAnsi="宋体"/>
          <w:b/>
          <w:color w:val="auto"/>
          <w:sz w:val="24"/>
          <w:szCs w:val="24"/>
          <w:highlight w:val="none"/>
        </w:rPr>
      </w:pPr>
    </w:p>
    <w:p>
      <w:pPr>
        <w:pStyle w:val="85"/>
        <w:spacing w:before="120" w:after="120" w:line="360" w:lineRule="auto"/>
        <w:rPr>
          <w:rFonts w:ascii="宋体" w:hAnsi="宋体"/>
          <w:b/>
          <w:color w:val="auto"/>
          <w:sz w:val="24"/>
          <w:szCs w:val="24"/>
          <w:highlight w:val="none"/>
        </w:rPr>
      </w:pPr>
    </w:p>
    <w:p>
      <w:pPr>
        <w:pStyle w:val="85"/>
        <w:spacing w:before="120" w:after="120" w:line="360" w:lineRule="auto"/>
        <w:rPr>
          <w:rFonts w:ascii="宋体" w:hAnsi="宋体"/>
          <w:b/>
          <w:color w:val="auto"/>
          <w:sz w:val="24"/>
          <w:szCs w:val="24"/>
          <w:highlight w:val="none"/>
        </w:rPr>
      </w:pPr>
    </w:p>
    <w:p>
      <w:pPr>
        <w:pStyle w:val="83"/>
        <w:spacing w:line="440" w:lineRule="exact"/>
        <w:ind w:firstLine="426"/>
        <w:jc w:val="center"/>
        <w:rPr>
          <w:rFonts w:hint="eastAsia" w:hAnsi="宋体" w:eastAsia="宋体"/>
          <w:b/>
          <w:bCs/>
          <w:sz w:val="28"/>
          <w:szCs w:val="28"/>
          <w:highlight w:val="none"/>
          <w:lang w:eastAsia="zh-CN"/>
        </w:rPr>
      </w:pPr>
      <w:r>
        <w:rPr>
          <w:rFonts w:hint="eastAsia" w:hAnsi="宋体"/>
          <w:b/>
          <w:bCs/>
          <w:sz w:val="28"/>
          <w:szCs w:val="28"/>
          <w:highlight w:val="none"/>
        </w:rPr>
        <w:t>最终报价表</w:t>
      </w:r>
      <w:r>
        <w:rPr>
          <w:rFonts w:hint="eastAsia" w:hAnsi="宋体"/>
          <w:b/>
          <w:bCs/>
          <w:sz w:val="28"/>
          <w:szCs w:val="28"/>
          <w:highlight w:val="none"/>
          <w:lang w:eastAsia="zh-CN"/>
        </w:rPr>
        <w:t>（</w:t>
      </w:r>
      <w:r>
        <w:rPr>
          <w:rFonts w:hint="eastAsia" w:hAnsi="宋体"/>
          <w:b/>
          <w:bCs/>
          <w:sz w:val="28"/>
          <w:szCs w:val="28"/>
          <w:highlight w:val="none"/>
          <w:lang w:val="en-US" w:eastAsia="zh-CN"/>
        </w:rPr>
        <w:t>1包段</w:t>
      </w:r>
      <w:r>
        <w:rPr>
          <w:rFonts w:hint="eastAsia" w:hAnsi="宋体"/>
          <w:b/>
          <w:bCs/>
          <w:sz w:val="28"/>
          <w:szCs w:val="28"/>
          <w:highlight w:val="none"/>
          <w:lang w:eastAsia="zh-CN"/>
        </w:rPr>
        <w:t>）</w:t>
      </w:r>
    </w:p>
    <w:p>
      <w:pPr>
        <w:pStyle w:val="83"/>
        <w:spacing w:line="440" w:lineRule="exact"/>
        <w:ind w:firstLine="426"/>
        <w:rPr>
          <w:rFonts w:hAnsi="宋体"/>
          <w:sz w:val="28"/>
          <w:szCs w:val="28"/>
          <w:highlight w:val="none"/>
        </w:rPr>
      </w:pPr>
      <w:r>
        <w:rPr>
          <w:rFonts w:hint="eastAsia" w:hAnsi="宋体"/>
          <w:sz w:val="28"/>
          <w:szCs w:val="28"/>
          <w:highlight w:val="none"/>
        </w:rPr>
        <w:t>项目名称：</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报价</w:t>
            </w:r>
          </w:p>
        </w:tc>
        <w:tc>
          <w:tcPr>
            <w:tcW w:w="5174" w:type="dxa"/>
            <w:vAlign w:val="center"/>
          </w:tcPr>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小写：</w:t>
            </w:r>
            <w:r>
              <w:rPr>
                <w:rFonts w:hint="eastAsia" w:hAnsi="宋体"/>
                <w:sz w:val="28"/>
                <w:szCs w:val="28"/>
                <w:highlight w:val="none"/>
                <w:u w:val="single"/>
                <w:lang w:val="en-US" w:eastAsia="zh-CN"/>
              </w:rPr>
              <w:t xml:space="preserve">                    </w:t>
            </w:r>
          </w:p>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大写：</w:t>
            </w:r>
            <w:r>
              <w:rPr>
                <w:rFonts w:hint="eastAsia" w:hAnsi="宋体"/>
                <w:sz w:val="28"/>
                <w:szCs w:val="28"/>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供应商名称</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int="default" w:hAnsi="宋体" w:eastAsia="宋体"/>
                <w:sz w:val="28"/>
                <w:szCs w:val="28"/>
                <w:highlight w:val="none"/>
                <w:lang w:val="en-US" w:eastAsia="zh-CN"/>
              </w:rPr>
            </w:pPr>
            <w:r>
              <w:rPr>
                <w:rFonts w:hint="eastAsia" w:hAnsi="宋体"/>
                <w:sz w:val="28"/>
                <w:szCs w:val="28"/>
                <w:highlight w:val="none"/>
                <w:lang w:val="en-US" w:eastAsia="zh-CN"/>
              </w:rPr>
              <w:t>服务期限</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8" w:hRule="atLeast"/>
          <w:jc w:val="center"/>
        </w:trPr>
        <w:tc>
          <w:tcPr>
            <w:tcW w:w="3348" w:type="dxa"/>
            <w:vAlign w:val="center"/>
          </w:tcPr>
          <w:p>
            <w:pPr>
              <w:pStyle w:val="83"/>
              <w:spacing w:line="440" w:lineRule="exact"/>
              <w:ind w:firstLine="426"/>
              <w:rPr>
                <w:rFonts w:hint="default" w:hAnsi="宋体"/>
                <w:sz w:val="28"/>
                <w:szCs w:val="28"/>
                <w:highlight w:val="none"/>
                <w:lang w:val="en-US" w:eastAsia="zh-CN"/>
              </w:rPr>
            </w:pPr>
            <w:r>
              <w:rPr>
                <w:rFonts w:hint="eastAsia" w:hAnsi="宋体"/>
                <w:sz w:val="28"/>
                <w:szCs w:val="28"/>
                <w:highlight w:val="none"/>
                <w:lang w:val="en-US" w:eastAsia="zh-CN"/>
              </w:rPr>
              <w:t>相关承诺和要求</w:t>
            </w:r>
          </w:p>
        </w:tc>
        <w:tc>
          <w:tcPr>
            <w:tcW w:w="5174" w:type="dxa"/>
            <w:vAlign w:val="center"/>
          </w:tcPr>
          <w:p>
            <w:pPr>
              <w:pStyle w:val="83"/>
              <w:spacing w:line="440" w:lineRule="exact"/>
              <w:ind w:firstLine="426"/>
              <w:rPr>
                <w:rFonts w:hAnsi="宋体"/>
                <w:sz w:val="28"/>
                <w:szCs w:val="28"/>
                <w:highlight w:val="none"/>
              </w:rPr>
            </w:pPr>
          </w:p>
        </w:tc>
      </w:tr>
    </w:tbl>
    <w:p>
      <w:pPr>
        <w:pStyle w:val="83"/>
        <w:spacing w:line="440" w:lineRule="exact"/>
        <w:ind w:firstLine="426"/>
        <w:rPr>
          <w:rFonts w:hAnsi="宋体"/>
          <w:sz w:val="28"/>
          <w:szCs w:val="28"/>
          <w:highlight w:val="none"/>
        </w:rPr>
      </w:pPr>
    </w:p>
    <w:p>
      <w:pPr>
        <w:pStyle w:val="85"/>
        <w:widowControl/>
        <w:tabs>
          <w:tab w:val="left" w:pos="750"/>
        </w:tabs>
        <w:adjustRightInd w:val="0"/>
        <w:snapToGrid w:val="0"/>
        <w:spacing w:before="120" w:after="120" w:line="500" w:lineRule="exact"/>
        <w:ind w:left="1072" w:hanging="1072"/>
        <w:rPr>
          <w:rFonts w:ascii="宋体" w:hAnsi="宋体"/>
          <w:sz w:val="28"/>
          <w:szCs w:val="28"/>
          <w:highlight w:val="none"/>
        </w:rPr>
      </w:pPr>
      <w:r>
        <w:rPr>
          <w:rFonts w:hint="eastAsia" w:ascii="宋体" w:hAnsi="宋体"/>
          <w:sz w:val="28"/>
          <w:szCs w:val="28"/>
          <w:highlight w:val="none"/>
        </w:rPr>
        <w:t>供应商名称（公章）：</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法定代表人或授权代表（签字或印章） ：</w:t>
      </w:r>
    </w:p>
    <w:p>
      <w:pPr>
        <w:pStyle w:val="85"/>
        <w:widowControl/>
        <w:tabs>
          <w:tab w:val="left" w:pos="750"/>
        </w:tabs>
        <w:adjustRightInd w:val="0"/>
        <w:snapToGrid w:val="0"/>
        <w:spacing w:before="120" w:after="120" w:line="500" w:lineRule="exact"/>
        <w:rPr>
          <w:rFonts w:hint="eastAsia" w:ascii="宋体" w:hAnsi="宋体"/>
          <w:sz w:val="28"/>
          <w:szCs w:val="28"/>
          <w:highlight w:val="none"/>
        </w:rPr>
      </w:pPr>
      <w:r>
        <w:rPr>
          <w:rFonts w:hint="eastAsia" w:ascii="宋体" w:hAnsi="宋体"/>
          <w:sz w:val="28"/>
          <w:szCs w:val="28"/>
          <w:highlight w:val="none"/>
        </w:rPr>
        <w:t>日期：    年   月   日</w:t>
      </w:r>
    </w:p>
    <w:p>
      <w:pPr>
        <w:pStyle w:val="85"/>
        <w:widowControl/>
        <w:tabs>
          <w:tab w:val="left" w:pos="750"/>
        </w:tabs>
        <w:adjustRightInd w:val="0"/>
        <w:snapToGrid w:val="0"/>
        <w:spacing w:before="120" w:after="120" w:line="500" w:lineRule="exact"/>
        <w:rPr>
          <w:rFonts w:hint="eastAsia" w:ascii="宋体" w:hAnsi="宋体"/>
          <w:sz w:val="28"/>
          <w:szCs w:val="28"/>
          <w:highlight w:val="none"/>
        </w:rPr>
      </w:pPr>
    </w:p>
    <w:p>
      <w:pPr>
        <w:pStyle w:val="85"/>
        <w:widowControl/>
        <w:tabs>
          <w:tab w:val="left" w:pos="750"/>
        </w:tabs>
        <w:adjustRightInd w:val="0"/>
        <w:snapToGrid w:val="0"/>
        <w:spacing w:before="120" w:after="120" w:line="500" w:lineRule="exact"/>
        <w:rPr>
          <w:rFonts w:hint="eastAsia" w:ascii="宋体" w:hAnsi="宋体"/>
          <w:sz w:val="28"/>
          <w:szCs w:val="28"/>
          <w:highlight w:val="none"/>
        </w:rPr>
      </w:pPr>
    </w:p>
    <w:p>
      <w:pPr>
        <w:widowControl/>
        <w:jc w:val="left"/>
        <w:rPr>
          <w:rFonts w:ascii="宋体" w:hAnsi="宋体"/>
          <w:b/>
          <w:sz w:val="32"/>
          <w:szCs w:val="32"/>
          <w:highlight w:val="none"/>
        </w:rPr>
      </w:pPr>
      <w:r>
        <w:rPr>
          <w:rFonts w:hint="eastAsia" w:hAnsi="宋体"/>
          <w:b/>
          <w:sz w:val="32"/>
          <w:szCs w:val="32"/>
          <w:highlight w:val="none"/>
          <w:lang w:val="en-US" w:eastAsia="zh-CN"/>
        </w:rPr>
        <w:t>若供应商只参加其中一个包段的磋商，则只填报该包段的报价。</w:t>
      </w:r>
      <w:r>
        <w:rPr>
          <w:rFonts w:hAnsi="宋体"/>
          <w:b/>
          <w:sz w:val="32"/>
          <w:szCs w:val="32"/>
          <w:highlight w:val="none"/>
        </w:rPr>
        <w:br w:type="page"/>
      </w:r>
    </w:p>
    <w:p>
      <w:pPr>
        <w:widowControl/>
        <w:jc w:val="left"/>
        <w:rPr>
          <w:rFonts w:ascii="宋体" w:hAnsi="宋体"/>
          <w:b/>
          <w:sz w:val="32"/>
          <w:szCs w:val="32"/>
          <w:highlight w:val="none"/>
        </w:rPr>
      </w:pPr>
    </w:p>
    <w:p>
      <w:pPr>
        <w:pStyle w:val="83"/>
        <w:spacing w:line="440" w:lineRule="exact"/>
        <w:ind w:firstLine="426"/>
        <w:jc w:val="center"/>
        <w:rPr>
          <w:rFonts w:hint="eastAsia" w:hAnsi="宋体" w:eastAsia="宋体"/>
          <w:b/>
          <w:bCs/>
          <w:sz w:val="28"/>
          <w:szCs w:val="28"/>
          <w:highlight w:val="none"/>
          <w:lang w:eastAsia="zh-CN"/>
        </w:rPr>
      </w:pPr>
      <w:r>
        <w:rPr>
          <w:rFonts w:hint="eastAsia" w:hAnsi="宋体"/>
          <w:b/>
          <w:bCs/>
          <w:sz w:val="28"/>
          <w:szCs w:val="28"/>
          <w:highlight w:val="none"/>
        </w:rPr>
        <w:t>最终报价表</w:t>
      </w:r>
      <w:r>
        <w:rPr>
          <w:rFonts w:hint="eastAsia" w:hAnsi="宋体"/>
          <w:b/>
          <w:bCs/>
          <w:sz w:val="28"/>
          <w:szCs w:val="28"/>
          <w:highlight w:val="none"/>
          <w:lang w:eastAsia="zh-CN"/>
        </w:rPr>
        <w:t>（</w:t>
      </w:r>
      <w:r>
        <w:rPr>
          <w:rFonts w:hint="eastAsia" w:hAnsi="宋体"/>
          <w:b/>
          <w:bCs/>
          <w:sz w:val="28"/>
          <w:szCs w:val="28"/>
          <w:highlight w:val="none"/>
          <w:lang w:val="en-US" w:eastAsia="zh-CN"/>
        </w:rPr>
        <w:t>2包段</w:t>
      </w:r>
      <w:r>
        <w:rPr>
          <w:rFonts w:hint="eastAsia" w:hAnsi="宋体"/>
          <w:b/>
          <w:bCs/>
          <w:sz w:val="28"/>
          <w:szCs w:val="28"/>
          <w:highlight w:val="none"/>
          <w:lang w:eastAsia="zh-CN"/>
        </w:rPr>
        <w:t>）</w:t>
      </w:r>
    </w:p>
    <w:p>
      <w:pPr>
        <w:pStyle w:val="83"/>
        <w:spacing w:line="440" w:lineRule="exact"/>
        <w:ind w:firstLine="426"/>
        <w:rPr>
          <w:rFonts w:hAnsi="宋体"/>
          <w:sz w:val="28"/>
          <w:szCs w:val="28"/>
          <w:highlight w:val="none"/>
        </w:rPr>
      </w:pPr>
      <w:r>
        <w:rPr>
          <w:rFonts w:hint="eastAsia" w:hAnsi="宋体"/>
          <w:sz w:val="28"/>
          <w:szCs w:val="28"/>
          <w:highlight w:val="none"/>
        </w:rPr>
        <w:t>项目名称：</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报价</w:t>
            </w:r>
          </w:p>
        </w:tc>
        <w:tc>
          <w:tcPr>
            <w:tcW w:w="5174" w:type="dxa"/>
            <w:vAlign w:val="center"/>
          </w:tcPr>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小写：</w:t>
            </w:r>
            <w:r>
              <w:rPr>
                <w:rFonts w:hint="eastAsia" w:hAnsi="宋体"/>
                <w:sz w:val="28"/>
                <w:szCs w:val="28"/>
                <w:highlight w:val="none"/>
                <w:u w:val="single"/>
                <w:lang w:val="en-US" w:eastAsia="zh-CN"/>
              </w:rPr>
              <w:t xml:space="preserve">                    </w:t>
            </w:r>
          </w:p>
          <w:p>
            <w:pPr>
              <w:pStyle w:val="83"/>
              <w:spacing w:line="440" w:lineRule="exact"/>
              <w:ind w:firstLine="426"/>
              <w:rPr>
                <w:rFonts w:hint="default" w:hAnsi="宋体"/>
                <w:sz w:val="28"/>
                <w:szCs w:val="28"/>
                <w:highlight w:val="none"/>
                <w:u w:val="single"/>
                <w:lang w:val="en-US" w:eastAsia="zh-CN"/>
              </w:rPr>
            </w:pPr>
            <w:r>
              <w:rPr>
                <w:rFonts w:hint="eastAsia" w:hAnsi="宋体"/>
                <w:sz w:val="28"/>
                <w:szCs w:val="28"/>
                <w:highlight w:val="none"/>
                <w:lang w:val="en-US" w:eastAsia="zh-CN"/>
              </w:rPr>
              <w:t>大写：</w:t>
            </w:r>
            <w:r>
              <w:rPr>
                <w:rFonts w:hint="eastAsia" w:hAnsi="宋体"/>
                <w:sz w:val="28"/>
                <w:szCs w:val="28"/>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Ansi="宋体"/>
                <w:sz w:val="28"/>
                <w:szCs w:val="28"/>
                <w:highlight w:val="none"/>
              </w:rPr>
            </w:pPr>
            <w:r>
              <w:rPr>
                <w:rFonts w:hint="eastAsia" w:hAnsi="宋体"/>
                <w:sz w:val="28"/>
                <w:szCs w:val="28"/>
                <w:highlight w:val="none"/>
              </w:rPr>
              <w:t>供应商名称</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3348" w:type="dxa"/>
            <w:vAlign w:val="center"/>
          </w:tcPr>
          <w:p>
            <w:pPr>
              <w:pStyle w:val="83"/>
              <w:spacing w:line="440" w:lineRule="exact"/>
              <w:ind w:firstLine="426"/>
              <w:rPr>
                <w:rFonts w:hint="default" w:hAnsi="宋体" w:eastAsia="宋体"/>
                <w:sz w:val="28"/>
                <w:szCs w:val="28"/>
                <w:highlight w:val="none"/>
                <w:lang w:val="en-US" w:eastAsia="zh-CN"/>
              </w:rPr>
            </w:pPr>
            <w:r>
              <w:rPr>
                <w:rFonts w:hint="eastAsia" w:hAnsi="宋体"/>
                <w:sz w:val="28"/>
                <w:szCs w:val="28"/>
                <w:highlight w:val="none"/>
                <w:lang w:val="en-US" w:eastAsia="zh-CN"/>
              </w:rPr>
              <w:t>服务期限</w:t>
            </w:r>
          </w:p>
        </w:tc>
        <w:tc>
          <w:tcPr>
            <w:tcW w:w="5174" w:type="dxa"/>
            <w:vAlign w:val="center"/>
          </w:tcPr>
          <w:p>
            <w:pPr>
              <w:pStyle w:val="83"/>
              <w:spacing w:line="440" w:lineRule="exact"/>
              <w:ind w:firstLine="426"/>
              <w:rPr>
                <w:rFonts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8" w:hRule="atLeast"/>
          <w:jc w:val="center"/>
        </w:trPr>
        <w:tc>
          <w:tcPr>
            <w:tcW w:w="3348" w:type="dxa"/>
            <w:vAlign w:val="center"/>
          </w:tcPr>
          <w:p>
            <w:pPr>
              <w:pStyle w:val="83"/>
              <w:spacing w:line="440" w:lineRule="exact"/>
              <w:ind w:firstLine="426"/>
              <w:rPr>
                <w:rFonts w:hint="default" w:hAnsi="宋体"/>
                <w:sz w:val="28"/>
                <w:szCs w:val="28"/>
                <w:highlight w:val="none"/>
                <w:lang w:val="en-US" w:eastAsia="zh-CN"/>
              </w:rPr>
            </w:pPr>
            <w:r>
              <w:rPr>
                <w:rFonts w:hint="eastAsia" w:hAnsi="宋体"/>
                <w:sz w:val="28"/>
                <w:szCs w:val="28"/>
                <w:highlight w:val="none"/>
                <w:lang w:val="en-US" w:eastAsia="zh-CN"/>
              </w:rPr>
              <w:t>相关承诺和要求</w:t>
            </w:r>
          </w:p>
        </w:tc>
        <w:tc>
          <w:tcPr>
            <w:tcW w:w="5174" w:type="dxa"/>
            <w:vAlign w:val="center"/>
          </w:tcPr>
          <w:p>
            <w:pPr>
              <w:pStyle w:val="83"/>
              <w:spacing w:line="440" w:lineRule="exact"/>
              <w:ind w:firstLine="426"/>
              <w:rPr>
                <w:rFonts w:hAnsi="宋体"/>
                <w:sz w:val="28"/>
                <w:szCs w:val="28"/>
                <w:highlight w:val="none"/>
              </w:rPr>
            </w:pPr>
          </w:p>
        </w:tc>
      </w:tr>
    </w:tbl>
    <w:p>
      <w:pPr>
        <w:pStyle w:val="83"/>
        <w:spacing w:line="440" w:lineRule="exact"/>
        <w:ind w:firstLine="426"/>
        <w:rPr>
          <w:rFonts w:hAnsi="宋体"/>
          <w:sz w:val="28"/>
          <w:szCs w:val="28"/>
          <w:highlight w:val="none"/>
        </w:rPr>
      </w:pPr>
    </w:p>
    <w:p>
      <w:pPr>
        <w:pStyle w:val="85"/>
        <w:widowControl/>
        <w:tabs>
          <w:tab w:val="left" w:pos="750"/>
        </w:tabs>
        <w:adjustRightInd w:val="0"/>
        <w:snapToGrid w:val="0"/>
        <w:spacing w:before="120" w:after="120" w:line="500" w:lineRule="exact"/>
        <w:ind w:left="1072" w:hanging="1072"/>
        <w:rPr>
          <w:rFonts w:ascii="宋体" w:hAnsi="宋体"/>
          <w:sz w:val="28"/>
          <w:szCs w:val="28"/>
          <w:highlight w:val="none"/>
        </w:rPr>
      </w:pPr>
      <w:r>
        <w:rPr>
          <w:rFonts w:hint="eastAsia" w:ascii="宋体" w:hAnsi="宋体"/>
          <w:sz w:val="28"/>
          <w:szCs w:val="28"/>
          <w:highlight w:val="none"/>
        </w:rPr>
        <w:t>供应商名称（公章）：</w:t>
      </w:r>
    </w:p>
    <w:p>
      <w:pPr>
        <w:pStyle w:val="85"/>
        <w:widowControl/>
        <w:tabs>
          <w:tab w:val="left" w:pos="750"/>
        </w:tabs>
        <w:adjustRightInd w:val="0"/>
        <w:snapToGrid w:val="0"/>
        <w:spacing w:before="120" w:after="120" w:line="500" w:lineRule="exact"/>
        <w:rPr>
          <w:rFonts w:ascii="宋体" w:hAnsi="宋体"/>
          <w:sz w:val="28"/>
          <w:szCs w:val="28"/>
          <w:highlight w:val="none"/>
        </w:rPr>
      </w:pPr>
      <w:r>
        <w:rPr>
          <w:rFonts w:hint="eastAsia" w:ascii="宋体" w:hAnsi="宋体"/>
          <w:sz w:val="28"/>
          <w:szCs w:val="28"/>
          <w:highlight w:val="none"/>
        </w:rPr>
        <w:t>法定代表人或授权代表（签字或印章） ：</w:t>
      </w:r>
    </w:p>
    <w:p>
      <w:pPr>
        <w:pStyle w:val="85"/>
        <w:widowControl/>
        <w:tabs>
          <w:tab w:val="left" w:pos="750"/>
        </w:tabs>
        <w:adjustRightInd w:val="0"/>
        <w:snapToGrid w:val="0"/>
        <w:spacing w:before="120" w:after="120" w:line="500" w:lineRule="exact"/>
        <w:rPr>
          <w:rFonts w:hint="eastAsia" w:ascii="宋体" w:hAnsi="宋体"/>
          <w:sz w:val="28"/>
          <w:szCs w:val="28"/>
          <w:highlight w:val="none"/>
        </w:rPr>
      </w:pPr>
      <w:r>
        <w:rPr>
          <w:rFonts w:hint="eastAsia" w:ascii="宋体" w:hAnsi="宋体"/>
          <w:sz w:val="28"/>
          <w:szCs w:val="28"/>
          <w:highlight w:val="none"/>
        </w:rPr>
        <w:t>日期：    年   月   日</w:t>
      </w:r>
    </w:p>
    <w:p>
      <w:pPr>
        <w:pStyle w:val="85"/>
        <w:widowControl/>
        <w:tabs>
          <w:tab w:val="left" w:pos="750"/>
        </w:tabs>
        <w:adjustRightInd w:val="0"/>
        <w:snapToGrid w:val="0"/>
        <w:spacing w:before="120" w:after="120" w:line="500" w:lineRule="exact"/>
        <w:rPr>
          <w:rFonts w:hint="eastAsia" w:ascii="宋体" w:hAnsi="宋体"/>
          <w:sz w:val="28"/>
          <w:szCs w:val="28"/>
          <w:highlight w:val="none"/>
        </w:rPr>
      </w:pPr>
    </w:p>
    <w:p>
      <w:pPr>
        <w:pStyle w:val="85"/>
        <w:widowControl/>
        <w:tabs>
          <w:tab w:val="left" w:pos="750"/>
        </w:tabs>
        <w:adjustRightInd w:val="0"/>
        <w:snapToGrid w:val="0"/>
        <w:spacing w:before="120" w:after="120" w:line="500" w:lineRule="exact"/>
        <w:rPr>
          <w:rFonts w:hint="eastAsia" w:ascii="宋体" w:hAnsi="宋体"/>
          <w:sz w:val="28"/>
          <w:szCs w:val="28"/>
          <w:highlight w:val="none"/>
        </w:rPr>
      </w:pPr>
    </w:p>
    <w:p>
      <w:pPr>
        <w:widowControl/>
        <w:jc w:val="left"/>
        <w:rPr>
          <w:rFonts w:ascii="宋体" w:hAnsi="宋体"/>
          <w:b/>
          <w:sz w:val="32"/>
          <w:szCs w:val="32"/>
          <w:highlight w:val="none"/>
        </w:rPr>
      </w:pPr>
      <w:r>
        <w:rPr>
          <w:rFonts w:hint="eastAsia" w:hAnsi="宋体"/>
          <w:b/>
          <w:sz w:val="32"/>
          <w:szCs w:val="32"/>
          <w:highlight w:val="none"/>
          <w:lang w:val="en-US" w:eastAsia="zh-CN"/>
        </w:rPr>
        <w:t>若供应商只参加其中一个包段的磋商，则只填报该包段的报价。</w:t>
      </w:r>
      <w:r>
        <w:rPr>
          <w:rFonts w:hAnsi="宋体"/>
          <w:b/>
          <w:sz w:val="32"/>
          <w:szCs w:val="32"/>
          <w:highlight w:val="none"/>
        </w:rPr>
        <w:br w:type="page"/>
      </w:r>
    </w:p>
    <w:p>
      <w:pPr>
        <w:pStyle w:val="85"/>
        <w:spacing w:before="120" w:after="120" w:line="360" w:lineRule="auto"/>
        <w:rPr>
          <w:rFonts w:ascii="宋体" w:hAnsi="宋体"/>
          <w:b/>
          <w:color w:val="auto"/>
          <w:sz w:val="24"/>
          <w:szCs w:val="24"/>
          <w:highlight w:val="none"/>
        </w:rPr>
      </w:pPr>
    </w:p>
    <w:p>
      <w:pPr>
        <w:pStyle w:val="85"/>
        <w:spacing w:before="120" w:after="120" w:line="360" w:lineRule="auto"/>
        <w:rPr>
          <w:rFonts w:ascii="宋体" w:hAnsi="宋体"/>
          <w:b/>
          <w:color w:val="auto"/>
          <w:sz w:val="32"/>
          <w:szCs w:val="24"/>
          <w:highlight w:val="none"/>
        </w:rPr>
      </w:pPr>
      <w:r>
        <w:rPr>
          <w:rFonts w:hint="eastAsia" w:ascii="宋体" w:hAnsi="宋体"/>
          <w:b/>
          <w:color w:val="auto"/>
          <w:sz w:val="32"/>
          <w:szCs w:val="24"/>
          <w:highlight w:val="none"/>
        </w:rPr>
        <w:t>若投标人是联合体投标的，须提供双方签字盖章后的联合体协议。</w:t>
      </w: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0"/>
        <w:jc w:val="center"/>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rPr>
          <w:color w:val="auto"/>
          <w:highlight w:val="none"/>
        </w:rPr>
      </w:pPr>
    </w:p>
    <w:p>
      <w:pPr>
        <w:pStyle w:val="85"/>
        <w:tabs>
          <w:tab w:val="left" w:pos="0"/>
        </w:tabs>
        <w:spacing w:beforeLines="50" w:afterLines="50" w:line="360" w:lineRule="auto"/>
        <w:rPr>
          <w:rFonts w:ascii="宋体" w:hAnsi="宋体"/>
          <w:b/>
          <w:color w:val="auto"/>
          <w:sz w:val="32"/>
          <w:szCs w:val="24"/>
          <w:highlight w:val="none"/>
        </w:rPr>
      </w:pPr>
    </w:p>
    <w:p>
      <w:pPr>
        <w:pStyle w:val="85"/>
        <w:tabs>
          <w:tab w:val="left" w:pos="0"/>
        </w:tabs>
        <w:spacing w:beforeLines="50" w:afterLines="50" w:line="360" w:lineRule="auto"/>
        <w:rPr>
          <w:rFonts w:ascii="宋体" w:hAnsi="宋体"/>
          <w:b/>
          <w:color w:val="auto"/>
          <w:sz w:val="32"/>
          <w:szCs w:val="24"/>
          <w:highlight w:val="none"/>
        </w:rPr>
      </w:pPr>
    </w:p>
    <w:p>
      <w:pPr>
        <w:pStyle w:val="85"/>
        <w:tabs>
          <w:tab w:val="left" w:pos="0"/>
        </w:tabs>
        <w:spacing w:beforeLines="50" w:afterLines="50" w:line="360" w:lineRule="auto"/>
        <w:jc w:val="center"/>
        <w:rPr>
          <w:rFonts w:ascii="宋体" w:hAnsi="宋体"/>
          <w:b/>
          <w:color w:val="auto"/>
          <w:sz w:val="32"/>
          <w:szCs w:val="24"/>
          <w:highlight w:val="none"/>
        </w:rPr>
      </w:pPr>
      <w:r>
        <w:rPr>
          <w:rFonts w:ascii="宋体" w:hAnsi="宋体"/>
          <w:b/>
          <w:color w:val="auto"/>
          <w:sz w:val="32"/>
          <w:szCs w:val="24"/>
          <w:highlight w:val="none"/>
        </w:rPr>
        <w:t>承担过类似项目经验</w:t>
      </w:r>
    </w:p>
    <w:tbl>
      <w:tblPr>
        <w:tblStyle w:val="29"/>
        <w:tblW w:w="7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638"/>
        <w:gridCol w:w="1365"/>
        <w:gridCol w:w="139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时间日期</w:t>
            </w:r>
          </w:p>
        </w:tc>
        <w:tc>
          <w:tcPr>
            <w:tcW w:w="1638"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项目名称</w:t>
            </w:r>
          </w:p>
        </w:tc>
        <w:tc>
          <w:tcPr>
            <w:tcW w:w="1365"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融资租赁服务内容</w:t>
            </w:r>
          </w:p>
        </w:tc>
        <w:tc>
          <w:tcPr>
            <w:tcW w:w="1395"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金额</w:t>
            </w:r>
          </w:p>
        </w:tc>
        <w:tc>
          <w:tcPr>
            <w:tcW w:w="1679" w:type="dxa"/>
            <w:vAlign w:val="center"/>
          </w:tcPr>
          <w:p>
            <w:pPr>
              <w:pStyle w:val="85"/>
              <w:widowControl/>
              <w:spacing w:line="360" w:lineRule="auto"/>
              <w:jc w:val="center"/>
              <w:textAlignment w:val="center"/>
              <w:rPr>
                <w:rFonts w:ascii="宋体" w:hAnsi="宋体"/>
                <w:bCs/>
                <w:color w:val="auto"/>
                <w:sz w:val="28"/>
                <w:szCs w:val="28"/>
                <w:highlight w:val="none"/>
              </w:rPr>
            </w:pPr>
            <w:r>
              <w:rPr>
                <w:rFonts w:hint="eastAsia" w:ascii="宋体" w:hAnsi="宋体"/>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38"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65"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395" w:type="dxa"/>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c>
          <w:tcPr>
            <w:tcW w:w="1679" w:type="dxa"/>
            <w:vAlign w:val="center"/>
          </w:tcPr>
          <w:p>
            <w:pPr>
              <w:pStyle w:val="85"/>
              <w:autoSpaceDE w:val="0"/>
              <w:autoSpaceDN w:val="0"/>
              <w:adjustRightInd w:val="0"/>
              <w:spacing w:line="360" w:lineRule="auto"/>
              <w:ind w:right="-80" w:rightChars="-38"/>
              <w:jc w:val="center"/>
              <w:rPr>
                <w:rFonts w:ascii="宋体" w:hAnsi="宋体"/>
                <w:color w:val="auto"/>
                <w:sz w:val="28"/>
                <w:szCs w:val="28"/>
                <w:highlight w:val="none"/>
              </w:rPr>
            </w:pPr>
          </w:p>
        </w:tc>
      </w:tr>
    </w:tbl>
    <w:p>
      <w:pPr>
        <w:pStyle w:val="85"/>
        <w:spacing w:before="120" w:after="120" w:line="360" w:lineRule="auto"/>
        <w:ind w:firstLine="422"/>
        <w:rPr>
          <w:rFonts w:ascii="宋体" w:hAnsi="宋体"/>
          <w:color w:val="auto"/>
          <w:sz w:val="28"/>
          <w:szCs w:val="28"/>
          <w:highlight w:val="none"/>
        </w:rPr>
      </w:pPr>
      <w:r>
        <w:rPr>
          <w:rFonts w:hint="eastAsia" w:ascii="宋体" w:hAnsi="宋体"/>
          <w:color w:val="auto"/>
          <w:sz w:val="28"/>
          <w:szCs w:val="28"/>
          <w:highlight w:val="none"/>
        </w:rPr>
        <w:t>本表后应单独附相关业绩证明材料。</w:t>
      </w:r>
    </w:p>
    <w:p>
      <w:pPr>
        <w:pStyle w:val="85"/>
        <w:spacing w:before="120" w:after="120" w:line="360" w:lineRule="auto"/>
        <w:ind w:firstLine="422"/>
        <w:rPr>
          <w:rFonts w:ascii="宋体" w:hAnsi="宋体"/>
          <w:color w:val="auto"/>
          <w:sz w:val="28"/>
          <w:szCs w:val="28"/>
          <w:highlight w:val="none"/>
        </w:rPr>
      </w:pPr>
    </w:p>
    <w:p>
      <w:pPr>
        <w:pStyle w:val="85"/>
        <w:spacing w:before="120" w:after="120" w:line="360" w:lineRule="auto"/>
        <w:ind w:firstLine="422"/>
        <w:rPr>
          <w:rFonts w:ascii="宋体" w:hAnsi="宋体"/>
          <w:color w:val="auto"/>
          <w:sz w:val="28"/>
          <w:szCs w:val="28"/>
          <w:highlight w:val="none"/>
        </w:rPr>
      </w:pPr>
    </w:p>
    <w:p>
      <w:pPr>
        <w:pStyle w:val="85"/>
        <w:spacing w:before="120" w:after="120" w:line="360" w:lineRule="auto"/>
        <w:ind w:firstLine="482"/>
        <w:rPr>
          <w:rFonts w:ascii="宋体" w:hAnsi="宋体"/>
          <w:color w:val="auto"/>
          <w:position w:val="6"/>
          <w:sz w:val="28"/>
          <w:szCs w:val="28"/>
          <w:highlight w:val="none"/>
        </w:rPr>
      </w:pPr>
      <w:r>
        <w:rPr>
          <w:rFonts w:hint="eastAsia" w:ascii="宋体" w:hAnsi="宋体"/>
          <w:color w:val="auto"/>
          <w:position w:val="6"/>
          <w:sz w:val="28"/>
          <w:szCs w:val="28"/>
          <w:highlight w:val="none"/>
        </w:rPr>
        <w:t>投标人（公章）</w:t>
      </w:r>
      <w:r>
        <w:rPr>
          <w:rFonts w:ascii="宋体" w:hAnsi="宋体"/>
          <w:color w:val="auto"/>
          <w:position w:val="6"/>
          <w:sz w:val="28"/>
          <w:szCs w:val="28"/>
          <w:highlight w:val="none"/>
        </w:rPr>
        <w:t>：</w:t>
      </w:r>
    </w:p>
    <w:p>
      <w:pPr>
        <w:pStyle w:val="85"/>
        <w:spacing w:before="120" w:after="120" w:line="360" w:lineRule="auto"/>
        <w:ind w:firstLine="482"/>
        <w:rPr>
          <w:rFonts w:ascii="宋体" w:hAnsi="宋体"/>
          <w:color w:val="auto"/>
          <w:sz w:val="28"/>
          <w:szCs w:val="28"/>
          <w:highlight w:val="none"/>
          <w:u w:val="single"/>
        </w:rPr>
      </w:pPr>
      <w:r>
        <w:rPr>
          <w:rFonts w:ascii="宋体" w:hAnsi="宋体"/>
          <w:color w:val="auto"/>
          <w:position w:val="6"/>
          <w:sz w:val="28"/>
          <w:szCs w:val="28"/>
          <w:highlight w:val="none"/>
        </w:rPr>
        <w:t>法定代表人或其委托代理人</w:t>
      </w:r>
      <w:r>
        <w:rPr>
          <w:rFonts w:hint="eastAsia" w:ascii="宋体" w:hAnsi="宋体"/>
          <w:color w:val="auto"/>
          <w:position w:val="6"/>
          <w:sz w:val="28"/>
          <w:szCs w:val="28"/>
          <w:highlight w:val="none"/>
        </w:rPr>
        <w:t>（签字或印章）</w:t>
      </w:r>
      <w:r>
        <w:rPr>
          <w:rFonts w:ascii="宋体" w:hAnsi="宋体"/>
          <w:color w:val="auto"/>
          <w:position w:val="6"/>
          <w:sz w:val="28"/>
          <w:szCs w:val="28"/>
          <w:highlight w:val="none"/>
        </w:rPr>
        <w:t>：</w:t>
      </w:r>
    </w:p>
    <w:p>
      <w:pPr>
        <w:pStyle w:val="85"/>
        <w:spacing w:before="120" w:after="120" w:line="360" w:lineRule="auto"/>
        <w:ind w:firstLine="420" w:firstLineChars="150"/>
        <w:rPr>
          <w:rFonts w:ascii="宋体" w:hAnsi="宋体"/>
          <w:color w:val="auto"/>
          <w:sz w:val="28"/>
          <w:szCs w:val="28"/>
          <w:highlight w:val="none"/>
        </w:rPr>
      </w:pPr>
      <w:r>
        <w:rPr>
          <w:rFonts w:ascii="宋体" w:hAnsi="宋体"/>
          <w:color w:val="auto"/>
          <w:sz w:val="28"/>
          <w:szCs w:val="28"/>
          <w:highlight w:val="none"/>
        </w:rPr>
        <w:t>年月日</w:t>
      </w:r>
    </w:p>
    <w:p>
      <w:pPr>
        <w:pStyle w:val="86"/>
        <w:widowControl/>
        <w:jc w:val="left"/>
        <w:rPr>
          <w:rFonts w:ascii="宋体" w:hAnsi="宋体"/>
          <w:color w:val="auto"/>
          <w:sz w:val="28"/>
          <w:szCs w:val="28"/>
          <w:highlight w:val="none"/>
        </w:rPr>
      </w:pPr>
      <w:r>
        <w:rPr>
          <w:rFonts w:ascii="宋体" w:hAnsi="宋体"/>
          <w:color w:val="auto"/>
          <w:sz w:val="28"/>
          <w:szCs w:val="28"/>
          <w:highlight w:val="none"/>
        </w:rPr>
        <w:br w:type="page"/>
      </w:r>
    </w:p>
    <w:p>
      <w:pPr>
        <w:pStyle w:val="87"/>
        <w:tabs>
          <w:tab w:val="left" w:pos="0"/>
        </w:tabs>
        <w:spacing w:beforeLines="50" w:afterLines="50" w:line="360" w:lineRule="auto"/>
        <w:jc w:val="center"/>
        <w:rPr>
          <w:rFonts w:ascii="宋体" w:hAnsi="宋体"/>
          <w:b/>
          <w:color w:val="auto"/>
          <w:sz w:val="32"/>
          <w:szCs w:val="24"/>
          <w:highlight w:val="none"/>
        </w:rPr>
      </w:pPr>
      <w:r>
        <w:rPr>
          <w:rFonts w:ascii="宋体" w:hAnsi="宋体"/>
          <w:b/>
          <w:color w:val="auto"/>
          <w:sz w:val="32"/>
          <w:szCs w:val="24"/>
          <w:highlight w:val="none"/>
        </w:rPr>
        <w:t>项目</w:t>
      </w:r>
      <w:r>
        <w:rPr>
          <w:rFonts w:hint="eastAsia" w:ascii="宋体" w:hAnsi="宋体"/>
          <w:b/>
          <w:color w:val="auto"/>
          <w:sz w:val="32"/>
          <w:szCs w:val="24"/>
          <w:highlight w:val="none"/>
        </w:rPr>
        <w:t>融资租赁方案及</w:t>
      </w:r>
      <w:r>
        <w:rPr>
          <w:rFonts w:ascii="宋体" w:hAnsi="宋体"/>
          <w:b/>
          <w:color w:val="auto"/>
          <w:sz w:val="32"/>
          <w:szCs w:val="24"/>
          <w:highlight w:val="none"/>
        </w:rPr>
        <w:t>实施方案</w:t>
      </w:r>
    </w:p>
    <w:p>
      <w:pPr>
        <w:pStyle w:val="87"/>
        <w:spacing w:before="120" w:after="120" w:line="360" w:lineRule="auto"/>
        <w:ind w:firstLine="482"/>
        <w:rPr>
          <w:rFonts w:ascii="宋体" w:hAnsi="宋体"/>
          <w:color w:val="auto"/>
          <w:sz w:val="24"/>
          <w:szCs w:val="24"/>
          <w:highlight w:val="none"/>
        </w:rPr>
      </w:pPr>
    </w:p>
    <w:p>
      <w:pPr>
        <w:pStyle w:val="87"/>
        <w:spacing w:before="120" w:after="120" w:line="360" w:lineRule="auto"/>
        <w:ind w:firstLine="482"/>
        <w:rPr>
          <w:rFonts w:ascii="宋体" w:hAnsi="宋体"/>
          <w:color w:val="auto"/>
          <w:sz w:val="24"/>
          <w:szCs w:val="24"/>
          <w:highlight w:val="none"/>
        </w:rPr>
      </w:pPr>
    </w:p>
    <w:p>
      <w:pPr>
        <w:pStyle w:val="87"/>
        <w:spacing w:before="120" w:after="120" w:line="360" w:lineRule="auto"/>
        <w:ind w:firstLine="482"/>
        <w:rPr>
          <w:rFonts w:ascii="宋体" w:hAnsi="宋体"/>
          <w:color w:val="auto"/>
          <w:sz w:val="24"/>
          <w:szCs w:val="24"/>
          <w:highlight w:val="none"/>
        </w:rPr>
      </w:pPr>
    </w:p>
    <w:p>
      <w:pPr>
        <w:pStyle w:val="87"/>
        <w:spacing w:before="120" w:after="120" w:line="360" w:lineRule="auto"/>
        <w:ind w:firstLine="482"/>
        <w:jc w:val="center"/>
        <w:rPr>
          <w:rFonts w:ascii="宋体" w:hAnsi="宋体"/>
          <w:b/>
          <w:color w:val="auto"/>
          <w:sz w:val="36"/>
          <w:szCs w:val="36"/>
          <w:highlight w:val="none"/>
        </w:rPr>
      </w:pPr>
      <w:r>
        <w:rPr>
          <w:rFonts w:hint="eastAsia" w:ascii="宋体" w:hAnsi="宋体"/>
          <w:b/>
          <w:color w:val="auto"/>
          <w:sz w:val="36"/>
          <w:szCs w:val="36"/>
          <w:highlight w:val="none"/>
        </w:rPr>
        <w:t>投标人自行填写</w:t>
      </w:r>
    </w:p>
    <w:p>
      <w:pPr>
        <w:pStyle w:val="87"/>
        <w:tabs>
          <w:tab w:val="left" w:pos="0"/>
        </w:tabs>
        <w:spacing w:beforeLines="50" w:afterLines="50" w:line="360" w:lineRule="auto"/>
        <w:jc w:val="center"/>
        <w:rPr>
          <w:rFonts w:ascii="宋体" w:hAnsi="宋体"/>
          <w:b/>
          <w:color w:val="auto"/>
          <w:sz w:val="32"/>
          <w:szCs w:val="24"/>
          <w:highlight w:val="none"/>
        </w:rPr>
      </w:pPr>
    </w:p>
    <w:p>
      <w:pPr>
        <w:pStyle w:val="87"/>
        <w:tabs>
          <w:tab w:val="left" w:pos="0"/>
        </w:tabs>
        <w:spacing w:beforeLines="50" w:afterLines="50" w:line="360" w:lineRule="auto"/>
        <w:jc w:val="center"/>
        <w:rPr>
          <w:rFonts w:ascii="宋体" w:hAnsi="宋体"/>
          <w:b/>
          <w:color w:val="auto"/>
          <w:sz w:val="32"/>
          <w:szCs w:val="24"/>
          <w:highlight w:val="none"/>
        </w:rPr>
      </w:pPr>
    </w:p>
    <w:p>
      <w:pPr>
        <w:pStyle w:val="87"/>
        <w:tabs>
          <w:tab w:val="left" w:pos="0"/>
        </w:tabs>
        <w:spacing w:beforeLines="50" w:afterLines="50" w:line="360" w:lineRule="auto"/>
        <w:jc w:val="center"/>
        <w:rPr>
          <w:rFonts w:ascii="宋体" w:hAnsi="宋体"/>
          <w:b/>
          <w:color w:val="auto"/>
          <w:sz w:val="32"/>
          <w:szCs w:val="24"/>
          <w:highlight w:val="none"/>
        </w:rPr>
      </w:pPr>
      <w:r>
        <w:rPr>
          <w:rFonts w:hint="eastAsia" w:ascii="宋体" w:hAnsi="宋体"/>
          <w:b/>
          <w:color w:val="auto"/>
          <w:sz w:val="32"/>
          <w:szCs w:val="24"/>
          <w:highlight w:val="none"/>
        </w:rPr>
        <w:t>注：投标人报送的投标方案中租赁起始日统一设定为开标日</w:t>
      </w:r>
    </w:p>
    <w:p>
      <w:pPr>
        <w:pStyle w:val="86"/>
        <w:rPr>
          <w:color w:val="auto"/>
          <w:sz w:val="20"/>
          <w:highlight w:val="none"/>
        </w:rPr>
      </w:pPr>
    </w:p>
    <w:p>
      <w:pPr>
        <w:pStyle w:val="86"/>
        <w:rPr>
          <w:color w:val="auto"/>
          <w:highlight w:val="none"/>
        </w:rPr>
      </w:pPr>
    </w:p>
    <w:p>
      <w:pPr>
        <w:pStyle w:val="86"/>
        <w:rPr>
          <w:color w:val="auto"/>
          <w:sz w:val="20"/>
          <w:highlight w:val="none"/>
        </w:rPr>
      </w:pPr>
    </w:p>
    <w:p>
      <w:pPr>
        <w:pStyle w:val="86"/>
        <w:rPr>
          <w:b/>
          <w:color w:val="auto"/>
          <w:sz w:val="28"/>
          <w:szCs w:val="28"/>
          <w:highlight w:val="none"/>
        </w:rPr>
      </w:pPr>
      <w:bookmarkStart w:id="153" w:name="_Toc476153619"/>
    </w:p>
    <w:bookmarkEnd w:id="144"/>
    <w:bookmarkEnd w:id="153"/>
    <w:p>
      <w:pPr>
        <w:rPr>
          <w:rFonts w:ascii="宋体" w:hAnsi="宋体"/>
          <w:color w:val="auto"/>
          <w:highlight w:val="none"/>
        </w:rPr>
      </w:pPr>
    </w:p>
    <w:p>
      <w:pPr>
        <w:rPr>
          <w:color w:val="auto"/>
          <w:highlight w:val="none"/>
        </w:rPr>
      </w:pPr>
    </w:p>
    <w:sectPr>
      <w:footerReference r:id="rId3" w:type="default"/>
      <w:pgSz w:w="11906" w:h="16838"/>
      <w:pgMar w:top="1440" w:right="1797" w:bottom="1440" w:left="1797" w:header="851" w:footer="992" w:gutter="0"/>
      <w:pgNumType w:fmt="decimal"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E375E"/>
    <w:multiLevelType w:val="singleLevel"/>
    <w:tmpl w:val="920E37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125D"/>
    <w:rsid w:val="00067705"/>
    <w:rsid w:val="000D6D4A"/>
    <w:rsid w:val="00151128"/>
    <w:rsid w:val="0027109A"/>
    <w:rsid w:val="002C342A"/>
    <w:rsid w:val="00317159"/>
    <w:rsid w:val="004A5036"/>
    <w:rsid w:val="004A6776"/>
    <w:rsid w:val="0052125D"/>
    <w:rsid w:val="005271EF"/>
    <w:rsid w:val="005504A3"/>
    <w:rsid w:val="007B7E0F"/>
    <w:rsid w:val="00804D7A"/>
    <w:rsid w:val="0083199B"/>
    <w:rsid w:val="008E3A70"/>
    <w:rsid w:val="0096247C"/>
    <w:rsid w:val="00A24429"/>
    <w:rsid w:val="00A31EAA"/>
    <w:rsid w:val="00A65362"/>
    <w:rsid w:val="00B1732D"/>
    <w:rsid w:val="00B20F9A"/>
    <w:rsid w:val="00B369E5"/>
    <w:rsid w:val="00B5551C"/>
    <w:rsid w:val="00BD75B8"/>
    <w:rsid w:val="00CA0E44"/>
    <w:rsid w:val="00CE352B"/>
    <w:rsid w:val="00DA13BC"/>
    <w:rsid w:val="00EB5D3D"/>
    <w:rsid w:val="02610EE0"/>
    <w:rsid w:val="03990743"/>
    <w:rsid w:val="045D5632"/>
    <w:rsid w:val="08FD598E"/>
    <w:rsid w:val="0CF36637"/>
    <w:rsid w:val="112A4135"/>
    <w:rsid w:val="132D3D27"/>
    <w:rsid w:val="13756326"/>
    <w:rsid w:val="151C328F"/>
    <w:rsid w:val="15506D0E"/>
    <w:rsid w:val="18273AAF"/>
    <w:rsid w:val="19502252"/>
    <w:rsid w:val="1A3C4DCE"/>
    <w:rsid w:val="1ABE79BB"/>
    <w:rsid w:val="1D6750EC"/>
    <w:rsid w:val="1E7144F3"/>
    <w:rsid w:val="1E9E77A2"/>
    <w:rsid w:val="217B4300"/>
    <w:rsid w:val="24734F85"/>
    <w:rsid w:val="26103C4D"/>
    <w:rsid w:val="269917C0"/>
    <w:rsid w:val="27626B97"/>
    <w:rsid w:val="2ADD5F85"/>
    <w:rsid w:val="2D03741F"/>
    <w:rsid w:val="2D1C52E2"/>
    <w:rsid w:val="2DA35758"/>
    <w:rsid w:val="2DD654CC"/>
    <w:rsid w:val="2E035B8C"/>
    <w:rsid w:val="2FA43607"/>
    <w:rsid w:val="308A20C7"/>
    <w:rsid w:val="32A44DC0"/>
    <w:rsid w:val="34997C60"/>
    <w:rsid w:val="34A0508F"/>
    <w:rsid w:val="35DF5564"/>
    <w:rsid w:val="37A56C25"/>
    <w:rsid w:val="3825367C"/>
    <w:rsid w:val="393D31E1"/>
    <w:rsid w:val="3A47021B"/>
    <w:rsid w:val="3AE541DF"/>
    <w:rsid w:val="3BF95108"/>
    <w:rsid w:val="3C974F35"/>
    <w:rsid w:val="3CAC2B28"/>
    <w:rsid w:val="3CD57B6B"/>
    <w:rsid w:val="3D1C2162"/>
    <w:rsid w:val="3D237948"/>
    <w:rsid w:val="3D69289C"/>
    <w:rsid w:val="3D730970"/>
    <w:rsid w:val="3EA8723B"/>
    <w:rsid w:val="3EF12288"/>
    <w:rsid w:val="403D7C63"/>
    <w:rsid w:val="41BB7142"/>
    <w:rsid w:val="449603E1"/>
    <w:rsid w:val="46C018BA"/>
    <w:rsid w:val="4A272FD4"/>
    <w:rsid w:val="4CB7284C"/>
    <w:rsid w:val="4D1940CF"/>
    <w:rsid w:val="4E220F0E"/>
    <w:rsid w:val="4EFF5BAC"/>
    <w:rsid w:val="4F491B48"/>
    <w:rsid w:val="50A43345"/>
    <w:rsid w:val="52EB15E1"/>
    <w:rsid w:val="54390022"/>
    <w:rsid w:val="54A16370"/>
    <w:rsid w:val="54DD7733"/>
    <w:rsid w:val="564D0044"/>
    <w:rsid w:val="568A2F06"/>
    <w:rsid w:val="57764FD8"/>
    <w:rsid w:val="57F90892"/>
    <w:rsid w:val="583555B0"/>
    <w:rsid w:val="58661978"/>
    <w:rsid w:val="5A0B783D"/>
    <w:rsid w:val="5C020B25"/>
    <w:rsid w:val="5D6265F6"/>
    <w:rsid w:val="5DF15756"/>
    <w:rsid w:val="5FF11D0A"/>
    <w:rsid w:val="610A6160"/>
    <w:rsid w:val="61CE49C8"/>
    <w:rsid w:val="62A45ABC"/>
    <w:rsid w:val="644B66F9"/>
    <w:rsid w:val="662D7B86"/>
    <w:rsid w:val="667A474C"/>
    <w:rsid w:val="67660EEF"/>
    <w:rsid w:val="67E532C3"/>
    <w:rsid w:val="69055C7C"/>
    <w:rsid w:val="69C555A5"/>
    <w:rsid w:val="6CFD7BB7"/>
    <w:rsid w:val="6EF21969"/>
    <w:rsid w:val="6FF33819"/>
    <w:rsid w:val="70211B3C"/>
    <w:rsid w:val="70715F00"/>
    <w:rsid w:val="70CE3311"/>
    <w:rsid w:val="715C2135"/>
    <w:rsid w:val="71C57510"/>
    <w:rsid w:val="74395029"/>
    <w:rsid w:val="75DA52E7"/>
    <w:rsid w:val="762B3030"/>
    <w:rsid w:val="78246478"/>
    <w:rsid w:val="7B4D7095"/>
    <w:rsid w:val="7BD26821"/>
    <w:rsid w:val="7D625770"/>
    <w:rsid w:val="7E9027A5"/>
    <w:rsid w:val="7FE564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39"/>
    <w:qFormat/>
    <w:uiPriority w:val="9"/>
    <w:pPr>
      <w:keepNext/>
      <w:keepLines/>
      <w:spacing w:before="340" w:after="330" w:line="578" w:lineRule="auto"/>
      <w:jc w:val="center"/>
      <w:outlineLvl w:val="0"/>
    </w:pPr>
    <w:rPr>
      <w:b/>
      <w:bCs/>
      <w:kern w:val="44"/>
      <w:sz w:val="44"/>
      <w:szCs w:val="44"/>
    </w:rPr>
  </w:style>
  <w:style w:type="paragraph" w:styleId="6">
    <w:name w:val="heading 2"/>
    <w:basedOn w:val="1"/>
    <w:next w:val="7"/>
    <w:link w:val="42"/>
    <w:qFormat/>
    <w:uiPriority w:val="0"/>
    <w:pPr>
      <w:keepNext/>
      <w:keepLines/>
      <w:spacing w:before="260" w:after="260" w:line="500" w:lineRule="exact"/>
      <w:contextualSpacing/>
      <w:jc w:val="center"/>
      <w:outlineLvl w:val="1"/>
    </w:pPr>
    <w:rPr>
      <w:rFonts w:ascii="宋体" w:hAnsi="宋体"/>
      <w:b/>
      <w:sz w:val="32"/>
      <w:szCs w:val="28"/>
    </w:rPr>
  </w:style>
  <w:style w:type="paragraph" w:styleId="8">
    <w:name w:val="heading 3"/>
    <w:basedOn w:val="1"/>
    <w:next w:val="1"/>
    <w:link w:val="40"/>
    <w:qFormat/>
    <w:uiPriority w:val="0"/>
    <w:pPr>
      <w:adjustRightInd w:val="0"/>
      <w:snapToGrid w:val="0"/>
      <w:spacing w:line="500" w:lineRule="exact"/>
      <w:ind w:left="-88" w:leftChars="-42"/>
      <w:jc w:val="center"/>
      <w:outlineLvl w:val="2"/>
    </w:pPr>
    <w:rPr>
      <w:rFonts w:ascii="仿宋_GB2312" w:hAnsi="宋体"/>
      <w:b/>
      <w:sz w:val="32"/>
      <w:szCs w:val="32"/>
    </w:rPr>
  </w:style>
  <w:style w:type="paragraph" w:styleId="9">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41"/>
    <w:qFormat/>
    <w:uiPriority w:val="0"/>
    <w:pPr>
      <w:keepNext/>
      <w:keepLines/>
      <w:spacing w:before="280" w:after="290" w:line="376" w:lineRule="auto"/>
      <w:outlineLvl w:val="4"/>
    </w:pPr>
    <w:rPr>
      <w:b/>
      <w:bCs/>
      <w:sz w:val="28"/>
      <w:szCs w:val="28"/>
    </w:rPr>
  </w:style>
  <w:style w:type="paragraph" w:styleId="11">
    <w:name w:val="heading 6"/>
    <w:basedOn w:val="10"/>
    <w:next w:val="1"/>
    <w:link w:val="44"/>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12">
    <w:name w:val="heading 7"/>
    <w:basedOn w:val="11"/>
    <w:next w:val="1"/>
    <w:link w:val="45"/>
    <w:qFormat/>
    <w:uiPriority w:val="0"/>
    <w:pPr>
      <w:tabs>
        <w:tab w:val="left" w:pos="1800"/>
        <w:tab w:val="clear" w:pos="1440"/>
      </w:tabs>
      <w:ind w:left="1276" w:hanging="1276"/>
      <w:outlineLvl w:val="6"/>
    </w:pPr>
  </w:style>
  <w:style w:type="paragraph" w:styleId="13">
    <w:name w:val="heading 8"/>
    <w:basedOn w:val="12"/>
    <w:next w:val="1"/>
    <w:link w:val="46"/>
    <w:qFormat/>
    <w:uiPriority w:val="0"/>
    <w:pPr>
      <w:ind w:left="1418" w:hanging="1418"/>
      <w:outlineLvl w:val="7"/>
    </w:pPr>
  </w:style>
  <w:style w:type="paragraph" w:styleId="14">
    <w:name w:val="heading 9"/>
    <w:basedOn w:val="13"/>
    <w:next w:val="1"/>
    <w:link w:val="47"/>
    <w:qFormat/>
    <w:uiPriority w:val="0"/>
    <w:pPr>
      <w:tabs>
        <w:tab w:val="left" w:pos="2160"/>
        <w:tab w:val="clear" w:pos="1800"/>
      </w:tabs>
      <w:ind w:left="1559" w:hanging="1559"/>
      <w:outlineLvl w:val="8"/>
    </w:p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830" w:firstLineChars="352"/>
    </w:pPr>
    <w:rPr>
      <w:rFonts w:ascii="仿宋_GB2312" w:eastAsia="仿宋_GB2312"/>
      <w:sz w:val="32"/>
      <w:szCs w:val="20"/>
    </w:rPr>
  </w:style>
  <w:style w:type="paragraph" w:styleId="4">
    <w:name w:val="envelope return"/>
    <w:basedOn w:val="1"/>
    <w:qFormat/>
    <w:uiPriority w:val="0"/>
    <w:pPr>
      <w:snapToGrid w:val="0"/>
    </w:pPr>
    <w:rPr>
      <w:rFonts w:ascii="Arial" w:hAnsi="Arial"/>
    </w:rPr>
  </w:style>
  <w:style w:type="paragraph" w:styleId="7">
    <w:name w:val="Normal Indent"/>
    <w:basedOn w:val="1"/>
    <w:link w:val="54"/>
    <w:unhideWhenUsed/>
    <w:qFormat/>
    <w:uiPriority w:val="0"/>
    <w:pPr>
      <w:ind w:firstLine="420" w:firstLineChars="200"/>
    </w:pPr>
  </w:style>
  <w:style w:type="paragraph" w:styleId="15">
    <w:name w:val="Document Map"/>
    <w:basedOn w:val="1"/>
    <w:link w:val="59"/>
    <w:qFormat/>
    <w:uiPriority w:val="0"/>
    <w:rPr>
      <w:rFonts w:ascii="宋体"/>
      <w:sz w:val="18"/>
      <w:szCs w:val="18"/>
    </w:rPr>
  </w:style>
  <w:style w:type="paragraph" w:styleId="16">
    <w:name w:val="annotation text"/>
    <w:basedOn w:val="1"/>
    <w:link w:val="57"/>
    <w:qFormat/>
    <w:uiPriority w:val="0"/>
    <w:pPr>
      <w:jc w:val="left"/>
    </w:pPr>
  </w:style>
  <w:style w:type="paragraph" w:styleId="17">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8">
    <w:name w:val="toc 3"/>
    <w:basedOn w:val="1"/>
    <w:next w:val="1"/>
    <w:unhideWhenUsed/>
    <w:qFormat/>
    <w:uiPriority w:val="39"/>
    <w:pPr>
      <w:ind w:left="840" w:leftChars="400"/>
    </w:pPr>
  </w:style>
  <w:style w:type="paragraph" w:styleId="19">
    <w:name w:val="Plain Text"/>
    <w:basedOn w:val="1"/>
    <w:link w:val="51"/>
    <w:qFormat/>
    <w:uiPriority w:val="0"/>
    <w:rPr>
      <w:rFonts w:ascii="宋体" w:hAnsi="Courier New"/>
      <w:szCs w:val="21"/>
    </w:rPr>
  </w:style>
  <w:style w:type="paragraph" w:styleId="20">
    <w:name w:val="Date"/>
    <w:basedOn w:val="1"/>
    <w:next w:val="1"/>
    <w:qFormat/>
    <w:uiPriority w:val="0"/>
    <w:pPr>
      <w:ind w:left="100" w:leftChars="2500"/>
    </w:pPr>
    <w:rPr>
      <w:rFonts w:ascii="宋体" w:hAnsi="Courier New" w:cs="Courier New"/>
      <w:szCs w:val="21"/>
    </w:rPr>
  </w:style>
  <w:style w:type="paragraph" w:styleId="21">
    <w:name w:val="Balloon Text"/>
    <w:basedOn w:val="1"/>
    <w:semiHidden/>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8222"/>
      </w:tabs>
      <w:spacing w:line="440" w:lineRule="exact"/>
      <w:ind w:right="231" w:rightChars="110"/>
    </w:pPr>
    <w:rPr>
      <w:sz w:val="28"/>
    </w:rPr>
  </w:style>
  <w:style w:type="paragraph" w:styleId="25">
    <w:name w:val="toc 2"/>
    <w:basedOn w:val="1"/>
    <w:next w:val="1"/>
    <w:qFormat/>
    <w:uiPriority w:val="39"/>
    <w:pPr>
      <w:tabs>
        <w:tab w:val="right" w:leader="dot" w:pos="8222"/>
      </w:tabs>
      <w:ind w:left="420" w:leftChars="200"/>
      <w:jc w:val="left"/>
    </w:pPr>
    <w:rPr>
      <w:sz w:val="28"/>
    </w:rPr>
  </w:style>
  <w:style w:type="paragraph" w:styleId="26">
    <w:name w:val="Normal (Web)"/>
    <w:basedOn w:val="1"/>
    <w:qFormat/>
    <w:uiPriority w:val="99"/>
    <w:pPr>
      <w:widowControl/>
      <w:spacing w:before="100" w:beforeAutospacing="1" w:after="100" w:afterAutospacing="1"/>
      <w:jc w:val="left"/>
    </w:pPr>
    <w:rPr>
      <w:rFonts w:ascii="宋体" w:hAnsi="宋体"/>
      <w:kern w:val="0"/>
      <w:sz w:val="24"/>
    </w:rPr>
  </w:style>
  <w:style w:type="paragraph" w:styleId="27">
    <w:name w:val="Title"/>
    <w:basedOn w:val="6"/>
    <w:next w:val="1"/>
    <w:link w:val="38"/>
    <w:qFormat/>
    <w:uiPriority w:val="0"/>
    <w:pPr>
      <w:jc w:val="both"/>
    </w:pPr>
    <w:rPr>
      <w:sz w:val="44"/>
    </w:rPr>
  </w:style>
  <w:style w:type="paragraph" w:styleId="28">
    <w:name w:val="annotation subject"/>
    <w:basedOn w:val="16"/>
    <w:next w:val="16"/>
    <w:link w:val="56"/>
    <w:qFormat/>
    <w:uiPriority w:val="99"/>
    <w:rPr>
      <w:rFonts w:ascii="Times New Roman" w:hAnsi="Times New Roman"/>
      <w:b/>
      <w:sz w:val="28"/>
      <w:szCs w:val="20"/>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annotation reference"/>
    <w:unhideWhenUsed/>
    <w:qFormat/>
    <w:uiPriority w:val="99"/>
    <w:rPr>
      <w:sz w:val="21"/>
      <w:szCs w:val="21"/>
    </w:rPr>
  </w:style>
  <w:style w:type="paragraph" w:customStyle="1" w:styleId="36">
    <w:name w:val="样式1"/>
    <w:basedOn w:val="1"/>
    <w:qFormat/>
    <w:uiPriority w:val="0"/>
    <w:pPr>
      <w:tabs>
        <w:tab w:val="left" w:pos="709"/>
      </w:tabs>
      <w:adjustRightInd w:val="0"/>
      <w:ind w:left="709" w:hanging="709"/>
      <w:textAlignment w:val="baseline"/>
    </w:pPr>
    <w:rPr>
      <w:rFonts w:ascii="宋体" w:hAnsi="宋体"/>
      <w:kern w:val="0"/>
      <w:szCs w:val="21"/>
    </w:rPr>
  </w:style>
  <w:style w:type="character" w:customStyle="1" w:styleId="37">
    <w:name w:val="case31"/>
    <w:qFormat/>
    <w:uiPriority w:val="0"/>
    <w:rPr>
      <w:rFonts w:hint="default"/>
      <w:spacing w:val="390"/>
      <w:sz w:val="21"/>
      <w:szCs w:val="21"/>
    </w:rPr>
  </w:style>
  <w:style w:type="character" w:customStyle="1" w:styleId="38">
    <w:name w:val="标题 Char"/>
    <w:link w:val="27"/>
    <w:qFormat/>
    <w:uiPriority w:val="0"/>
    <w:rPr>
      <w:rFonts w:ascii="宋体" w:hAnsi="宋体" w:eastAsia="宋体"/>
      <w:b/>
      <w:kern w:val="2"/>
      <w:sz w:val="44"/>
      <w:szCs w:val="28"/>
    </w:rPr>
  </w:style>
  <w:style w:type="character" w:customStyle="1" w:styleId="39">
    <w:name w:val="标题 1 Char"/>
    <w:link w:val="5"/>
    <w:qFormat/>
    <w:uiPriority w:val="9"/>
    <w:rPr>
      <w:rFonts w:ascii="Calibri" w:hAnsi="Calibri"/>
      <w:b/>
      <w:bCs/>
      <w:kern w:val="44"/>
      <w:sz w:val="44"/>
      <w:szCs w:val="44"/>
    </w:rPr>
  </w:style>
  <w:style w:type="character" w:customStyle="1" w:styleId="40">
    <w:name w:val="标题 3 Char"/>
    <w:link w:val="8"/>
    <w:qFormat/>
    <w:uiPriority w:val="0"/>
    <w:rPr>
      <w:rFonts w:ascii="仿宋_GB2312" w:hAnsi="宋体" w:eastAsia="宋体"/>
      <w:b/>
      <w:kern w:val="2"/>
      <w:sz w:val="32"/>
      <w:szCs w:val="32"/>
    </w:rPr>
  </w:style>
  <w:style w:type="character" w:customStyle="1" w:styleId="41">
    <w:name w:val="标题 5 Char"/>
    <w:link w:val="10"/>
    <w:qFormat/>
    <w:uiPriority w:val="0"/>
    <w:rPr>
      <w:rFonts w:ascii="Calibri" w:hAnsi="Calibri"/>
      <w:b/>
      <w:bCs/>
      <w:kern w:val="2"/>
      <w:sz w:val="28"/>
      <w:szCs w:val="28"/>
    </w:rPr>
  </w:style>
  <w:style w:type="character" w:customStyle="1" w:styleId="42">
    <w:name w:val="标题 2 Char"/>
    <w:link w:val="6"/>
    <w:qFormat/>
    <w:uiPriority w:val="0"/>
    <w:rPr>
      <w:rFonts w:ascii="宋体" w:hAnsi="宋体" w:eastAsia="宋体"/>
      <w:b/>
      <w:kern w:val="2"/>
      <w:sz w:val="32"/>
      <w:szCs w:val="28"/>
    </w:rPr>
  </w:style>
  <w:style w:type="character" w:customStyle="1" w:styleId="43">
    <w:name w:val="标题 4 Char"/>
    <w:link w:val="9"/>
    <w:qFormat/>
    <w:uiPriority w:val="0"/>
    <w:rPr>
      <w:rFonts w:ascii="Arial" w:hAnsi="Arial" w:eastAsia="黑体"/>
      <w:b/>
      <w:bCs/>
      <w:kern w:val="2"/>
      <w:sz w:val="28"/>
      <w:szCs w:val="28"/>
    </w:rPr>
  </w:style>
  <w:style w:type="character" w:customStyle="1" w:styleId="44">
    <w:name w:val="标题 6 Char"/>
    <w:link w:val="11"/>
    <w:qFormat/>
    <w:uiPriority w:val="0"/>
    <w:rPr>
      <w:b/>
      <w:bCs/>
      <w:kern w:val="2"/>
      <w:sz w:val="30"/>
      <w:szCs w:val="18"/>
    </w:rPr>
  </w:style>
  <w:style w:type="character" w:customStyle="1" w:styleId="45">
    <w:name w:val="标题 7 Char"/>
    <w:link w:val="12"/>
    <w:qFormat/>
    <w:uiPriority w:val="0"/>
    <w:rPr>
      <w:b/>
      <w:bCs/>
      <w:kern w:val="2"/>
      <w:sz w:val="30"/>
      <w:szCs w:val="18"/>
    </w:rPr>
  </w:style>
  <w:style w:type="character" w:customStyle="1" w:styleId="46">
    <w:name w:val="标题 8 Char"/>
    <w:link w:val="13"/>
    <w:qFormat/>
    <w:uiPriority w:val="0"/>
    <w:rPr>
      <w:b/>
      <w:bCs/>
      <w:kern w:val="2"/>
      <w:sz w:val="30"/>
      <w:szCs w:val="18"/>
    </w:rPr>
  </w:style>
  <w:style w:type="character" w:customStyle="1" w:styleId="47">
    <w:name w:val="标题 9 Char"/>
    <w:link w:val="14"/>
    <w:qFormat/>
    <w:uiPriority w:val="0"/>
    <w:rPr>
      <w:b/>
      <w:bCs/>
      <w:kern w:val="2"/>
      <w:sz w:val="30"/>
      <w:szCs w:val="18"/>
    </w:rPr>
  </w:style>
  <w:style w:type="paragraph" w:customStyle="1" w:styleId="48">
    <w:name w:val="列出段落1"/>
    <w:basedOn w:val="1"/>
    <w:qFormat/>
    <w:uiPriority w:val="34"/>
    <w:pPr>
      <w:ind w:firstLine="420" w:firstLineChars="200"/>
    </w:pPr>
  </w:style>
  <w:style w:type="paragraph" w:customStyle="1" w:styleId="49">
    <w:name w:val="TOC 标题1"/>
    <w:basedOn w:val="5"/>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0">
    <w:name w:val="页眉 Char"/>
    <w:link w:val="23"/>
    <w:qFormat/>
    <w:uiPriority w:val="99"/>
    <w:rPr>
      <w:rFonts w:ascii="Calibri" w:hAnsi="Calibri" w:eastAsia="宋体" w:cs="Times New Roman"/>
      <w:kern w:val="2"/>
      <w:sz w:val="18"/>
      <w:szCs w:val="18"/>
    </w:rPr>
  </w:style>
  <w:style w:type="character" w:customStyle="1" w:styleId="51">
    <w:name w:val="纯文本 Char"/>
    <w:link w:val="19"/>
    <w:qFormat/>
    <w:locked/>
    <w:uiPriority w:val="0"/>
    <w:rPr>
      <w:rFonts w:ascii="宋体" w:hAnsi="Courier New" w:eastAsia="宋体" w:cs="Courier New"/>
      <w:kern w:val="2"/>
      <w:sz w:val="21"/>
      <w:szCs w:val="21"/>
    </w:rPr>
  </w:style>
  <w:style w:type="paragraph" w:customStyle="1" w:styleId="52">
    <w:name w:val="需求样式"/>
    <w:basedOn w:val="5"/>
    <w:link w:val="53"/>
    <w:qFormat/>
    <w:uiPriority w:val="0"/>
    <w:pPr>
      <w:spacing w:before="120" w:after="120" w:line="360" w:lineRule="auto"/>
      <w:ind w:left="425" w:hanging="425"/>
    </w:pPr>
    <w:rPr>
      <w:rFonts w:ascii="Times New Roman" w:hAnsi="Times New Roman"/>
      <w:sz w:val="32"/>
      <w:szCs w:val="28"/>
    </w:rPr>
  </w:style>
  <w:style w:type="character" w:customStyle="1" w:styleId="53">
    <w:name w:val="需求样式 Char"/>
    <w:link w:val="52"/>
    <w:qFormat/>
    <w:uiPriority w:val="0"/>
    <w:rPr>
      <w:b/>
      <w:bCs/>
      <w:kern w:val="44"/>
      <w:sz w:val="32"/>
      <w:szCs w:val="28"/>
    </w:rPr>
  </w:style>
  <w:style w:type="character" w:customStyle="1" w:styleId="54">
    <w:name w:val="正文缩进 Char"/>
    <w:link w:val="7"/>
    <w:qFormat/>
    <w:uiPriority w:val="0"/>
    <w:rPr>
      <w:rFonts w:ascii="Calibri" w:hAnsi="Calibri" w:eastAsia="宋体"/>
      <w:kern w:val="2"/>
      <w:sz w:val="21"/>
      <w:szCs w:val="22"/>
      <w:lang w:val="en-US" w:eastAsia="zh-CN" w:bidi="ar-SA"/>
    </w:rPr>
  </w:style>
  <w:style w:type="character" w:customStyle="1" w:styleId="55">
    <w:name w:val="普通文字 Char Char2"/>
    <w:qFormat/>
    <w:uiPriority w:val="0"/>
    <w:rPr>
      <w:rFonts w:ascii="宋体" w:hAnsi="Courier New" w:cs="Courier New"/>
      <w:kern w:val="2"/>
      <w:sz w:val="21"/>
      <w:szCs w:val="21"/>
    </w:rPr>
  </w:style>
  <w:style w:type="character" w:customStyle="1" w:styleId="56">
    <w:name w:val="批注主题 Char"/>
    <w:link w:val="28"/>
    <w:qFormat/>
    <w:uiPriority w:val="99"/>
    <w:rPr>
      <w:b/>
      <w:kern w:val="2"/>
      <w:sz w:val="28"/>
    </w:rPr>
  </w:style>
  <w:style w:type="character" w:customStyle="1" w:styleId="57">
    <w:name w:val="批注文字 Char"/>
    <w:link w:val="16"/>
    <w:qFormat/>
    <w:uiPriority w:val="0"/>
    <w:rPr>
      <w:rFonts w:ascii="Calibri" w:hAnsi="Calibri"/>
      <w:kern w:val="2"/>
      <w:sz w:val="21"/>
      <w:szCs w:val="22"/>
    </w:rPr>
  </w:style>
  <w:style w:type="character" w:customStyle="1" w:styleId="58">
    <w:name w:val="批注主题 Char1"/>
    <w:qFormat/>
    <w:uiPriority w:val="0"/>
    <w:rPr>
      <w:rFonts w:ascii="Calibri" w:hAnsi="Calibri"/>
      <w:b/>
      <w:bCs/>
      <w:kern w:val="2"/>
      <w:sz w:val="21"/>
      <w:szCs w:val="22"/>
    </w:rPr>
  </w:style>
  <w:style w:type="character" w:customStyle="1" w:styleId="59">
    <w:name w:val="文档结构图 Char"/>
    <w:link w:val="15"/>
    <w:qFormat/>
    <w:uiPriority w:val="0"/>
    <w:rPr>
      <w:rFonts w:ascii="宋体" w:hAnsi="Calibri"/>
      <w:kern w:val="2"/>
      <w:sz w:val="18"/>
      <w:szCs w:val="18"/>
    </w:rPr>
  </w:style>
  <w:style w:type="paragraph" w:customStyle="1" w:styleId="60">
    <w:name w:val="修订1"/>
    <w:hidden/>
    <w:semiHidden/>
    <w:qFormat/>
    <w:uiPriority w:val="99"/>
    <w:rPr>
      <w:rFonts w:ascii="Calibri" w:hAnsi="Calibri" w:eastAsia="宋体" w:cs="Times New Roman"/>
      <w:kern w:val="2"/>
      <w:sz w:val="21"/>
      <w:szCs w:val="22"/>
      <w:lang w:val="en-US" w:eastAsia="zh-CN" w:bidi="ar-SA"/>
    </w:rPr>
  </w:style>
  <w:style w:type="paragraph" w:customStyle="1" w:styleId="61">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character" w:customStyle="1" w:styleId="62">
    <w:name w:val="2册标题2 Char"/>
    <w:link w:val="63"/>
    <w:qFormat/>
    <w:uiPriority w:val="0"/>
    <w:rPr>
      <w:rFonts w:ascii="Arial" w:hAnsi="Arial" w:eastAsia="黑体"/>
      <w:kern w:val="2"/>
      <w:sz w:val="30"/>
    </w:rPr>
  </w:style>
  <w:style w:type="paragraph" w:customStyle="1" w:styleId="63">
    <w:name w:val="2册标题2"/>
    <w:basedOn w:val="1"/>
    <w:next w:val="1"/>
    <w:link w:val="62"/>
    <w:qFormat/>
    <w:uiPriority w:val="0"/>
    <w:pPr>
      <w:spacing w:beforeLines="50" w:afterLines="50" w:line="300" w:lineRule="auto"/>
      <w:outlineLvl w:val="1"/>
    </w:pPr>
    <w:rPr>
      <w:rFonts w:ascii="Arial" w:hAnsi="Arial" w:eastAsia="黑体"/>
      <w:sz w:val="30"/>
      <w:szCs w:val="20"/>
    </w:rPr>
  </w:style>
  <w:style w:type="paragraph" w:customStyle="1" w:styleId="6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5">
    <w:name w:val="List Paragraph"/>
    <w:basedOn w:val="1"/>
    <w:qFormat/>
    <w:uiPriority w:val="99"/>
    <w:pPr>
      <w:ind w:firstLine="420" w:firstLineChars="200"/>
    </w:pPr>
  </w:style>
  <w:style w:type="paragraph" w:customStyle="1" w:styleId="66">
    <w:name w:val="TOC 标题2"/>
    <w:basedOn w:val="5"/>
    <w:next w:val="1"/>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67">
    <w:name w:val="正文1"/>
    <w:qFormat/>
    <w:uiPriority w:val="0"/>
    <w:pPr>
      <w:widowControl w:val="0"/>
      <w:ind w:firstLine="420" w:firstLineChars="200"/>
      <w:jc w:val="both"/>
    </w:pPr>
    <w:rPr>
      <w:rFonts w:ascii="Calibri" w:hAnsi="Calibri" w:eastAsia="Times New Roman" w:cs="Times New Roman"/>
      <w:lang w:val="en-US" w:eastAsia="zh-CN" w:bidi="ar-SA"/>
    </w:rPr>
  </w:style>
  <w:style w:type="paragraph" w:customStyle="1" w:styleId="68">
    <w:name w:val="Heading 1"/>
    <w:basedOn w:val="69"/>
    <w:next w:val="69"/>
    <w:link w:val="70"/>
    <w:qFormat/>
    <w:uiPriority w:val="9"/>
    <w:pPr>
      <w:keepNext/>
      <w:keepLines/>
      <w:spacing w:before="340" w:after="330" w:line="578" w:lineRule="auto"/>
      <w:jc w:val="center"/>
      <w:outlineLvl w:val="0"/>
    </w:pPr>
    <w:rPr>
      <w:rFonts w:ascii="Calibri" w:hAnsi="Calibri" w:eastAsia="宋体"/>
      <w:b/>
      <w:bCs/>
      <w:kern w:val="44"/>
      <w:sz w:val="44"/>
      <w:szCs w:val="44"/>
    </w:rPr>
  </w:style>
  <w:style w:type="paragraph" w:customStyle="1" w:styleId="69">
    <w:name w:val="Normal_0"/>
    <w:qFormat/>
    <w:uiPriority w:val="0"/>
    <w:pPr>
      <w:widowControl w:val="0"/>
      <w:ind w:firstLine="420" w:firstLineChars="200"/>
      <w:jc w:val="both"/>
    </w:pPr>
    <w:rPr>
      <w:rFonts w:ascii="Times New Roman" w:hAnsi="Times New Roman" w:eastAsia="Times New Roman" w:cs="Times New Roman"/>
      <w:lang w:val="en-US" w:eastAsia="zh-CN" w:bidi="ar-SA"/>
    </w:rPr>
  </w:style>
  <w:style w:type="character" w:customStyle="1" w:styleId="70">
    <w:name w:val="标题 1 Char_0"/>
    <w:link w:val="68"/>
    <w:qFormat/>
    <w:uiPriority w:val="9"/>
    <w:rPr>
      <w:rFonts w:ascii="Calibri" w:hAnsi="Calibri" w:eastAsia="宋体" w:cs="Times New Roman"/>
      <w:b/>
      <w:bCs/>
      <w:kern w:val="44"/>
      <w:sz w:val="44"/>
      <w:szCs w:val="44"/>
    </w:rPr>
  </w:style>
  <w:style w:type="paragraph" w:customStyle="1" w:styleId="71">
    <w:name w:val="Heading 2_0"/>
    <w:basedOn w:val="72"/>
    <w:next w:val="69"/>
    <w:link w:val="73"/>
    <w:qFormat/>
    <w:uiPriority w:val="9"/>
    <w:pPr>
      <w:keepNext/>
      <w:keepLines/>
      <w:spacing w:before="260" w:after="260" w:line="500" w:lineRule="exact"/>
      <w:contextualSpacing/>
      <w:outlineLvl w:val="1"/>
    </w:pPr>
    <w:rPr>
      <w:rFonts w:ascii="宋体" w:hAnsi="宋体" w:eastAsia="宋体"/>
      <w:b/>
      <w:sz w:val="32"/>
      <w:szCs w:val="28"/>
    </w:rPr>
  </w:style>
  <w:style w:type="paragraph" w:customStyle="1" w:styleId="72">
    <w:name w:val="Normal_0_0"/>
    <w:qFormat/>
    <w:uiPriority w:val="0"/>
    <w:pPr>
      <w:widowControl w:val="0"/>
      <w:ind w:firstLine="420" w:firstLineChars="200"/>
      <w:jc w:val="both"/>
    </w:pPr>
    <w:rPr>
      <w:rFonts w:ascii="Times New Roman" w:hAnsi="Times New Roman" w:eastAsia="Times New Roman" w:cs="Times New Roman"/>
      <w:lang w:val="en-US" w:eastAsia="zh-CN" w:bidi="ar-SA"/>
    </w:rPr>
  </w:style>
  <w:style w:type="character" w:customStyle="1" w:styleId="73">
    <w:name w:val="标题 2 Char_0"/>
    <w:link w:val="71"/>
    <w:qFormat/>
    <w:uiPriority w:val="9"/>
    <w:rPr>
      <w:rFonts w:ascii="宋体" w:hAnsi="宋体" w:eastAsia="宋体" w:cs="Times New Roman"/>
      <w:b/>
      <w:kern w:val="0"/>
      <w:sz w:val="32"/>
      <w:szCs w:val="28"/>
    </w:rPr>
  </w:style>
  <w:style w:type="paragraph" w:customStyle="1" w:styleId="74">
    <w:name w:val="正文文本缩进 21"/>
    <w:basedOn w:val="72"/>
    <w:link w:val="75"/>
    <w:qFormat/>
    <w:uiPriority w:val="0"/>
    <w:pPr>
      <w:spacing w:after="120" w:line="480" w:lineRule="auto"/>
      <w:ind w:left="420" w:leftChars="200" w:firstLine="0" w:firstLineChars="0"/>
      <w:jc w:val="left"/>
    </w:pPr>
    <w:rPr>
      <w:rFonts w:ascii="PMingLiU" w:hAnsi="PMingLiU" w:eastAsia="PMingLiU" w:cs="PMingLiU"/>
    </w:rPr>
  </w:style>
  <w:style w:type="character" w:customStyle="1" w:styleId="75">
    <w:name w:val="正文文本缩进 2 Char"/>
    <w:link w:val="74"/>
    <w:qFormat/>
    <w:uiPriority w:val="0"/>
    <w:rPr>
      <w:rFonts w:ascii="PMingLiU" w:hAnsi="PMingLiU" w:eastAsia="PMingLiU" w:cs="PMingLiU"/>
      <w:kern w:val="0"/>
      <w:sz w:val="20"/>
      <w:szCs w:val="20"/>
    </w:rPr>
  </w:style>
  <w:style w:type="paragraph" w:customStyle="1" w:styleId="7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Normal_1"/>
    <w:qFormat/>
    <w:uiPriority w:val="0"/>
    <w:pPr>
      <w:spacing w:line="384" w:lineRule="auto"/>
    </w:pPr>
    <w:rPr>
      <w:rFonts w:ascii="宋体" w:hAnsi="宋体" w:eastAsia="宋体" w:cs="Times New Roman"/>
      <w:sz w:val="24"/>
      <w:szCs w:val="24"/>
      <w:lang w:val="en-US" w:eastAsia="zh-CN" w:bidi="ar-SA"/>
    </w:rPr>
  </w:style>
  <w:style w:type="paragraph" w:customStyle="1" w:styleId="7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标题 3_0"/>
    <w:basedOn w:val="81"/>
    <w:next w:val="81"/>
    <w:link w:val="82"/>
    <w:unhideWhenUsed/>
    <w:qFormat/>
    <w:uiPriority w:val="9"/>
    <w:pPr>
      <w:keepNext/>
      <w:keepLines/>
      <w:spacing w:before="260" w:after="260" w:line="416" w:lineRule="auto"/>
      <w:outlineLvl w:val="2"/>
    </w:pPr>
    <w:rPr>
      <w:rFonts w:ascii="Calibri" w:hAnsi="Calibri"/>
      <w:b/>
      <w:bCs/>
      <w:sz w:val="32"/>
      <w:szCs w:val="32"/>
    </w:rPr>
  </w:style>
  <w:style w:type="paragraph" w:customStyle="1" w:styleId="81">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82">
    <w:name w:val="标题 3 Char_1"/>
    <w:link w:val="80"/>
    <w:qFormat/>
    <w:uiPriority w:val="9"/>
    <w:rPr>
      <w:b/>
      <w:bCs/>
      <w:kern w:val="2"/>
      <w:sz w:val="32"/>
      <w:szCs w:val="32"/>
    </w:rPr>
  </w:style>
  <w:style w:type="paragraph" w:customStyle="1" w:styleId="83">
    <w:name w:val="纯文本_0"/>
    <w:basedOn w:val="81"/>
    <w:link w:val="84"/>
    <w:qFormat/>
    <w:uiPriority w:val="0"/>
    <w:rPr>
      <w:rFonts w:ascii="宋体" w:hAnsi="Courier New"/>
      <w:szCs w:val="21"/>
    </w:rPr>
  </w:style>
  <w:style w:type="character" w:customStyle="1" w:styleId="84">
    <w:name w:val="纯文本 Char_0"/>
    <w:link w:val="83"/>
    <w:qFormat/>
    <w:uiPriority w:val="0"/>
    <w:rPr>
      <w:rFonts w:ascii="宋体" w:hAnsi="Courier New"/>
      <w:kern w:val="2"/>
      <w:sz w:val="21"/>
      <w:szCs w:val="21"/>
    </w:rPr>
  </w:style>
  <w:style w:type="paragraph" w:customStyle="1" w:styleId="8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正文_1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5BCC5-2144-42E1-8266-0A8C107E5A2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43</Pages>
  <Words>15026</Words>
  <Characters>3324</Characters>
  <Lines>27</Lines>
  <Paragraphs>36</Paragraphs>
  <TotalTime>6</TotalTime>
  <ScaleCrop>false</ScaleCrop>
  <LinksUpToDate>false</LinksUpToDate>
  <CharactersWithSpaces>18314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2020-06-05T06:58:00Z</dcterms:created>
  <dc:creator>微软用户</dc:creator>
  <cp:lastModifiedBy>Administrator</cp:lastModifiedBy>
  <cp:lastPrinted>2021-01-28T01:54:00Z</cp:lastPrinted>
  <dcterms:modified xsi:type="dcterms:W3CDTF">2021-01-28T08:19:50Z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