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sz w:val="32"/>
          <w:szCs w:val="32"/>
        </w:rPr>
      </w:pPr>
      <w:bookmarkStart w:id="259" w:name="_GoBack"/>
      <w:bookmarkEnd w:id="259"/>
      <w:bookmarkStart w:id="0" w:name="_Hlk16508657"/>
      <w:r>
        <w:rPr>
          <w:rFonts w:cs="Microsoft JhengHei"/>
          <w:sz w:val="44"/>
          <w:szCs w:val="44"/>
        </w:rPr>
        <w:drawing>
          <wp:anchor distT="0" distB="0" distL="114300" distR="114300" simplePos="0" relativeHeight="251829248" behindDoc="0" locked="0" layoutInCell="1" allowOverlap="1">
            <wp:simplePos x="0" y="0"/>
            <wp:positionH relativeFrom="page">
              <wp:posOffset>4654550</wp:posOffset>
            </wp:positionH>
            <wp:positionV relativeFrom="page">
              <wp:posOffset>1191895</wp:posOffset>
            </wp:positionV>
            <wp:extent cx="1720215" cy="800100"/>
            <wp:effectExtent l="0" t="0" r="0" b="0"/>
            <wp:wrapNone/>
            <wp:docPr id="22" name="图片 22"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说明: G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720215" cy="800100"/>
                    </a:xfrm>
                    <a:prstGeom prst="rect">
                      <a:avLst/>
                    </a:prstGeom>
                    <a:noFill/>
                    <a:ln>
                      <a:noFill/>
                    </a:ln>
                  </pic:spPr>
                </pic:pic>
              </a:graphicData>
            </a:graphic>
          </wp:anchor>
        </w:drawing>
      </w:r>
      <w:r>
        <w:rPr>
          <w:rFonts w:hint="eastAsia" w:eastAsia="黑体"/>
          <w:sz w:val="32"/>
          <w:szCs w:val="32"/>
        </w:rPr>
        <w:t xml:space="preserve">       </w:t>
      </w:r>
      <w:r>
        <w:rPr>
          <w:rFonts w:eastAsia="黑体"/>
          <w:spacing w:val="28"/>
          <w:sz w:val="48"/>
          <w:szCs w:val="48"/>
        </w:rPr>
        <w:t>广东省标准</w:t>
      </w:r>
      <w:r>
        <w:rPr>
          <w:rFonts w:eastAsia="黑体"/>
          <w:sz w:val="32"/>
          <w:szCs w:val="32"/>
        </w:rPr>
        <w:t xml:space="preserve">            </w:t>
      </w:r>
      <w:r>
        <w:rPr>
          <w:rFonts w:hint="eastAsia"/>
          <w:color w:val="000000"/>
          <w:sz w:val="52"/>
        </w:rPr>
        <w:t xml:space="preserve">   </w:t>
      </w:r>
    </w:p>
    <w:p>
      <w:r>
        <w:t xml:space="preserve">                          </w:t>
      </w:r>
      <w:bookmarkStart w:id="1" w:name="_Toc337542810"/>
      <w:r>
        <w:rPr>
          <w:rFonts w:hint="eastAsia"/>
        </w:rPr>
        <w:t xml:space="preserve">                      </w:t>
      </w:r>
    </w:p>
    <w:p>
      <w:pPr>
        <w:spacing w:line="400" w:lineRule="exact"/>
        <w:rPr>
          <w:spacing w:val="17"/>
          <w:sz w:val="30"/>
          <w:szCs w:val="30"/>
        </w:rPr>
      </w:pPr>
      <w:r>
        <w:rPr>
          <w:rFonts w:hint="eastAsia"/>
        </w:rPr>
        <w:t xml:space="preserve">                           </w:t>
      </w:r>
      <w:r>
        <w:t xml:space="preserve"> </w:t>
      </w:r>
      <w:r>
        <w:rPr>
          <w:rFonts w:hint="eastAsia"/>
        </w:rPr>
        <w:t xml:space="preserve">            </w:t>
      </w:r>
      <w:r>
        <w:rPr>
          <w:spacing w:val="23"/>
          <w:sz w:val="30"/>
          <w:szCs w:val="30"/>
        </w:rPr>
        <w:t>DBJ</w:t>
      </w:r>
      <w:r>
        <w:rPr>
          <w:rFonts w:hint="eastAsia"/>
          <w:spacing w:val="23"/>
          <w:sz w:val="30"/>
          <w:szCs w:val="30"/>
        </w:rPr>
        <w:t xml:space="preserve"> 15</w:t>
      </w:r>
      <w:r>
        <w:rPr>
          <w:spacing w:val="23"/>
          <w:sz w:val="30"/>
          <w:szCs w:val="30"/>
        </w:rPr>
        <w:t>-</w:t>
      </w:r>
      <w:r>
        <w:rPr>
          <w:rFonts w:hint="eastAsia"/>
          <w:spacing w:val="23"/>
          <w:sz w:val="30"/>
          <w:szCs w:val="30"/>
        </w:rPr>
        <w:t>XX</w:t>
      </w:r>
      <w:r>
        <w:rPr>
          <w:spacing w:val="23"/>
          <w:sz w:val="30"/>
          <w:szCs w:val="30"/>
        </w:rPr>
        <w:t>-</w:t>
      </w:r>
      <w:bookmarkEnd w:id="1"/>
      <w:r>
        <w:rPr>
          <w:spacing w:val="0"/>
          <w:sz w:val="30"/>
          <w:szCs w:val="30"/>
        </w:rPr>
        <w:t>20</w:t>
      </w:r>
      <w:r>
        <w:rPr>
          <w:sz w:val="30"/>
          <w:szCs w:val="30"/>
        </w:rPr>
        <w:t>20</w:t>
      </w:r>
    </w:p>
    <w:p>
      <w:pPr>
        <w:spacing w:line="400" w:lineRule="exact"/>
        <w:rPr>
          <w:szCs w:val="28"/>
        </w:rPr>
      </w:pPr>
      <w:r>
        <w:rPr>
          <w:szCs w:val="28"/>
        </w:rPr>
        <mc:AlternateContent>
          <mc:Choice Requires="wps">
            <w:drawing>
              <wp:anchor distT="0" distB="0" distL="114300" distR="114300" simplePos="0" relativeHeight="251827200" behindDoc="0" locked="0" layoutInCell="1" allowOverlap="1">
                <wp:simplePos x="0" y="0"/>
                <wp:positionH relativeFrom="column">
                  <wp:posOffset>26035</wp:posOffset>
                </wp:positionH>
                <wp:positionV relativeFrom="paragraph">
                  <wp:posOffset>359410</wp:posOffset>
                </wp:positionV>
                <wp:extent cx="5486400" cy="41910"/>
                <wp:effectExtent l="6985" t="6985" r="12065" b="8255"/>
                <wp:wrapNone/>
                <wp:docPr id="21" name="直接连接符 21"/>
                <wp:cNvGraphicFramePr/>
                <a:graphic xmlns:a="http://schemas.openxmlformats.org/drawingml/2006/main">
                  <a:graphicData uri="http://schemas.microsoft.com/office/word/2010/wordprocessingShape">
                    <wps:wsp>
                      <wps:cNvCnPr>
                        <a:cxnSpLocks noChangeShapeType="1"/>
                      </wps:cNvCnPr>
                      <wps:spPr bwMode="auto">
                        <a:xfrm flipV="1">
                          <a:off x="0" y="0"/>
                          <a:ext cx="5486400" cy="4191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flip:y;margin-left:2.05pt;margin-top:28.3pt;height:3.3pt;width:432pt;z-index:251827200;mso-width-relative:page;mso-height-relative:page;" filled="f" stroked="t" coordsize="21600,21600" o:gfxdata="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LbFpJ1AAAAAcBAAAPAAAAAAAA&#10;AAEAIAAAACIAAABkcnMvZG93bnJldi54bWxQSwECFAAUAAAACACHTuJAbKXf7t0BAAB3AwAADgAA&#10;AAAAAAABACAAAAAjAQAAZHJzL2Uyb0RvYy54bWxQSwUGAAAAAAYABgBZAQAAcgUAAAAA&#10;">
                <v:fill on="f" focussize="0,0"/>
                <v:stroke color="#000000" joinstyle="round"/>
                <v:imagedata o:title=""/>
                <o:lock v:ext="edit" aspectratio="f"/>
              </v:line>
            </w:pict>
          </mc:Fallback>
        </mc:AlternateContent>
      </w:r>
      <w:r>
        <w:rPr>
          <w:rFonts w:hint="eastAsia"/>
          <w:szCs w:val="28"/>
        </w:rPr>
        <w:t xml:space="preserve">                                        </w:t>
      </w:r>
      <w:r>
        <w:rPr>
          <w:rFonts w:hint="eastAsia" w:ascii="黑体" w:hAnsi="黑体" w:eastAsia="黑体"/>
          <w:szCs w:val="28"/>
        </w:rPr>
        <w:t>备案号 J XXXXX-2</w:t>
      </w:r>
      <w:r>
        <w:rPr>
          <w:rFonts w:ascii="黑体" w:hAnsi="黑体" w:eastAsia="黑体"/>
          <w:szCs w:val="28"/>
        </w:rPr>
        <w:t>020</w:t>
      </w:r>
    </w:p>
    <w:p>
      <w:pPr>
        <w:jc w:val="center"/>
        <w:rPr>
          <w:rFonts w:ascii="宋体" w:hAnsi="宋体"/>
          <w:b/>
          <w:sz w:val="48"/>
          <w:szCs w:val="48"/>
        </w:rPr>
      </w:pPr>
    </w:p>
    <w:p>
      <w:pPr>
        <w:jc w:val="center"/>
        <w:outlineLvl w:val="0"/>
        <w:rPr>
          <w:rFonts w:ascii="宋体" w:hAnsi="宋体"/>
          <w:b/>
          <w:sz w:val="48"/>
          <w:szCs w:val="48"/>
        </w:rPr>
      </w:pPr>
      <w:bookmarkStart w:id="2" w:name="_Toc375640674"/>
    </w:p>
    <w:bookmarkEnd w:id="2"/>
    <w:p>
      <w:pPr>
        <w:spacing w:line="700" w:lineRule="exact"/>
        <w:jc w:val="center"/>
        <w:rPr>
          <w:rFonts w:eastAsia="黑体"/>
          <w:spacing w:val="0"/>
          <w:kern w:val="0"/>
          <w:sz w:val="48"/>
          <w:szCs w:val="48"/>
        </w:rPr>
      </w:pPr>
      <w:r>
        <w:rPr>
          <w:rFonts w:ascii="宋体" w:hAnsi="宋体"/>
          <w:b/>
          <w:spacing w:val="0"/>
          <w:sz w:val="48"/>
          <w:szCs w:val="48"/>
        </w:rPr>
        <w:t>装配整体式叠合剪力墙结构技术规程</w:t>
      </w:r>
    </w:p>
    <w:p>
      <w:pPr>
        <w:jc w:val="center"/>
        <w:outlineLvl w:val="0"/>
        <w:rPr>
          <w:rFonts w:ascii="宋体" w:hAnsi="宋体"/>
          <w:b/>
          <w:sz w:val="48"/>
          <w:szCs w:val="48"/>
        </w:rPr>
      </w:pPr>
    </w:p>
    <w:p>
      <w:pPr>
        <w:jc w:val="center"/>
        <w:rPr>
          <w:b/>
          <w:szCs w:val="28"/>
        </w:rPr>
      </w:pPr>
      <w:r>
        <w:rPr>
          <w:b/>
          <w:szCs w:val="28"/>
        </w:rPr>
        <w:t xml:space="preserve">Technical specification for monolithic precast superposed </w:t>
      </w:r>
    </w:p>
    <w:p>
      <w:pPr>
        <w:jc w:val="center"/>
        <w:rPr>
          <w:b/>
          <w:szCs w:val="28"/>
        </w:rPr>
      </w:pPr>
      <w:r>
        <w:rPr>
          <w:b/>
          <w:szCs w:val="28"/>
        </w:rPr>
        <w:t>shear wall structure</w:t>
      </w:r>
    </w:p>
    <w:p>
      <w:pPr>
        <w:jc w:val="center"/>
        <w:rPr>
          <w:b/>
          <w:color w:val="000000"/>
          <w:sz w:val="30"/>
          <w:szCs w:val="30"/>
        </w:rPr>
      </w:pPr>
      <w:r>
        <w:rPr>
          <w:rFonts w:hint="eastAsia"/>
          <w:b/>
          <w:color w:val="000000"/>
          <w:sz w:val="30"/>
          <w:szCs w:val="30"/>
        </w:rPr>
        <w:t>（</w:t>
      </w:r>
      <w:r>
        <w:rPr>
          <w:rFonts w:hint="eastAsia"/>
          <w:b/>
          <w:sz w:val="32"/>
          <w:szCs w:val="32"/>
        </w:rPr>
        <w:t>征求意见</w:t>
      </w:r>
      <w:r>
        <w:rPr>
          <w:rFonts w:hint="eastAsia"/>
          <w:b/>
          <w:color w:val="000000"/>
          <w:sz w:val="30"/>
          <w:szCs w:val="30"/>
        </w:rPr>
        <w:t>稿）</w:t>
      </w: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rFonts w:eastAsia="黑体"/>
          <w:szCs w:val="28"/>
        </w:rPr>
      </w:pPr>
      <w:r>
        <w:rPr>
          <w:b/>
          <w:bCs/>
          <w:sz w:val="32"/>
        </w:rPr>
        <w:t xml:space="preserve">  </w:t>
      </w:r>
      <w:r>
        <w:rPr>
          <w:rFonts w:eastAsia="黑体"/>
          <w:szCs w:val="28"/>
        </w:rPr>
        <w:t>2020-</w:t>
      </w:r>
      <w:r>
        <w:rPr>
          <w:rFonts w:hint="eastAsia" w:eastAsia="黑体"/>
          <w:szCs w:val="28"/>
        </w:rPr>
        <w:t>XX</w:t>
      </w:r>
      <w:r>
        <w:rPr>
          <w:rFonts w:eastAsia="黑体"/>
          <w:szCs w:val="28"/>
        </w:rPr>
        <w:t>-</w:t>
      </w:r>
      <w:r>
        <w:rPr>
          <w:rFonts w:hint="eastAsia" w:eastAsia="黑体"/>
          <w:szCs w:val="28"/>
        </w:rPr>
        <w:t>XX</w:t>
      </w:r>
      <w:r>
        <w:rPr>
          <w:rFonts w:eastAsia="黑体"/>
          <w:szCs w:val="28"/>
        </w:rPr>
        <w:t xml:space="preserve">  发布                   2020-</w:t>
      </w:r>
      <w:r>
        <w:rPr>
          <w:rFonts w:hint="eastAsia" w:eastAsia="黑体"/>
          <w:szCs w:val="28"/>
        </w:rPr>
        <w:t>XX</w:t>
      </w:r>
      <w:r>
        <w:rPr>
          <w:rFonts w:eastAsia="黑体"/>
          <w:szCs w:val="28"/>
        </w:rPr>
        <w:t>-</w:t>
      </w:r>
      <w:r>
        <w:rPr>
          <w:rFonts w:hint="eastAsia" w:eastAsia="黑体"/>
          <w:szCs w:val="28"/>
        </w:rPr>
        <w:t xml:space="preserve">XX  </w:t>
      </w:r>
      <w:r>
        <w:rPr>
          <w:rFonts w:eastAsia="黑体"/>
          <w:szCs w:val="28"/>
        </w:rPr>
        <w:t>实施</w:t>
      </w:r>
    </w:p>
    <w:p>
      <w:pPr>
        <w:tabs>
          <w:tab w:val="left" w:pos="7669"/>
        </w:tabs>
        <w:rPr>
          <w:rFonts w:eastAsia="黑体"/>
          <w:b/>
          <w:szCs w:val="28"/>
        </w:rPr>
      </w:pPr>
      <w:r>
        <w:rPr>
          <w:rFonts w:eastAsia="黑体"/>
          <w:b/>
          <w:szCs w:val="28"/>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55880</wp:posOffset>
                </wp:positionV>
                <wp:extent cx="5600700" cy="26670"/>
                <wp:effectExtent l="9525" t="8255" r="9525" b="12700"/>
                <wp:wrapNone/>
                <wp:docPr id="15" name="直接连接符 15"/>
                <wp:cNvGraphicFramePr/>
                <a:graphic xmlns:a="http://schemas.openxmlformats.org/drawingml/2006/main">
                  <a:graphicData uri="http://schemas.microsoft.com/office/word/2010/wordprocessingShape">
                    <wps:wsp>
                      <wps:cNvCnPr>
                        <a:cxnSpLocks noChangeShapeType="1"/>
                      </wps:cNvCnPr>
                      <wps:spPr bwMode="auto">
                        <a:xfrm>
                          <a:off x="0" y="0"/>
                          <a:ext cx="5600700" cy="2667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0pt;margin-top:4.4pt;height:2.1pt;width:441pt;z-index:251828224;mso-width-relative:page;mso-height-relative:page;" filled="f" stroked="t" coordsize="21600,21600" o:gfxdata="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TSiq+0gAAAAUBAAAPAAAAAAAAAAEAIAAAACIA&#10;AABkcnMvZG93bnJldi54bWxQSwECFAAUAAAACACHTuJASSJnAdYBAABtAwAADgAAAAAAAAABACAA&#10;AAAhAQAAZHJzL2Uyb0RvYy54bWxQSwUGAAAAAAYABgBZAQAAaQUAAAAA&#10;">
                <v:fill on="f" focussize="0,0"/>
                <v:stroke color="#000000" joinstyle="round"/>
                <v:imagedata o:title=""/>
                <o:lock v:ext="edit" aspectratio="f"/>
              </v:line>
            </w:pict>
          </mc:Fallback>
        </mc:AlternateContent>
      </w:r>
      <w:r>
        <w:rPr>
          <w:rFonts w:eastAsia="黑体"/>
          <w:b/>
          <w:szCs w:val="28"/>
        </w:rPr>
        <w:tab/>
      </w:r>
    </w:p>
    <w:tbl>
      <w:tblPr>
        <w:tblStyle w:val="30"/>
        <w:tblpPr w:leftFromText="180" w:rightFromText="180" w:vertAnchor="text" w:horzAnchor="margin" w:tblpXSpec="right" w:tblpY="58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255" w:type="dxa"/>
            <w:vAlign w:val="center"/>
          </w:tcPr>
          <w:p>
            <w:pPr>
              <w:jc w:val="center"/>
            </w:pPr>
            <w:r>
              <w:rPr>
                <w:rFonts w:hint="eastAsia"/>
              </w:rPr>
              <w:t>本标准涉及专利</w:t>
            </w:r>
          </w:p>
        </w:tc>
      </w:tr>
    </w:tbl>
    <w:p>
      <w:pPr>
        <w:jc w:val="center"/>
        <w:rPr>
          <w:rFonts w:eastAsia="黑体"/>
          <w:spacing w:val="20"/>
          <w:sz w:val="32"/>
          <w:szCs w:val="32"/>
        </w:rPr>
      </w:pPr>
      <w:r>
        <w:rPr>
          <w:rFonts w:eastAsia="黑体"/>
          <w:sz w:val="32"/>
          <w:szCs w:val="32"/>
        </w:rPr>
        <w:t>广东省住房和城乡建设厅</w:t>
      </w:r>
      <w:r>
        <w:rPr>
          <w:rFonts w:eastAsia="黑体"/>
          <w:spacing w:val="20"/>
          <w:szCs w:val="28"/>
        </w:rPr>
        <w:t xml:space="preserve">  </w:t>
      </w:r>
      <w:r>
        <w:rPr>
          <w:rFonts w:eastAsia="黑体"/>
          <w:spacing w:val="20"/>
          <w:sz w:val="32"/>
          <w:szCs w:val="32"/>
        </w:rPr>
        <w:t>发布</w:t>
      </w:r>
    </w:p>
    <w:p>
      <w:pPr>
        <w:widowControl/>
        <w:spacing w:line="240" w:lineRule="auto"/>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spacing w:line="700" w:lineRule="exact"/>
        <w:jc w:val="center"/>
        <w:rPr>
          <w:kern w:val="0"/>
          <w:sz w:val="32"/>
          <w:szCs w:val="32"/>
        </w:rPr>
      </w:pPr>
      <w:r>
        <w:rPr>
          <w:kern w:val="0"/>
          <w:sz w:val="32"/>
          <w:szCs w:val="32"/>
        </w:rPr>
        <w:t>广东省标准</w:t>
      </w:r>
    </w:p>
    <w:p>
      <w:pPr>
        <w:spacing w:line="560" w:lineRule="exact"/>
        <w:jc w:val="center"/>
        <w:rPr>
          <w:bCs/>
          <w:kern w:val="0"/>
          <w:sz w:val="32"/>
          <w:szCs w:val="32"/>
        </w:rPr>
      </w:pPr>
      <w:r>
        <w:rPr>
          <w:rFonts w:eastAsia="黑体"/>
          <w:bCs/>
          <w:sz w:val="52"/>
          <w:szCs w:val="52"/>
        </w:rPr>
        <w:t>装配整体式叠合剪力墙结构技术规程</w:t>
      </w:r>
      <w:r>
        <w:rPr>
          <w:bCs/>
          <w:kern w:val="0"/>
          <w:sz w:val="32"/>
          <w:szCs w:val="32"/>
        </w:rPr>
        <w:t>Technical specification for monolithic precast superposed shear wall structure</w:t>
      </w:r>
    </w:p>
    <w:p>
      <w:pPr>
        <w:spacing w:before="312" w:beforeLines="100" w:after="312" w:afterLines="100"/>
        <w:jc w:val="center"/>
        <w:rPr>
          <w:kern w:val="0"/>
          <w:sz w:val="32"/>
          <w:szCs w:val="32"/>
        </w:rPr>
      </w:pPr>
    </w:p>
    <w:p>
      <w:pPr>
        <w:spacing w:line="400" w:lineRule="exact"/>
        <w:jc w:val="center"/>
        <w:rPr>
          <w:kern w:val="0"/>
          <w:sz w:val="32"/>
          <w:szCs w:val="32"/>
        </w:rPr>
      </w:pPr>
    </w:p>
    <w:p>
      <w:pPr>
        <w:spacing w:line="400" w:lineRule="exact"/>
        <w:ind w:firstLine="562"/>
        <w:jc w:val="center"/>
        <w:rPr>
          <w:b/>
          <w:bCs/>
          <w:sz w:val="36"/>
          <w:szCs w:val="36"/>
        </w:rPr>
      </w:pPr>
      <w:r>
        <w:rPr>
          <w:b/>
          <w:bCs/>
          <w:sz w:val="32"/>
          <w:szCs w:val="32"/>
        </w:rPr>
        <w:t>DBJXX/T</w:t>
      </w:r>
      <w:r>
        <w:rPr>
          <w:b/>
          <w:bCs/>
          <w:sz w:val="36"/>
          <w:szCs w:val="36"/>
        </w:rPr>
        <w:t>-xxx-xxxx</w:t>
      </w:r>
    </w:p>
    <w:p>
      <w:pPr>
        <w:spacing w:before="312" w:beforeLines="100" w:after="312" w:afterLines="100"/>
        <w:jc w:val="left"/>
        <w:rPr>
          <w:kern w:val="0"/>
          <w:sz w:val="32"/>
          <w:szCs w:val="32"/>
        </w:rPr>
      </w:pPr>
    </w:p>
    <w:p>
      <w:pPr>
        <w:jc w:val="center"/>
        <w:rPr>
          <w:kern w:val="0"/>
          <w:szCs w:val="28"/>
        </w:rPr>
      </w:pPr>
    </w:p>
    <w:p>
      <w:pPr>
        <w:jc w:val="center"/>
        <w:rPr>
          <w:kern w:val="0"/>
          <w:szCs w:val="28"/>
        </w:rPr>
      </w:pPr>
    </w:p>
    <w:p>
      <w:pPr>
        <w:jc w:val="center"/>
        <w:rPr>
          <w:kern w:val="0"/>
          <w:szCs w:val="28"/>
        </w:rPr>
      </w:pPr>
    </w:p>
    <w:p>
      <w:pPr>
        <w:jc w:val="center"/>
        <w:rPr>
          <w:kern w:val="0"/>
          <w:szCs w:val="28"/>
        </w:rPr>
      </w:pPr>
    </w:p>
    <w:p>
      <w:pPr>
        <w:jc w:val="center"/>
        <w:rPr>
          <w:kern w:val="0"/>
          <w:szCs w:val="28"/>
        </w:rPr>
      </w:pPr>
    </w:p>
    <w:p>
      <w:pPr>
        <w:jc w:val="center"/>
        <w:rPr>
          <w:kern w:val="0"/>
          <w:szCs w:val="28"/>
        </w:rPr>
      </w:pPr>
    </w:p>
    <w:p>
      <w:pPr>
        <w:rPr>
          <w:kern w:val="0"/>
          <w:szCs w:val="28"/>
        </w:rPr>
      </w:pPr>
    </w:p>
    <w:p>
      <w:pPr>
        <w:adjustRightInd w:val="0"/>
        <w:snapToGrid w:val="0"/>
        <w:ind w:firstLine="420"/>
        <w:jc w:val="left"/>
        <w:rPr>
          <w:b/>
          <w:kern w:val="0"/>
          <w:sz w:val="32"/>
          <w:szCs w:val="32"/>
        </w:rPr>
      </w:pPr>
      <w:r>
        <w:rPr>
          <w:b/>
          <w:kern w:val="0"/>
          <w:sz w:val="32"/>
          <w:szCs w:val="32"/>
        </w:rPr>
        <w:t xml:space="preserve">住房和城乡建设部备案号：JXXXXX-2020X </w:t>
      </w:r>
    </w:p>
    <w:p>
      <w:pPr>
        <w:adjustRightInd w:val="0"/>
        <w:snapToGrid w:val="0"/>
        <w:ind w:firstLine="420"/>
        <w:jc w:val="left"/>
        <w:rPr>
          <w:b/>
          <w:kern w:val="0"/>
          <w:sz w:val="32"/>
          <w:szCs w:val="32"/>
        </w:rPr>
      </w:pPr>
      <w:r>
        <w:rPr>
          <w:b/>
          <w:kern w:val="0"/>
          <w:sz w:val="32"/>
          <w:szCs w:val="32"/>
        </w:rPr>
        <w:t>批准部门：广东省住房和城乡建设厅</w:t>
      </w:r>
    </w:p>
    <w:p>
      <w:pPr>
        <w:adjustRightInd w:val="0"/>
        <w:snapToGrid w:val="0"/>
        <w:ind w:firstLine="420"/>
        <w:jc w:val="left"/>
        <w:rPr>
          <w:sz w:val="32"/>
          <w:szCs w:val="32"/>
        </w:rPr>
        <w:sectPr>
          <w:headerReference r:id="rId5" w:type="first"/>
          <w:footerReference r:id="rId7" w:type="first"/>
          <w:headerReference r:id="rId3" w:type="default"/>
          <w:headerReference r:id="rId4" w:type="even"/>
          <w:footerReference r:id="rId6" w:type="even"/>
          <w:type w:val="continuous"/>
          <w:pgSz w:w="11906" w:h="16838"/>
          <w:pgMar w:top="1440" w:right="1416" w:bottom="1440" w:left="1418" w:header="851" w:footer="992" w:gutter="0"/>
          <w:pgNumType w:start="1"/>
          <w:cols w:space="425" w:num="1"/>
          <w:docGrid w:type="lines" w:linePitch="312" w:charSpace="0"/>
        </w:sectPr>
      </w:pPr>
      <w:r>
        <w:rPr>
          <w:b/>
          <w:kern w:val="0"/>
          <w:sz w:val="32"/>
          <w:szCs w:val="32"/>
        </w:rPr>
        <w:t>施行日期：2020年xx月xx</w:t>
      </w:r>
    </w:p>
    <w:p>
      <w:pPr>
        <w:pStyle w:val="14"/>
        <w:rPr>
          <w:rFonts w:ascii="Times New Roman" w:hAnsi="Times New Roman" w:cs="Times New Roman"/>
        </w:rPr>
      </w:pPr>
      <w:bookmarkStart w:id="3" w:name="_Toc532542978"/>
      <w:bookmarkStart w:id="4" w:name="_Toc532543333"/>
      <w:bookmarkStart w:id="5" w:name="_Toc534630553"/>
    </w:p>
    <w:p>
      <w:pPr>
        <w:widowControl/>
        <w:spacing w:line="240" w:lineRule="auto"/>
        <w:jc w:val="left"/>
        <w:rPr>
          <w:rFonts w:eastAsia="黑体"/>
          <w:b/>
          <w:bCs/>
          <w:spacing w:val="0"/>
          <w:kern w:val="0"/>
          <w:sz w:val="36"/>
          <w:szCs w:val="36"/>
        </w:rPr>
      </w:pPr>
      <w:r>
        <w:rPr>
          <w:rFonts w:eastAsia="黑体"/>
          <w:b/>
          <w:bCs/>
          <w:sz w:val="36"/>
          <w:szCs w:val="36"/>
        </w:rPr>
        <w:br w:type="page"/>
      </w:r>
    </w:p>
    <w:p>
      <w:pPr>
        <w:pStyle w:val="14"/>
        <w:jc w:val="center"/>
        <w:rPr>
          <w:rFonts w:ascii="Times New Roman" w:hAnsi="Times New Roman" w:eastAsia="黑体" w:cs="Times New Roman"/>
          <w:b/>
          <w:bCs/>
          <w:sz w:val="36"/>
          <w:szCs w:val="36"/>
          <w:lang w:eastAsia="zh-CN"/>
        </w:rPr>
      </w:pPr>
      <w:r>
        <w:rPr>
          <w:rFonts w:ascii="Times New Roman" w:hAnsi="Times New Roman" w:eastAsia="黑体" w:cs="Times New Roman"/>
          <w:b/>
          <w:bCs/>
          <w:sz w:val="36"/>
          <w:szCs w:val="36"/>
          <w:lang w:eastAsia="zh-CN"/>
        </w:rPr>
        <w:t>广东省住房和城乡建设厅关于发布广东省标准</w:t>
      </w:r>
    </w:p>
    <w:p>
      <w:pPr>
        <w:spacing w:before="42" w:line="266" w:lineRule="auto"/>
        <w:ind w:right="1005"/>
        <w:jc w:val="right"/>
        <w:rPr>
          <w:rFonts w:eastAsia="黑体"/>
          <w:b/>
          <w:bCs/>
          <w:sz w:val="36"/>
          <w:szCs w:val="28"/>
        </w:rPr>
      </w:pPr>
      <w:r>
        <w:rPr>
          <w:rFonts w:eastAsia="黑体"/>
          <w:b/>
          <w:bCs/>
          <w:sz w:val="36"/>
          <w:szCs w:val="28"/>
        </w:rPr>
        <w:t>《装配整体式叠合剪力墙结构技术规程》</w:t>
      </w:r>
    </w:p>
    <w:p>
      <w:pPr>
        <w:spacing w:before="42" w:line="266" w:lineRule="auto"/>
        <w:ind w:right="1005"/>
        <w:jc w:val="center"/>
        <w:rPr>
          <w:rFonts w:eastAsia="黑体"/>
          <w:b/>
          <w:bCs/>
          <w:sz w:val="36"/>
          <w:szCs w:val="28"/>
        </w:rPr>
      </w:pPr>
      <w:r>
        <w:rPr>
          <w:rFonts w:eastAsia="黑体"/>
          <w:b/>
          <w:bCs/>
          <w:sz w:val="36"/>
          <w:szCs w:val="28"/>
        </w:rPr>
        <w:t xml:space="preserve">    的公告</w:t>
      </w:r>
    </w:p>
    <w:p>
      <w:pPr>
        <w:pStyle w:val="14"/>
        <w:spacing w:before="140"/>
        <w:ind w:left="2112" w:firstLine="562" w:firstLineChars="200"/>
        <w:rPr>
          <w:rFonts w:ascii="Times New Roman" w:hAnsi="Times New Roman" w:eastAsia="黑体" w:cs="Times New Roman"/>
          <w:b/>
          <w:bCs/>
          <w:sz w:val="28"/>
          <w:szCs w:val="28"/>
          <w:lang w:eastAsia="zh-CN"/>
        </w:rPr>
      </w:pPr>
      <w:r>
        <w:rPr>
          <w:rFonts w:ascii="Times New Roman" w:hAnsi="Times New Roman" w:eastAsia="黑体" w:cs="Times New Roman"/>
          <w:b/>
          <w:bCs/>
          <w:sz w:val="28"/>
          <w:szCs w:val="28"/>
          <w:lang w:eastAsia="zh-CN"/>
        </w:rPr>
        <w:t>粤建公告〔2020〕xx 号</w:t>
      </w:r>
    </w:p>
    <w:p>
      <w:pPr>
        <w:pStyle w:val="14"/>
        <w:rPr>
          <w:rFonts w:ascii="Times New Roman" w:hAnsi="Times New Roman" w:eastAsia="黑体" w:cs="Times New Roman"/>
          <w:szCs w:val="24"/>
          <w:lang w:eastAsia="zh-CN"/>
        </w:rPr>
      </w:pPr>
    </w:p>
    <w:p>
      <w:pPr>
        <w:pStyle w:val="14"/>
        <w:spacing w:line="333" w:lineRule="auto"/>
        <w:ind w:left="228" w:right="316" w:firstLine="420"/>
        <w:rPr>
          <w:rFonts w:ascii="Times New Roman" w:hAnsi="Times New Roman" w:eastAsia="黑体" w:cs="Times New Roman"/>
          <w:sz w:val="24"/>
          <w:szCs w:val="24"/>
          <w:lang w:eastAsia="zh-CN"/>
        </w:rPr>
      </w:pPr>
      <w:r>
        <w:rPr>
          <w:rFonts w:ascii="Times New Roman" w:hAnsi="Times New Roman" w:eastAsia="黑体" w:cs="Times New Roman"/>
          <w:sz w:val="24"/>
          <w:szCs w:val="24"/>
          <w:lang w:eastAsia="zh-CN"/>
        </w:rPr>
        <w:t>经组织专家委员会审查，现批准《装配整体式叠合剪力墙结构技术规程</w:t>
      </w:r>
      <w:r>
        <w:rPr>
          <w:rFonts w:ascii="Times New Roman" w:hAnsi="Times New Roman" w:eastAsia="黑体" w:cs="Times New Roman"/>
          <w:spacing w:val="-15"/>
          <w:sz w:val="24"/>
          <w:szCs w:val="24"/>
          <w:lang w:eastAsia="zh-CN"/>
        </w:rPr>
        <w:t xml:space="preserve">》为广东省地方标准，编号为 </w:t>
      </w:r>
      <w:r>
        <w:rPr>
          <w:rFonts w:ascii="Times New Roman" w:hAnsi="Times New Roman" w:eastAsia="黑体" w:cs="Times New Roman"/>
          <w:sz w:val="24"/>
          <w:szCs w:val="24"/>
          <w:lang w:eastAsia="zh-CN"/>
        </w:rPr>
        <w:t>DBJ/T xx-xx-202x。</w:t>
      </w:r>
      <w:r>
        <w:rPr>
          <w:rFonts w:ascii="Times New Roman" w:hAnsi="Times New Roman" w:eastAsia="黑体" w:cs="Times New Roman"/>
          <w:spacing w:val="-11"/>
          <w:sz w:val="24"/>
          <w:szCs w:val="24"/>
          <w:lang w:eastAsia="zh-CN"/>
        </w:rPr>
        <w:t xml:space="preserve">本规程自 </w:t>
      </w:r>
      <w:r>
        <w:rPr>
          <w:rFonts w:ascii="Times New Roman" w:hAnsi="Times New Roman" w:eastAsia="黑体" w:cs="Times New Roman"/>
          <w:sz w:val="24"/>
          <w:szCs w:val="24"/>
          <w:lang w:eastAsia="zh-CN"/>
        </w:rPr>
        <w:t xml:space="preserve">202x </w:t>
      </w:r>
      <w:r>
        <w:rPr>
          <w:rFonts w:ascii="Times New Roman" w:hAnsi="Times New Roman" w:eastAsia="黑体" w:cs="Times New Roman"/>
          <w:spacing w:val="-27"/>
          <w:sz w:val="24"/>
          <w:szCs w:val="24"/>
          <w:lang w:eastAsia="zh-CN"/>
        </w:rPr>
        <w:t xml:space="preserve">年 </w:t>
      </w:r>
      <w:r>
        <w:rPr>
          <w:rFonts w:ascii="Times New Roman" w:hAnsi="Times New Roman" w:eastAsia="黑体" w:cs="Times New Roman"/>
          <w:sz w:val="24"/>
          <w:szCs w:val="24"/>
          <w:lang w:eastAsia="zh-CN"/>
        </w:rPr>
        <w:t>xx</w:t>
      </w:r>
      <w:r>
        <w:rPr>
          <w:rFonts w:ascii="Times New Roman" w:hAnsi="Times New Roman" w:eastAsia="黑体" w:cs="Times New Roman"/>
          <w:spacing w:val="-27"/>
          <w:sz w:val="24"/>
          <w:szCs w:val="24"/>
          <w:lang w:eastAsia="zh-CN"/>
        </w:rPr>
        <w:t xml:space="preserve">月 </w:t>
      </w:r>
      <w:r>
        <w:rPr>
          <w:rFonts w:ascii="Times New Roman" w:hAnsi="Times New Roman" w:eastAsia="黑体" w:cs="Times New Roman"/>
          <w:sz w:val="24"/>
          <w:szCs w:val="24"/>
          <w:lang w:eastAsia="zh-CN"/>
        </w:rPr>
        <w:t>xx日起实施。</w:t>
      </w:r>
    </w:p>
    <w:p>
      <w:pPr>
        <w:pStyle w:val="14"/>
        <w:spacing w:before="1" w:line="333" w:lineRule="auto"/>
        <w:ind w:left="228" w:right="428" w:firstLine="420"/>
        <w:jc w:val="both"/>
        <w:rPr>
          <w:rFonts w:ascii="Times New Roman" w:hAnsi="Times New Roman" w:eastAsia="黑体" w:cs="Times New Roman"/>
          <w:sz w:val="24"/>
          <w:szCs w:val="24"/>
          <w:lang w:eastAsia="zh-CN"/>
        </w:rPr>
      </w:pPr>
      <w:r>
        <w:rPr>
          <w:rFonts w:ascii="Times New Roman" w:hAnsi="Times New Roman" w:eastAsia="黑体" w:cs="Times New Roman"/>
          <w:sz w:val="24"/>
          <w:szCs w:val="24"/>
          <w:lang w:eastAsia="zh-CN"/>
        </w:rPr>
        <w:t>本规程由广东省住房和城乡建设厅负责管理，由主编单位深圳市华阳国际工程设计股份有限公司负责具体技术内容的解释，并在广东省住房和城乡建设厅门户网站（http://zfc xjst.gd.gov.cn）公开。</w:t>
      </w:r>
    </w:p>
    <w:p>
      <w:pPr>
        <w:pStyle w:val="14"/>
        <w:rPr>
          <w:rFonts w:ascii="Times New Roman" w:hAnsi="Times New Roman" w:eastAsia="黑体" w:cs="Times New Roman"/>
          <w:sz w:val="28"/>
          <w:szCs w:val="24"/>
          <w:lang w:eastAsia="zh-CN"/>
        </w:rPr>
      </w:pPr>
    </w:p>
    <w:p>
      <w:pPr>
        <w:pStyle w:val="14"/>
        <w:rPr>
          <w:rFonts w:ascii="Times New Roman" w:hAnsi="Times New Roman" w:eastAsia="黑体" w:cs="Times New Roman"/>
          <w:sz w:val="28"/>
          <w:szCs w:val="24"/>
          <w:lang w:eastAsia="zh-CN"/>
        </w:rPr>
      </w:pPr>
    </w:p>
    <w:p>
      <w:pPr>
        <w:pStyle w:val="14"/>
        <w:spacing w:before="187"/>
        <w:ind w:left="3799" w:firstLine="240" w:firstLineChars="100"/>
        <w:rPr>
          <w:rFonts w:ascii="Times New Roman" w:hAnsi="Times New Roman" w:eastAsia="黑体" w:cs="Times New Roman"/>
          <w:sz w:val="24"/>
          <w:szCs w:val="24"/>
          <w:lang w:eastAsia="zh-CN"/>
        </w:rPr>
      </w:pPr>
      <w:r>
        <w:rPr>
          <w:rFonts w:ascii="Times New Roman" w:hAnsi="Times New Roman" w:eastAsia="黑体" w:cs="Times New Roman"/>
          <w:sz w:val="24"/>
          <w:szCs w:val="24"/>
          <w:lang w:eastAsia="zh-CN"/>
        </w:rPr>
        <w:t>广东省住房和城乡建设厅</w:t>
      </w:r>
    </w:p>
    <w:p>
      <w:pPr>
        <w:pStyle w:val="14"/>
        <w:spacing w:before="103"/>
        <w:ind w:firstLine="4320" w:firstLineChars="1800"/>
        <w:rPr>
          <w:rFonts w:ascii="Times New Roman" w:hAnsi="Times New Roman" w:eastAsia="黑体" w:cs="Times New Roman"/>
          <w:sz w:val="24"/>
          <w:szCs w:val="24"/>
          <w:lang w:eastAsia="zh-CN"/>
        </w:rPr>
      </w:pPr>
      <w:r>
        <w:rPr>
          <w:rFonts w:ascii="Times New Roman" w:hAnsi="Times New Roman" w:eastAsia="黑体" w:cs="Times New Roman"/>
          <w:sz w:val="24"/>
          <w:szCs w:val="24"/>
          <w:lang w:eastAsia="zh-CN"/>
        </w:rPr>
        <w:t>2020 年 XX 月 XX 日</w:t>
      </w:r>
    </w:p>
    <w:p>
      <w:pPr>
        <w:pStyle w:val="2"/>
        <w:keepNext w:val="0"/>
        <w:keepLines w:val="0"/>
        <w:numPr>
          <w:ilvl w:val="0"/>
          <w:numId w:val="0"/>
        </w:numPr>
        <w:spacing w:beforeLines="0" w:afterLines="0" w:line="360" w:lineRule="auto"/>
        <w:rPr>
          <w:sz w:val="36"/>
          <w:szCs w:val="36"/>
        </w:rPr>
      </w:pPr>
    </w:p>
    <w:p/>
    <w:p/>
    <w:p/>
    <w:p/>
    <w:p/>
    <w:p/>
    <w:p/>
    <w:p>
      <w:pPr>
        <w:pStyle w:val="2"/>
        <w:keepNext w:val="0"/>
        <w:keepLines w:val="0"/>
        <w:numPr>
          <w:ilvl w:val="0"/>
          <w:numId w:val="0"/>
        </w:numPr>
        <w:spacing w:beforeLines="0" w:afterLines="0" w:line="360" w:lineRule="auto"/>
        <w:jc w:val="both"/>
        <w:rPr>
          <w:sz w:val="36"/>
          <w:szCs w:val="36"/>
        </w:rPr>
      </w:pPr>
      <w:bookmarkStart w:id="6" w:name="_Toc38289881"/>
      <w:bookmarkStart w:id="7" w:name="_Toc38289826"/>
      <w:bookmarkStart w:id="8" w:name="_Toc38652800"/>
      <w:bookmarkStart w:id="9" w:name="_Toc41210643"/>
      <w:bookmarkStart w:id="10" w:name="_Toc38367594"/>
      <w:bookmarkStart w:id="11" w:name="_Toc38635313"/>
      <w:bookmarkStart w:id="12" w:name="_Toc41210692"/>
    </w:p>
    <w:p>
      <w:pPr>
        <w:pageBreakBefore/>
        <w:spacing w:after="312" w:afterLines="100"/>
        <w:jc w:val="center"/>
        <w:rPr>
          <w:rFonts w:eastAsia="黑体"/>
          <w:b/>
          <w:sz w:val="36"/>
          <w:szCs w:val="36"/>
        </w:rPr>
      </w:pPr>
      <w:r>
        <w:rPr>
          <w:rFonts w:eastAsia="黑体"/>
          <w:b/>
          <w:sz w:val="36"/>
          <w:szCs w:val="36"/>
        </w:rPr>
        <w:t>前 言</w:t>
      </w:r>
      <w:bookmarkEnd w:id="3"/>
      <w:bookmarkEnd w:id="4"/>
      <w:bookmarkEnd w:id="5"/>
      <w:bookmarkEnd w:id="6"/>
      <w:bookmarkEnd w:id="7"/>
      <w:bookmarkEnd w:id="8"/>
      <w:bookmarkEnd w:id="9"/>
      <w:bookmarkEnd w:id="10"/>
      <w:bookmarkEnd w:id="11"/>
      <w:bookmarkEnd w:id="12"/>
    </w:p>
    <w:p>
      <w:pPr>
        <w:spacing w:line="440" w:lineRule="exact"/>
        <w:ind w:firstLine="576" w:firstLineChars="200"/>
        <w:rPr>
          <w:szCs w:val="24"/>
        </w:rPr>
      </w:pPr>
      <w:r>
        <w:rPr>
          <w:szCs w:val="24"/>
        </w:rPr>
        <w:t>根据《广东省住房和城乡建设厅关于下达广东省标准〈装配整体式叠合剪力墙结构技术规程〉编制任务的通知》（粤建科函〔2019〕1118号）的要求，由深圳市华阳国际工程设计股份有限公司、美好建筑装配科技有限公司会同有关单位，参考国内有关叠合剪力墙国家和地方标准和国外相关经验，与国家、行业相关标准进行了协调，吸收国内公开发表的理论研究和实验成果，调查研究施工项目并认真总结实践经验，对关键问题进行专题分析研究，并在广泛征求行业专家意见的基础上，形成本规程。</w:t>
      </w:r>
    </w:p>
    <w:p>
      <w:pPr>
        <w:pStyle w:val="14"/>
        <w:spacing w:before="2" w:line="440" w:lineRule="exact"/>
        <w:ind w:firstLine="560" w:firstLineChars="200"/>
        <w:jc w:val="both"/>
        <w:rPr>
          <w:rFonts w:ascii="Times New Roman" w:hAnsi="Times New Roman" w:cs="Times New Roman"/>
          <w:sz w:val="28"/>
          <w:szCs w:val="28"/>
          <w:lang w:eastAsia="zh-CN"/>
        </w:rPr>
      </w:pPr>
      <w:r>
        <w:rPr>
          <w:rFonts w:ascii="Times New Roman" w:hAnsi="Times New Roman" w:cs="Times New Roman"/>
          <w:sz w:val="28"/>
          <w:szCs w:val="28"/>
          <w:lang w:eastAsia="zh-CN"/>
        </w:rPr>
        <w:t>本规程的主要技术内容：1.总则；2.术语和符号；3.基本规定；4.材料；5.结构</w:t>
      </w:r>
      <w:r>
        <w:rPr>
          <w:rFonts w:hint="eastAsia" w:ascii="Times New Roman" w:hAnsi="Times New Roman" w:cs="Times New Roman"/>
          <w:sz w:val="28"/>
          <w:szCs w:val="28"/>
          <w:lang w:eastAsia="zh-CN"/>
        </w:rPr>
        <w:t>设计</w:t>
      </w:r>
      <w:r>
        <w:rPr>
          <w:rFonts w:ascii="Times New Roman" w:hAnsi="Times New Roman" w:cs="Times New Roman"/>
          <w:sz w:val="28"/>
          <w:szCs w:val="28"/>
          <w:lang w:eastAsia="zh-CN"/>
        </w:rPr>
        <w:t>；6.叠合剪力墙设计；7.楼盖设计；8.多层叠合墙设计；9.构件制作</w:t>
      </w:r>
      <w:r>
        <w:rPr>
          <w:rFonts w:hint="eastAsia" w:ascii="Times New Roman" w:hAnsi="Times New Roman" w:cs="Times New Roman"/>
          <w:sz w:val="28"/>
          <w:szCs w:val="28"/>
          <w:lang w:eastAsia="zh-CN"/>
        </w:rPr>
        <w:t>与运输</w:t>
      </w:r>
      <w:r>
        <w:rPr>
          <w:rFonts w:ascii="Times New Roman" w:hAnsi="Times New Roman" w:cs="Times New Roman"/>
          <w:sz w:val="28"/>
          <w:szCs w:val="28"/>
          <w:lang w:eastAsia="zh-CN"/>
        </w:rPr>
        <w:t>；10.施工安装，11.质量验收。</w:t>
      </w:r>
    </w:p>
    <w:p>
      <w:pPr>
        <w:pStyle w:val="14"/>
        <w:spacing w:before="2" w:line="440" w:lineRule="exact"/>
        <w:ind w:firstLine="560" w:firstLineChars="200"/>
        <w:jc w:val="both"/>
        <w:rPr>
          <w:rFonts w:hint="eastAsia" w:ascii="Times New Roman" w:hAnsi="Times New Roman" w:cs="Times New Roman"/>
          <w:sz w:val="28"/>
          <w:szCs w:val="28"/>
          <w:lang w:eastAsia="zh-CN"/>
        </w:rPr>
      </w:pPr>
      <w:r>
        <w:rPr>
          <w:rFonts w:hint="eastAsia" w:ascii="Times New Roman" w:hAnsi="Times New Roman" w:cs="Times New Roman"/>
          <w:sz w:val="28"/>
          <w:szCs w:val="28"/>
          <w:lang w:eastAsia="zh-CN"/>
        </w:rPr>
        <w:t>本规程涉及专利，具体条文如下：2</w:t>
      </w:r>
      <w:r>
        <w:rPr>
          <w:rFonts w:ascii="Times New Roman" w:hAnsi="Times New Roman" w:cs="Times New Roman"/>
          <w:sz w:val="28"/>
          <w:szCs w:val="28"/>
          <w:lang w:eastAsia="zh-CN"/>
        </w:rPr>
        <w:t>.1.5</w:t>
      </w:r>
      <w:r>
        <w:rPr>
          <w:rFonts w:hint="eastAsia" w:ascii="Times New Roman" w:hAnsi="Times New Roman" w:cs="Times New Roman"/>
          <w:sz w:val="28"/>
          <w:szCs w:val="28"/>
          <w:lang w:eastAsia="zh-CN"/>
        </w:rPr>
        <w:t>、</w:t>
      </w:r>
      <w:r>
        <w:rPr>
          <w:rFonts w:ascii="Times New Roman" w:hAnsi="Times New Roman" w:cs="Times New Roman"/>
          <w:sz w:val="28"/>
          <w:szCs w:val="28"/>
          <w:lang w:eastAsia="zh-CN"/>
        </w:rPr>
        <w:t>5.3.4</w:t>
      </w:r>
      <w:r>
        <w:rPr>
          <w:rFonts w:hint="eastAsia" w:ascii="Times New Roman" w:hAnsi="Times New Roman" w:cs="Times New Roman"/>
          <w:sz w:val="28"/>
          <w:szCs w:val="28"/>
          <w:lang w:eastAsia="zh-CN"/>
        </w:rPr>
        <w:t>、</w:t>
      </w:r>
      <w:r>
        <w:rPr>
          <w:rFonts w:ascii="Times New Roman" w:hAnsi="Times New Roman" w:cs="Times New Roman"/>
          <w:sz w:val="28"/>
          <w:szCs w:val="28"/>
          <w:lang w:eastAsia="zh-CN"/>
        </w:rPr>
        <w:t>6.2.6</w:t>
      </w:r>
      <w:r>
        <w:rPr>
          <w:rFonts w:hint="eastAsia" w:ascii="Times New Roman" w:hAnsi="Times New Roman" w:cs="Times New Roman"/>
          <w:sz w:val="28"/>
          <w:szCs w:val="28"/>
          <w:lang w:eastAsia="zh-CN"/>
        </w:rPr>
        <w:t>、</w:t>
      </w:r>
      <w:r>
        <w:rPr>
          <w:rFonts w:ascii="Times New Roman" w:hAnsi="Times New Roman" w:cs="Times New Roman"/>
          <w:sz w:val="28"/>
          <w:szCs w:val="28"/>
          <w:lang w:eastAsia="zh-CN"/>
        </w:rPr>
        <w:t>6.2.7</w:t>
      </w:r>
      <w:r>
        <w:rPr>
          <w:rFonts w:hint="eastAsia" w:ascii="Times New Roman" w:hAnsi="Times New Roman" w:cs="Times New Roman"/>
          <w:sz w:val="28"/>
          <w:szCs w:val="28"/>
          <w:lang w:eastAsia="zh-CN"/>
        </w:rPr>
        <w:t>、</w:t>
      </w:r>
      <w:r>
        <w:rPr>
          <w:rFonts w:ascii="Times New Roman" w:hAnsi="Times New Roman" w:cs="Times New Roman"/>
          <w:sz w:val="28"/>
          <w:szCs w:val="28"/>
          <w:lang w:eastAsia="zh-CN"/>
        </w:rPr>
        <w:t>6.3.3</w:t>
      </w:r>
      <w:r>
        <w:rPr>
          <w:rFonts w:hint="eastAsia" w:ascii="Times New Roman" w:hAnsi="Times New Roman" w:cs="Times New Roman"/>
          <w:sz w:val="28"/>
          <w:szCs w:val="28"/>
          <w:lang w:eastAsia="zh-CN"/>
        </w:rPr>
        <w:t>、</w:t>
      </w:r>
      <w:r>
        <w:rPr>
          <w:rFonts w:ascii="Times New Roman" w:hAnsi="Times New Roman" w:cs="Times New Roman"/>
          <w:sz w:val="28"/>
          <w:szCs w:val="28"/>
          <w:lang w:eastAsia="zh-CN"/>
        </w:rPr>
        <w:t>6.3.4</w:t>
      </w:r>
      <w:r>
        <w:rPr>
          <w:rFonts w:hint="eastAsia" w:ascii="Times New Roman" w:hAnsi="Times New Roman" w:cs="Times New Roman"/>
          <w:sz w:val="28"/>
          <w:szCs w:val="28"/>
          <w:lang w:eastAsia="zh-CN"/>
        </w:rPr>
        <w:t>、</w:t>
      </w:r>
      <w:r>
        <w:rPr>
          <w:rFonts w:ascii="Times New Roman" w:hAnsi="Times New Roman" w:cs="Times New Roman"/>
          <w:sz w:val="28"/>
          <w:szCs w:val="28"/>
          <w:lang w:eastAsia="zh-CN"/>
        </w:rPr>
        <w:t>6.3.6</w:t>
      </w:r>
      <w:r>
        <w:rPr>
          <w:rFonts w:hint="eastAsia" w:ascii="Times New Roman" w:hAnsi="Times New Roman" w:cs="Times New Roman"/>
          <w:sz w:val="28"/>
          <w:szCs w:val="28"/>
          <w:lang w:eastAsia="zh-CN"/>
        </w:rPr>
        <w:t>、</w:t>
      </w:r>
      <w:r>
        <w:rPr>
          <w:rFonts w:ascii="Times New Roman" w:hAnsi="Times New Roman" w:cs="Times New Roman"/>
          <w:sz w:val="28"/>
          <w:szCs w:val="28"/>
          <w:lang w:eastAsia="zh-CN"/>
        </w:rPr>
        <w:t>6.3.7</w:t>
      </w:r>
      <w:r>
        <w:rPr>
          <w:rFonts w:hint="eastAsia" w:ascii="Times New Roman" w:hAnsi="Times New Roman" w:cs="Times New Roman"/>
          <w:sz w:val="28"/>
          <w:szCs w:val="28"/>
          <w:lang w:eastAsia="zh-CN"/>
        </w:rPr>
        <w:t>。专利权人或专利申请人同意在公平、合理、无歧视基础上，免费许可任何组织或者个人在实施该广东省地方标准时实施专利。</w:t>
      </w:r>
    </w:p>
    <w:p>
      <w:pPr>
        <w:pStyle w:val="14"/>
        <w:spacing w:before="1" w:line="440" w:lineRule="exact"/>
        <w:ind w:firstLine="560" w:firstLineChars="200"/>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本规程由广东省住房和城乡建设厅负责管理，由深圳市华阳国际工程设计股份有限公司负责具体技术内容的解释。执行过程中如有意见或建议，请寄送至深圳市华阳国际工程设计股份有限公司（地址：深圳市福田保税区市花路盈福大厦4楼 </w:t>
      </w:r>
      <w:r>
        <w:rPr>
          <w:rFonts w:ascii="Times New Roman" w:hAnsi="Times New Roman" w:cs="Times New Roman"/>
          <w:w w:val="99"/>
          <w:sz w:val="28"/>
          <w:szCs w:val="28"/>
          <w:lang w:eastAsia="zh-CN"/>
        </w:rPr>
        <w:t>，邮政编码：518038</w:t>
      </w:r>
      <w:r>
        <w:rPr>
          <w:rFonts w:ascii="Times New Roman" w:hAnsi="Times New Roman" w:eastAsia="Times New Roman" w:cs="Times New Roman"/>
          <w:w w:val="99"/>
          <w:sz w:val="28"/>
          <w:szCs w:val="28"/>
          <w:lang w:eastAsia="zh-CN"/>
        </w:rPr>
        <w:t xml:space="preserve"> </w:t>
      </w:r>
      <w:r>
        <w:rPr>
          <w:rFonts w:ascii="Times New Roman" w:hAnsi="Times New Roman" w:cs="Times New Roman"/>
          <w:w w:val="99"/>
          <w:sz w:val="28"/>
          <w:szCs w:val="28"/>
          <w:lang w:eastAsia="zh-CN"/>
        </w:rPr>
        <w:t>，邮箱：dhjlq@capol.cn</w:t>
      </w:r>
      <w:r>
        <w:fldChar w:fldCharType="begin"/>
      </w:r>
      <w:r>
        <w:instrText xml:space="preserve"> HYPERLINK "mailto:xuqigong2005@sina.com" \h </w:instrText>
      </w:r>
      <w:r>
        <w:fldChar w:fldCharType="separate"/>
      </w:r>
      <w:r>
        <w:fldChar w:fldCharType="end"/>
      </w:r>
      <w:r>
        <w:rPr>
          <w:rFonts w:ascii="Times New Roman" w:hAnsi="Times New Roman" w:eastAsia="Times New Roman" w:cs="Times New Roman"/>
          <w:w w:val="99"/>
          <w:sz w:val="28"/>
          <w:szCs w:val="28"/>
          <w:lang w:eastAsia="zh-CN"/>
        </w:rPr>
        <w:t xml:space="preserve"> </w:t>
      </w:r>
      <w:r>
        <w:rPr>
          <w:rFonts w:ascii="Times New Roman" w:hAnsi="Times New Roman" w:cs="Times New Roman"/>
          <w:w w:val="99"/>
          <w:sz w:val="28"/>
          <w:szCs w:val="28"/>
          <w:lang w:eastAsia="zh-CN"/>
        </w:rPr>
        <w:t>）。</w:t>
      </w:r>
    </w:p>
    <w:tbl>
      <w:tblPr>
        <w:tblStyle w:val="31"/>
        <w:tblW w:w="7434" w:type="dxa"/>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90"/>
        <w:gridCol w:w="1361"/>
        <w:gridCol w:w="1361"/>
        <w:gridCol w:w="1361"/>
        <w:gridCol w:w="1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restart"/>
          </w:tcPr>
          <w:p>
            <w:pPr>
              <w:spacing w:line="240" w:lineRule="auto"/>
              <w:jc w:val="distribute"/>
              <w:rPr>
                <w:szCs w:val="24"/>
              </w:rPr>
            </w:pPr>
            <w:r>
              <w:rPr>
                <w:szCs w:val="24"/>
              </w:rPr>
              <w:t>主编单位：</w:t>
            </w:r>
          </w:p>
        </w:tc>
        <w:tc>
          <w:tcPr>
            <w:tcW w:w="5444" w:type="dxa"/>
            <w:gridSpan w:val="4"/>
          </w:tcPr>
          <w:p>
            <w:pPr>
              <w:spacing w:line="240" w:lineRule="auto"/>
              <w:rPr>
                <w:szCs w:val="24"/>
              </w:rPr>
            </w:pPr>
            <w:r>
              <w:rPr>
                <w:rFonts w:hint="eastAsia"/>
                <w:szCs w:val="28"/>
              </w:rPr>
              <w:t>深圳市华阳国际工程设计股份有限公司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5444" w:type="dxa"/>
            <w:gridSpan w:val="4"/>
          </w:tcPr>
          <w:p>
            <w:pPr>
              <w:spacing w:line="240" w:lineRule="auto"/>
              <w:rPr>
                <w:szCs w:val="24"/>
              </w:rPr>
            </w:pPr>
            <w:r>
              <w:rPr>
                <w:rFonts w:hint="eastAsia" w:ascii="宋体" w:hAnsi="宋体"/>
                <w:szCs w:val="24"/>
              </w:rPr>
              <w:t>美好建筑装配科技有限公司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restart"/>
          </w:tcPr>
          <w:p>
            <w:pPr>
              <w:spacing w:line="240" w:lineRule="auto"/>
              <w:jc w:val="distribute"/>
              <w:rPr>
                <w:szCs w:val="24"/>
              </w:rPr>
            </w:pPr>
            <w:r>
              <w:rPr>
                <w:szCs w:val="24"/>
              </w:rPr>
              <w:t>参编单位：</w:t>
            </w:r>
          </w:p>
        </w:tc>
        <w:tc>
          <w:tcPr>
            <w:tcW w:w="5444" w:type="dxa"/>
            <w:gridSpan w:val="4"/>
          </w:tcPr>
          <w:p>
            <w:pPr>
              <w:spacing w:line="240" w:lineRule="auto"/>
              <w:rPr>
                <w:szCs w:val="28"/>
              </w:rPr>
            </w:pPr>
            <w:r>
              <w:rPr>
                <w:rFonts w:hint="eastAsia"/>
                <w:szCs w:val="28"/>
              </w:rPr>
              <w:t>深圳市华阳国际建筑产业化有限公司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5444" w:type="dxa"/>
            <w:gridSpan w:val="4"/>
          </w:tcPr>
          <w:p>
            <w:pPr>
              <w:spacing w:line="240" w:lineRule="auto"/>
              <w:rPr>
                <w:szCs w:val="28"/>
              </w:rPr>
            </w:pPr>
            <w:r>
              <w:rPr>
                <w:rFonts w:hint="eastAsia"/>
                <w:szCs w:val="28"/>
              </w:rPr>
              <w:t>广东省建筑科学研究院集团股份有限公司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5444" w:type="dxa"/>
            <w:gridSpan w:val="4"/>
          </w:tcPr>
          <w:p>
            <w:pPr>
              <w:spacing w:line="240" w:lineRule="auto"/>
              <w:rPr>
                <w:szCs w:val="28"/>
              </w:rPr>
            </w:pPr>
            <w:r>
              <w:rPr>
                <w:rFonts w:hint="eastAsia"/>
                <w:szCs w:val="28"/>
              </w:rPr>
              <w:t>深圳市力鹏工程结构技术有限公司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5444" w:type="dxa"/>
            <w:gridSpan w:val="4"/>
          </w:tcPr>
          <w:p>
            <w:pPr>
              <w:spacing w:line="240" w:lineRule="auto"/>
              <w:rPr>
                <w:szCs w:val="28"/>
              </w:rPr>
            </w:pPr>
            <w:r>
              <w:rPr>
                <w:rFonts w:hint="eastAsia"/>
                <w:szCs w:val="28"/>
              </w:rPr>
              <w:t>深圳市华悦建筑设计顾问有限公司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5444" w:type="dxa"/>
            <w:gridSpan w:val="4"/>
          </w:tcPr>
          <w:p>
            <w:pPr>
              <w:spacing w:line="240" w:lineRule="auto"/>
              <w:rPr>
                <w:szCs w:val="28"/>
              </w:rPr>
            </w:pPr>
            <w:r>
              <w:rPr>
                <w:rFonts w:hint="eastAsia"/>
                <w:szCs w:val="28"/>
              </w:rPr>
              <w:t>华南理工大学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5444" w:type="dxa"/>
            <w:gridSpan w:val="4"/>
          </w:tcPr>
          <w:p>
            <w:pPr>
              <w:spacing w:line="240" w:lineRule="auto"/>
              <w:rPr>
                <w:szCs w:val="28"/>
              </w:rPr>
            </w:pPr>
            <w:r>
              <w:rPr>
                <w:rFonts w:hint="eastAsia"/>
                <w:szCs w:val="28"/>
              </w:rPr>
              <w:t>东莞市润阳联合智造有限公司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5444" w:type="dxa"/>
            <w:gridSpan w:val="4"/>
          </w:tcPr>
          <w:p>
            <w:pPr>
              <w:spacing w:line="240" w:lineRule="auto"/>
              <w:rPr>
                <w:szCs w:val="28"/>
              </w:rPr>
            </w:pPr>
            <w:r>
              <w:rPr>
                <w:rFonts w:hint="eastAsia"/>
                <w:szCs w:val="28"/>
              </w:rPr>
              <w:t>深圳市鹏城建筑集团有限公司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5444" w:type="dxa"/>
            <w:gridSpan w:val="4"/>
          </w:tcPr>
          <w:p>
            <w:pPr>
              <w:spacing w:line="240" w:lineRule="auto"/>
              <w:rPr>
                <w:szCs w:val="28"/>
              </w:rPr>
            </w:pPr>
            <w:r>
              <w:rPr>
                <w:rFonts w:hint="eastAsia"/>
                <w:szCs w:val="28"/>
              </w:rPr>
              <w:t>深圳市华泰盛工程建设有限公司</w:t>
            </w:r>
          </w:p>
          <w:p>
            <w:pPr>
              <w:spacing w:line="240" w:lineRule="auto"/>
              <w:rPr>
                <w:szCs w:val="28"/>
              </w:rPr>
            </w:pPr>
            <w:r>
              <w:rPr>
                <w:rFonts w:hint="eastAsia"/>
                <w:szCs w:val="28"/>
              </w:rPr>
              <w:t>富利建设集团有限公司</w:t>
            </w:r>
          </w:p>
          <w:p>
            <w:pPr>
              <w:spacing w:line="240" w:lineRule="auto"/>
              <w:rPr>
                <w:szCs w:val="28"/>
              </w:rPr>
            </w:pPr>
            <w:r>
              <w:rPr>
                <w:rFonts w:hint="eastAsia"/>
                <w:szCs w:val="28"/>
              </w:rPr>
              <w:t>广东省重工建筑设计院有限公司</w:t>
            </w:r>
          </w:p>
          <w:p>
            <w:pPr>
              <w:spacing w:line="240" w:lineRule="auto"/>
              <w:rPr>
                <w:szCs w:val="28"/>
              </w:rPr>
            </w:pPr>
            <w:r>
              <w:rPr>
                <w:rFonts w:hint="eastAsia"/>
                <w:szCs w:val="28"/>
              </w:rPr>
              <w:t>深圳市现代营造科技有限公司</w:t>
            </w:r>
          </w:p>
          <w:p>
            <w:pPr>
              <w:spacing w:line="240" w:lineRule="auto"/>
              <w:rPr>
                <w:szCs w:val="28"/>
              </w:rPr>
            </w:pPr>
            <w:r>
              <w:rPr>
                <w:rFonts w:hint="eastAsia"/>
                <w:szCs w:val="28"/>
              </w:rPr>
              <w:t>深圳市龙岗区工程质量监督检验站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restart"/>
          </w:tcPr>
          <w:p>
            <w:pPr>
              <w:spacing w:line="240" w:lineRule="auto"/>
              <w:jc w:val="distribute"/>
              <w:rPr>
                <w:szCs w:val="24"/>
              </w:rPr>
            </w:pPr>
            <w:r>
              <w:rPr>
                <w:szCs w:val="24"/>
              </w:rPr>
              <w:t>主要起草人：</w:t>
            </w:r>
          </w:p>
        </w:tc>
        <w:tc>
          <w:tcPr>
            <w:tcW w:w="1361" w:type="dxa"/>
          </w:tcPr>
          <w:p>
            <w:pPr>
              <w:spacing w:line="240" w:lineRule="auto"/>
              <w:jc w:val="left"/>
              <w:rPr>
                <w:szCs w:val="28"/>
              </w:rPr>
            </w:pPr>
            <w:r>
              <w:rPr>
                <w:rFonts w:hint="eastAsia"/>
                <w:szCs w:val="28"/>
              </w:rPr>
              <w:t>赵晓龙</w:t>
            </w:r>
          </w:p>
        </w:tc>
        <w:tc>
          <w:tcPr>
            <w:tcW w:w="1361" w:type="dxa"/>
          </w:tcPr>
          <w:p>
            <w:pPr>
              <w:spacing w:line="240" w:lineRule="auto"/>
              <w:jc w:val="left"/>
              <w:rPr>
                <w:szCs w:val="28"/>
              </w:rPr>
            </w:pPr>
            <w:r>
              <w:rPr>
                <w:rFonts w:hint="eastAsia"/>
                <w:szCs w:val="28"/>
              </w:rPr>
              <w:t xml:space="preserve">谭 </w:t>
            </w:r>
            <w:r>
              <w:rPr>
                <w:szCs w:val="28"/>
              </w:rPr>
              <w:t xml:space="preserve"> </w:t>
            </w:r>
            <w:r>
              <w:rPr>
                <w:rFonts w:hint="eastAsia"/>
                <w:szCs w:val="28"/>
              </w:rPr>
              <w:t>园</w:t>
            </w:r>
          </w:p>
        </w:tc>
        <w:tc>
          <w:tcPr>
            <w:tcW w:w="1361" w:type="dxa"/>
          </w:tcPr>
          <w:p>
            <w:pPr>
              <w:spacing w:line="240" w:lineRule="auto"/>
              <w:jc w:val="left"/>
              <w:rPr>
                <w:szCs w:val="28"/>
              </w:rPr>
            </w:pPr>
            <w:r>
              <w:rPr>
                <w:rFonts w:hint="eastAsia"/>
                <w:szCs w:val="28"/>
              </w:rPr>
              <w:t xml:space="preserve">魏 </w:t>
            </w:r>
            <w:r>
              <w:rPr>
                <w:szCs w:val="28"/>
              </w:rPr>
              <w:t xml:space="preserve"> </w:t>
            </w:r>
            <w:r>
              <w:rPr>
                <w:rFonts w:hint="eastAsia"/>
                <w:szCs w:val="28"/>
              </w:rPr>
              <w:t>琏</w:t>
            </w:r>
          </w:p>
        </w:tc>
        <w:tc>
          <w:tcPr>
            <w:tcW w:w="1361" w:type="dxa"/>
          </w:tcPr>
          <w:p>
            <w:pPr>
              <w:spacing w:line="240" w:lineRule="auto"/>
              <w:jc w:val="left"/>
              <w:rPr>
                <w:szCs w:val="28"/>
              </w:rPr>
            </w:pPr>
            <w:r>
              <w:rPr>
                <w:rFonts w:hint="eastAsia"/>
                <w:szCs w:val="28"/>
              </w:rPr>
              <w:t>徐其功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1361" w:type="dxa"/>
          </w:tcPr>
          <w:p>
            <w:pPr>
              <w:spacing w:line="240" w:lineRule="auto"/>
              <w:jc w:val="left"/>
              <w:rPr>
                <w:szCs w:val="28"/>
              </w:rPr>
            </w:pPr>
            <w:r>
              <w:rPr>
                <w:rFonts w:hint="eastAsia"/>
                <w:szCs w:val="28"/>
              </w:rPr>
              <w:t>张学民</w:t>
            </w:r>
          </w:p>
        </w:tc>
        <w:tc>
          <w:tcPr>
            <w:tcW w:w="1361" w:type="dxa"/>
          </w:tcPr>
          <w:p>
            <w:pPr>
              <w:spacing w:line="240" w:lineRule="auto"/>
              <w:jc w:val="left"/>
              <w:rPr>
                <w:szCs w:val="28"/>
              </w:rPr>
            </w:pPr>
            <w:r>
              <w:rPr>
                <w:rFonts w:hint="eastAsia"/>
                <w:szCs w:val="28"/>
              </w:rPr>
              <w:t>窦祖融</w:t>
            </w:r>
          </w:p>
        </w:tc>
        <w:tc>
          <w:tcPr>
            <w:tcW w:w="1361" w:type="dxa"/>
          </w:tcPr>
          <w:p>
            <w:pPr>
              <w:spacing w:line="240" w:lineRule="auto"/>
              <w:jc w:val="left"/>
              <w:rPr>
                <w:szCs w:val="28"/>
              </w:rPr>
            </w:pPr>
            <w:r>
              <w:rPr>
                <w:rFonts w:hint="eastAsia"/>
                <w:szCs w:val="28"/>
              </w:rPr>
              <w:t xml:space="preserve">王 </w:t>
            </w:r>
            <w:r>
              <w:rPr>
                <w:szCs w:val="28"/>
              </w:rPr>
              <w:t xml:space="preserve"> </w:t>
            </w:r>
            <w:r>
              <w:rPr>
                <w:rFonts w:hint="eastAsia"/>
                <w:szCs w:val="28"/>
              </w:rPr>
              <w:t>森</w:t>
            </w:r>
          </w:p>
        </w:tc>
        <w:tc>
          <w:tcPr>
            <w:tcW w:w="1361" w:type="dxa"/>
          </w:tcPr>
          <w:p>
            <w:pPr>
              <w:spacing w:line="240" w:lineRule="auto"/>
              <w:jc w:val="left"/>
              <w:rPr>
                <w:szCs w:val="28"/>
              </w:rPr>
            </w:pPr>
            <w:r>
              <w:rPr>
                <w:rFonts w:hint="eastAsia"/>
                <w:szCs w:val="28"/>
              </w:rPr>
              <w:t xml:space="preserve">刘 </w:t>
            </w:r>
            <w:r>
              <w:rPr>
                <w:szCs w:val="28"/>
              </w:rPr>
              <w:t xml:space="preserve"> </w:t>
            </w:r>
            <w:r>
              <w:rPr>
                <w:rFonts w:hint="eastAsia"/>
                <w:szCs w:val="28"/>
              </w:rPr>
              <w:t>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1361" w:type="dxa"/>
          </w:tcPr>
          <w:p>
            <w:pPr>
              <w:spacing w:line="240" w:lineRule="auto"/>
              <w:jc w:val="left"/>
              <w:rPr>
                <w:szCs w:val="28"/>
              </w:rPr>
            </w:pPr>
            <w:r>
              <w:rPr>
                <w:rFonts w:hint="eastAsia"/>
                <w:szCs w:val="28"/>
              </w:rPr>
              <w:t>龙玉峰</w:t>
            </w:r>
          </w:p>
        </w:tc>
        <w:tc>
          <w:tcPr>
            <w:tcW w:w="1361" w:type="dxa"/>
          </w:tcPr>
          <w:p>
            <w:pPr>
              <w:spacing w:line="240" w:lineRule="auto"/>
              <w:jc w:val="left"/>
              <w:rPr>
                <w:szCs w:val="28"/>
              </w:rPr>
            </w:pPr>
            <w:r>
              <w:rPr>
                <w:rFonts w:hint="eastAsia"/>
                <w:szCs w:val="28"/>
              </w:rPr>
              <w:t>谷明旺</w:t>
            </w:r>
          </w:p>
        </w:tc>
        <w:tc>
          <w:tcPr>
            <w:tcW w:w="1361" w:type="dxa"/>
          </w:tcPr>
          <w:p>
            <w:pPr>
              <w:spacing w:line="240" w:lineRule="auto"/>
              <w:jc w:val="left"/>
              <w:rPr>
                <w:szCs w:val="28"/>
              </w:rPr>
            </w:pPr>
            <w:r>
              <w:rPr>
                <w:rFonts w:hint="eastAsia"/>
                <w:szCs w:val="28"/>
              </w:rPr>
              <w:t>孙志东</w:t>
            </w:r>
          </w:p>
        </w:tc>
        <w:tc>
          <w:tcPr>
            <w:tcW w:w="1361" w:type="dxa"/>
          </w:tcPr>
          <w:p>
            <w:pPr>
              <w:spacing w:line="240" w:lineRule="auto"/>
              <w:jc w:val="left"/>
              <w:rPr>
                <w:szCs w:val="28"/>
              </w:rPr>
            </w:pPr>
            <w:r>
              <w:rPr>
                <w:rFonts w:hint="eastAsia"/>
                <w:szCs w:val="28"/>
              </w:rPr>
              <w:t>张中民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1361" w:type="dxa"/>
          </w:tcPr>
          <w:p>
            <w:pPr>
              <w:spacing w:line="240" w:lineRule="auto"/>
              <w:jc w:val="left"/>
              <w:rPr>
                <w:szCs w:val="28"/>
              </w:rPr>
            </w:pPr>
            <w:r>
              <w:rPr>
                <w:rFonts w:hint="eastAsia"/>
                <w:szCs w:val="28"/>
              </w:rPr>
              <w:t>曹勇龙</w:t>
            </w:r>
          </w:p>
        </w:tc>
        <w:tc>
          <w:tcPr>
            <w:tcW w:w="1361" w:type="dxa"/>
          </w:tcPr>
          <w:p>
            <w:pPr>
              <w:spacing w:line="240" w:lineRule="auto"/>
              <w:jc w:val="left"/>
              <w:rPr>
                <w:szCs w:val="28"/>
              </w:rPr>
            </w:pPr>
            <w:r>
              <w:rPr>
                <w:rFonts w:hint="eastAsia"/>
                <w:szCs w:val="28"/>
              </w:rPr>
              <w:t>潘建荣</w:t>
            </w:r>
          </w:p>
        </w:tc>
        <w:tc>
          <w:tcPr>
            <w:tcW w:w="1361" w:type="dxa"/>
          </w:tcPr>
          <w:p>
            <w:pPr>
              <w:spacing w:line="240" w:lineRule="auto"/>
              <w:jc w:val="left"/>
              <w:rPr>
                <w:szCs w:val="28"/>
              </w:rPr>
            </w:pPr>
            <w:r>
              <w:rPr>
                <w:rFonts w:hint="eastAsia"/>
                <w:szCs w:val="28"/>
              </w:rPr>
              <w:t>王春才</w:t>
            </w:r>
          </w:p>
        </w:tc>
        <w:tc>
          <w:tcPr>
            <w:tcW w:w="1361" w:type="dxa"/>
          </w:tcPr>
          <w:p>
            <w:pPr>
              <w:spacing w:line="240" w:lineRule="auto"/>
              <w:jc w:val="left"/>
              <w:rPr>
                <w:szCs w:val="28"/>
              </w:rPr>
            </w:pPr>
            <w:r>
              <w:rPr>
                <w:rFonts w:hint="eastAsia"/>
                <w:szCs w:val="28"/>
              </w:rPr>
              <w:t>李世钟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1361" w:type="dxa"/>
          </w:tcPr>
          <w:p>
            <w:pPr>
              <w:spacing w:line="240" w:lineRule="auto"/>
              <w:jc w:val="left"/>
              <w:rPr>
                <w:szCs w:val="28"/>
              </w:rPr>
            </w:pPr>
            <w:r>
              <w:rPr>
                <w:rFonts w:hint="eastAsia"/>
                <w:szCs w:val="28"/>
              </w:rPr>
              <w:t>梁达祺</w:t>
            </w:r>
          </w:p>
        </w:tc>
        <w:tc>
          <w:tcPr>
            <w:tcW w:w="1361" w:type="dxa"/>
          </w:tcPr>
          <w:p>
            <w:pPr>
              <w:spacing w:line="240" w:lineRule="auto"/>
              <w:jc w:val="left"/>
              <w:rPr>
                <w:szCs w:val="28"/>
              </w:rPr>
            </w:pPr>
            <w:r>
              <w:rPr>
                <w:rFonts w:hint="eastAsia"/>
                <w:szCs w:val="28"/>
              </w:rPr>
              <w:t>颜小锋</w:t>
            </w:r>
          </w:p>
        </w:tc>
        <w:tc>
          <w:tcPr>
            <w:tcW w:w="1361" w:type="dxa"/>
          </w:tcPr>
          <w:p>
            <w:pPr>
              <w:spacing w:line="240" w:lineRule="auto"/>
              <w:jc w:val="left"/>
              <w:rPr>
                <w:szCs w:val="28"/>
              </w:rPr>
            </w:pPr>
            <w:r>
              <w:rPr>
                <w:rFonts w:hint="eastAsia"/>
                <w:szCs w:val="28"/>
              </w:rPr>
              <w:t xml:space="preserve">张 </w:t>
            </w:r>
            <w:r>
              <w:rPr>
                <w:szCs w:val="28"/>
              </w:rPr>
              <w:t xml:space="preserve"> </w:t>
            </w:r>
            <w:r>
              <w:rPr>
                <w:rFonts w:hint="eastAsia"/>
                <w:szCs w:val="28"/>
              </w:rPr>
              <w:t>琳</w:t>
            </w:r>
          </w:p>
        </w:tc>
        <w:tc>
          <w:tcPr>
            <w:tcW w:w="1361" w:type="dxa"/>
          </w:tcPr>
          <w:p>
            <w:pPr>
              <w:spacing w:line="240" w:lineRule="auto"/>
              <w:jc w:val="left"/>
              <w:rPr>
                <w:szCs w:val="28"/>
              </w:rPr>
            </w:pPr>
            <w:r>
              <w:rPr>
                <w:rFonts w:hint="eastAsia"/>
                <w:szCs w:val="28"/>
              </w:rPr>
              <w:t>唐  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1361" w:type="dxa"/>
          </w:tcPr>
          <w:p>
            <w:pPr>
              <w:spacing w:line="240" w:lineRule="auto"/>
              <w:jc w:val="left"/>
              <w:rPr>
                <w:szCs w:val="28"/>
              </w:rPr>
            </w:pPr>
            <w:r>
              <w:rPr>
                <w:rFonts w:hint="eastAsia"/>
                <w:szCs w:val="28"/>
              </w:rPr>
              <w:t>宋星见</w:t>
            </w:r>
          </w:p>
        </w:tc>
        <w:tc>
          <w:tcPr>
            <w:tcW w:w="1361" w:type="dxa"/>
          </w:tcPr>
          <w:p>
            <w:pPr>
              <w:spacing w:line="240" w:lineRule="auto"/>
              <w:jc w:val="left"/>
              <w:rPr>
                <w:szCs w:val="28"/>
              </w:rPr>
            </w:pPr>
            <w:r>
              <w:rPr>
                <w:rFonts w:hint="eastAsia"/>
                <w:szCs w:val="28"/>
              </w:rPr>
              <w:t xml:space="preserve">丁 </w:t>
            </w:r>
            <w:r>
              <w:rPr>
                <w:szCs w:val="28"/>
              </w:rPr>
              <w:t xml:space="preserve"> </w:t>
            </w:r>
            <w:r>
              <w:rPr>
                <w:rFonts w:hint="eastAsia"/>
                <w:szCs w:val="28"/>
              </w:rPr>
              <w:t>宏</w:t>
            </w:r>
          </w:p>
        </w:tc>
        <w:tc>
          <w:tcPr>
            <w:tcW w:w="1361" w:type="dxa"/>
          </w:tcPr>
          <w:p>
            <w:pPr>
              <w:spacing w:line="240" w:lineRule="auto"/>
              <w:jc w:val="left"/>
              <w:rPr>
                <w:szCs w:val="28"/>
              </w:rPr>
            </w:pPr>
            <w:r>
              <w:rPr>
                <w:rFonts w:hint="eastAsia"/>
                <w:szCs w:val="28"/>
              </w:rPr>
              <w:t xml:space="preserve">杨 </w:t>
            </w:r>
            <w:r>
              <w:rPr>
                <w:szCs w:val="28"/>
              </w:rPr>
              <w:t xml:space="preserve"> </w:t>
            </w:r>
            <w:r>
              <w:rPr>
                <w:rFonts w:hint="eastAsia"/>
                <w:szCs w:val="28"/>
              </w:rPr>
              <w:t>涛</w:t>
            </w:r>
          </w:p>
        </w:tc>
        <w:tc>
          <w:tcPr>
            <w:tcW w:w="1361" w:type="dxa"/>
          </w:tcPr>
          <w:p>
            <w:pPr>
              <w:spacing w:line="240" w:lineRule="auto"/>
              <w:jc w:val="left"/>
              <w:rPr>
                <w:szCs w:val="28"/>
              </w:rPr>
            </w:pPr>
            <w:r>
              <w:rPr>
                <w:rFonts w:hint="eastAsia"/>
                <w:szCs w:val="28"/>
              </w:rPr>
              <w:t xml:space="preserve">沈 </w:t>
            </w:r>
            <w:r>
              <w:rPr>
                <w:szCs w:val="28"/>
              </w:rPr>
              <w:t xml:space="preserve"> </w:t>
            </w:r>
            <w:r>
              <w:rPr>
                <w:rFonts w:hint="eastAsia"/>
                <w:szCs w:val="28"/>
              </w:rPr>
              <w:t>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1361" w:type="dxa"/>
          </w:tcPr>
          <w:p>
            <w:pPr>
              <w:spacing w:line="240" w:lineRule="auto"/>
              <w:jc w:val="left"/>
              <w:rPr>
                <w:szCs w:val="28"/>
              </w:rPr>
            </w:pPr>
            <w:r>
              <w:rPr>
                <w:rFonts w:hint="eastAsia"/>
                <w:szCs w:val="28"/>
              </w:rPr>
              <w:t>李金伟</w:t>
            </w:r>
          </w:p>
        </w:tc>
        <w:tc>
          <w:tcPr>
            <w:tcW w:w="1361" w:type="dxa"/>
          </w:tcPr>
          <w:p>
            <w:pPr>
              <w:spacing w:line="240" w:lineRule="auto"/>
              <w:jc w:val="left"/>
              <w:rPr>
                <w:szCs w:val="28"/>
              </w:rPr>
            </w:pPr>
            <w:r>
              <w:rPr>
                <w:rFonts w:hint="eastAsia"/>
                <w:szCs w:val="28"/>
              </w:rPr>
              <w:t xml:space="preserve">刘 </w:t>
            </w:r>
            <w:r>
              <w:rPr>
                <w:szCs w:val="28"/>
              </w:rPr>
              <w:t xml:space="preserve"> </w:t>
            </w:r>
            <w:r>
              <w:rPr>
                <w:rFonts w:hint="eastAsia"/>
                <w:szCs w:val="28"/>
              </w:rPr>
              <w:t>翔</w:t>
            </w:r>
          </w:p>
        </w:tc>
        <w:tc>
          <w:tcPr>
            <w:tcW w:w="1361" w:type="dxa"/>
          </w:tcPr>
          <w:p>
            <w:pPr>
              <w:spacing w:line="240" w:lineRule="auto"/>
              <w:jc w:val="left"/>
              <w:rPr>
                <w:szCs w:val="28"/>
              </w:rPr>
            </w:pPr>
            <w:r>
              <w:rPr>
                <w:rFonts w:hint="eastAsia"/>
                <w:szCs w:val="28"/>
              </w:rPr>
              <w:t xml:space="preserve">黎 </w:t>
            </w:r>
            <w:r>
              <w:rPr>
                <w:szCs w:val="28"/>
              </w:rPr>
              <w:t xml:space="preserve"> </w:t>
            </w:r>
            <w:r>
              <w:rPr>
                <w:rFonts w:hint="eastAsia"/>
                <w:szCs w:val="28"/>
              </w:rPr>
              <w:t>彬</w:t>
            </w:r>
          </w:p>
        </w:tc>
        <w:tc>
          <w:tcPr>
            <w:tcW w:w="1361" w:type="dxa"/>
          </w:tcPr>
          <w:p>
            <w:pPr>
              <w:spacing w:line="240" w:lineRule="auto"/>
              <w:jc w:val="left"/>
              <w:rPr>
                <w:szCs w:val="28"/>
              </w:rPr>
            </w:pPr>
            <w:r>
              <w:rPr>
                <w:rFonts w:hint="eastAsia"/>
                <w:szCs w:val="28"/>
              </w:rPr>
              <w:t xml:space="preserve">唐 </w:t>
            </w:r>
            <w:r>
              <w:rPr>
                <w:szCs w:val="28"/>
              </w:rPr>
              <w:t xml:space="preserve"> </w:t>
            </w:r>
            <w:r>
              <w:rPr>
                <w:rFonts w:hint="eastAsia"/>
                <w:szCs w:val="28"/>
              </w:rPr>
              <w:t>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jc w:val="distribute"/>
              <w:rPr>
                <w:szCs w:val="24"/>
              </w:rPr>
            </w:pPr>
          </w:p>
        </w:tc>
        <w:tc>
          <w:tcPr>
            <w:tcW w:w="1361" w:type="dxa"/>
          </w:tcPr>
          <w:p>
            <w:pPr>
              <w:spacing w:line="240" w:lineRule="auto"/>
              <w:jc w:val="left"/>
              <w:rPr>
                <w:szCs w:val="28"/>
              </w:rPr>
            </w:pPr>
            <w:r>
              <w:rPr>
                <w:rFonts w:hint="eastAsia"/>
                <w:szCs w:val="28"/>
              </w:rPr>
              <w:t xml:space="preserve">袁 </w:t>
            </w:r>
            <w:r>
              <w:rPr>
                <w:szCs w:val="28"/>
              </w:rPr>
              <w:t xml:space="preserve"> </w:t>
            </w:r>
            <w:r>
              <w:rPr>
                <w:rFonts w:hint="eastAsia"/>
                <w:szCs w:val="28"/>
              </w:rPr>
              <w:t>海</w:t>
            </w:r>
          </w:p>
        </w:tc>
        <w:tc>
          <w:tcPr>
            <w:tcW w:w="1361" w:type="dxa"/>
          </w:tcPr>
          <w:p>
            <w:pPr>
              <w:spacing w:line="240" w:lineRule="auto"/>
              <w:jc w:val="left"/>
              <w:rPr>
                <w:szCs w:val="28"/>
              </w:rPr>
            </w:pPr>
            <w:r>
              <w:rPr>
                <w:rFonts w:hint="eastAsia"/>
                <w:szCs w:val="28"/>
              </w:rPr>
              <w:t>戴贞亮</w:t>
            </w:r>
          </w:p>
        </w:tc>
        <w:tc>
          <w:tcPr>
            <w:tcW w:w="1361" w:type="dxa"/>
          </w:tcPr>
          <w:p>
            <w:pPr>
              <w:spacing w:line="240" w:lineRule="auto"/>
              <w:jc w:val="left"/>
              <w:rPr>
                <w:szCs w:val="28"/>
              </w:rPr>
            </w:pPr>
          </w:p>
        </w:tc>
        <w:tc>
          <w:tcPr>
            <w:tcW w:w="1361" w:type="dxa"/>
          </w:tcPr>
          <w:p>
            <w:pPr>
              <w:spacing w:line="240" w:lineRule="auto"/>
              <w:jc w:val="left"/>
              <w:rPr>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restart"/>
          </w:tcPr>
          <w:p>
            <w:pPr>
              <w:spacing w:line="240" w:lineRule="auto"/>
              <w:jc w:val="distribute"/>
              <w:rPr>
                <w:szCs w:val="24"/>
              </w:rPr>
            </w:pPr>
            <w:r>
              <w:rPr>
                <w:szCs w:val="24"/>
              </w:rPr>
              <w:t>主要审查人：</w:t>
            </w:r>
          </w:p>
        </w:tc>
        <w:tc>
          <w:tcPr>
            <w:tcW w:w="1361" w:type="dxa"/>
          </w:tcPr>
          <w:p>
            <w:pPr>
              <w:spacing w:line="240" w:lineRule="auto"/>
              <w:jc w:val="left"/>
              <w:rPr>
                <w:szCs w:val="24"/>
              </w:rPr>
            </w:pPr>
          </w:p>
        </w:tc>
        <w:tc>
          <w:tcPr>
            <w:tcW w:w="1361" w:type="dxa"/>
          </w:tcPr>
          <w:p>
            <w:pPr>
              <w:spacing w:line="240" w:lineRule="auto"/>
              <w:jc w:val="left"/>
              <w:rPr>
                <w:szCs w:val="24"/>
              </w:rPr>
            </w:pPr>
          </w:p>
        </w:tc>
        <w:tc>
          <w:tcPr>
            <w:tcW w:w="1361" w:type="dxa"/>
          </w:tcPr>
          <w:p>
            <w:pPr>
              <w:spacing w:line="240" w:lineRule="auto"/>
              <w:jc w:val="left"/>
              <w:rPr>
                <w:szCs w:val="24"/>
              </w:rPr>
            </w:pPr>
          </w:p>
        </w:tc>
        <w:tc>
          <w:tcPr>
            <w:tcW w:w="1361" w:type="dxa"/>
          </w:tcPr>
          <w:p>
            <w:pPr>
              <w:spacing w:line="240" w:lineRule="auto"/>
              <w:jc w:val="left"/>
              <w:rPr>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rPr>
                <w:szCs w:val="24"/>
              </w:rPr>
            </w:pPr>
          </w:p>
        </w:tc>
        <w:tc>
          <w:tcPr>
            <w:tcW w:w="1361" w:type="dxa"/>
          </w:tcPr>
          <w:p>
            <w:pPr>
              <w:spacing w:line="240" w:lineRule="auto"/>
              <w:jc w:val="left"/>
              <w:rPr>
                <w:szCs w:val="24"/>
              </w:rPr>
            </w:pPr>
          </w:p>
        </w:tc>
        <w:tc>
          <w:tcPr>
            <w:tcW w:w="1361" w:type="dxa"/>
          </w:tcPr>
          <w:p>
            <w:pPr>
              <w:spacing w:line="240" w:lineRule="auto"/>
              <w:jc w:val="left"/>
              <w:rPr>
                <w:szCs w:val="24"/>
              </w:rPr>
            </w:pPr>
          </w:p>
        </w:tc>
        <w:tc>
          <w:tcPr>
            <w:tcW w:w="1361" w:type="dxa"/>
          </w:tcPr>
          <w:p>
            <w:pPr>
              <w:spacing w:line="240" w:lineRule="auto"/>
              <w:jc w:val="left"/>
              <w:rPr>
                <w:szCs w:val="24"/>
              </w:rPr>
            </w:pPr>
          </w:p>
        </w:tc>
        <w:tc>
          <w:tcPr>
            <w:tcW w:w="1361" w:type="dxa"/>
          </w:tcPr>
          <w:p>
            <w:pPr>
              <w:spacing w:line="240" w:lineRule="auto"/>
              <w:jc w:val="left"/>
              <w:rPr>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990" w:type="dxa"/>
            <w:vMerge w:val="continue"/>
          </w:tcPr>
          <w:p>
            <w:pPr>
              <w:spacing w:line="240" w:lineRule="auto"/>
              <w:rPr>
                <w:szCs w:val="24"/>
              </w:rPr>
            </w:pPr>
          </w:p>
        </w:tc>
        <w:tc>
          <w:tcPr>
            <w:tcW w:w="1361" w:type="dxa"/>
          </w:tcPr>
          <w:p>
            <w:pPr>
              <w:spacing w:line="240" w:lineRule="auto"/>
              <w:jc w:val="left"/>
              <w:rPr>
                <w:szCs w:val="24"/>
              </w:rPr>
            </w:pPr>
          </w:p>
        </w:tc>
        <w:tc>
          <w:tcPr>
            <w:tcW w:w="1361" w:type="dxa"/>
          </w:tcPr>
          <w:p>
            <w:pPr>
              <w:spacing w:line="240" w:lineRule="auto"/>
              <w:rPr>
                <w:szCs w:val="24"/>
              </w:rPr>
            </w:pPr>
          </w:p>
        </w:tc>
        <w:tc>
          <w:tcPr>
            <w:tcW w:w="1361" w:type="dxa"/>
          </w:tcPr>
          <w:p>
            <w:pPr>
              <w:spacing w:line="240" w:lineRule="auto"/>
              <w:jc w:val="left"/>
              <w:rPr>
                <w:szCs w:val="24"/>
              </w:rPr>
            </w:pPr>
          </w:p>
        </w:tc>
        <w:tc>
          <w:tcPr>
            <w:tcW w:w="1361" w:type="dxa"/>
          </w:tcPr>
          <w:p>
            <w:pPr>
              <w:spacing w:line="240" w:lineRule="auto"/>
              <w:jc w:val="left"/>
              <w:rPr>
                <w:szCs w:val="24"/>
              </w:rPr>
            </w:pPr>
          </w:p>
        </w:tc>
      </w:tr>
    </w:tbl>
    <w:p>
      <w:pPr>
        <w:pageBreakBefore/>
        <w:spacing w:after="312" w:afterLines="100" w:line="240" w:lineRule="auto"/>
        <w:jc w:val="center"/>
        <w:rPr>
          <w:bCs/>
          <w:sz w:val="24"/>
          <w:szCs w:val="21"/>
        </w:rPr>
      </w:pPr>
      <w:bookmarkStart w:id="13" w:name="_Toc38289827"/>
      <w:bookmarkStart w:id="14" w:name="_Toc532543334"/>
      <w:bookmarkStart w:id="15" w:name="_Toc38289882"/>
      <w:bookmarkStart w:id="16" w:name="_Toc38367595"/>
      <w:bookmarkStart w:id="17" w:name="_Toc38635314"/>
      <w:bookmarkStart w:id="18" w:name="_Toc38652801"/>
      <w:bookmarkStart w:id="19" w:name="_Toc534630554"/>
      <w:bookmarkStart w:id="20" w:name="_Toc41210644"/>
      <w:bookmarkStart w:id="21" w:name="_Toc41210693"/>
      <w:r>
        <w:rPr>
          <w:rFonts w:eastAsia="黑体"/>
          <w:b/>
          <w:sz w:val="36"/>
          <w:szCs w:val="36"/>
        </w:rPr>
        <w:t>目 次</w:t>
      </w:r>
      <w:bookmarkEnd w:id="13"/>
      <w:bookmarkEnd w:id="14"/>
      <w:bookmarkEnd w:id="15"/>
      <w:bookmarkEnd w:id="16"/>
      <w:bookmarkEnd w:id="17"/>
      <w:bookmarkEnd w:id="18"/>
      <w:bookmarkEnd w:id="19"/>
      <w:bookmarkEnd w:id="20"/>
      <w:bookmarkEnd w:id="21"/>
      <w:r>
        <w:rPr>
          <w:rFonts w:eastAsia="黑体"/>
          <w:b/>
          <w:sz w:val="24"/>
          <w:szCs w:val="24"/>
        </w:rPr>
        <w:fldChar w:fldCharType="begin"/>
      </w:r>
      <w:r>
        <w:rPr>
          <w:rFonts w:eastAsia="黑体"/>
          <w:b/>
          <w:sz w:val="24"/>
          <w:szCs w:val="24"/>
        </w:rPr>
        <w:instrText xml:space="preserve"> TOC \o "1-2" \h \z \u </w:instrText>
      </w:r>
      <w:r>
        <w:rPr>
          <w:rFonts w:eastAsia="黑体"/>
          <w:b/>
          <w:sz w:val="24"/>
          <w:szCs w:val="24"/>
        </w:rPr>
        <w:fldChar w:fldCharType="separate"/>
      </w:r>
    </w:p>
    <w:p>
      <w:pPr>
        <w:pStyle w:val="23"/>
        <w:rPr>
          <w:rFonts w:asciiTheme="minorHAnsi" w:hAnsiTheme="minorHAnsi" w:eastAsiaTheme="minorEastAsia" w:cstheme="minorBidi"/>
          <w:b w:val="0"/>
          <w:spacing w:val="0"/>
          <w:sz w:val="20"/>
          <w:szCs w:val="21"/>
        </w:rPr>
      </w:pPr>
      <w:r>
        <w:fldChar w:fldCharType="begin"/>
      </w:r>
      <w:r>
        <w:instrText xml:space="preserve"> HYPERLINK \l "_Toc45313916" </w:instrText>
      </w:r>
      <w:r>
        <w:fldChar w:fldCharType="separate"/>
      </w:r>
      <w:r>
        <w:rPr>
          <w:rStyle w:val="33"/>
          <w:b w:val="0"/>
          <w:color w:val="auto"/>
          <w:sz w:val="24"/>
          <w:szCs w:val="22"/>
        </w:rPr>
        <w:t>1</w:t>
      </w:r>
      <w:r>
        <w:rPr>
          <w:rFonts w:asciiTheme="minorHAnsi" w:hAnsiTheme="minorHAnsi" w:eastAsiaTheme="minorEastAsia" w:cstheme="minorBidi"/>
          <w:b w:val="0"/>
          <w:spacing w:val="0"/>
          <w:sz w:val="20"/>
          <w:szCs w:val="21"/>
        </w:rPr>
        <w:tab/>
      </w:r>
      <w:r>
        <w:rPr>
          <w:rStyle w:val="33"/>
          <w:b w:val="0"/>
          <w:color w:val="auto"/>
          <w:sz w:val="24"/>
          <w:szCs w:val="22"/>
        </w:rPr>
        <w:t>总则</w:t>
      </w:r>
      <w:r>
        <w:rPr>
          <w:b w:val="0"/>
          <w:sz w:val="24"/>
          <w:szCs w:val="22"/>
        </w:rPr>
        <w:tab/>
      </w:r>
      <w:r>
        <w:rPr>
          <w:b w:val="0"/>
          <w:sz w:val="24"/>
          <w:szCs w:val="22"/>
        </w:rPr>
        <w:fldChar w:fldCharType="begin"/>
      </w:r>
      <w:r>
        <w:rPr>
          <w:b w:val="0"/>
          <w:sz w:val="24"/>
          <w:szCs w:val="22"/>
        </w:rPr>
        <w:instrText xml:space="preserve"> PAGEREF _Toc45313916 \h </w:instrText>
      </w:r>
      <w:r>
        <w:rPr>
          <w:b w:val="0"/>
          <w:sz w:val="24"/>
          <w:szCs w:val="22"/>
        </w:rPr>
        <w:fldChar w:fldCharType="separate"/>
      </w:r>
      <w:r>
        <w:rPr>
          <w:b w:val="0"/>
          <w:sz w:val="24"/>
          <w:szCs w:val="22"/>
        </w:rPr>
        <w:t>1</w:t>
      </w:r>
      <w:r>
        <w:rPr>
          <w:b w:val="0"/>
          <w:sz w:val="24"/>
          <w:szCs w:val="22"/>
        </w:rPr>
        <w:fldChar w:fldCharType="end"/>
      </w:r>
      <w:r>
        <w:rPr>
          <w:b w:val="0"/>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"_Toc45313917" </w:instrText>
      </w:r>
      <w:r>
        <w:fldChar w:fldCharType="separate"/>
      </w:r>
      <w:r>
        <w:rPr>
          <w:rStyle w:val="33"/>
          <w:b w:val="0"/>
          <w:color w:val="auto"/>
          <w:sz w:val="24"/>
          <w:szCs w:val="22"/>
        </w:rPr>
        <w:t>2</w:t>
      </w:r>
      <w:r>
        <w:rPr>
          <w:rFonts w:asciiTheme="minorHAnsi" w:hAnsiTheme="minorHAnsi" w:eastAsiaTheme="minorEastAsia" w:cstheme="minorBidi"/>
          <w:b w:val="0"/>
          <w:spacing w:val="0"/>
          <w:sz w:val="20"/>
          <w:szCs w:val="21"/>
        </w:rPr>
        <w:tab/>
      </w:r>
      <w:r>
        <w:rPr>
          <w:rStyle w:val="33"/>
          <w:b w:val="0"/>
          <w:color w:val="auto"/>
          <w:sz w:val="24"/>
          <w:szCs w:val="22"/>
        </w:rPr>
        <w:t>术语和符号</w:t>
      </w:r>
      <w:r>
        <w:rPr>
          <w:b w:val="0"/>
          <w:sz w:val="24"/>
          <w:szCs w:val="22"/>
        </w:rPr>
        <w:tab/>
      </w:r>
      <w:r>
        <w:rPr>
          <w:b w:val="0"/>
          <w:sz w:val="24"/>
          <w:szCs w:val="22"/>
        </w:rPr>
        <w:fldChar w:fldCharType="begin"/>
      </w:r>
      <w:r>
        <w:rPr>
          <w:b w:val="0"/>
          <w:sz w:val="24"/>
          <w:szCs w:val="22"/>
        </w:rPr>
        <w:instrText xml:space="preserve"> PAGEREF _Toc45313917 \h </w:instrText>
      </w:r>
      <w:r>
        <w:rPr>
          <w:b w:val="0"/>
          <w:sz w:val="24"/>
          <w:szCs w:val="22"/>
        </w:rPr>
        <w:fldChar w:fldCharType="separate"/>
      </w:r>
      <w:r>
        <w:rPr>
          <w:b w:val="0"/>
          <w:sz w:val="24"/>
          <w:szCs w:val="22"/>
        </w:rPr>
        <w:t>2</w:t>
      </w:r>
      <w:r>
        <w:rPr>
          <w:b w:val="0"/>
          <w:sz w:val="24"/>
          <w:szCs w:val="22"/>
        </w:rPr>
        <w:fldChar w:fldCharType="end"/>
      </w:r>
      <w:r>
        <w:rPr>
          <w:b w:val="0"/>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"_Toc45313918" </w:instrText>
      </w:r>
      <w:r>
        <w:fldChar w:fldCharType="separate"/>
      </w:r>
      <w:r>
        <w:rPr>
          <w:rStyle w:val="33"/>
          <w:b w:val="0"/>
          <w:bCs/>
          <w:color w:val="auto"/>
          <w:sz w:val="24"/>
          <w:szCs w:val="22"/>
        </w:rPr>
        <w:t>2.1</w:t>
      </w:r>
      <w:r>
        <w:rPr>
          <w:rFonts w:asciiTheme="minorHAnsi" w:hAnsiTheme="minorHAnsi" w:eastAsiaTheme="minorEastAsia" w:cstheme="minorBidi"/>
          <w:b w:val="0"/>
          <w:bCs/>
          <w:smallCaps w:val="0"/>
          <w:spacing w:val="0"/>
          <w:sz w:val="20"/>
          <w:szCs w:val="21"/>
        </w:rPr>
        <w:tab/>
      </w:r>
      <w:r>
        <w:rPr>
          <w:rStyle w:val="33"/>
          <w:b w:val="0"/>
          <w:bCs/>
          <w:color w:val="auto"/>
          <w:sz w:val="24"/>
          <w:szCs w:val="22"/>
        </w:rPr>
        <w:t>术语</w:t>
      </w:r>
      <w:r>
        <w:rPr>
          <w:b w:val="0"/>
          <w:bCs/>
          <w:sz w:val="24"/>
          <w:szCs w:val="22"/>
        </w:rPr>
        <w:tab/>
      </w:r>
      <w:r>
        <w:rPr>
          <w:b w:val="0"/>
          <w:bCs/>
          <w:sz w:val="24"/>
          <w:szCs w:val="22"/>
        </w:rPr>
        <w:fldChar w:fldCharType="begin"/>
      </w:r>
      <w:r>
        <w:rPr>
          <w:b w:val="0"/>
          <w:bCs/>
          <w:sz w:val="24"/>
          <w:szCs w:val="22"/>
        </w:rPr>
        <w:instrText xml:space="preserve"> PAGEREF _Toc45313918 \h </w:instrText>
      </w:r>
      <w:r>
        <w:rPr>
          <w:b w:val="0"/>
          <w:bCs/>
          <w:sz w:val="24"/>
          <w:szCs w:val="22"/>
        </w:rPr>
        <w:fldChar w:fldCharType="separate"/>
      </w:r>
      <w:r>
        <w:rPr>
          <w:b w:val="0"/>
          <w:bCs/>
          <w:sz w:val="24"/>
          <w:szCs w:val="22"/>
        </w:rPr>
        <w:t>2</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"_Toc45313919" </w:instrText>
      </w:r>
      <w:r>
        <w:fldChar w:fldCharType="separate"/>
      </w:r>
      <w:r>
        <w:rPr>
          <w:rStyle w:val="33"/>
          <w:b w:val="0"/>
          <w:bCs/>
          <w:color w:val="auto"/>
          <w:sz w:val="24"/>
          <w:szCs w:val="22"/>
        </w:rPr>
        <w:t>2.2</w:t>
      </w:r>
      <w:r>
        <w:rPr>
          <w:rFonts w:asciiTheme="minorHAnsi" w:hAnsiTheme="minorHAnsi" w:eastAsiaTheme="minorEastAsia" w:cstheme="minorBidi"/>
          <w:b w:val="0"/>
          <w:bCs/>
          <w:smallCaps w:val="0"/>
          <w:spacing w:val="0"/>
          <w:sz w:val="20"/>
          <w:szCs w:val="21"/>
        </w:rPr>
        <w:tab/>
      </w:r>
      <w:r>
        <w:rPr>
          <w:rStyle w:val="33"/>
          <w:b w:val="0"/>
          <w:bCs/>
          <w:color w:val="auto"/>
          <w:sz w:val="24"/>
          <w:szCs w:val="22"/>
        </w:rPr>
        <w:t>符号</w:t>
      </w:r>
      <w:r>
        <w:rPr>
          <w:b w:val="0"/>
          <w:bCs/>
          <w:sz w:val="24"/>
          <w:szCs w:val="22"/>
        </w:rPr>
        <w:tab/>
      </w:r>
      <w:r>
        <w:rPr>
          <w:b w:val="0"/>
          <w:bCs/>
          <w:sz w:val="24"/>
          <w:szCs w:val="22"/>
        </w:rPr>
        <w:fldChar w:fldCharType="begin"/>
      </w:r>
      <w:r>
        <w:rPr>
          <w:b w:val="0"/>
          <w:bCs/>
          <w:sz w:val="24"/>
          <w:szCs w:val="22"/>
        </w:rPr>
        <w:instrText xml:space="preserve"> PAGEREF _Toc45313919 \h </w:instrText>
      </w:r>
      <w:r>
        <w:rPr>
          <w:b w:val="0"/>
          <w:bCs/>
          <w:sz w:val="24"/>
          <w:szCs w:val="22"/>
        </w:rPr>
        <w:fldChar w:fldCharType="separate"/>
      </w:r>
      <w:r>
        <w:rPr>
          <w:b w:val="0"/>
          <w:bCs/>
          <w:sz w:val="24"/>
          <w:szCs w:val="22"/>
        </w:rPr>
        <w:t>7</w:t>
      </w:r>
      <w:r>
        <w:rPr>
          <w:b w:val="0"/>
          <w:bCs/>
          <w:sz w:val="24"/>
          <w:szCs w:val="22"/>
        </w:rPr>
        <w:fldChar w:fldCharType="end"/>
      </w:r>
      <w:r>
        <w:rPr>
          <w:b w:val="0"/>
          <w:bCs/>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"_Toc45313920" </w:instrText>
      </w:r>
      <w:r>
        <w:fldChar w:fldCharType="separate"/>
      </w:r>
      <w:r>
        <w:rPr>
          <w:rStyle w:val="33"/>
          <w:b w:val="0"/>
          <w:color w:val="auto"/>
          <w:sz w:val="24"/>
          <w:szCs w:val="22"/>
        </w:rPr>
        <w:t>3</w:t>
      </w:r>
      <w:r>
        <w:rPr>
          <w:rFonts w:asciiTheme="minorHAnsi" w:hAnsiTheme="minorHAnsi" w:eastAsiaTheme="minorEastAsia" w:cstheme="minorBidi"/>
          <w:b w:val="0"/>
          <w:spacing w:val="0"/>
          <w:sz w:val="20"/>
          <w:szCs w:val="21"/>
        </w:rPr>
        <w:tab/>
      </w:r>
      <w:r>
        <w:rPr>
          <w:rStyle w:val="33"/>
          <w:b w:val="0"/>
          <w:color w:val="auto"/>
          <w:sz w:val="24"/>
          <w:szCs w:val="22"/>
        </w:rPr>
        <w:t>基本规定</w:t>
      </w:r>
      <w:r>
        <w:rPr>
          <w:b w:val="0"/>
          <w:sz w:val="24"/>
          <w:szCs w:val="22"/>
        </w:rPr>
        <w:tab/>
      </w:r>
      <w:r>
        <w:rPr>
          <w:b w:val="0"/>
          <w:sz w:val="24"/>
          <w:szCs w:val="22"/>
        </w:rPr>
        <w:fldChar w:fldCharType="begin"/>
      </w:r>
      <w:r>
        <w:rPr>
          <w:b w:val="0"/>
          <w:sz w:val="24"/>
          <w:szCs w:val="22"/>
        </w:rPr>
        <w:instrText xml:space="preserve"> PAGEREF _Toc45313920 \h </w:instrText>
      </w:r>
      <w:r>
        <w:rPr>
          <w:b w:val="0"/>
          <w:sz w:val="24"/>
          <w:szCs w:val="22"/>
        </w:rPr>
        <w:fldChar w:fldCharType="separate"/>
      </w:r>
      <w:r>
        <w:rPr>
          <w:b w:val="0"/>
          <w:sz w:val="24"/>
          <w:szCs w:val="22"/>
        </w:rPr>
        <w:t>8</w:t>
      </w:r>
      <w:r>
        <w:rPr>
          <w:b w:val="0"/>
          <w:sz w:val="24"/>
          <w:szCs w:val="22"/>
        </w:rPr>
        <w:fldChar w:fldCharType="end"/>
      </w:r>
      <w:r>
        <w:rPr>
          <w:b w:val="0"/>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"_Toc45313921" </w:instrText>
      </w:r>
      <w:r>
        <w:fldChar w:fldCharType="separate"/>
      </w:r>
      <w:r>
        <w:rPr>
          <w:rStyle w:val="33"/>
          <w:b w:val="0"/>
          <w:color w:val="auto"/>
          <w:sz w:val="24"/>
          <w:szCs w:val="22"/>
        </w:rPr>
        <w:t>4</w:t>
      </w:r>
      <w:r>
        <w:rPr>
          <w:rFonts w:asciiTheme="minorHAnsi" w:hAnsiTheme="minorHAnsi" w:eastAsiaTheme="minorEastAsia" w:cstheme="minorBidi"/>
          <w:b w:val="0"/>
          <w:spacing w:val="0"/>
          <w:sz w:val="20"/>
          <w:szCs w:val="21"/>
        </w:rPr>
        <w:tab/>
      </w:r>
      <w:r>
        <w:rPr>
          <w:rStyle w:val="33"/>
          <w:b w:val="0"/>
          <w:color w:val="auto"/>
          <w:sz w:val="24"/>
          <w:szCs w:val="22"/>
        </w:rPr>
        <w:t>材料</w:t>
      </w:r>
      <w:r>
        <w:rPr>
          <w:b w:val="0"/>
          <w:sz w:val="24"/>
          <w:szCs w:val="22"/>
        </w:rPr>
        <w:tab/>
      </w:r>
      <w:r>
        <w:rPr>
          <w:b w:val="0"/>
          <w:sz w:val="24"/>
          <w:szCs w:val="22"/>
        </w:rPr>
        <w:fldChar w:fldCharType="begin"/>
      </w:r>
      <w:r>
        <w:rPr>
          <w:b w:val="0"/>
          <w:sz w:val="24"/>
          <w:szCs w:val="22"/>
        </w:rPr>
        <w:instrText xml:space="preserve"> PAGEREF _Toc45313921 \h </w:instrText>
      </w:r>
      <w:r>
        <w:rPr>
          <w:b w:val="0"/>
          <w:sz w:val="24"/>
          <w:szCs w:val="22"/>
        </w:rPr>
        <w:fldChar w:fldCharType="separate"/>
      </w:r>
      <w:r>
        <w:rPr>
          <w:b w:val="0"/>
          <w:sz w:val="24"/>
          <w:szCs w:val="22"/>
        </w:rPr>
        <w:t>10</w:t>
      </w:r>
      <w:r>
        <w:rPr>
          <w:b w:val="0"/>
          <w:sz w:val="24"/>
          <w:szCs w:val="22"/>
        </w:rPr>
        <w:fldChar w:fldCharType="end"/>
      </w:r>
      <w:r>
        <w:rPr>
          <w:b w:val="0"/>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"_Toc45313922" </w:instrText>
      </w:r>
      <w:r>
        <w:fldChar w:fldCharType="separate"/>
      </w:r>
      <w:r>
        <w:rPr>
          <w:rStyle w:val="33"/>
          <w:b w:val="0"/>
          <w:bCs/>
          <w:color w:val="auto"/>
          <w:sz w:val="24"/>
          <w:szCs w:val="22"/>
        </w:rPr>
        <w:t>4.1</w:t>
      </w:r>
      <w:r>
        <w:rPr>
          <w:rFonts w:asciiTheme="minorHAnsi" w:hAnsiTheme="minorHAnsi" w:eastAsiaTheme="minorEastAsia" w:cstheme="minorBidi"/>
          <w:b w:val="0"/>
          <w:bCs/>
          <w:smallCaps w:val="0"/>
          <w:spacing w:val="0"/>
          <w:sz w:val="20"/>
          <w:szCs w:val="21"/>
        </w:rPr>
        <w:tab/>
      </w:r>
      <w:r>
        <w:rPr>
          <w:rStyle w:val="33"/>
          <w:b w:val="0"/>
          <w:bCs/>
          <w:color w:val="auto"/>
          <w:sz w:val="24"/>
          <w:szCs w:val="22"/>
        </w:rPr>
        <w:t>混凝土</w:t>
      </w:r>
      <w:r>
        <w:rPr>
          <w:b w:val="0"/>
          <w:bCs/>
          <w:sz w:val="24"/>
          <w:szCs w:val="22"/>
        </w:rPr>
        <w:tab/>
      </w:r>
      <w:r>
        <w:rPr>
          <w:b w:val="0"/>
          <w:bCs/>
          <w:sz w:val="24"/>
          <w:szCs w:val="22"/>
        </w:rPr>
        <w:fldChar w:fldCharType="begin"/>
      </w:r>
      <w:r>
        <w:rPr>
          <w:b w:val="0"/>
          <w:bCs/>
          <w:sz w:val="24"/>
          <w:szCs w:val="22"/>
        </w:rPr>
        <w:instrText xml:space="preserve"> PAGEREF _Toc45313922 \h </w:instrText>
      </w:r>
      <w:r>
        <w:rPr>
          <w:b w:val="0"/>
          <w:bCs/>
          <w:sz w:val="24"/>
          <w:szCs w:val="22"/>
        </w:rPr>
        <w:fldChar w:fldCharType="separate"/>
      </w:r>
      <w:r>
        <w:rPr>
          <w:b w:val="0"/>
          <w:bCs/>
          <w:sz w:val="24"/>
          <w:szCs w:val="22"/>
        </w:rPr>
        <w:t>10</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"_Toc45313923" </w:instrText>
      </w:r>
      <w:r>
        <w:fldChar w:fldCharType="separate"/>
      </w:r>
      <w:r>
        <w:rPr>
          <w:rStyle w:val="33"/>
          <w:b w:val="0"/>
          <w:bCs/>
          <w:color w:val="auto"/>
          <w:sz w:val="24"/>
          <w:szCs w:val="22"/>
        </w:rPr>
        <w:t>4.2</w:t>
      </w:r>
      <w:r>
        <w:rPr>
          <w:rFonts w:asciiTheme="minorHAnsi" w:hAnsiTheme="minorHAnsi" w:eastAsiaTheme="minorEastAsia" w:cstheme="minorBidi"/>
          <w:b w:val="0"/>
          <w:bCs/>
          <w:smallCaps w:val="0"/>
          <w:spacing w:val="0"/>
          <w:sz w:val="20"/>
          <w:szCs w:val="21"/>
        </w:rPr>
        <w:tab/>
      </w:r>
      <w:r>
        <w:rPr>
          <w:rStyle w:val="33"/>
          <w:b w:val="0"/>
          <w:bCs/>
          <w:color w:val="auto"/>
          <w:sz w:val="24"/>
          <w:szCs w:val="22"/>
        </w:rPr>
        <w:t>钢筋、钢材和连接材料</w:t>
      </w:r>
      <w:r>
        <w:rPr>
          <w:b w:val="0"/>
          <w:bCs/>
          <w:sz w:val="24"/>
          <w:szCs w:val="22"/>
        </w:rPr>
        <w:tab/>
      </w:r>
      <w:r>
        <w:rPr>
          <w:b w:val="0"/>
          <w:bCs/>
          <w:sz w:val="24"/>
          <w:szCs w:val="22"/>
        </w:rPr>
        <w:fldChar w:fldCharType="begin"/>
      </w:r>
      <w:r>
        <w:rPr>
          <w:b w:val="0"/>
          <w:bCs/>
          <w:sz w:val="24"/>
          <w:szCs w:val="22"/>
        </w:rPr>
        <w:instrText xml:space="preserve"> PAGEREF _Toc45313923 \h </w:instrText>
      </w:r>
      <w:r>
        <w:rPr>
          <w:b w:val="0"/>
          <w:bCs/>
          <w:sz w:val="24"/>
          <w:szCs w:val="22"/>
        </w:rPr>
        <w:fldChar w:fldCharType="separate"/>
      </w:r>
      <w:r>
        <w:rPr>
          <w:b w:val="0"/>
          <w:bCs/>
          <w:sz w:val="24"/>
          <w:szCs w:val="22"/>
        </w:rPr>
        <w:t>11</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"_Toc45313924" </w:instrText>
      </w:r>
      <w:r>
        <w:fldChar w:fldCharType="separate"/>
      </w:r>
      <w:r>
        <w:rPr>
          <w:rStyle w:val="33"/>
          <w:b w:val="0"/>
          <w:bCs/>
          <w:color w:val="auto"/>
          <w:sz w:val="24"/>
          <w:szCs w:val="22"/>
        </w:rPr>
        <w:t>4.3</w:t>
      </w:r>
      <w:r>
        <w:rPr>
          <w:rFonts w:asciiTheme="minorHAnsi" w:hAnsiTheme="minorHAnsi" w:eastAsiaTheme="minorEastAsia" w:cstheme="minorBidi"/>
          <w:b w:val="0"/>
          <w:bCs/>
          <w:smallCaps w:val="0"/>
          <w:spacing w:val="0"/>
          <w:sz w:val="20"/>
          <w:szCs w:val="21"/>
        </w:rPr>
        <w:tab/>
      </w:r>
      <w:r>
        <w:rPr>
          <w:rStyle w:val="33"/>
          <w:b w:val="0"/>
          <w:bCs/>
          <w:color w:val="auto"/>
          <w:sz w:val="24"/>
          <w:szCs w:val="22"/>
        </w:rPr>
        <w:t>钢筋桁架</w:t>
      </w:r>
      <w:r>
        <w:rPr>
          <w:b w:val="0"/>
          <w:bCs/>
          <w:sz w:val="24"/>
          <w:szCs w:val="22"/>
        </w:rPr>
        <w:tab/>
      </w:r>
      <w:r>
        <w:rPr>
          <w:b w:val="0"/>
          <w:bCs/>
          <w:sz w:val="24"/>
          <w:szCs w:val="22"/>
        </w:rPr>
        <w:fldChar w:fldCharType="begin"/>
      </w:r>
      <w:r>
        <w:rPr>
          <w:b w:val="0"/>
          <w:bCs/>
          <w:sz w:val="24"/>
          <w:szCs w:val="22"/>
        </w:rPr>
        <w:instrText xml:space="preserve"> PAGEREF _Toc45313924 \h </w:instrText>
      </w:r>
      <w:r>
        <w:rPr>
          <w:b w:val="0"/>
          <w:bCs/>
          <w:sz w:val="24"/>
          <w:szCs w:val="22"/>
        </w:rPr>
        <w:fldChar w:fldCharType="separate"/>
      </w:r>
      <w:r>
        <w:rPr>
          <w:b w:val="0"/>
          <w:bCs/>
          <w:sz w:val="24"/>
          <w:szCs w:val="22"/>
        </w:rPr>
        <w:t>12</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"_Toc45313925" </w:instrText>
      </w:r>
      <w:r>
        <w:fldChar w:fldCharType="separate"/>
      </w:r>
      <w:r>
        <w:rPr>
          <w:rStyle w:val="33"/>
          <w:b w:val="0"/>
          <w:bCs/>
          <w:color w:val="auto"/>
          <w:sz w:val="24"/>
          <w:szCs w:val="22"/>
        </w:rPr>
        <w:t>4.4</w:t>
      </w:r>
      <w:r>
        <w:rPr>
          <w:rFonts w:asciiTheme="minorHAnsi" w:hAnsiTheme="minorHAnsi" w:eastAsiaTheme="minorEastAsia" w:cstheme="minorBidi"/>
          <w:b w:val="0"/>
          <w:bCs/>
          <w:smallCaps w:val="0"/>
          <w:spacing w:val="0"/>
          <w:sz w:val="20"/>
          <w:szCs w:val="21"/>
        </w:rPr>
        <w:tab/>
      </w:r>
      <w:r>
        <w:rPr>
          <w:rStyle w:val="33"/>
          <w:b w:val="0"/>
          <w:bCs/>
          <w:color w:val="auto"/>
          <w:sz w:val="24"/>
          <w:szCs w:val="22"/>
        </w:rPr>
        <w:t>其他材料</w:t>
      </w:r>
      <w:r>
        <w:rPr>
          <w:b w:val="0"/>
          <w:bCs/>
          <w:sz w:val="24"/>
          <w:szCs w:val="22"/>
        </w:rPr>
        <w:tab/>
      </w:r>
      <w:r>
        <w:rPr>
          <w:b w:val="0"/>
          <w:bCs/>
          <w:sz w:val="24"/>
          <w:szCs w:val="22"/>
        </w:rPr>
        <w:fldChar w:fldCharType="begin"/>
      </w:r>
      <w:r>
        <w:rPr>
          <w:b w:val="0"/>
          <w:bCs/>
          <w:sz w:val="24"/>
          <w:szCs w:val="22"/>
        </w:rPr>
        <w:instrText xml:space="preserve"> PAGEREF _Toc45313925 \h </w:instrText>
      </w:r>
      <w:r>
        <w:rPr>
          <w:b w:val="0"/>
          <w:bCs/>
          <w:sz w:val="24"/>
          <w:szCs w:val="22"/>
        </w:rPr>
        <w:fldChar w:fldCharType="separate"/>
      </w:r>
      <w:r>
        <w:rPr>
          <w:b w:val="0"/>
          <w:bCs/>
          <w:sz w:val="24"/>
          <w:szCs w:val="22"/>
        </w:rPr>
        <w:t>15</w:t>
      </w:r>
      <w:r>
        <w:rPr>
          <w:b w:val="0"/>
          <w:bCs/>
          <w:sz w:val="24"/>
          <w:szCs w:val="22"/>
        </w:rPr>
        <w:fldChar w:fldCharType="end"/>
      </w:r>
      <w:r>
        <w:rPr>
          <w:b w:val="0"/>
          <w:bCs/>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"_Toc45313926" </w:instrText>
      </w:r>
      <w:r>
        <w:fldChar w:fldCharType="separate"/>
      </w:r>
      <w:r>
        <w:rPr>
          <w:rStyle w:val="33"/>
          <w:b w:val="0"/>
          <w:color w:val="auto"/>
          <w:sz w:val="24"/>
          <w:szCs w:val="22"/>
        </w:rPr>
        <w:t>5</w:t>
      </w:r>
      <w:r>
        <w:rPr>
          <w:rFonts w:asciiTheme="minorHAnsi" w:hAnsiTheme="minorHAnsi" w:eastAsiaTheme="minorEastAsia" w:cstheme="minorBidi"/>
          <w:b w:val="0"/>
          <w:spacing w:val="0"/>
          <w:sz w:val="20"/>
          <w:szCs w:val="21"/>
        </w:rPr>
        <w:tab/>
      </w:r>
      <w:r>
        <w:rPr>
          <w:rStyle w:val="33"/>
          <w:b w:val="0"/>
          <w:color w:val="auto"/>
          <w:sz w:val="24"/>
          <w:szCs w:val="22"/>
        </w:rPr>
        <w:t>结构设计</w:t>
      </w:r>
      <w:r>
        <w:rPr>
          <w:b w:val="0"/>
          <w:sz w:val="24"/>
          <w:szCs w:val="22"/>
        </w:rPr>
        <w:tab/>
      </w:r>
      <w:r>
        <w:rPr>
          <w:b w:val="0"/>
          <w:sz w:val="24"/>
          <w:szCs w:val="22"/>
        </w:rPr>
        <w:fldChar w:fldCharType="begin"/>
      </w:r>
      <w:r>
        <w:rPr>
          <w:b w:val="0"/>
          <w:sz w:val="24"/>
          <w:szCs w:val="22"/>
        </w:rPr>
        <w:instrText xml:space="preserve"> PAGEREF _Toc45313926 \h </w:instrText>
      </w:r>
      <w:r>
        <w:rPr>
          <w:b w:val="0"/>
          <w:sz w:val="24"/>
          <w:szCs w:val="22"/>
        </w:rPr>
        <w:fldChar w:fldCharType="separate"/>
      </w:r>
      <w:r>
        <w:rPr>
          <w:b w:val="0"/>
          <w:sz w:val="24"/>
          <w:szCs w:val="22"/>
        </w:rPr>
        <w:t>16</w:t>
      </w:r>
      <w:r>
        <w:rPr>
          <w:b w:val="0"/>
          <w:sz w:val="24"/>
          <w:szCs w:val="22"/>
        </w:rPr>
        <w:fldChar w:fldCharType="end"/>
      </w:r>
      <w:r>
        <w:rPr>
          <w:b w:val="0"/>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"_Toc45313927" </w:instrText>
      </w:r>
      <w:r>
        <w:fldChar w:fldCharType="separate"/>
      </w:r>
      <w:r>
        <w:rPr>
          <w:rStyle w:val="33"/>
          <w:b w:val="0"/>
          <w:bCs/>
          <w:color w:val="auto"/>
          <w:sz w:val="24"/>
          <w:szCs w:val="22"/>
        </w:rPr>
        <w:t>5.1</w:t>
      </w:r>
      <w:r>
        <w:rPr>
          <w:rFonts w:asciiTheme="minorHAnsi" w:hAnsiTheme="minorHAnsi" w:eastAsiaTheme="minorEastAsia" w:cstheme="minorBidi"/>
          <w:b w:val="0"/>
          <w:bCs/>
          <w:smallCaps w:val="0"/>
          <w:spacing w:val="0"/>
          <w:sz w:val="20"/>
          <w:szCs w:val="21"/>
        </w:rPr>
        <w:tab/>
      </w:r>
      <w:r>
        <w:rPr>
          <w:rStyle w:val="33"/>
          <w:b w:val="0"/>
          <w:bCs/>
          <w:color w:val="auto"/>
          <w:sz w:val="24"/>
          <w:szCs w:val="22"/>
        </w:rPr>
        <w:t>一般规定</w:t>
      </w:r>
      <w:r>
        <w:rPr>
          <w:b w:val="0"/>
          <w:bCs/>
          <w:sz w:val="24"/>
          <w:szCs w:val="22"/>
        </w:rPr>
        <w:tab/>
      </w:r>
      <w:r>
        <w:rPr>
          <w:b w:val="0"/>
          <w:bCs/>
          <w:sz w:val="24"/>
          <w:szCs w:val="22"/>
        </w:rPr>
        <w:fldChar w:fldCharType="begin"/>
      </w:r>
      <w:r>
        <w:rPr>
          <w:b w:val="0"/>
          <w:bCs/>
          <w:sz w:val="24"/>
          <w:szCs w:val="22"/>
        </w:rPr>
        <w:instrText xml:space="preserve"> PAGEREF _Toc45313927 \h </w:instrText>
      </w:r>
      <w:r>
        <w:rPr>
          <w:b w:val="0"/>
          <w:bCs/>
          <w:sz w:val="24"/>
          <w:szCs w:val="22"/>
        </w:rPr>
        <w:fldChar w:fldCharType="separate"/>
      </w:r>
      <w:r>
        <w:rPr>
          <w:b w:val="0"/>
          <w:bCs/>
          <w:sz w:val="24"/>
          <w:szCs w:val="22"/>
        </w:rPr>
        <w:t>16</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"_Toc45313928" </w:instrText>
      </w:r>
      <w:r>
        <w:fldChar w:fldCharType="separate"/>
      </w:r>
      <w:r>
        <w:rPr>
          <w:rStyle w:val="33"/>
          <w:b w:val="0"/>
          <w:bCs/>
          <w:color w:val="auto"/>
          <w:sz w:val="24"/>
          <w:szCs w:val="22"/>
        </w:rPr>
        <w:t>5.2</w:t>
      </w:r>
      <w:r>
        <w:rPr>
          <w:rFonts w:asciiTheme="minorHAnsi" w:hAnsiTheme="minorHAnsi" w:eastAsiaTheme="minorEastAsia" w:cstheme="minorBidi"/>
          <w:b w:val="0"/>
          <w:bCs/>
          <w:smallCaps w:val="0"/>
          <w:spacing w:val="0"/>
          <w:sz w:val="20"/>
          <w:szCs w:val="21"/>
        </w:rPr>
        <w:tab/>
      </w:r>
      <w:r>
        <w:rPr>
          <w:rStyle w:val="33"/>
          <w:b w:val="0"/>
          <w:bCs/>
          <w:color w:val="auto"/>
          <w:sz w:val="24"/>
          <w:szCs w:val="22"/>
        </w:rPr>
        <w:t>结构布置</w:t>
      </w:r>
      <w:r>
        <w:rPr>
          <w:b w:val="0"/>
          <w:bCs/>
          <w:sz w:val="24"/>
          <w:szCs w:val="22"/>
        </w:rPr>
        <w:tab/>
      </w:r>
      <w:r>
        <w:rPr>
          <w:b w:val="0"/>
          <w:bCs/>
          <w:sz w:val="24"/>
          <w:szCs w:val="22"/>
        </w:rPr>
        <w:fldChar w:fldCharType="begin"/>
      </w:r>
      <w:r>
        <w:rPr>
          <w:b w:val="0"/>
          <w:bCs/>
          <w:sz w:val="24"/>
          <w:szCs w:val="22"/>
        </w:rPr>
        <w:instrText xml:space="preserve"> PAGEREF _Toc45313928 \h </w:instrText>
      </w:r>
      <w:r>
        <w:rPr>
          <w:b w:val="0"/>
          <w:bCs/>
          <w:sz w:val="24"/>
          <w:szCs w:val="22"/>
        </w:rPr>
        <w:fldChar w:fldCharType="separate"/>
      </w:r>
      <w:r>
        <w:rPr>
          <w:b w:val="0"/>
          <w:bCs/>
          <w:sz w:val="24"/>
          <w:szCs w:val="22"/>
        </w:rPr>
        <w:t>23</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"_Toc45313929" </w:instrText>
      </w:r>
      <w:r>
        <w:fldChar w:fldCharType="separate"/>
      </w:r>
      <w:r>
        <w:rPr>
          <w:rStyle w:val="33"/>
          <w:b w:val="0"/>
          <w:bCs/>
          <w:color w:val="auto"/>
          <w:sz w:val="24"/>
          <w:szCs w:val="22"/>
        </w:rPr>
        <w:t>5.3</w:t>
      </w:r>
      <w:r>
        <w:rPr>
          <w:rFonts w:asciiTheme="minorHAnsi" w:hAnsiTheme="minorHAnsi" w:eastAsiaTheme="minorEastAsia" w:cstheme="minorBidi"/>
          <w:b w:val="0"/>
          <w:bCs/>
          <w:smallCaps w:val="0"/>
          <w:spacing w:val="0"/>
          <w:sz w:val="20"/>
          <w:szCs w:val="21"/>
        </w:rPr>
        <w:tab/>
      </w:r>
      <w:r>
        <w:rPr>
          <w:rStyle w:val="33"/>
          <w:b w:val="0"/>
          <w:bCs/>
          <w:color w:val="auto"/>
          <w:sz w:val="24"/>
          <w:szCs w:val="22"/>
        </w:rPr>
        <w:t>结构分析</w:t>
      </w:r>
      <w:r>
        <w:rPr>
          <w:b w:val="0"/>
          <w:bCs/>
          <w:sz w:val="24"/>
          <w:szCs w:val="22"/>
        </w:rPr>
        <w:tab/>
      </w:r>
      <w:r>
        <w:rPr>
          <w:b w:val="0"/>
          <w:bCs/>
          <w:sz w:val="24"/>
          <w:szCs w:val="22"/>
        </w:rPr>
        <w:fldChar w:fldCharType="begin"/>
      </w:r>
      <w:r>
        <w:rPr>
          <w:b w:val="0"/>
          <w:bCs/>
          <w:sz w:val="24"/>
          <w:szCs w:val="22"/>
        </w:rPr>
        <w:instrText xml:space="preserve"> PAGEREF _Toc45313929 \h </w:instrText>
      </w:r>
      <w:r>
        <w:rPr>
          <w:b w:val="0"/>
          <w:bCs/>
          <w:sz w:val="24"/>
          <w:szCs w:val="22"/>
        </w:rPr>
        <w:fldChar w:fldCharType="separate"/>
      </w:r>
      <w:r>
        <w:rPr>
          <w:b w:val="0"/>
          <w:bCs/>
          <w:sz w:val="24"/>
          <w:szCs w:val="22"/>
        </w:rPr>
        <w:t>25</w:t>
      </w:r>
      <w:r>
        <w:rPr>
          <w:b w:val="0"/>
          <w:bCs/>
          <w:sz w:val="24"/>
          <w:szCs w:val="22"/>
        </w:rPr>
        <w:fldChar w:fldCharType="end"/>
      </w:r>
      <w:r>
        <w:rPr>
          <w:b w:val="0"/>
          <w:bCs/>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"_Toc45313930" </w:instrText>
      </w:r>
      <w:r>
        <w:fldChar w:fldCharType="separate"/>
      </w:r>
      <w:r>
        <w:rPr>
          <w:rStyle w:val="33"/>
          <w:b w:val="0"/>
          <w:color w:val="auto"/>
          <w:sz w:val="24"/>
          <w:szCs w:val="22"/>
        </w:rPr>
        <w:t>6</w:t>
      </w:r>
      <w:r>
        <w:rPr>
          <w:rFonts w:asciiTheme="minorHAnsi" w:hAnsiTheme="minorHAnsi" w:eastAsiaTheme="minorEastAsia" w:cstheme="minorBidi"/>
          <w:b w:val="0"/>
          <w:spacing w:val="0"/>
          <w:sz w:val="20"/>
          <w:szCs w:val="21"/>
        </w:rPr>
        <w:tab/>
      </w:r>
      <w:r>
        <w:rPr>
          <w:rStyle w:val="33"/>
          <w:b w:val="0"/>
          <w:color w:val="auto"/>
          <w:sz w:val="24"/>
          <w:szCs w:val="22"/>
        </w:rPr>
        <w:t>叠合剪力墙设计</w:t>
      </w:r>
      <w:r>
        <w:rPr>
          <w:b w:val="0"/>
          <w:sz w:val="24"/>
          <w:szCs w:val="22"/>
        </w:rPr>
        <w:tab/>
      </w:r>
      <w:r>
        <w:rPr>
          <w:b w:val="0"/>
          <w:sz w:val="24"/>
          <w:szCs w:val="22"/>
        </w:rPr>
        <w:fldChar w:fldCharType="begin"/>
      </w:r>
      <w:r>
        <w:rPr>
          <w:b w:val="0"/>
          <w:sz w:val="24"/>
          <w:szCs w:val="22"/>
        </w:rPr>
        <w:instrText xml:space="preserve"> PAGEREF _Toc45313930 \h </w:instrText>
      </w:r>
      <w:r>
        <w:rPr>
          <w:b w:val="0"/>
          <w:sz w:val="24"/>
          <w:szCs w:val="22"/>
        </w:rPr>
        <w:fldChar w:fldCharType="separate"/>
      </w:r>
      <w:r>
        <w:rPr>
          <w:b w:val="0"/>
          <w:sz w:val="24"/>
          <w:szCs w:val="22"/>
        </w:rPr>
        <w:t>28</w:t>
      </w:r>
      <w:r>
        <w:rPr>
          <w:b w:val="0"/>
          <w:sz w:val="24"/>
          <w:szCs w:val="22"/>
        </w:rPr>
        <w:fldChar w:fldCharType="end"/>
      </w:r>
      <w:r>
        <w:rPr>
          <w:b w:val="0"/>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"_Toc45313931" </w:instrText>
      </w:r>
      <w:r>
        <w:fldChar w:fldCharType="separate"/>
      </w:r>
      <w:r>
        <w:rPr>
          <w:rStyle w:val="33"/>
          <w:b w:val="0"/>
          <w:bCs/>
          <w:color w:val="auto"/>
          <w:sz w:val="24"/>
          <w:szCs w:val="22"/>
        </w:rPr>
        <w:t>6.1</w:t>
      </w:r>
      <w:r>
        <w:rPr>
          <w:rFonts w:asciiTheme="minorHAnsi" w:hAnsiTheme="minorHAnsi" w:eastAsiaTheme="minorEastAsia" w:cstheme="minorBidi"/>
          <w:b w:val="0"/>
          <w:bCs/>
          <w:smallCaps w:val="0"/>
          <w:spacing w:val="0"/>
          <w:sz w:val="20"/>
          <w:szCs w:val="21"/>
        </w:rPr>
        <w:tab/>
      </w:r>
      <w:r>
        <w:rPr>
          <w:rStyle w:val="33"/>
          <w:b w:val="0"/>
          <w:bCs/>
          <w:color w:val="auto"/>
          <w:sz w:val="24"/>
          <w:szCs w:val="22"/>
        </w:rPr>
        <w:t>一般规定</w:t>
      </w:r>
      <w:r>
        <w:rPr>
          <w:b w:val="0"/>
          <w:bCs/>
          <w:sz w:val="24"/>
          <w:szCs w:val="22"/>
        </w:rPr>
        <w:tab/>
      </w:r>
      <w:r>
        <w:rPr>
          <w:b w:val="0"/>
          <w:bCs/>
          <w:sz w:val="24"/>
          <w:szCs w:val="22"/>
        </w:rPr>
        <w:fldChar w:fldCharType="begin"/>
      </w:r>
      <w:r>
        <w:rPr>
          <w:b w:val="0"/>
          <w:bCs/>
          <w:sz w:val="24"/>
          <w:szCs w:val="22"/>
        </w:rPr>
        <w:instrText xml:space="preserve"> PAGEREF _Toc45313931 \h </w:instrText>
      </w:r>
      <w:r>
        <w:rPr>
          <w:b w:val="0"/>
          <w:bCs/>
          <w:sz w:val="24"/>
          <w:szCs w:val="22"/>
        </w:rPr>
        <w:fldChar w:fldCharType="separate"/>
      </w:r>
      <w:r>
        <w:rPr>
          <w:b w:val="0"/>
          <w:bCs/>
          <w:sz w:val="24"/>
          <w:szCs w:val="22"/>
        </w:rPr>
        <w:t>28</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"_Toc45313932" </w:instrText>
      </w:r>
      <w:r>
        <w:fldChar w:fldCharType="separate"/>
      </w:r>
      <w:r>
        <w:rPr>
          <w:rStyle w:val="33"/>
          <w:b w:val="0"/>
          <w:bCs/>
          <w:color w:val="auto"/>
          <w:sz w:val="24"/>
          <w:szCs w:val="22"/>
        </w:rPr>
        <w:t>6.2</w:t>
      </w:r>
      <w:r>
        <w:rPr>
          <w:rFonts w:asciiTheme="minorHAnsi" w:hAnsiTheme="minorHAnsi" w:eastAsiaTheme="minorEastAsia" w:cstheme="minorBidi"/>
          <w:b w:val="0"/>
          <w:bCs/>
          <w:smallCaps w:val="0"/>
          <w:spacing w:val="0"/>
          <w:sz w:val="20"/>
          <w:szCs w:val="21"/>
        </w:rPr>
        <w:tab/>
      </w:r>
      <w:r>
        <w:rPr>
          <w:rStyle w:val="33"/>
          <w:b w:val="0"/>
          <w:bCs/>
          <w:color w:val="auto"/>
          <w:sz w:val="24"/>
          <w:szCs w:val="22"/>
        </w:rPr>
        <w:t>截面设计及构造</w:t>
      </w:r>
      <w:r>
        <w:rPr>
          <w:b w:val="0"/>
          <w:bCs/>
          <w:sz w:val="24"/>
          <w:szCs w:val="22"/>
        </w:rPr>
        <w:tab/>
      </w:r>
      <w:r>
        <w:rPr>
          <w:b w:val="0"/>
          <w:bCs/>
          <w:sz w:val="24"/>
          <w:szCs w:val="22"/>
        </w:rPr>
        <w:fldChar w:fldCharType="begin"/>
      </w:r>
      <w:r>
        <w:rPr>
          <w:b w:val="0"/>
          <w:bCs/>
          <w:sz w:val="24"/>
          <w:szCs w:val="22"/>
        </w:rPr>
        <w:instrText xml:space="preserve"> PAGEREF _Toc45313932 \h </w:instrText>
      </w:r>
      <w:r>
        <w:rPr>
          <w:b w:val="0"/>
          <w:bCs/>
          <w:sz w:val="24"/>
          <w:szCs w:val="22"/>
        </w:rPr>
        <w:fldChar w:fldCharType="separate"/>
      </w:r>
      <w:r>
        <w:rPr>
          <w:b w:val="0"/>
          <w:bCs/>
          <w:sz w:val="24"/>
          <w:szCs w:val="22"/>
        </w:rPr>
        <w:t>32</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"_Toc45313933" </w:instrText>
      </w:r>
      <w:r>
        <w:fldChar w:fldCharType="separate"/>
      </w:r>
      <w:r>
        <w:rPr>
          <w:rStyle w:val="33"/>
          <w:b w:val="0"/>
          <w:bCs/>
          <w:color w:val="auto"/>
          <w:sz w:val="24"/>
          <w:szCs w:val="22"/>
        </w:rPr>
        <w:t>6.3</w:t>
      </w:r>
      <w:r>
        <w:rPr>
          <w:rFonts w:asciiTheme="minorHAnsi" w:hAnsiTheme="minorHAnsi" w:eastAsiaTheme="minorEastAsia" w:cstheme="minorBidi"/>
          <w:b w:val="0"/>
          <w:bCs/>
          <w:smallCaps w:val="0"/>
          <w:spacing w:val="0"/>
          <w:sz w:val="20"/>
          <w:szCs w:val="21"/>
        </w:rPr>
        <w:tab/>
      </w:r>
      <w:r>
        <w:rPr>
          <w:rStyle w:val="33"/>
          <w:b w:val="0"/>
          <w:bCs/>
          <w:color w:val="auto"/>
          <w:sz w:val="24"/>
          <w:szCs w:val="22"/>
        </w:rPr>
        <w:t>连接设计及构造</w:t>
      </w:r>
      <w:r>
        <w:rPr>
          <w:b w:val="0"/>
          <w:bCs/>
          <w:sz w:val="24"/>
          <w:szCs w:val="22"/>
        </w:rPr>
        <w:tab/>
      </w:r>
      <w:r>
        <w:rPr>
          <w:b w:val="0"/>
          <w:bCs/>
          <w:sz w:val="24"/>
          <w:szCs w:val="22"/>
        </w:rPr>
        <w:fldChar w:fldCharType="begin"/>
      </w:r>
      <w:r>
        <w:rPr>
          <w:b w:val="0"/>
          <w:bCs/>
          <w:sz w:val="24"/>
          <w:szCs w:val="22"/>
        </w:rPr>
        <w:instrText xml:space="preserve"> PAGEREF _Toc45313933 \h </w:instrText>
      </w:r>
      <w:r>
        <w:rPr>
          <w:b w:val="0"/>
          <w:bCs/>
          <w:sz w:val="24"/>
          <w:szCs w:val="22"/>
        </w:rPr>
        <w:fldChar w:fldCharType="separate"/>
      </w:r>
      <w:r>
        <w:rPr>
          <w:b w:val="0"/>
          <w:bCs/>
          <w:sz w:val="24"/>
          <w:szCs w:val="22"/>
        </w:rPr>
        <w:t>36</w:t>
      </w:r>
      <w:r>
        <w:rPr>
          <w:b w:val="0"/>
          <w:bCs/>
          <w:sz w:val="24"/>
          <w:szCs w:val="22"/>
        </w:rPr>
        <w:fldChar w:fldCharType="end"/>
      </w:r>
      <w:r>
        <w:rPr>
          <w:b w:val="0"/>
          <w:bCs/>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"_Toc45313934" </w:instrText>
      </w:r>
      <w:r>
        <w:fldChar w:fldCharType="separate"/>
      </w:r>
      <w:r>
        <w:rPr>
          <w:rStyle w:val="33"/>
          <w:b w:val="0"/>
          <w:color w:val="auto"/>
          <w:sz w:val="24"/>
          <w:szCs w:val="22"/>
        </w:rPr>
        <w:t>7</w:t>
      </w:r>
      <w:r>
        <w:rPr>
          <w:rFonts w:asciiTheme="minorHAnsi" w:hAnsiTheme="minorHAnsi" w:eastAsiaTheme="minorEastAsia" w:cstheme="minorBidi"/>
          <w:b w:val="0"/>
          <w:spacing w:val="0"/>
          <w:sz w:val="20"/>
          <w:szCs w:val="21"/>
        </w:rPr>
        <w:tab/>
      </w:r>
      <w:r>
        <w:rPr>
          <w:rStyle w:val="33"/>
          <w:b w:val="0"/>
          <w:color w:val="auto"/>
          <w:sz w:val="24"/>
          <w:szCs w:val="22"/>
        </w:rPr>
        <w:t>楼盖设计</w:t>
      </w:r>
      <w:r>
        <w:rPr>
          <w:b w:val="0"/>
          <w:sz w:val="24"/>
          <w:szCs w:val="22"/>
        </w:rPr>
        <w:tab/>
      </w:r>
      <w:r>
        <w:rPr>
          <w:b w:val="0"/>
          <w:sz w:val="24"/>
          <w:szCs w:val="22"/>
        </w:rPr>
        <w:fldChar w:fldCharType="begin"/>
      </w:r>
      <w:r>
        <w:rPr>
          <w:b w:val="0"/>
          <w:sz w:val="24"/>
          <w:szCs w:val="22"/>
        </w:rPr>
        <w:instrText xml:space="preserve"> PAGEREF _Toc45313934 \h </w:instrText>
      </w:r>
      <w:r>
        <w:rPr>
          <w:b w:val="0"/>
          <w:sz w:val="24"/>
          <w:szCs w:val="22"/>
        </w:rPr>
        <w:fldChar w:fldCharType="separate"/>
      </w:r>
      <w:r>
        <w:rPr>
          <w:b w:val="0"/>
          <w:sz w:val="24"/>
          <w:szCs w:val="22"/>
        </w:rPr>
        <w:t>45</w:t>
      </w:r>
      <w:r>
        <w:rPr>
          <w:b w:val="0"/>
          <w:sz w:val="24"/>
          <w:szCs w:val="22"/>
        </w:rPr>
        <w:fldChar w:fldCharType="end"/>
      </w:r>
      <w:r>
        <w:rPr>
          <w:b w:val="0"/>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"_Toc45313935" </w:instrText>
      </w:r>
      <w:r>
        <w:fldChar w:fldCharType="separate"/>
      </w:r>
      <w:r>
        <w:rPr>
          <w:rStyle w:val="33"/>
          <w:b w:val="0"/>
          <w:bCs/>
          <w:color w:val="auto"/>
          <w:sz w:val="24"/>
          <w:szCs w:val="22"/>
        </w:rPr>
        <w:t>7.1</w:t>
      </w:r>
      <w:r>
        <w:rPr>
          <w:rFonts w:asciiTheme="minorHAnsi" w:hAnsiTheme="minorHAnsi" w:eastAsiaTheme="minorEastAsia" w:cstheme="minorBidi"/>
          <w:b w:val="0"/>
          <w:bCs/>
          <w:smallCaps w:val="0"/>
          <w:spacing w:val="0"/>
          <w:sz w:val="20"/>
          <w:szCs w:val="21"/>
        </w:rPr>
        <w:tab/>
      </w:r>
      <w:r>
        <w:rPr>
          <w:rStyle w:val="33"/>
          <w:b w:val="0"/>
          <w:bCs/>
          <w:color w:val="auto"/>
          <w:sz w:val="24"/>
          <w:szCs w:val="22"/>
        </w:rPr>
        <w:t>一般规定</w:t>
      </w:r>
      <w:r>
        <w:rPr>
          <w:b w:val="0"/>
          <w:bCs/>
          <w:sz w:val="24"/>
          <w:szCs w:val="22"/>
        </w:rPr>
        <w:tab/>
      </w:r>
      <w:r>
        <w:rPr>
          <w:b w:val="0"/>
          <w:bCs/>
          <w:sz w:val="24"/>
          <w:szCs w:val="22"/>
        </w:rPr>
        <w:fldChar w:fldCharType="begin"/>
      </w:r>
      <w:r>
        <w:rPr>
          <w:b w:val="0"/>
          <w:bCs/>
          <w:sz w:val="24"/>
          <w:szCs w:val="22"/>
        </w:rPr>
        <w:instrText xml:space="preserve"> PAGEREF _Toc45313935 \h </w:instrText>
      </w:r>
      <w:r>
        <w:rPr>
          <w:b w:val="0"/>
          <w:bCs/>
          <w:sz w:val="24"/>
          <w:szCs w:val="22"/>
        </w:rPr>
        <w:fldChar w:fldCharType="separate"/>
      </w:r>
      <w:r>
        <w:rPr>
          <w:b w:val="0"/>
          <w:bCs/>
          <w:sz w:val="24"/>
          <w:szCs w:val="22"/>
        </w:rPr>
        <w:t>45</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"_Toc45313936" </w:instrText>
      </w:r>
      <w:r>
        <w:fldChar w:fldCharType="separate"/>
      </w:r>
      <w:r>
        <w:rPr>
          <w:rStyle w:val="33"/>
          <w:b w:val="0"/>
          <w:bCs/>
          <w:color w:val="auto"/>
          <w:sz w:val="24"/>
          <w:szCs w:val="22"/>
        </w:rPr>
        <w:t>7.2</w:t>
      </w:r>
      <w:r>
        <w:rPr>
          <w:rFonts w:asciiTheme="minorHAnsi" w:hAnsiTheme="minorHAnsi" w:eastAsiaTheme="minorEastAsia" w:cstheme="minorBidi"/>
          <w:b w:val="0"/>
          <w:bCs/>
          <w:smallCaps w:val="0"/>
          <w:spacing w:val="0"/>
          <w:sz w:val="20"/>
          <w:szCs w:val="21"/>
        </w:rPr>
        <w:tab/>
      </w:r>
      <w:r>
        <w:rPr>
          <w:rStyle w:val="33"/>
          <w:b w:val="0"/>
          <w:bCs/>
          <w:color w:val="auto"/>
          <w:sz w:val="24"/>
          <w:szCs w:val="22"/>
        </w:rPr>
        <w:t>楼板设计及构造</w:t>
      </w:r>
      <w:r>
        <w:rPr>
          <w:b w:val="0"/>
          <w:bCs/>
          <w:sz w:val="24"/>
          <w:szCs w:val="22"/>
        </w:rPr>
        <w:tab/>
      </w:r>
      <w:r>
        <w:rPr>
          <w:b w:val="0"/>
          <w:bCs/>
          <w:sz w:val="24"/>
          <w:szCs w:val="22"/>
        </w:rPr>
        <w:fldChar w:fldCharType="begin"/>
      </w:r>
      <w:r>
        <w:rPr>
          <w:b w:val="0"/>
          <w:bCs/>
          <w:sz w:val="24"/>
          <w:szCs w:val="22"/>
        </w:rPr>
        <w:instrText xml:space="preserve"> PAGEREF _Toc45313936 \h </w:instrText>
      </w:r>
      <w:r>
        <w:rPr>
          <w:b w:val="0"/>
          <w:bCs/>
          <w:sz w:val="24"/>
          <w:szCs w:val="22"/>
        </w:rPr>
        <w:fldChar w:fldCharType="separate"/>
      </w:r>
      <w:r>
        <w:rPr>
          <w:b w:val="0"/>
          <w:bCs/>
          <w:sz w:val="24"/>
          <w:szCs w:val="22"/>
        </w:rPr>
        <w:t>46</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"_Toc45313937" </w:instrText>
      </w:r>
      <w:r>
        <w:fldChar w:fldCharType="separate"/>
      </w:r>
      <w:r>
        <w:rPr>
          <w:rStyle w:val="33"/>
          <w:b w:val="0"/>
          <w:bCs/>
          <w:color w:val="auto"/>
          <w:sz w:val="24"/>
          <w:szCs w:val="22"/>
        </w:rPr>
        <w:t>7.3</w:t>
      </w:r>
      <w:r>
        <w:rPr>
          <w:rFonts w:asciiTheme="minorHAnsi" w:hAnsiTheme="minorHAnsi" w:eastAsiaTheme="minorEastAsia" w:cstheme="minorBidi"/>
          <w:b w:val="0"/>
          <w:bCs/>
          <w:smallCaps w:val="0"/>
          <w:spacing w:val="0"/>
          <w:sz w:val="20"/>
          <w:szCs w:val="21"/>
        </w:rPr>
        <w:tab/>
      </w:r>
      <w:r>
        <w:rPr>
          <w:rStyle w:val="33"/>
          <w:b w:val="0"/>
          <w:bCs/>
          <w:color w:val="auto"/>
          <w:sz w:val="24"/>
          <w:szCs w:val="22"/>
        </w:rPr>
        <w:t>板缝节点设计及构造</w:t>
      </w:r>
      <w:r>
        <w:rPr>
          <w:b w:val="0"/>
          <w:bCs/>
          <w:sz w:val="24"/>
          <w:szCs w:val="22"/>
        </w:rPr>
        <w:tab/>
      </w:r>
      <w:r>
        <w:rPr>
          <w:b w:val="0"/>
          <w:bCs/>
          <w:sz w:val="24"/>
          <w:szCs w:val="22"/>
        </w:rPr>
        <w:fldChar w:fldCharType="begin"/>
      </w:r>
      <w:r>
        <w:rPr>
          <w:b w:val="0"/>
          <w:bCs/>
          <w:sz w:val="24"/>
          <w:szCs w:val="22"/>
        </w:rPr>
        <w:instrText xml:space="preserve"> PAGEREF _Toc45313937 \h </w:instrText>
      </w:r>
      <w:r>
        <w:rPr>
          <w:b w:val="0"/>
          <w:bCs/>
          <w:sz w:val="24"/>
          <w:szCs w:val="22"/>
        </w:rPr>
        <w:fldChar w:fldCharType="separate"/>
      </w:r>
      <w:r>
        <w:rPr>
          <w:b w:val="0"/>
          <w:bCs/>
          <w:sz w:val="24"/>
          <w:szCs w:val="22"/>
        </w:rPr>
        <w:t>48</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"_Toc45313938" </w:instrText>
      </w:r>
      <w:r>
        <w:fldChar w:fldCharType="separate"/>
      </w:r>
      <w:r>
        <w:rPr>
          <w:rStyle w:val="33"/>
          <w:b w:val="0"/>
          <w:bCs/>
          <w:color w:val="auto"/>
          <w:sz w:val="24"/>
          <w:szCs w:val="22"/>
        </w:rPr>
        <w:t>7.4</w:t>
      </w:r>
      <w:r>
        <w:rPr>
          <w:rFonts w:asciiTheme="minorHAnsi" w:hAnsiTheme="minorHAnsi" w:eastAsiaTheme="minorEastAsia" w:cstheme="minorBidi"/>
          <w:b w:val="0"/>
          <w:bCs/>
          <w:smallCaps w:val="0"/>
          <w:spacing w:val="0"/>
          <w:sz w:val="20"/>
          <w:szCs w:val="21"/>
        </w:rPr>
        <w:tab/>
      </w:r>
      <w:r>
        <w:rPr>
          <w:rStyle w:val="33"/>
          <w:b w:val="0"/>
          <w:bCs/>
          <w:color w:val="auto"/>
          <w:sz w:val="24"/>
          <w:szCs w:val="22"/>
        </w:rPr>
        <w:t>支座节点设计及构造</w:t>
      </w:r>
      <w:r>
        <w:rPr>
          <w:b w:val="0"/>
          <w:bCs/>
          <w:sz w:val="24"/>
          <w:szCs w:val="22"/>
        </w:rPr>
        <w:tab/>
      </w:r>
      <w:r>
        <w:rPr>
          <w:b w:val="0"/>
          <w:bCs/>
          <w:sz w:val="24"/>
          <w:szCs w:val="22"/>
        </w:rPr>
        <w:fldChar w:fldCharType="begin"/>
      </w:r>
      <w:r>
        <w:rPr>
          <w:b w:val="0"/>
          <w:bCs/>
          <w:sz w:val="24"/>
          <w:szCs w:val="22"/>
        </w:rPr>
        <w:instrText xml:space="preserve"> PAGEREF _Toc45313938 \h </w:instrText>
      </w:r>
      <w:r>
        <w:rPr>
          <w:b w:val="0"/>
          <w:bCs/>
          <w:sz w:val="24"/>
          <w:szCs w:val="22"/>
        </w:rPr>
        <w:fldChar w:fldCharType="separate"/>
      </w:r>
      <w:r>
        <w:rPr>
          <w:b w:val="0"/>
          <w:bCs/>
          <w:sz w:val="24"/>
          <w:szCs w:val="22"/>
        </w:rPr>
        <w:t>55</w:t>
      </w:r>
      <w:r>
        <w:rPr>
          <w:b w:val="0"/>
          <w:bCs/>
          <w:sz w:val="24"/>
          <w:szCs w:val="22"/>
        </w:rPr>
        <w:fldChar w:fldCharType="end"/>
      </w:r>
      <w:r>
        <w:rPr>
          <w:b w:val="0"/>
          <w:bCs/>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"_Toc45313939" </w:instrText>
      </w:r>
      <w:r>
        <w:fldChar w:fldCharType="separate"/>
      </w:r>
      <w:r>
        <w:rPr>
          <w:rStyle w:val="33"/>
          <w:b w:val="0"/>
          <w:color w:val="auto"/>
          <w:sz w:val="24"/>
          <w:szCs w:val="22"/>
        </w:rPr>
        <w:t>8</w:t>
      </w:r>
      <w:r>
        <w:rPr>
          <w:rFonts w:asciiTheme="minorHAnsi" w:hAnsiTheme="minorHAnsi" w:eastAsiaTheme="minorEastAsia" w:cstheme="minorBidi"/>
          <w:b w:val="0"/>
          <w:spacing w:val="0"/>
          <w:sz w:val="20"/>
          <w:szCs w:val="21"/>
        </w:rPr>
        <w:tab/>
      </w:r>
      <w:r>
        <w:rPr>
          <w:rStyle w:val="33"/>
          <w:b w:val="0"/>
          <w:color w:val="auto"/>
          <w:sz w:val="24"/>
          <w:szCs w:val="22"/>
        </w:rPr>
        <w:t>多层叠合剪力墙设计</w:t>
      </w:r>
      <w:r>
        <w:rPr>
          <w:b w:val="0"/>
          <w:sz w:val="24"/>
          <w:szCs w:val="22"/>
        </w:rPr>
        <w:tab/>
      </w:r>
      <w:r>
        <w:rPr>
          <w:b w:val="0"/>
          <w:sz w:val="24"/>
          <w:szCs w:val="22"/>
        </w:rPr>
        <w:fldChar w:fldCharType="begin"/>
      </w:r>
      <w:r>
        <w:rPr>
          <w:b w:val="0"/>
          <w:sz w:val="24"/>
          <w:szCs w:val="22"/>
        </w:rPr>
        <w:instrText xml:space="preserve"> PAGEREF _Toc45313939 \h </w:instrText>
      </w:r>
      <w:r>
        <w:rPr>
          <w:b w:val="0"/>
          <w:sz w:val="24"/>
          <w:szCs w:val="22"/>
        </w:rPr>
        <w:fldChar w:fldCharType="separate"/>
      </w:r>
      <w:r>
        <w:rPr>
          <w:b w:val="0"/>
          <w:sz w:val="24"/>
          <w:szCs w:val="22"/>
        </w:rPr>
        <w:t>61</w:t>
      </w:r>
      <w:r>
        <w:rPr>
          <w:b w:val="0"/>
          <w:sz w:val="24"/>
          <w:szCs w:val="22"/>
        </w:rPr>
        <w:fldChar w:fldCharType="end"/>
      </w:r>
      <w:r>
        <w:rPr>
          <w:b w:val="0"/>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"_Toc45313940" </w:instrText>
      </w:r>
      <w:r>
        <w:fldChar w:fldCharType="separate"/>
      </w:r>
      <w:r>
        <w:rPr>
          <w:rStyle w:val="33"/>
          <w:b w:val="0"/>
          <w:bCs/>
          <w:color w:val="auto"/>
          <w:sz w:val="24"/>
          <w:szCs w:val="22"/>
        </w:rPr>
        <w:t>8.1</w:t>
      </w:r>
      <w:r>
        <w:rPr>
          <w:rFonts w:asciiTheme="minorHAnsi" w:hAnsiTheme="minorHAnsi" w:eastAsiaTheme="minorEastAsia" w:cstheme="minorBidi"/>
          <w:b w:val="0"/>
          <w:bCs/>
          <w:smallCaps w:val="0"/>
          <w:spacing w:val="0"/>
          <w:sz w:val="20"/>
          <w:szCs w:val="21"/>
        </w:rPr>
        <w:tab/>
      </w:r>
      <w:r>
        <w:rPr>
          <w:rStyle w:val="33"/>
          <w:b w:val="0"/>
          <w:bCs/>
          <w:color w:val="auto"/>
          <w:sz w:val="24"/>
          <w:szCs w:val="22"/>
        </w:rPr>
        <w:t>一般规定</w:t>
      </w:r>
      <w:r>
        <w:rPr>
          <w:b w:val="0"/>
          <w:bCs/>
          <w:sz w:val="24"/>
          <w:szCs w:val="22"/>
        </w:rPr>
        <w:tab/>
      </w:r>
      <w:r>
        <w:rPr>
          <w:b w:val="0"/>
          <w:bCs/>
          <w:sz w:val="24"/>
          <w:szCs w:val="22"/>
        </w:rPr>
        <w:fldChar w:fldCharType="begin"/>
      </w:r>
      <w:r>
        <w:rPr>
          <w:b w:val="0"/>
          <w:bCs/>
          <w:sz w:val="24"/>
          <w:szCs w:val="22"/>
        </w:rPr>
        <w:instrText xml:space="preserve"> PAGEREF _Toc45313940 \h </w:instrText>
      </w:r>
      <w:r>
        <w:rPr>
          <w:b w:val="0"/>
          <w:bCs/>
          <w:sz w:val="24"/>
          <w:szCs w:val="22"/>
        </w:rPr>
        <w:fldChar w:fldCharType="separate"/>
      </w:r>
      <w:r>
        <w:rPr>
          <w:b w:val="0"/>
          <w:bCs/>
          <w:sz w:val="24"/>
          <w:szCs w:val="22"/>
        </w:rPr>
        <w:t>61</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"_Toc45313941" </w:instrText>
      </w:r>
      <w:r>
        <w:fldChar w:fldCharType="separate"/>
      </w:r>
      <w:r>
        <w:rPr>
          <w:rStyle w:val="33"/>
          <w:b w:val="0"/>
          <w:bCs/>
          <w:color w:val="auto"/>
          <w:sz w:val="24"/>
          <w:szCs w:val="22"/>
        </w:rPr>
        <w:t>8.2</w:t>
      </w:r>
      <w:r>
        <w:rPr>
          <w:rFonts w:asciiTheme="minorHAnsi" w:hAnsiTheme="minorHAnsi" w:eastAsiaTheme="minorEastAsia" w:cstheme="minorBidi"/>
          <w:b w:val="0"/>
          <w:bCs/>
          <w:smallCaps w:val="0"/>
          <w:spacing w:val="0"/>
          <w:sz w:val="20"/>
          <w:szCs w:val="21"/>
        </w:rPr>
        <w:tab/>
      </w:r>
      <w:r>
        <w:rPr>
          <w:rStyle w:val="33"/>
          <w:b w:val="0"/>
          <w:bCs/>
          <w:color w:val="auto"/>
          <w:sz w:val="24"/>
          <w:szCs w:val="22"/>
        </w:rPr>
        <w:t>结构设计与构造</w:t>
      </w:r>
      <w:r>
        <w:rPr>
          <w:b w:val="0"/>
          <w:bCs/>
          <w:sz w:val="24"/>
          <w:szCs w:val="22"/>
        </w:rPr>
        <w:tab/>
      </w:r>
      <w:r>
        <w:rPr>
          <w:b w:val="0"/>
          <w:bCs/>
          <w:sz w:val="24"/>
          <w:szCs w:val="22"/>
        </w:rPr>
        <w:fldChar w:fldCharType="begin"/>
      </w:r>
      <w:r>
        <w:rPr>
          <w:b w:val="0"/>
          <w:bCs/>
          <w:sz w:val="24"/>
          <w:szCs w:val="22"/>
        </w:rPr>
        <w:instrText xml:space="preserve"> PAGEREF _Toc45313941 \h </w:instrText>
      </w:r>
      <w:r>
        <w:rPr>
          <w:b w:val="0"/>
          <w:bCs/>
          <w:sz w:val="24"/>
          <w:szCs w:val="22"/>
        </w:rPr>
        <w:fldChar w:fldCharType="separate"/>
      </w:r>
      <w:r>
        <w:rPr>
          <w:b w:val="0"/>
          <w:bCs/>
          <w:sz w:val="24"/>
          <w:szCs w:val="22"/>
        </w:rPr>
        <w:t>62</w:t>
      </w:r>
      <w:r>
        <w:rPr>
          <w:b w:val="0"/>
          <w:bCs/>
          <w:sz w:val="24"/>
          <w:szCs w:val="22"/>
        </w:rPr>
        <w:fldChar w:fldCharType="end"/>
      </w:r>
      <w:r>
        <w:rPr>
          <w:b w:val="0"/>
          <w:bCs/>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"_Toc45313942" </w:instrText>
      </w:r>
      <w:r>
        <w:fldChar w:fldCharType="separate"/>
      </w:r>
      <w:r>
        <w:rPr>
          <w:rStyle w:val="33"/>
          <w:b w:val="0"/>
          <w:color w:val="auto"/>
          <w:sz w:val="24"/>
          <w:szCs w:val="22"/>
        </w:rPr>
        <w:t>9</w:t>
      </w:r>
      <w:r>
        <w:rPr>
          <w:rFonts w:asciiTheme="minorHAnsi" w:hAnsiTheme="minorHAnsi" w:eastAsiaTheme="minorEastAsia" w:cstheme="minorBidi"/>
          <w:b w:val="0"/>
          <w:spacing w:val="0"/>
          <w:sz w:val="20"/>
          <w:szCs w:val="21"/>
        </w:rPr>
        <w:tab/>
      </w:r>
      <w:r>
        <w:rPr>
          <w:rStyle w:val="33"/>
          <w:b w:val="0"/>
          <w:color w:val="auto"/>
          <w:sz w:val="24"/>
          <w:szCs w:val="22"/>
        </w:rPr>
        <w:t>构件制作与运输</w:t>
      </w:r>
      <w:r>
        <w:rPr>
          <w:b w:val="0"/>
          <w:sz w:val="24"/>
          <w:szCs w:val="22"/>
        </w:rPr>
        <w:tab/>
      </w:r>
      <w:r>
        <w:rPr>
          <w:b w:val="0"/>
          <w:sz w:val="24"/>
          <w:szCs w:val="22"/>
        </w:rPr>
        <w:fldChar w:fldCharType="begin"/>
      </w:r>
      <w:r>
        <w:rPr>
          <w:b w:val="0"/>
          <w:sz w:val="24"/>
          <w:szCs w:val="22"/>
        </w:rPr>
        <w:instrText xml:space="preserve"> PAGEREF _Toc45313942 \h </w:instrText>
      </w:r>
      <w:r>
        <w:rPr>
          <w:b w:val="0"/>
          <w:sz w:val="24"/>
          <w:szCs w:val="22"/>
        </w:rPr>
        <w:fldChar w:fldCharType="separate"/>
      </w:r>
      <w:r>
        <w:rPr>
          <w:b w:val="0"/>
          <w:sz w:val="24"/>
          <w:szCs w:val="22"/>
        </w:rPr>
        <w:t>70</w:t>
      </w:r>
      <w:r>
        <w:rPr>
          <w:b w:val="0"/>
          <w:sz w:val="24"/>
          <w:szCs w:val="22"/>
        </w:rPr>
        <w:fldChar w:fldCharType="end"/>
      </w:r>
      <w:r>
        <w:rPr>
          <w:b w:val="0"/>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"_Toc45313943" </w:instrText>
      </w:r>
      <w:r>
        <w:fldChar w:fldCharType="separate"/>
      </w:r>
      <w:r>
        <w:rPr>
          <w:rStyle w:val="33"/>
          <w:b w:val="0"/>
          <w:bCs/>
          <w:color w:val="auto"/>
          <w:sz w:val="24"/>
          <w:szCs w:val="22"/>
        </w:rPr>
        <w:t>9.1</w:t>
      </w:r>
      <w:r>
        <w:rPr>
          <w:rFonts w:asciiTheme="minorHAnsi" w:hAnsiTheme="minorHAnsi" w:eastAsiaTheme="minorEastAsia" w:cstheme="minorBidi"/>
          <w:b w:val="0"/>
          <w:bCs/>
          <w:smallCaps w:val="0"/>
          <w:spacing w:val="0"/>
          <w:sz w:val="20"/>
          <w:szCs w:val="21"/>
        </w:rPr>
        <w:tab/>
      </w:r>
      <w:r>
        <w:rPr>
          <w:rStyle w:val="33"/>
          <w:b w:val="0"/>
          <w:bCs/>
          <w:color w:val="auto"/>
          <w:sz w:val="24"/>
          <w:szCs w:val="22"/>
        </w:rPr>
        <w:t>一般规定</w:t>
      </w:r>
      <w:r>
        <w:rPr>
          <w:b w:val="0"/>
          <w:bCs/>
          <w:sz w:val="24"/>
          <w:szCs w:val="22"/>
        </w:rPr>
        <w:tab/>
      </w:r>
      <w:r>
        <w:rPr>
          <w:b w:val="0"/>
          <w:bCs/>
          <w:sz w:val="24"/>
          <w:szCs w:val="22"/>
        </w:rPr>
        <w:fldChar w:fldCharType="begin"/>
      </w:r>
      <w:r>
        <w:rPr>
          <w:b w:val="0"/>
          <w:bCs/>
          <w:sz w:val="24"/>
          <w:szCs w:val="22"/>
        </w:rPr>
        <w:instrText xml:space="preserve"> PAGEREF _Toc45313943 \h </w:instrText>
      </w:r>
      <w:r>
        <w:rPr>
          <w:b w:val="0"/>
          <w:bCs/>
          <w:sz w:val="24"/>
          <w:szCs w:val="22"/>
        </w:rPr>
        <w:fldChar w:fldCharType="separate"/>
      </w:r>
      <w:r>
        <w:rPr>
          <w:b w:val="0"/>
          <w:bCs/>
          <w:sz w:val="24"/>
          <w:szCs w:val="22"/>
        </w:rPr>
        <w:t>70</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"_Toc45313944" </w:instrText>
      </w:r>
      <w:r>
        <w:fldChar w:fldCharType="separate"/>
      </w:r>
      <w:r>
        <w:rPr>
          <w:rStyle w:val="33"/>
          <w:b w:val="0"/>
          <w:bCs/>
          <w:color w:val="auto"/>
          <w:sz w:val="24"/>
          <w:szCs w:val="22"/>
        </w:rPr>
        <w:t>9.2</w:t>
      </w:r>
      <w:r>
        <w:rPr>
          <w:rFonts w:asciiTheme="minorHAnsi" w:hAnsiTheme="minorHAnsi" w:eastAsiaTheme="minorEastAsia" w:cstheme="minorBidi"/>
          <w:b w:val="0"/>
          <w:bCs/>
          <w:smallCaps w:val="0"/>
          <w:spacing w:val="0"/>
          <w:sz w:val="20"/>
          <w:szCs w:val="21"/>
        </w:rPr>
        <w:tab/>
      </w:r>
      <w:r>
        <w:rPr>
          <w:rStyle w:val="33"/>
          <w:b w:val="0"/>
          <w:bCs/>
          <w:color w:val="auto"/>
          <w:sz w:val="24"/>
          <w:szCs w:val="22"/>
        </w:rPr>
        <w:t>原料及配件</w:t>
      </w:r>
      <w:r>
        <w:rPr>
          <w:b w:val="0"/>
          <w:bCs/>
          <w:sz w:val="24"/>
          <w:szCs w:val="22"/>
        </w:rPr>
        <w:tab/>
      </w:r>
      <w:r>
        <w:rPr>
          <w:b w:val="0"/>
          <w:bCs/>
          <w:sz w:val="24"/>
          <w:szCs w:val="22"/>
        </w:rPr>
        <w:fldChar w:fldCharType="begin"/>
      </w:r>
      <w:r>
        <w:rPr>
          <w:b w:val="0"/>
          <w:bCs/>
          <w:sz w:val="24"/>
          <w:szCs w:val="22"/>
        </w:rPr>
        <w:instrText xml:space="preserve"> PAGEREF _Toc45313944 \h </w:instrText>
      </w:r>
      <w:r>
        <w:rPr>
          <w:b w:val="0"/>
          <w:bCs/>
          <w:sz w:val="24"/>
          <w:szCs w:val="22"/>
        </w:rPr>
        <w:fldChar w:fldCharType="separate"/>
      </w:r>
      <w:r>
        <w:rPr>
          <w:b w:val="0"/>
          <w:bCs/>
          <w:sz w:val="24"/>
          <w:szCs w:val="22"/>
        </w:rPr>
        <w:t>73</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"_Toc45313945" </w:instrText>
      </w:r>
      <w:r>
        <w:fldChar w:fldCharType="separate"/>
      </w:r>
      <w:r>
        <w:rPr>
          <w:rStyle w:val="33"/>
          <w:b w:val="0"/>
          <w:bCs/>
          <w:color w:val="auto"/>
          <w:sz w:val="24"/>
          <w:szCs w:val="22"/>
        </w:rPr>
        <w:t>9.3</w:t>
      </w:r>
      <w:r>
        <w:rPr>
          <w:rFonts w:asciiTheme="minorHAnsi" w:hAnsiTheme="minorHAnsi" w:eastAsiaTheme="minorEastAsia" w:cstheme="minorBidi"/>
          <w:b w:val="0"/>
          <w:bCs/>
          <w:smallCaps w:val="0"/>
          <w:spacing w:val="0"/>
          <w:sz w:val="20"/>
          <w:szCs w:val="21"/>
        </w:rPr>
        <w:tab/>
      </w:r>
      <w:r>
        <w:rPr>
          <w:rStyle w:val="33"/>
          <w:b w:val="0"/>
          <w:bCs/>
          <w:color w:val="auto"/>
          <w:sz w:val="24"/>
          <w:szCs w:val="22"/>
        </w:rPr>
        <w:t>钢筋及预埋件</w:t>
      </w:r>
      <w:r>
        <w:rPr>
          <w:b w:val="0"/>
          <w:bCs/>
          <w:sz w:val="24"/>
          <w:szCs w:val="22"/>
        </w:rPr>
        <w:tab/>
      </w:r>
      <w:r>
        <w:rPr>
          <w:b w:val="0"/>
          <w:bCs/>
          <w:sz w:val="24"/>
          <w:szCs w:val="22"/>
        </w:rPr>
        <w:fldChar w:fldCharType="begin"/>
      </w:r>
      <w:r>
        <w:rPr>
          <w:b w:val="0"/>
          <w:bCs/>
          <w:sz w:val="24"/>
          <w:szCs w:val="22"/>
        </w:rPr>
        <w:instrText xml:space="preserve"> PAGEREF _Toc45313945 \h </w:instrText>
      </w:r>
      <w:r>
        <w:rPr>
          <w:b w:val="0"/>
          <w:bCs/>
          <w:sz w:val="24"/>
          <w:szCs w:val="22"/>
        </w:rPr>
        <w:fldChar w:fldCharType="separate"/>
      </w:r>
      <w:r>
        <w:rPr>
          <w:b w:val="0"/>
          <w:bCs/>
          <w:sz w:val="24"/>
          <w:szCs w:val="22"/>
        </w:rPr>
        <w:t>74</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"_Toc45313946" </w:instrText>
      </w:r>
      <w:r>
        <w:fldChar w:fldCharType="separate"/>
      </w:r>
      <w:r>
        <w:rPr>
          <w:rStyle w:val="33"/>
          <w:b w:val="0"/>
          <w:bCs/>
          <w:color w:val="auto"/>
          <w:sz w:val="24"/>
          <w:szCs w:val="22"/>
        </w:rPr>
        <w:t>9.4</w:t>
      </w:r>
      <w:r>
        <w:rPr>
          <w:rFonts w:asciiTheme="minorHAnsi" w:hAnsiTheme="minorHAnsi" w:eastAsiaTheme="minorEastAsia" w:cstheme="minorBidi"/>
          <w:b w:val="0"/>
          <w:bCs/>
          <w:smallCaps w:val="0"/>
          <w:spacing w:val="0"/>
          <w:sz w:val="20"/>
          <w:szCs w:val="21"/>
        </w:rPr>
        <w:tab/>
      </w:r>
      <w:r>
        <w:rPr>
          <w:rStyle w:val="33"/>
          <w:b w:val="0"/>
          <w:bCs/>
          <w:color w:val="auto"/>
          <w:sz w:val="24"/>
          <w:szCs w:val="22"/>
        </w:rPr>
        <w:t>成型、养护及脱模</w:t>
      </w:r>
      <w:r>
        <w:rPr>
          <w:b w:val="0"/>
          <w:bCs/>
          <w:sz w:val="24"/>
          <w:szCs w:val="22"/>
        </w:rPr>
        <w:tab/>
      </w:r>
      <w:r>
        <w:rPr>
          <w:b w:val="0"/>
          <w:bCs/>
          <w:sz w:val="24"/>
          <w:szCs w:val="22"/>
        </w:rPr>
        <w:fldChar w:fldCharType="begin"/>
      </w:r>
      <w:r>
        <w:rPr>
          <w:b w:val="0"/>
          <w:bCs/>
          <w:sz w:val="24"/>
          <w:szCs w:val="22"/>
        </w:rPr>
        <w:instrText xml:space="preserve"> PAGEREF _Toc45313946 \h </w:instrText>
      </w:r>
      <w:r>
        <w:rPr>
          <w:b w:val="0"/>
          <w:bCs/>
          <w:sz w:val="24"/>
          <w:szCs w:val="22"/>
        </w:rPr>
        <w:fldChar w:fldCharType="separate"/>
      </w:r>
      <w:r>
        <w:rPr>
          <w:b w:val="0"/>
          <w:bCs/>
          <w:sz w:val="24"/>
          <w:szCs w:val="22"/>
        </w:rPr>
        <w:t>76</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"_Toc45313947" </w:instrText>
      </w:r>
      <w:r>
        <w:fldChar w:fldCharType="separate"/>
      </w:r>
      <w:r>
        <w:rPr>
          <w:rStyle w:val="33"/>
          <w:b w:val="0"/>
          <w:bCs/>
          <w:color w:val="auto"/>
          <w:sz w:val="24"/>
          <w:szCs w:val="22"/>
        </w:rPr>
        <w:t>9.5</w:t>
      </w:r>
      <w:r>
        <w:rPr>
          <w:rFonts w:asciiTheme="minorHAnsi" w:hAnsiTheme="minorHAnsi" w:eastAsiaTheme="minorEastAsia" w:cstheme="minorBidi"/>
          <w:b w:val="0"/>
          <w:bCs/>
          <w:smallCaps w:val="0"/>
          <w:spacing w:val="0"/>
          <w:sz w:val="20"/>
          <w:szCs w:val="21"/>
        </w:rPr>
        <w:tab/>
      </w:r>
      <w:r>
        <w:rPr>
          <w:rStyle w:val="33"/>
          <w:b w:val="0"/>
          <w:bCs/>
          <w:color w:val="auto"/>
          <w:sz w:val="24"/>
          <w:szCs w:val="22"/>
        </w:rPr>
        <w:t>预制构件检验</w:t>
      </w:r>
      <w:r>
        <w:rPr>
          <w:b w:val="0"/>
          <w:bCs/>
          <w:sz w:val="24"/>
          <w:szCs w:val="22"/>
        </w:rPr>
        <w:tab/>
      </w:r>
      <w:r>
        <w:rPr>
          <w:b w:val="0"/>
          <w:bCs/>
          <w:sz w:val="24"/>
          <w:szCs w:val="22"/>
        </w:rPr>
        <w:fldChar w:fldCharType="begin"/>
      </w:r>
      <w:r>
        <w:rPr>
          <w:b w:val="0"/>
          <w:bCs/>
          <w:sz w:val="24"/>
          <w:szCs w:val="22"/>
        </w:rPr>
        <w:instrText xml:space="preserve"> PAGEREF _Toc45313947 \h </w:instrText>
      </w:r>
      <w:r>
        <w:rPr>
          <w:b w:val="0"/>
          <w:bCs/>
          <w:sz w:val="24"/>
          <w:szCs w:val="22"/>
        </w:rPr>
        <w:fldChar w:fldCharType="separate"/>
      </w:r>
      <w:r>
        <w:rPr>
          <w:b w:val="0"/>
          <w:bCs/>
          <w:sz w:val="24"/>
          <w:szCs w:val="22"/>
        </w:rPr>
        <w:t>78</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"_Toc45313948" </w:instrText>
      </w:r>
      <w:r>
        <w:fldChar w:fldCharType="separate"/>
      </w:r>
      <w:r>
        <w:rPr>
          <w:rStyle w:val="33"/>
          <w:b w:val="0"/>
          <w:bCs/>
          <w:color w:val="auto"/>
          <w:sz w:val="24"/>
          <w:szCs w:val="22"/>
        </w:rPr>
        <w:t>9.6</w:t>
      </w:r>
      <w:r>
        <w:rPr>
          <w:rFonts w:asciiTheme="minorHAnsi" w:hAnsiTheme="minorHAnsi" w:eastAsiaTheme="minorEastAsia" w:cstheme="minorBidi"/>
          <w:b w:val="0"/>
          <w:bCs/>
          <w:smallCaps w:val="0"/>
          <w:spacing w:val="0"/>
          <w:sz w:val="20"/>
          <w:szCs w:val="21"/>
        </w:rPr>
        <w:tab/>
      </w:r>
      <w:r>
        <w:rPr>
          <w:rStyle w:val="33"/>
          <w:b w:val="0"/>
          <w:bCs/>
          <w:color w:val="auto"/>
          <w:sz w:val="24"/>
          <w:szCs w:val="22"/>
        </w:rPr>
        <w:t>存放、吊运及防护</w:t>
      </w:r>
      <w:r>
        <w:rPr>
          <w:b w:val="0"/>
          <w:bCs/>
          <w:sz w:val="24"/>
          <w:szCs w:val="22"/>
        </w:rPr>
        <w:tab/>
      </w:r>
      <w:r>
        <w:rPr>
          <w:b w:val="0"/>
          <w:bCs/>
          <w:sz w:val="24"/>
          <w:szCs w:val="22"/>
        </w:rPr>
        <w:fldChar w:fldCharType="begin"/>
      </w:r>
      <w:r>
        <w:rPr>
          <w:b w:val="0"/>
          <w:bCs/>
          <w:sz w:val="24"/>
          <w:szCs w:val="22"/>
        </w:rPr>
        <w:instrText xml:space="preserve"> PAGEREF _Toc45313948 \h </w:instrText>
      </w:r>
      <w:r>
        <w:rPr>
          <w:b w:val="0"/>
          <w:bCs/>
          <w:sz w:val="24"/>
          <w:szCs w:val="22"/>
        </w:rPr>
        <w:fldChar w:fldCharType="separate"/>
      </w:r>
      <w:r>
        <w:rPr>
          <w:b w:val="0"/>
          <w:bCs/>
          <w:sz w:val="24"/>
          <w:szCs w:val="22"/>
        </w:rPr>
        <w:t>82</w:t>
      </w:r>
      <w:r>
        <w:rPr>
          <w:b w:val="0"/>
          <w:bCs/>
          <w:sz w:val="24"/>
          <w:szCs w:val="22"/>
        </w:rPr>
        <w:fldChar w:fldCharType="end"/>
      </w:r>
      <w:r>
        <w:rPr>
          <w:b w:val="0"/>
          <w:bCs/>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"_Toc45313949" </w:instrText>
      </w:r>
      <w:r>
        <w:fldChar w:fldCharType="separate"/>
      </w:r>
      <w:r>
        <w:rPr>
          <w:rStyle w:val="33"/>
          <w:b w:val="0"/>
          <w:color w:val="auto"/>
          <w:sz w:val="24"/>
          <w:szCs w:val="22"/>
        </w:rPr>
        <w:t>10</w:t>
      </w:r>
      <w:r>
        <w:rPr>
          <w:rFonts w:asciiTheme="minorHAnsi" w:hAnsiTheme="minorHAnsi" w:eastAsiaTheme="minorEastAsia" w:cstheme="minorBidi"/>
          <w:b w:val="0"/>
          <w:spacing w:val="0"/>
          <w:sz w:val="20"/>
          <w:szCs w:val="21"/>
        </w:rPr>
        <w:tab/>
      </w:r>
      <w:r>
        <w:rPr>
          <w:rStyle w:val="33"/>
          <w:b w:val="0"/>
          <w:color w:val="auto"/>
          <w:sz w:val="24"/>
          <w:szCs w:val="22"/>
        </w:rPr>
        <w:t>施工安装</w:t>
      </w:r>
      <w:r>
        <w:rPr>
          <w:b w:val="0"/>
          <w:sz w:val="24"/>
          <w:szCs w:val="22"/>
        </w:rPr>
        <w:tab/>
      </w:r>
      <w:r>
        <w:rPr>
          <w:b w:val="0"/>
          <w:sz w:val="24"/>
          <w:szCs w:val="22"/>
        </w:rPr>
        <w:fldChar w:fldCharType="begin"/>
      </w:r>
      <w:r>
        <w:rPr>
          <w:b w:val="0"/>
          <w:sz w:val="24"/>
          <w:szCs w:val="22"/>
        </w:rPr>
        <w:instrText xml:space="preserve"> PAGEREF _Toc45313949 \h </w:instrText>
      </w:r>
      <w:r>
        <w:rPr>
          <w:b w:val="0"/>
          <w:sz w:val="24"/>
          <w:szCs w:val="22"/>
        </w:rPr>
        <w:fldChar w:fldCharType="separate"/>
      </w:r>
      <w:r>
        <w:rPr>
          <w:b w:val="0"/>
          <w:sz w:val="24"/>
          <w:szCs w:val="22"/>
        </w:rPr>
        <w:t>84</w:t>
      </w:r>
      <w:r>
        <w:rPr>
          <w:b w:val="0"/>
          <w:sz w:val="24"/>
          <w:szCs w:val="22"/>
        </w:rPr>
        <w:fldChar w:fldCharType="end"/>
      </w:r>
      <w:r>
        <w:rPr>
          <w:b w:val="0"/>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"_Toc45313950" </w:instrText>
      </w:r>
      <w:r>
        <w:fldChar w:fldCharType="separate"/>
      </w:r>
      <w:r>
        <w:rPr>
          <w:rStyle w:val="33"/>
          <w:b w:val="0"/>
          <w:bCs/>
          <w:color w:val="auto"/>
          <w:sz w:val="24"/>
          <w:szCs w:val="22"/>
        </w:rPr>
        <w:t>10.1</w:t>
      </w:r>
      <w:r>
        <w:rPr>
          <w:rFonts w:asciiTheme="minorHAnsi" w:hAnsiTheme="minorHAnsi" w:eastAsiaTheme="minorEastAsia" w:cstheme="minorBidi"/>
          <w:b w:val="0"/>
          <w:bCs/>
          <w:smallCaps w:val="0"/>
          <w:spacing w:val="0"/>
          <w:sz w:val="20"/>
          <w:szCs w:val="21"/>
        </w:rPr>
        <w:tab/>
      </w:r>
      <w:r>
        <w:rPr>
          <w:rStyle w:val="33"/>
          <w:b w:val="0"/>
          <w:bCs/>
          <w:color w:val="auto"/>
          <w:sz w:val="24"/>
          <w:szCs w:val="22"/>
        </w:rPr>
        <w:t>一般规定</w:t>
      </w:r>
      <w:r>
        <w:rPr>
          <w:b w:val="0"/>
          <w:bCs/>
          <w:sz w:val="24"/>
          <w:szCs w:val="22"/>
        </w:rPr>
        <w:tab/>
      </w:r>
      <w:r>
        <w:rPr>
          <w:b w:val="0"/>
          <w:bCs/>
          <w:sz w:val="24"/>
          <w:szCs w:val="22"/>
        </w:rPr>
        <w:fldChar w:fldCharType="begin"/>
      </w:r>
      <w:r>
        <w:rPr>
          <w:b w:val="0"/>
          <w:bCs/>
          <w:sz w:val="24"/>
          <w:szCs w:val="22"/>
        </w:rPr>
        <w:instrText xml:space="preserve"> PAGEREF _Toc45313950 \h </w:instrText>
      </w:r>
      <w:r>
        <w:rPr>
          <w:b w:val="0"/>
          <w:bCs/>
          <w:sz w:val="24"/>
          <w:szCs w:val="22"/>
        </w:rPr>
        <w:fldChar w:fldCharType="separate"/>
      </w:r>
      <w:r>
        <w:rPr>
          <w:b w:val="0"/>
          <w:bCs/>
          <w:sz w:val="24"/>
          <w:szCs w:val="22"/>
        </w:rPr>
        <w:t>84</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"_Toc45313951" </w:instrText>
      </w:r>
      <w:r>
        <w:fldChar w:fldCharType="separate"/>
      </w:r>
      <w:r>
        <w:rPr>
          <w:rStyle w:val="33"/>
          <w:b w:val="0"/>
          <w:bCs/>
          <w:color w:val="auto"/>
          <w:sz w:val="24"/>
          <w:szCs w:val="22"/>
        </w:rPr>
        <w:t>10.2</w:t>
      </w:r>
      <w:r>
        <w:rPr>
          <w:rFonts w:asciiTheme="minorHAnsi" w:hAnsiTheme="minorHAnsi" w:eastAsiaTheme="minorEastAsia" w:cstheme="minorBidi"/>
          <w:b w:val="0"/>
          <w:bCs/>
          <w:smallCaps w:val="0"/>
          <w:spacing w:val="0"/>
          <w:sz w:val="20"/>
          <w:szCs w:val="21"/>
        </w:rPr>
        <w:tab/>
      </w:r>
      <w:r>
        <w:rPr>
          <w:rStyle w:val="33"/>
          <w:b w:val="0"/>
          <w:bCs/>
          <w:color w:val="auto"/>
          <w:sz w:val="24"/>
          <w:szCs w:val="22"/>
        </w:rPr>
        <w:t>施工现场预制构件的吊运及堆放</w:t>
      </w:r>
      <w:r>
        <w:rPr>
          <w:b w:val="0"/>
          <w:bCs/>
          <w:sz w:val="24"/>
          <w:szCs w:val="22"/>
        </w:rPr>
        <w:tab/>
      </w:r>
      <w:r>
        <w:rPr>
          <w:b w:val="0"/>
          <w:bCs/>
          <w:sz w:val="24"/>
          <w:szCs w:val="22"/>
        </w:rPr>
        <w:fldChar w:fldCharType="begin"/>
      </w:r>
      <w:r>
        <w:rPr>
          <w:b w:val="0"/>
          <w:bCs/>
          <w:sz w:val="24"/>
          <w:szCs w:val="22"/>
        </w:rPr>
        <w:instrText xml:space="preserve"> PAGEREF _Toc45313951 \h </w:instrText>
      </w:r>
      <w:r>
        <w:rPr>
          <w:b w:val="0"/>
          <w:bCs/>
          <w:sz w:val="24"/>
          <w:szCs w:val="22"/>
        </w:rPr>
        <w:fldChar w:fldCharType="separate"/>
      </w:r>
      <w:r>
        <w:rPr>
          <w:b w:val="0"/>
          <w:bCs/>
          <w:sz w:val="24"/>
          <w:szCs w:val="22"/>
        </w:rPr>
        <w:t>86</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"_Toc45313952" </w:instrText>
      </w:r>
      <w:r>
        <w:fldChar w:fldCharType="separate"/>
      </w:r>
      <w:r>
        <w:rPr>
          <w:rStyle w:val="33"/>
          <w:b w:val="0"/>
          <w:bCs/>
          <w:color w:val="auto"/>
          <w:sz w:val="24"/>
          <w:szCs w:val="22"/>
        </w:rPr>
        <w:t>10.3</w:t>
      </w:r>
      <w:r>
        <w:rPr>
          <w:rFonts w:asciiTheme="minorHAnsi" w:hAnsiTheme="minorHAnsi" w:eastAsiaTheme="minorEastAsia" w:cstheme="minorBidi"/>
          <w:b w:val="0"/>
          <w:bCs/>
          <w:smallCaps w:val="0"/>
          <w:spacing w:val="0"/>
          <w:sz w:val="20"/>
          <w:szCs w:val="21"/>
        </w:rPr>
        <w:tab/>
      </w:r>
      <w:r>
        <w:rPr>
          <w:rStyle w:val="33"/>
          <w:b w:val="0"/>
          <w:bCs/>
          <w:color w:val="auto"/>
          <w:sz w:val="24"/>
          <w:szCs w:val="22"/>
        </w:rPr>
        <w:t>预制构件安装</w:t>
      </w:r>
      <w:r>
        <w:rPr>
          <w:b w:val="0"/>
          <w:bCs/>
          <w:sz w:val="24"/>
          <w:szCs w:val="22"/>
        </w:rPr>
        <w:tab/>
      </w:r>
      <w:r>
        <w:rPr>
          <w:b w:val="0"/>
          <w:bCs/>
          <w:sz w:val="24"/>
          <w:szCs w:val="22"/>
        </w:rPr>
        <w:fldChar w:fldCharType="begin"/>
      </w:r>
      <w:r>
        <w:rPr>
          <w:b w:val="0"/>
          <w:bCs/>
          <w:sz w:val="24"/>
          <w:szCs w:val="22"/>
        </w:rPr>
        <w:instrText xml:space="preserve"> PAGEREF _Toc45313952 \h </w:instrText>
      </w:r>
      <w:r>
        <w:rPr>
          <w:b w:val="0"/>
          <w:bCs/>
          <w:sz w:val="24"/>
          <w:szCs w:val="22"/>
        </w:rPr>
        <w:fldChar w:fldCharType="separate"/>
      </w:r>
      <w:r>
        <w:rPr>
          <w:b w:val="0"/>
          <w:bCs/>
          <w:sz w:val="24"/>
          <w:szCs w:val="22"/>
        </w:rPr>
        <w:t>88</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"_Toc45313953" </w:instrText>
      </w:r>
      <w:r>
        <w:fldChar w:fldCharType="separate"/>
      </w:r>
      <w:r>
        <w:rPr>
          <w:rStyle w:val="33"/>
          <w:b w:val="0"/>
          <w:bCs/>
          <w:color w:val="auto"/>
          <w:sz w:val="24"/>
          <w:szCs w:val="22"/>
        </w:rPr>
        <w:t>10.4</w:t>
      </w:r>
      <w:r>
        <w:rPr>
          <w:rFonts w:asciiTheme="minorHAnsi" w:hAnsiTheme="minorHAnsi" w:eastAsiaTheme="minorEastAsia" w:cstheme="minorBidi"/>
          <w:b w:val="0"/>
          <w:bCs/>
          <w:smallCaps w:val="0"/>
          <w:spacing w:val="0"/>
          <w:sz w:val="20"/>
          <w:szCs w:val="21"/>
        </w:rPr>
        <w:tab/>
      </w:r>
      <w:r>
        <w:rPr>
          <w:rStyle w:val="33"/>
          <w:b w:val="0"/>
          <w:bCs/>
          <w:color w:val="auto"/>
          <w:sz w:val="24"/>
          <w:szCs w:val="22"/>
        </w:rPr>
        <w:t>后浇混凝土施工</w:t>
      </w:r>
      <w:r>
        <w:rPr>
          <w:b w:val="0"/>
          <w:bCs/>
          <w:sz w:val="24"/>
          <w:szCs w:val="22"/>
        </w:rPr>
        <w:tab/>
      </w:r>
      <w:r>
        <w:rPr>
          <w:b w:val="0"/>
          <w:bCs/>
          <w:sz w:val="24"/>
          <w:szCs w:val="22"/>
        </w:rPr>
        <w:fldChar w:fldCharType="begin"/>
      </w:r>
      <w:r>
        <w:rPr>
          <w:b w:val="0"/>
          <w:bCs/>
          <w:sz w:val="24"/>
          <w:szCs w:val="22"/>
        </w:rPr>
        <w:instrText xml:space="preserve"> PAGEREF _Toc45313953 \h </w:instrText>
      </w:r>
      <w:r>
        <w:rPr>
          <w:b w:val="0"/>
          <w:bCs/>
          <w:sz w:val="24"/>
          <w:szCs w:val="22"/>
        </w:rPr>
        <w:fldChar w:fldCharType="separate"/>
      </w:r>
      <w:r>
        <w:rPr>
          <w:b w:val="0"/>
          <w:bCs/>
          <w:sz w:val="24"/>
          <w:szCs w:val="22"/>
        </w:rPr>
        <w:t>90</w:t>
      </w:r>
      <w:r>
        <w:rPr>
          <w:b w:val="0"/>
          <w:bCs/>
          <w:sz w:val="24"/>
          <w:szCs w:val="22"/>
        </w:rPr>
        <w:fldChar w:fldCharType="end"/>
      </w:r>
      <w:r>
        <w:rPr>
          <w:b w:val="0"/>
          <w:bCs/>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"_Toc45313954" </w:instrText>
      </w:r>
      <w:r>
        <w:fldChar w:fldCharType="separate"/>
      </w:r>
      <w:r>
        <w:rPr>
          <w:rStyle w:val="33"/>
          <w:b w:val="0"/>
          <w:color w:val="auto"/>
          <w:sz w:val="24"/>
          <w:szCs w:val="22"/>
        </w:rPr>
        <w:t>11</w:t>
      </w:r>
      <w:r>
        <w:rPr>
          <w:rFonts w:asciiTheme="minorHAnsi" w:hAnsiTheme="minorHAnsi" w:eastAsiaTheme="minorEastAsia" w:cstheme="minorBidi"/>
          <w:b w:val="0"/>
          <w:spacing w:val="0"/>
          <w:sz w:val="20"/>
          <w:szCs w:val="21"/>
        </w:rPr>
        <w:tab/>
      </w:r>
      <w:r>
        <w:rPr>
          <w:rStyle w:val="33"/>
          <w:b w:val="0"/>
          <w:color w:val="auto"/>
          <w:sz w:val="24"/>
          <w:szCs w:val="22"/>
        </w:rPr>
        <w:t>质量验收</w:t>
      </w:r>
      <w:r>
        <w:rPr>
          <w:b w:val="0"/>
          <w:sz w:val="24"/>
          <w:szCs w:val="22"/>
        </w:rPr>
        <w:tab/>
      </w:r>
      <w:r>
        <w:rPr>
          <w:b w:val="0"/>
          <w:sz w:val="24"/>
          <w:szCs w:val="22"/>
        </w:rPr>
        <w:fldChar w:fldCharType="begin"/>
      </w:r>
      <w:r>
        <w:rPr>
          <w:b w:val="0"/>
          <w:sz w:val="24"/>
          <w:szCs w:val="22"/>
        </w:rPr>
        <w:instrText xml:space="preserve"> PAGEREF _Toc45313954 \h </w:instrText>
      </w:r>
      <w:r>
        <w:rPr>
          <w:b w:val="0"/>
          <w:sz w:val="24"/>
          <w:szCs w:val="22"/>
        </w:rPr>
        <w:fldChar w:fldCharType="separate"/>
      </w:r>
      <w:r>
        <w:rPr>
          <w:b w:val="0"/>
          <w:sz w:val="24"/>
          <w:szCs w:val="22"/>
        </w:rPr>
        <w:t>92</w:t>
      </w:r>
      <w:r>
        <w:rPr>
          <w:b w:val="0"/>
          <w:sz w:val="24"/>
          <w:szCs w:val="22"/>
        </w:rPr>
        <w:fldChar w:fldCharType="end"/>
      </w:r>
      <w:r>
        <w:rPr>
          <w:b w:val="0"/>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"_Toc45313955" </w:instrText>
      </w:r>
      <w:r>
        <w:fldChar w:fldCharType="separate"/>
      </w:r>
      <w:r>
        <w:rPr>
          <w:rStyle w:val="33"/>
          <w:b w:val="0"/>
          <w:bCs/>
          <w:color w:val="auto"/>
          <w:sz w:val="24"/>
          <w:szCs w:val="22"/>
        </w:rPr>
        <w:t>11.1</w:t>
      </w:r>
      <w:r>
        <w:rPr>
          <w:rFonts w:asciiTheme="minorHAnsi" w:hAnsiTheme="minorHAnsi" w:eastAsiaTheme="minorEastAsia" w:cstheme="minorBidi"/>
          <w:b w:val="0"/>
          <w:bCs/>
          <w:smallCaps w:val="0"/>
          <w:spacing w:val="0"/>
          <w:sz w:val="20"/>
          <w:szCs w:val="21"/>
        </w:rPr>
        <w:tab/>
      </w:r>
      <w:r>
        <w:rPr>
          <w:rStyle w:val="33"/>
          <w:b w:val="0"/>
          <w:bCs/>
          <w:color w:val="auto"/>
          <w:sz w:val="24"/>
          <w:szCs w:val="22"/>
        </w:rPr>
        <w:t>一般规定</w:t>
      </w:r>
      <w:r>
        <w:rPr>
          <w:b w:val="0"/>
          <w:bCs/>
          <w:sz w:val="24"/>
          <w:szCs w:val="22"/>
        </w:rPr>
        <w:tab/>
      </w:r>
      <w:r>
        <w:rPr>
          <w:b w:val="0"/>
          <w:bCs/>
          <w:sz w:val="24"/>
          <w:szCs w:val="22"/>
        </w:rPr>
        <w:fldChar w:fldCharType="begin"/>
      </w:r>
      <w:r>
        <w:rPr>
          <w:b w:val="0"/>
          <w:bCs/>
          <w:sz w:val="24"/>
          <w:szCs w:val="22"/>
        </w:rPr>
        <w:instrText xml:space="preserve"> PAGEREF _Toc45313955 \h </w:instrText>
      </w:r>
      <w:r>
        <w:rPr>
          <w:b w:val="0"/>
          <w:bCs/>
          <w:sz w:val="24"/>
          <w:szCs w:val="22"/>
        </w:rPr>
        <w:fldChar w:fldCharType="separate"/>
      </w:r>
      <w:r>
        <w:rPr>
          <w:b w:val="0"/>
          <w:bCs/>
          <w:sz w:val="24"/>
          <w:szCs w:val="22"/>
        </w:rPr>
        <w:t>92</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"_Toc45313956" </w:instrText>
      </w:r>
      <w:r>
        <w:fldChar w:fldCharType="separate"/>
      </w:r>
      <w:r>
        <w:rPr>
          <w:rStyle w:val="33"/>
          <w:b w:val="0"/>
          <w:bCs/>
          <w:color w:val="auto"/>
          <w:sz w:val="24"/>
          <w:szCs w:val="22"/>
        </w:rPr>
        <w:t>11.2</w:t>
      </w:r>
      <w:r>
        <w:rPr>
          <w:rFonts w:asciiTheme="minorHAnsi" w:hAnsiTheme="minorHAnsi" w:eastAsiaTheme="minorEastAsia" w:cstheme="minorBidi"/>
          <w:b w:val="0"/>
          <w:bCs/>
          <w:smallCaps w:val="0"/>
          <w:spacing w:val="0"/>
          <w:sz w:val="20"/>
          <w:szCs w:val="21"/>
        </w:rPr>
        <w:tab/>
      </w:r>
      <w:r>
        <w:rPr>
          <w:rStyle w:val="33"/>
          <w:b w:val="0"/>
          <w:bCs/>
          <w:color w:val="auto"/>
          <w:sz w:val="24"/>
          <w:szCs w:val="22"/>
        </w:rPr>
        <w:t>预制构件</w:t>
      </w:r>
      <w:r>
        <w:rPr>
          <w:b w:val="0"/>
          <w:bCs/>
          <w:sz w:val="24"/>
          <w:szCs w:val="22"/>
        </w:rPr>
        <w:tab/>
      </w:r>
      <w:r>
        <w:rPr>
          <w:b w:val="0"/>
          <w:bCs/>
          <w:sz w:val="24"/>
          <w:szCs w:val="22"/>
        </w:rPr>
        <w:fldChar w:fldCharType="begin"/>
      </w:r>
      <w:r>
        <w:rPr>
          <w:b w:val="0"/>
          <w:bCs/>
          <w:sz w:val="24"/>
          <w:szCs w:val="22"/>
        </w:rPr>
        <w:instrText xml:space="preserve"> PAGEREF _Toc45313956 \h </w:instrText>
      </w:r>
      <w:r>
        <w:rPr>
          <w:b w:val="0"/>
          <w:bCs/>
          <w:sz w:val="24"/>
          <w:szCs w:val="22"/>
        </w:rPr>
        <w:fldChar w:fldCharType="separate"/>
      </w:r>
      <w:r>
        <w:rPr>
          <w:b w:val="0"/>
          <w:bCs/>
          <w:sz w:val="24"/>
          <w:szCs w:val="22"/>
        </w:rPr>
        <w:t>94</w:t>
      </w:r>
      <w:r>
        <w:rPr>
          <w:b w:val="0"/>
          <w:bCs/>
          <w:sz w:val="24"/>
          <w:szCs w:val="22"/>
        </w:rPr>
        <w:fldChar w:fldCharType="end"/>
      </w:r>
      <w:r>
        <w:rPr>
          <w:b w:val="0"/>
          <w:bCs/>
          <w:sz w:val="24"/>
          <w:szCs w:val="22"/>
        </w:rPr>
        <w:fldChar w:fldCharType="end"/>
      </w:r>
    </w:p>
    <w:p>
      <w:pPr>
        <w:pStyle w:val="26"/>
        <w:spacing w:line="240" w:lineRule="auto"/>
        <w:ind w:firstLine="441"/>
        <w:rPr>
          <w:rFonts w:asciiTheme="minorHAnsi" w:hAnsiTheme="minorHAnsi" w:eastAsiaTheme="minorEastAsia" w:cstheme="minorBidi"/>
          <w:b w:val="0"/>
          <w:bCs/>
          <w:smallCaps w:val="0"/>
          <w:spacing w:val="0"/>
          <w:sz w:val="20"/>
          <w:szCs w:val="21"/>
        </w:rPr>
      </w:pPr>
      <w:r>
        <w:fldChar w:fldCharType="begin"/>
      </w:r>
      <w:r>
        <w:instrText xml:space="preserve"> HYPERLINK \l "_Toc45313957" </w:instrText>
      </w:r>
      <w:r>
        <w:fldChar w:fldCharType="separate"/>
      </w:r>
      <w:r>
        <w:rPr>
          <w:rStyle w:val="33"/>
          <w:b w:val="0"/>
          <w:bCs/>
          <w:color w:val="auto"/>
          <w:sz w:val="24"/>
          <w:szCs w:val="22"/>
        </w:rPr>
        <w:t>11.3</w:t>
      </w:r>
      <w:r>
        <w:rPr>
          <w:rFonts w:asciiTheme="minorHAnsi" w:hAnsiTheme="minorHAnsi" w:eastAsiaTheme="minorEastAsia" w:cstheme="minorBidi"/>
          <w:b w:val="0"/>
          <w:bCs/>
          <w:smallCaps w:val="0"/>
          <w:spacing w:val="0"/>
          <w:sz w:val="20"/>
          <w:szCs w:val="21"/>
        </w:rPr>
        <w:tab/>
      </w:r>
      <w:r>
        <w:rPr>
          <w:rStyle w:val="33"/>
          <w:b w:val="0"/>
          <w:bCs/>
          <w:color w:val="auto"/>
          <w:sz w:val="24"/>
          <w:szCs w:val="22"/>
        </w:rPr>
        <w:t>安装与连接</w:t>
      </w:r>
      <w:r>
        <w:rPr>
          <w:b w:val="0"/>
          <w:bCs/>
          <w:sz w:val="24"/>
          <w:szCs w:val="22"/>
        </w:rPr>
        <w:tab/>
      </w:r>
      <w:r>
        <w:rPr>
          <w:b w:val="0"/>
          <w:bCs/>
          <w:sz w:val="24"/>
          <w:szCs w:val="22"/>
        </w:rPr>
        <w:fldChar w:fldCharType="begin"/>
      </w:r>
      <w:r>
        <w:rPr>
          <w:b w:val="0"/>
          <w:bCs/>
          <w:sz w:val="24"/>
          <w:szCs w:val="22"/>
        </w:rPr>
        <w:instrText xml:space="preserve"> PAGEREF _Toc45313957 \h </w:instrText>
      </w:r>
      <w:r>
        <w:rPr>
          <w:b w:val="0"/>
          <w:bCs/>
          <w:sz w:val="24"/>
          <w:szCs w:val="22"/>
        </w:rPr>
        <w:fldChar w:fldCharType="separate"/>
      </w:r>
      <w:r>
        <w:rPr>
          <w:b w:val="0"/>
          <w:bCs/>
          <w:sz w:val="24"/>
          <w:szCs w:val="22"/>
        </w:rPr>
        <w:t>95</w:t>
      </w:r>
      <w:r>
        <w:rPr>
          <w:b w:val="0"/>
          <w:bCs/>
          <w:sz w:val="24"/>
          <w:szCs w:val="22"/>
        </w:rPr>
        <w:fldChar w:fldCharType="end"/>
      </w:r>
      <w:r>
        <w:rPr>
          <w:b w:val="0"/>
          <w:bCs/>
          <w:sz w:val="24"/>
          <w:szCs w:val="22"/>
        </w:rPr>
        <w:fldChar w:fldCharType="end"/>
      </w:r>
    </w:p>
    <w:p>
      <w:pPr>
        <w:pStyle w:val="23"/>
        <w:rPr>
          <w:rFonts w:asciiTheme="minorHAnsi" w:hAnsiTheme="minorHAnsi" w:eastAsiaTheme="minorEastAsia" w:cstheme="minorBidi"/>
          <w:b w:val="0"/>
          <w:spacing w:val="0"/>
          <w:sz w:val="20"/>
          <w:szCs w:val="21"/>
        </w:rPr>
      </w:pPr>
      <w:r>
        <w:fldChar w:fldCharType="begin"/>
      </w:r>
      <w:r>
        <w:instrText xml:space="preserve"> HYPERLINK \l "_Toc45313958" </w:instrText>
      </w:r>
      <w:r>
        <w:fldChar w:fldCharType="separate"/>
      </w:r>
      <w:r>
        <w:rPr>
          <w:rStyle w:val="33"/>
          <w:b w:val="0"/>
          <w:color w:val="auto"/>
          <w:sz w:val="24"/>
          <w:szCs w:val="22"/>
        </w:rPr>
        <w:t>本规程用词说明</w:t>
      </w:r>
      <w:r>
        <w:rPr>
          <w:b w:val="0"/>
          <w:sz w:val="24"/>
          <w:szCs w:val="22"/>
        </w:rPr>
        <w:tab/>
      </w:r>
      <w:r>
        <w:rPr>
          <w:b w:val="0"/>
          <w:sz w:val="24"/>
          <w:szCs w:val="22"/>
        </w:rPr>
        <w:fldChar w:fldCharType="begin"/>
      </w:r>
      <w:r>
        <w:rPr>
          <w:b w:val="0"/>
          <w:sz w:val="24"/>
          <w:szCs w:val="22"/>
        </w:rPr>
        <w:instrText xml:space="preserve"> PAGEREF _Toc45313958 \h </w:instrText>
      </w:r>
      <w:r>
        <w:rPr>
          <w:b w:val="0"/>
          <w:sz w:val="24"/>
          <w:szCs w:val="22"/>
        </w:rPr>
        <w:fldChar w:fldCharType="separate"/>
      </w:r>
      <w:r>
        <w:rPr>
          <w:b w:val="0"/>
          <w:sz w:val="24"/>
          <w:szCs w:val="22"/>
        </w:rPr>
        <w:t>98</w:t>
      </w:r>
      <w:r>
        <w:rPr>
          <w:b w:val="0"/>
          <w:sz w:val="24"/>
          <w:szCs w:val="22"/>
        </w:rPr>
        <w:fldChar w:fldCharType="end"/>
      </w:r>
      <w:r>
        <w:rPr>
          <w:b w:val="0"/>
          <w:sz w:val="24"/>
          <w:szCs w:val="22"/>
        </w:rPr>
        <w:fldChar w:fldCharType="end"/>
      </w:r>
    </w:p>
    <w:p>
      <w:pPr>
        <w:pStyle w:val="23"/>
        <w:rPr>
          <w:rFonts w:asciiTheme="minorHAnsi" w:hAnsiTheme="minorHAnsi" w:eastAsiaTheme="minorEastAsia" w:cstheme="minorBidi"/>
          <w:spacing w:val="0"/>
          <w:sz w:val="21"/>
          <w:szCs w:val="22"/>
        </w:rPr>
      </w:pPr>
      <w:r>
        <w:fldChar w:fldCharType="begin"/>
      </w:r>
      <w:r>
        <w:instrText xml:space="preserve"> HYPERLINK \l "_Toc45313959" </w:instrText>
      </w:r>
      <w:r>
        <w:fldChar w:fldCharType="separate"/>
      </w:r>
      <w:r>
        <w:rPr>
          <w:rStyle w:val="33"/>
          <w:b w:val="0"/>
          <w:color w:val="auto"/>
          <w:sz w:val="24"/>
          <w:szCs w:val="22"/>
        </w:rPr>
        <w:t>引用标准名录</w:t>
      </w:r>
      <w:r>
        <w:rPr>
          <w:b w:val="0"/>
          <w:sz w:val="24"/>
          <w:szCs w:val="22"/>
        </w:rPr>
        <w:tab/>
      </w:r>
      <w:r>
        <w:rPr>
          <w:b w:val="0"/>
          <w:sz w:val="24"/>
          <w:szCs w:val="22"/>
        </w:rPr>
        <w:fldChar w:fldCharType="begin"/>
      </w:r>
      <w:r>
        <w:rPr>
          <w:b w:val="0"/>
          <w:sz w:val="24"/>
          <w:szCs w:val="22"/>
        </w:rPr>
        <w:instrText xml:space="preserve"> PAGEREF _Toc45313959 \h </w:instrText>
      </w:r>
      <w:r>
        <w:rPr>
          <w:b w:val="0"/>
          <w:sz w:val="24"/>
          <w:szCs w:val="22"/>
        </w:rPr>
        <w:fldChar w:fldCharType="separate"/>
      </w:r>
      <w:r>
        <w:rPr>
          <w:b w:val="0"/>
          <w:sz w:val="24"/>
          <w:szCs w:val="22"/>
        </w:rPr>
        <w:t>99</w:t>
      </w:r>
      <w:r>
        <w:rPr>
          <w:b w:val="0"/>
          <w:sz w:val="24"/>
          <w:szCs w:val="22"/>
        </w:rPr>
        <w:fldChar w:fldCharType="end"/>
      </w:r>
      <w:r>
        <w:rPr>
          <w:b w:val="0"/>
          <w:sz w:val="24"/>
          <w:szCs w:val="22"/>
        </w:rPr>
        <w:fldChar w:fldCharType="end"/>
      </w:r>
    </w:p>
    <w:p>
      <w:pPr>
        <w:rPr>
          <w:szCs w:val="24"/>
        </w:rPr>
      </w:pPr>
      <w:r>
        <w:rPr>
          <w:szCs w:val="24"/>
        </w:rPr>
        <w:fldChar w:fldCharType="end"/>
      </w:r>
    </w:p>
    <w:p>
      <w:pPr>
        <w:rPr>
          <w:szCs w:val="24"/>
        </w:rPr>
      </w:pPr>
    </w:p>
    <w:p>
      <w:pPr>
        <w:rPr>
          <w:szCs w:val="24"/>
        </w:rPr>
      </w:pPr>
    </w:p>
    <w:p>
      <w:pPr>
        <w:rPr>
          <w:szCs w:val="24"/>
        </w:rPr>
        <w:sectPr>
          <w:headerReference r:id="rId8" w:type="default"/>
          <w:footerReference r:id="rId9" w:type="default"/>
          <w:type w:val="continuous"/>
          <w:pgSz w:w="11906" w:h="16838"/>
          <w:pgMar w:top="1440" w:right="1797" w:bottom="1440" w:left="1797" w:header="851" w:footer="992" w:gutter="0"/>
          <w:pgNumType w:start="1"/>
          <w:cols w:space="425" w:num="1"/>
          <w:docGrid w:type="lines" w:linePitch="312" w:charSpace="0"/>
        </w:sectPr>
      </w:pPr>
    </w:p>
    <w:p>
      <w:pPr>
        <w:pageBreakBefore/>
        <w:spacing w:after="326" w:afterLines="100"/>
        <w:jc w:val="center"/>
        <w:rPr>
          <w:rFonts w:asciiTheme="minorHAnsi" w:hAnsiTheme="minorHAnsi" w:eastAsiaTheme="minorEastAsia" w:cstheme="minorBidi"/>
          <w:b/>
          <w:caps/>
          <w:spacing w:val="0"/>
          <w:sz w:val="20"/>
          <w:szCs w:val="21"/>
        </w:rPr>
      </w:pPr>
      <w:bookmarkStart w:id="22" w:name="_Toc41210645"/>
      <w:bookmarkStart w:id="23" w:name="_Toc38635315"/>
      <w:bookmarkStart w:id="24" w:name="_Toc38289828"/>
      <w:bookmarkStart w:id="25" w:name="_Toc38289883"/>
      <w:bookmarkStart w:id="26" w:name="_Toc38652802"/>
      <w:bookmarkStart w:id="27" w:name="_Toc41210694"/>
      <w:bookmarkStart w:id="28" w:name="_Toc38367596"/>
      <w:r>
        <w:rPr>
          <w:rFonts w:eastAsia="黑体"/>
          <w:bCs/>
          <w:sz w:val="36"/>
          <w:szCs w:val="36"/>
        </w:rPr>
        <w:t>Contents</w:t>
      </w:r>
      <w:bookmarkEnd w:id="22"/>
      <w:bookmarkEnd w:id="23"/>
      <w:bookmarkEnd w:id="24"/>
      <w:bookmarkEnd w:id="25"/>
      <w:bookmarkEnd w:id="26"/>
      <w:bookmarkEnd w:id="27"/>
      <w:bookmarkEnd w:id="28"/>
      <w:r>
        <w:rPr>
          <w:rFonts w:eastAsia="黑体"/>
          <w:bCs/>
          <w:sz w:val="36"/>
          <w:szCs w:val="36"/>
        </w:rPr>
        <w:fldChar w:fldCharType="begin"/>
      </w:r>
      <w:r>
        <w:rPr>
          <w:rFonts w:eastAsia="黑体"/>
          <w:bCs/>
          <w:sz w:val="36"/>
          <w:szCs w:val="36"/>
        </w:rPr>
        <w:instrText xml:space="preserve"> TOC \o "1-2" \h \z \u </w:instrText>
      </w:r>
      <w:r>
        <w:rPr>
          <w:rFonts w:eastAsia="黑体"/>
          <w:bCs/>
          <w:sz w:val="36"/>
          <w:szCs w:val="36"/>
        </w:rPr>
        <w:fldChar w:fldCharType="separate"/>
      </w:r>
    </w:p>
    <w:p>
      <w:pPr>
        <w:pStyle w:val="23"/>
        <w:rPr>
          <w:b w:val="0"/>
          <w:bCs w:val="0"/>
          <w:sz w:val="24"/>
          <w:szCs w:val="22"/>
        </w:rPr>
      </w:pPr>
      <w:bookmarkStart w:id="29" w:name="_Hlk45574634"/>
      <w:r>
        <w:rPr>
          <w:b w:val="0"/>
          <w:bCs w:val="0"/>
        </w:rPr>
        <w:fldChar w:fldCharType="begin"/>
      </w:r>
      <w:r>
        <w:rPr>
          <w:b w:val="0"/>
          <w:bCs w:val="0"/>
        </w:rPr>
        <w:instrText xml:space="preserve"> HYPERLINK \l "_Toc38289884" </w:instrText>
      </w:r>
      <w:r>
        <w:rPr>
          <w:b w:val="0"/>
          <w:bCs w:val="0"/>
        </w:rPr>
        <w:fldChar w:fldCharType="separate"/>
      </w:r>
      <w:r>
        <w:rPr>
          <w:b w:val="0"/>
          <w:bCs w:val="0"/>
          <w:caps w:val="0"/>
          <w:sz w:val="24"/>
          <w:szCs w:val="22"/>
        </w:rPr>
        <w:t>1</w:t>
      </w:r>
      <w:r>
        <w:rPr>
          <w:b w:val="0"/>
          <w:bCs w:val="0"/>
          <w:caps w:val="0"/>
          <w:sz w:val="24"/>
          <w:szCs w:val="22"/>
        </w:rPr>
        <w:tab/>
      </w:r>
      <w:r>
        <w:rPr>
          <w:b w:val="0"/>
          <w:bCs w:val="0"/>
          <w:caps w:val="0"/>
          <w:sz w:val="24"/>
          <w:szCs w:val="22"/>
        </w:rPr>
        <w:t>General Provisions</w:t>
      </w:r>
      <w:r>
        <w:rPr>
          <w:b w:val="0"/>
          <w:bCs w:val="0"/>
          <w:caps w:val="0"/>
          <w:sz w:val="24"/>
          <w:szCs w:val="22"/>
        </w:rPr>
        <w:tab/>
      </w:r>
      <w:r>
        <w:rPr>
          <w:b w:val="0"/>
          <w:bCs w:val="0"/>
          <w:sz w:val="24"/>
          <w:szCs w:val="22"/>
        </w:rPr>
        <w:t>1</w:t>
      </w:r>
      <w:r>
        <w:rPr>
          <w:b w:val="0"/>
          <w:bCs w:val="0"/>
          <w:sz w:val="24"/>
          <w:szCs w:val="22"/>
        </w:rPr>
        <w:fldChar w:fldCharType="end"/>
      </w:r>
    </w:p>
    <w:p>
      <w:pPr>
        <w:pStyle w:val="23"/>
        <w:rPr>
          <w:b w:val="0"/>
          <w:bCs w:val="0"/>
          <w:kern w:val="44"/>
          <w:sz w:val="24"/>
          <w:szCs w:val="22"/>
        </w:rPr>
      </w:pPr>
      <w:r>
        <w:fldChar w:fldCharType="begin"/>
      </w:r>
      <w:r>
        <w:instrText xml:space="preserve"> HYPERLINK \l "_Toc38289885" </w:instrText>
      </w:r>
      <w:r>
        <w:fldChar w:fldCharType="separate"/>
      </w:r>
      <w:r>
        <w:rPr>
          <w:b w:val="0"/>
          <w:bCs w:val="0"/>
          <w:caps w:val="0"/>
          <w:kern w:val="44"/>
          <w:sz w:val="24"/>
          <w:szCs w:val="22"/>
        </w:rPr>
        <w:t>2</w:t>
      </w:r>
      <w:r>
        <w:rPr>
          <w:b w:val="0"/>
          <w:bCs w:val="0"/>
          <w:caps w:val="0"/>
          <w:kern w:val="44"/>
          <w:sz w:val="24"/>
          <w:szCs w:val="22"/>
        </w:rPr>
        <w:tab/>
      </w:r>
      <w:r>
        <w:rPr>
          <w:b w:val="0"/>
          <w:bCs w:val="0"/>
          <w:caps w:val="0"/>
          <w:kern w:val="44"/>
          <w:sz w:val="24"/>
          <w:szCs w:val="22"/>
        </w:rPr>
        <w:t>Terms and Symbols</w:t>
      </w:r>
      <w:r>
        <w:rPr>
          <w:b w:val="0"/>
          <w:bCs w:val="0"/>
          <w:caps w:val="0"/>
          <w:kern w:val="44"/>
          <w:sz w:val="24"/>
          <w:szCs w:val="22"/>
        </w:rPr>
        <w:tab/>
      </w:r>
      <w:r>
        <w:rPr>
          <w:b w:val="0"/>
          <w:bCs w:val="0"/>
          <w:caps w:val="0"/>
          <w:kern w:val="44"/>
          <w:sz w:val="24"/>
          <w:szCs w:val="22"/>
        </w:rPr>
        <w:t>2</w:t>
      </w:r>
      <w:r>
        <w:rPr>
          <w:b w:val="0"/>
          <w:bCs w:val="0"/>
          <w: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"_Toc38289886" </w:instrText>
      </w:r>
      <w:r>
        <w:fldChar w:fldCharType="separate"/>
      </w:r>
      <w:r>
        <w:rPr>
          <w:b w:val="0"/>
          <w:smallCaps w:val="0"/>
          <w:kern w:val="44"/>
          <w:sz w:val="24"/>
          <w:szCs w:val="22"/>
        </w:rPr>
        <w:t>2.1</w:t>
      </w:r>
      <w:r>
        <w:rPr>
          <w:b w:val="0"/>
          <w:smallCaps w:val="0"/>
          <w:kern w:val="44"/>
          <w:sz w:val="24"/>
          <w:szCs w:val="22"/>
        </w:rPr>
        <w:tab/>
      </w:r>
      <w:r>
        <w:rPr>
          <w:b w:val="0"/>
          <w:smallCaps w:val="0"/>
          <w:kern w:val="44"/>
          <w:sz w:val="24"/>
          <w:szCs w:val="22"/>
        </w:rPr>
        <w:t>Terms</w:t>
      </w:r>
      <w:r>
        <w:rPr>
          <w:b w:val="0"/>
          <w:smallCaps w:val="0"/>
          <w:kern w:val="44"/>
          <w:sz w:val="24"/>
          <w:szCs w:val="22"/>
        </w:rPr>
        <w:tab/>
      </w:r>
      <w:r>
        <w:rPr>
          <w:b w:val="0"/>
          <w:smallCaps w:val="0"/>
          <w:kern w:val="44"/>
          <w:sz w:val="24"/>
          <w:szCs w:val="22"/>
        </w:rPr>
        <w:t>2</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"_Toc38289887" </w:instrText>
      </w:r>
      <w:r>
        <w:fldChar w:fldCharType="separate"/>
      </w:r>
      <w:r>
        <w:rPr>
          <w:b w:val="0"/>
          <w:smallCaps w:val="0"/>
          <w:kern w:val="44"/>
          <w:sz w:val="24"/>
          <w:szCs w:val="22"/>
        </w:rPr>
        <w:t>2.2</w:t>
      </w:r>
      <w:r>
        <w:rPr>
          <w:b w:val="0"/>
          <w:smallCaps w:val="0"/>
          <w:kern w:val="44"/>
          <w:sz w:val="24"/>
          <w:szCs w:val="22"/>
        </w:rPr>
        <w:tab/>
      </w:r>
      <w:r>
        <w:rPr>
          <w:b w:val="0"/>
          <w:smallCaps w:val="0"/>
          <w:kern w:val="44"/>
          <w:sz w:val="24"/>
          <w:szCs w:val="22"/>
        </w:rPr>
        <w:t>Symbols</w:t>
      </w:r>
      <w:r>
        <w:rPr>
          <w:b w:val="0"/>
          <w:smallCaps w:val="0"/>
          <w:kern w:val="44"/>
          <w:sz w:val="24"/>
          <w:szCs w:val="22"/>
        </w:rPr>
        <w:tab/>
      </w:r>
      <w:r>
        <w:rPr>
          <w:b w:val="0"/>
          <w:smallCaps w:val="0"/>
          <w:kern w:val="44"/>
          <w:sz w:val="24"/>
          <w:szCs w:val="22"/>
        </w:rPr>
        <w:t>7</w:t>
      </w:r>
      <w:r>
        <w:rPr>
          <w:b w:val="0"/>
          <w:smallCaps w:val="0"/>
          <w:kern w:val="44"/>
          <w:sz w:val="24"/>
          <w:szCs w:val="22"/>
        </w:rPr>
        <w:fldChar w:fldCharType="end"/>
      </w:r>
    </w:p>
    <w:p>
      <w:pPr>
        <w:pStyle w:val="23"/>
        <w:rPr>
          <w:b w:val="0"/>
          <w:bCs w:val="0"/>
          <w:sz w:val="24"/>
          <w:szCs w:val="22"/>
        </w:rPr>
      </w:pPr>
      <w:r>
        <w:fldChar w:fldCharType="begin"/>
      </w:r>
      <w:r>
        <w:instrText xml:space="preserve"> HYPERLINK \l "_Toc38289888" </w:instrText>
      </w:r>
      <w:r>
        <w:fldChar w:fldCharType="separate"/>
      </w:r>
      <w:r>
        <w:rPr>
          <w:b w:val="0"/>
          <w:bCs w:val="0"/>
          <w:caps w:val="0"/>
          <w:sz w:val="24"/>
          <w:szCs w:val="22"/>
        </w:rPr>
        <w:t>3</w:t>
      </w:r>
      <w:r>
        <w:rPr>
          <w:b w:val="0"/>
          <w:bCs w:val="0"/>
          <w:caps w:val="0"/>
          <w:sz w:val="24"/>
          <w:szCs w:val="22"/>
        </w:rPr>
        <w:tab/>
      </w:r>
      <w:r>
        <w:rPr>
          <w:b w:val="0"/>
          <w:bCs w:val="0"/>
          <w:caps w:val="0"/>
          <w:sz w:val="24"/>
          <w:szCs w:val="22"/>
        </w:rPr>
        <w:t>Basic Requirements</w:t>
      </w:r>
      <w:r>
        <w:rPr>
          <w:b w:val="0"/>
          <w:bCs w:val="0"/>
          <w:caps w:val="0"/>
          <w:sz w:val="24"/>
          <w:szCs w:val="22"/>
        </w:rPr>
        <w:tab/>
      </w:r>
      <w:r>
        <w:rPr>
          <w:b w:val="0"/>
          <w:bCs w:val="0"/>
          <w:sz w:val="24"/>
          <w:szCs w:val="22"/>
        </w:rPr>
        <w:t>8</w:t>
      </w:r>
      <w:r>
        <w:rPr>
          <w:b w:val="0"/>
          <w:bCs w:val="0"/>
          <w:sz w:val="24"/>
          <w:szCs w:val="22"/>
        </w:rPr>
        <w:fldChar w:fldCharType="end"/>
      </w:r>
    </w:p>
    <w:p>
      <w:pPr>
        <w:pStyle w:val="23"/>
        <w:rPr>
          <w:b w:val="0"/>
          <w:bCs w:val="0"/>
          <w:sz w:val="24"/>
          <w:szCs w:val="22"/>
        </w:rPr>
      </w:pPr>
      <w:r>
        <w:fldChar w:fldCharType="begin"/>
      </w:r>
      <w:r>
        <w:instrText xml:space="preserve"> HYPERLINK \l "_Toc38289888" </w:instrText>
      </w:r>
      <w:r>
        <w:fldChar w:fldCharType="separate"/>
      </w:r>
      <w:r>
        <w:rPr>
          <w:b w:val="0"/>
          <w:bCs w:val="0"/>
          <w:caps w:val="0"/>
          <w:sz w:val="24"/>
          <w:szCs w:val="22"/>
        </w:rPr>
        <w:t>4</w:t>
      </w:r>
      <w:r>
        <w:rPr>
          <w:b w:val="0"/>
          <w:bCs w:val="0"/>
          <w:caps w:val="0"/>
          <w:sz w:val="24"/>
          <w:szCs w:val="22"/>
        </w:rPr>
        <w:tab/>
      </w:r>
      <w:r>
        <w:rPr>
          <w:b w:val="0"/>
          <w:bCs w:val="0"/>
          <w:caps w:val="0"/>
          <w:sz w:val="24"/>
          <w:szCs w:val="22"/>
        </w:rPr>
        <w:t>Materials</w:t>
      </w:r>
      <w:r>
        <w:rPr>
          <w:b w:val="0"/>
          <w:bCs w:val="0"/>
          <w:caps w:val="0"/>
          <w:sz w:val="24"/>
          <w:szCs w:val="22"/>
        </w:rPr>
        <w:tab/>
      </w:r>
      <w:r>
        <w:rPr>
          <w:b w:val="0"/>
          <w:bCs w:val="0"/>
          <w:sz w:val="24"/>
          <w:szCs w:val="22"/>
        </w:rPr>
        <w:t>10</w:t>
      </w:r>
      <w:r>
        <w:rPr>
          <w:b w:val="0"/>
          <w:bCs w:val="0"/>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"_Toc38289889" </w:instrText>
      </w:r>
      <w:r>
        <w:fldChar w:fldCharType="separate"/>
      </w:r>
      <w:r>
        <w:rPr>
          <w:b w:val="0"/>
          <w:smallCaps w:val="0"/>
          <w:kern w:val="44"/>
          <w:sz w:val="24"/>
          <w:szCs w:val="22"/>
        </w:rPr>
        <w:t>4.1</w:t>
      </w:r>
      <w:r>
        <w:rPr>
          <w:b w:val="0"/>
          <w:smallCaps w:val="0"/>
          <w:kern w:val="44"/>
          <w:sz w:val="24"/>
          <w:szCs w:val="22"/>
        </w:rPr>
        <w:tab/>
      </w:r>
      <w:r>
        <w:rPr>
          <w:b w:val="0"/>
          <w:smallCaps w:val="0"/>
          <w:kern w:val="44"/>
          <w:sz w:val="24"/>
          <w:szCs w:val="22"/>
        </w:rPr>
        <w:t>Concrete</w:t>
      </w:r>
      <w:r>
        <w:rPr>
          <w:b w:val="0"/>
          <w:smallCaps w:val="0"/>
          <w:kern w:val="44"/>
          <w:sz w:val="24"/>
          <w:szCs w:val="22"/>
        </w:rPr>
        <w:tab/>
      </w:r>
      <w:r>
        <w:rPr>
          <w:b w:val="0"/>
          <w:smallCaps w:val="0"/>
          <w:kern w:val="44"/>
          <w:sz w:val="24"/>
          <w:szCs w:val="22"/>
        </w:rPr>
        <w:t>10</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"_Toc38289890" </w:instrText>
      </w:r>
      <w:r>
        <w:fldChar w:fldCharType="separate"/>
      </w:r>
      <w:r>
        <w:rPr>
          <w:b w:val="0"/>
          <w:smallCaps w:val="0"/>
          <w:kern w:val="44"/>
          <w:sz w:val="24"/>
          <w:szCs w:val="22"/>
        </w:rPr>
        <w:t>4.2</w:t>
      </w:r>
      <w:r>
        <w:rPr>
          <w:b w:val="0"/>
          <w:smallCaps w:val="0"/>
          <w:kern w:val="44"/>
          <w:sz w:val="24"/>
          <w:szCs w:val="22"/>
        </w:rPr>
        <w:tab/>
      </w:r>
      <w:r>
        <w:rPr>
          <w:b w:val="0"/>
          <w:smallCaps w:val="0"/>
          <w:kern w:val="44"/>
          <w:sz w:val="24"/>
          <w:szCs w:val="22"/>
        </w:rPr>
        <w:t>Steel Reinforcement, Steels and Connection Materials</w:t>
      </w:r>
      <w:r>
        <w:rPr>
          <w:b w:val="0"/>
          <w:smallCaps w:val="0"/>
          <w:kern w:val="44"/>
          <w:sz w:val="24"/>
          <w:szCs w:val="22"/>
        </w:rPr>
        <w:tab/>
      </w:r>
      <w:r>
        <w:rPr>
          <w:b w:val="0"/>
          <w:smallCaps w:val="0"/>
          <w:kern w:val="44"/>
          <w:sz w:val="24"/>
          <w:szCs w:val="22"/>
        </w:rPr>
        <w:t>11</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"_Toc38289891" </w:instrText>
      </w:r>
      <w:r>
        <w:fldChar w:fldCharType="separate"/>
      </w:r>
      <w:r>
        <w:rPr>
          <w:b w:val="0"/>
          <w:smallCaps w:val="0"/>
          <w:kern w:val="44"/>
          <w:sz w:val="24"/>
          <w:szCs w:val="22"/>
        </w:rPr>
        <w:t>4.3</w:t>
      </w:r>
      <w:r>
        <w:rPr>
          <w:b w:val="0"/>
          <w:smallCaps w:val="0"/>
          <w:kern w:val="44"/>
          <w:sz w:val="24"/>
          <w:szCs w:val="22"/>
        </w:rPr>
        <w:tab/>
      </w:r>
      <w:r>
        <w:rPr>
          <w:b w:val="0"/>
          <w:smallCaps w:val="0"/>
          <w:kern w:val="44"/>
          <w:sz w:val="24"/>
          <w:szCs w:val="22"/>
        </w:rPr>
        <w:t>Steel-Bars Truss</w:t>
      </w:r>
      <w:r>
        <w:rPr>
          <w:b w:val="0"/>
          <w:smallCaps w:val="0"/>
          <w:kern w:val="44"/>
          <w:sz w:val="24"/>
          <w:szCs w:val="22"/>
        </w:rPr>
        <w:tab/>
      </w:r>
      <w:r>
        <w:rPr>
          <w:b w:val="0"/>
          <w:smallCaps w:val="0"/>
          <w:kern w:val="44"/>
          <w:sz w:val="24"/>
          <w:szCs w:val="22"/>
        </w:rPr>
        <w:t>12</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"_Toc38289892" </w:instrText>
      </w:r>
      <w:r>
        <w:fldChar w:fldCharType="separate"/>
      </w:r>
      <w:r>
        <w:rPr>
          <w:b w:val="0"/>
          <w:smallCaps w:val="0"/>
          <w:kern w:val="44"/>
          <w:sz w:val="24"/>
          <w:szCs w:val="22"/>
        </w:rPr>
        <w:t>4.4</w:t>
      </w:r>
      <w:r>
        <w:rPr>
          <w:b w:val="0"/>
          <w:smallCaps w:val="0"/>
          <w:kern w:val="44"/>
          <w:sz w:val="24"/>
          <w:szCs w:val="22"/>
        </w:rPr>
        <w:tab/>
      </w:r>
      <w:r>
        <w:rPr>
          <w:b w:val="0"/>
          <w:smallCaps w:val="0"/>
          <w:kern w:val="44"/>
          <w:sz w:val="24"/>
          <w:szCs w:val="22"/>
        </w:rPr>
        <w:t>Other Materials</w:t>
      </w:r>
      <w:r>
        <w:rPr>
          <w:b w:val="0"/>
          <w:smallCaps w:val="0"/>
          <w:kern w:val="44"/>
          <w:sz w:val="24"/>
          <w:szCs w:val="22"/>
        </w:rPr>
        <w:tab/>
      </w:r>
      <w:r>
        <w:rPr>
          <w:b w:val="0"/>
          <w:smallCaps w:val="0"/>
          <w:kern w:val="44"/>
          <w:sz w:val="24"/>
          <w:szCs w:val="22"/>
        </w:rPr>
        <w:t>15</w:t>
      </w:r>
      <w:r>
        <w:rPr>
          <w:b w:val="0"/>
          <w:smallCaps w:val="0"/>
          <w:kern w:val="44"/>
          <w:sz w:val="24"/>
          <w:szCs w:val="22"/>
        </w:rPr>
        <w:fldChar w:fldCharType="end"/>
      </w:r>
    </w:p>
    <w:p>
      <w:pPr>
        <w:pStyle w:val="23"/>
        <w:rPr>
          <w:b w:val="0"/>
          <w:bCs w:val="0"/>
          <w:sz w:val="24"/>
          <w:szCs w:val="22"/>
        </w:rPr>
      </w:pPr>
      <w:r>
        <w:fldChar w:fldCharType="begin"/>
      </w:r>
      <w:r>
        <w:instrText xml:space="preserve"> HYPERLINK \l "_Toc38289893" </w:instrText>
      </w:r>
      <w:r>
        <w:fldChar w:fldCharType="separate"/>
      </w:r>
      <w:r>
        <w:rPr>
          <w:b w:val="0"/>
          <w:bCs w:val="0"/>
          <w:caps w:val="0"/>
          <w:sz w:val="24"/>
          <w:szCs w:val="22"/>
        </w:rPr>
        <w:t>5</w:t>
      </w:r>
      <w:r>
        <w:rPr>
          <w:b w:val="0"/>
          <w:bCs w:val="0"/>
          <w:caps w:val="0"/>
          <w:sz w:val="24"/>
          <w:szCs w:val="22"/>
        </w:rPr>
        <w:tab/>
      </w:r>
      <w:r>
        <w:rPr>
          <w:b w:val="0"/>
          <w:bCs w:val="0"/>
          <w:caps w:val="0"/>
          <w:sz w:val="24"/>
          <w:szCs w:val="22"/>
        </w:rPr>
        <w:t>Structural Design</w:t>
      </w:r>
      <w:r>
        <w:rPr>
          <w:b w:val="0"/>
          <w:bCs w:val="0"/>
          <w:caps w:val="0"/>
          <w:sz w:val="24"/>
          <w:szCs w:val="22"/>
        </w:rPr>
        <w:tab/>
      </w:r>
      <w:r>
        <w:rPr>
          <w:b w:val="0"/>
          <w:bCs w:val="0"/>
          <w:sz w:val="24"/>
          <w:szCs w:val="22"/>
        </w:rPr>
        <w:t>16</w:t>
      </w:r>
      <w:r>
        <w:rPr>
          <w:b w:val="0"/>
          <w:bCs w:val="0"/>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"_Toc38289894" </w:instrText>
      </w:r>
      <w:r>
        <w:fldChar w:fldCharType="separate"/>
      </w:r>
      <w:r>
        <w:rPr>
          <w:b w:val="0"/>
          <w:smallCaps w:val="0"/>
          <w:kern w:val="44"/>
          <w:sz w:val="24"/>
          <w:szCs w:val="22"/>
        </w:rPr>
        <w:t>5.1</w:t>
      </w:r>
      <w:r>
        <w:rPr>
          <w:b w:val="0"/>
          <w:smallCaps w:val="0"/>
          <w:kern w:val="44"/>
          <w:sz w:val="24"/>
          <w:szCs w:val="22"/>
        </w:rPr>
        <w:tab/>
      </w:r>
      <w:r>
        <w:rPr>
          <w:b w:val="0"/>
          <w:smallCaps w:val="0"/>
          <w:kern w:val="44"/>
          <w:sz w:val="24"/>
          <w:szCs w:val="22"/>
        </w:rPr>
        <w:t>General Requirements</w:t>
      </w:r>
      <w:r>
        <w:rPr>
          <w:b w:val="0"/>
          <w:smallCaps w:val="0"/>
          <w:kern w:val="44"/>
          <w:sz w:val="24"/>
          <w:szCs w:val="22"/>
        </w:rPr>
        <w:tab/>
      </w:r>
      <w:r>
        <w:rPr>
          <w:b w:val="0"/>
          <w:smallCaps w:val="0"/>
          <w:kern w:val="44"/>
          <w:sz w:val="24"/>
          <w:szCs w:val="22"/>
        </w:rPr>
        <w:t>16</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"_Toc38289895" </w:instrText>
      </w:r>
      <w:r>
        <w:fldChar w:fldCharType="separate"/>
      </w:r>
      <w:r>
        <w:rPr>
          <w:b w:val="0"/>
          <w:smallCaps w:val="0"/>
          <w:kern w:val="44"/>
          <w:sz w:val="24"/>
          <w:szCs w:val="22"/>
        </w:rPr>
        <w:t>5.2</w:t>
      </w:r>
      <w:r>
        <w:rPr>
          <w:b w:val="0"/>
          <w:smallCaps w:val="0"/>
          <w:kern w:val="44"/>
          <w:sz w:val="24"/>
          <w:szCs w:val="22"/>
        </w:rPr>
        <w:tab/>
      </w:r>
      <w:r>
        <w:rPr>
          <w:b w:val="0"/>
          <w:smallCaps w:val="0"/>
          <w:kern w:val="44"/>
          <w:sz w:val="24"/>
          <w:szCs w:val="22"/>
        </w:rPr>
        <w:t>Structural Plan Layout and Vertical Arrangement</w:t>
      </w:r>
      <w:r>
        <w:rPr>
          <w:b w:val="0"/>
          <w:smallCaps w:val="0"/>
          <w:kern w:val="44"/>
          <w:sz w:val="24"/>
          <w:szCs w:val="22"/>
        </w:rPr>
        <w:tab/>
      </w:r>
      <w:r>
        <w:rPr>
          <w:b w:val="0"/>
          <w:smallCaps w:val="0"/>
          <w:kern w:val="44"/>
          <w:sz w:val="24"/>
          <w:szCs w:val="22"/>
        </w:rPr>
        <w:t>23</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"_Toc38289896" </w:instrText>
      </w:r>
      <w:r>
        <w:fldChar w:fldCharType="separate"/>
      </w:r>
      <w:r>
        <w:rPr>
          <w:b w:val="0"/>
          <w:smallCaps w:val="0"/>
          <w:kern w:val="44"/>
          <w:sz w:val="24"/>
          <w:szCs w:val="22"/>
        </w:rPr>
        <w:t>5.3</w:t>
      </w:r>
      <w:r>
        <w:rPr>
          <w:b w:val="0"/>
          <w:smallCaps w:val="0"/>
          <w:kern w:val="44"/>
          <w:sz w:val="24"/>
          <w:szCs w:val="22"/>
        </w:rPr>
        <w:tab/>
      </w:r>
      <w:r>
        <w:rPr>
          <w:b w:val="0"/>
          <w:smallCaps w:val="0"/>
          <w:kern w:val="44"/>
          <w:sz w:val="24"/>
          <w:szCs w:val="22"/>
        </w:rPr>
        <w:t>Structural Analysis</w:t>
      </w:r>
      <w:r>
        <w:rPr>
          <w:b w:val="0"/>
          <w:smallCaps w:val="0"/>
          <w:kern w:val="44"/>
          <w:sz w:val="24"/>
          <w:szCs w:val="22"/>
        </w:rPr>
        <w:tab/>
      </w:r>
      <w:r>
        <w:rPr>
          <w:b w:val="0"/>
          <w:smallCaps w:val="0"/>
          <w:kern w:val="44"/>
          <w:sz w:val="24"/>
          <w:szCs w:val="22"/>
        </w:rPr>
        <w:t>25</w:t>
      </w:r>
      <w:r>
        <w:rPr>
          <w:b w:val="0"/>
          <w:smallCaps w:val="0"/>
          <w:kern w:val="44"/>
          <w:sz w:val="24"/>
          <w:szCs w:val="22"/>
        </w:rPr>
        <w:fldChar w:fldCharType="end"/>
      </w:r>
    </w:p>
    <w:p>
      <w:pPr>
        <w:pStyle w:val="23"/>
        <w:rPr>
          <w:b w:val="0"/>
          <w:bCs w:val="0"/>
          <w:sz w:val="24"/>
          <w:szCs w:val="22"/>
        </w:rPr>
      </w:pPr>
      <w:r>
        <w:fldChar w:fldCharType="begin"/>
      </w:r>
      <w:r>
        <w:instrText xml:space="preserve"> HYPERLINK \l "_Toc38289902" </w:instrText>
      </w:r>
      <w:r>
        <w:fldChar w:fldCharType="separate"/>
      </w:r>
      <w:r>
        <w:rPr>
          <w:b w:val="0"/>
          <w:bCs w:val="0"/>
          <w:caps w:val="0"/>
          <w:sz w:val="24"/>
          <w:szCs w:val="22"/>
        </w:rPr>
        <w:t>6</w:t>
      </w:r>
      <w:r>
        <w:rPr>
          <w:b w:val="0"/>
          <w:bCs w:val="0"/>
          <w:caps w:val="0"/>
          <w:sz w:val="24"/>
          <w:szCs w:val="22"/>
        </w:rPr>
        <w:tab/>
      </w:r>
      <w:r>
        <w:rPr>
          <w:b w:val="0"/>
          <w:bCs w:val="0"/>
          <w:caps w:val="0"/>
          <w:sz w:val="24"/>
          <w:szCs w:val="22"/>
        </w:rPr>
        <w:t xml:space="preserve">Design of Precast Composite Shear Wall Design </w:t>
      </w:r>
      <w:r>
        <w:rPr>
          <w:b w:val="0"/>
          <w:bCs w:val="0"/>
          <w:caps w:val="0"/>
          <w:sz w:val="24"/>
          <w:szCs w:val="22"/>
        </w:rPr>
        <w:tab/>
      </w:r>
      <w:r>
        <w:rPr>
          <w:b w:val="0"/>
          <w:bCs w:val="0"/>
          <w:sz w:val="24"/>
          <w:szCs w:val="22"/>
        </w:rPr>
        <w:t>28</w:t>
      </w:r>
      <w:r>
        <w:rPr>
          <w:b w:val="0"/>
          <w:bCs w:val="0"/>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"_Toc38289903" </w:instrText>
      </w:r>
      <w:r>
        <w:fldChar w:fldCharType="separate"/>
      </w:r>
      <w:r>
        <w:rPr>
          <w:b w:val="0"/>
          <w:smallCaps w:val="0"/>
          <w:kern w:val="44"/>
          <w:sz w:val="24"/>
          <w:szCs w:val="22"/>
        </w:rPr>
        <w:t>6.1</w:t>
      </w:r>
      <w:r>
        <w:rPr>
          <w:b w:val="0"/>
          <w:smallCaps w:val="0"/>
          <w:kern w:val="44"/>
          <w:sz w:val="24"/>
          <w:szCs w:val="22"/>
        </w:rPr>
        <w:tab/>
      </w:r>
      <w:r>
        <w:rPr>
          <w:b w:val="0"/>
          <w:smallCaps w:val="0"/>
          <w:kern w:val="44"/>
          <w:sz w:val="24"/>
          <w:szCs w:val="22"/>
        </w:rPr>
        <w:t>General Requirements</w:t>
      </w:r>
      <w:r>
        <w:rPr>
          <w:b w:val="0"/>
          <w:smallCaps w:val="0"/>
          <w:kern w:val="44"/>
          <w:sz w:val="24"/>
          <w:szCs w:val="22"/>
        </w:rPr>
        <w:tab/>
      </w:r>
      <w:r>
        <w:rPr>
          <w:b w:val="0"/>
          <w:smallCaps w:val="0"/>
          <w:kern w:val="44"/>
          <w:sz w:val="24"/>
          <w:szCs w:val="22"/>
        </w:rPr>
        <w:t>28</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"_Toc38289904" </w:instrText>
      </w:r>
      <w:r>
        <w:fldChar w:fldCharType="separate"/>
      </w:r>
      <w:r>
        <w:rPr>
          <w:b w:val="0"/>
          <w:smallCaps w:val="0"/>
          <w:kern w:val="44"/>
          <w:sz w:val="24"/>
          <w:szCs w:val="22"/>
        </w:rPr>
        <w:t>6.2</w:t>
      </w:r>
      <w:r>
        <w:rPr>
          <w:b w:val="0"/>
          <w:smallCaps w:val="0"/>
          <w:kern w:val="44"/>
          <w:sz w:val="24"/>
          <w:szCs w:val="22"/>
        </w:rPr>
        <w:tab/>
      </w:r>
      <w:r>
        <w:rPr>
          <w:b w:val="0"/>
          <w:smallCaps w:val="0"/>
          <w:kern w:val="44"/>
          <w:sz w:val="24"/>
          <w:szCs w:val="22"/>
        </w:rPr>
        <w:t>Structural Design and Detailing</w:t>
      </w:r>
      <w:r>
        <w:rPr>
          <w:b w:val="0"/>
          <w:smallCaps w:val="0"/>
          <w:kern w:val="44"/>
          <w:sz w:val="24"/>
          <w:szCs w:val="22"/>
        </w:rPr>
        <w:tab/>
      </w:r>
      <w:r>
        <w:rPr>
          <w:b w:val="0"/>
          <w:smallCaps w:val="0"/>
          <w:kern w:val="44"/>
          <w:sz w:val="24"/>
          <w:szCs w:val="22"/>
        </w:rPr>
        <w:t>32</w:t>
      </w:r>
      <w:r>
        <w:rPr>
          <w:b w:val="0"/>
          <w:smallCaps w:val="0"/>
          <w:kern w:val="44"/>
          <w:sz w:val="24"/>
          <w:szCs w:val="22"/>
        </w:rPr>
        <w:fldChar w:fldCharType="end"/>
      </w:r>
    </w:p>
    <w:p>
      <w:pPr>
        <w:pStyle w:val="26"/>
        <w:tabs>
          <w:tab w:val="left" w:pos="959"/>
          <w:tab w:val="clear" w:pos="1200"/>
        </w:tabs>
        <w:ind w:left="1028" w:leftChars="157" w:hanging="576" w:hangingChars="200"/>
        <w:rPr>
          <w:b w:val="0"/>
          <w:smallCaps w:val="0"/>
          <w:kern w:val="44"/>
          <w:sz w:val="24"/>
          <w:szCs w:val="22"/>
        </w:rPr>
      </w:pPr>
      <w:r>
        <w:fldChar w:fldCharType="begin"/>
      </w:r>
      <w:r>
        <w:instrText xml:space="preserve"> HYPERLINK \l "_Toc38289905" </w:instrText>
      </w:r>
      <w:r>
        <w:fldChar w:fldCharType="separate"/>
      </w:r>
      <w:r>
        <w:rPr>
          <w:b w:val="0"/>
          <w:smallCaps w:val="0"/>
          <w:kern w:val="44"/>
          <w:sz w:val="24"/>
          <w:szCs w:val="22"/>
        </w:rPr>
        <w:t>6.3</w:t>
      </w:r>
      <w:r>
        <w:rPr>
          <w:b w:val="0"/>
          <w:smallCaps w:val="0"/>
          <w:kern w:val="44"/>
          <w:sz w:val="24"/>
          <w:szCs w:val="22"/>
        </w:rPr>
        <w:tab/>
      </w:r>
      <w:r>
        <w:rPr>
          <w:b w:val="0"/>
          <w:smallCaps w:val="0"/>
          <w:kern w:val="44"/>
          <w:sz w:val="24"/>
          <w:szCs w:val="22"/>
        </w:rPr>
        <w:t>Connection Design and Detailing</w:t>
      </w:r>
      <w:r>
        <w:rPr>
          <w:b w:val="0"/>
          <w:smallCaps w:val="0"/>
          <w:kern w:val="44"/>
          <w:sz w:val="24"/>
          <w:szCs w:val="22"/>
        </w:rPr>
        <w:tab/>
      </w:r>
      <w:r>
        <w:rPr>
          <w:b w:val="0"/>
          <w:smallCaps w:val="0"/>
          <w:kern w:val="44"/>
          <w:sz w:val="24"/>
          <w:szCs w:val="22"/>
        </w:rPr>
        <w:t>36</w:t>
      </w:r>
      <w:r>
        <w:rPr>
          <w:b w:val="0"/>
          <w:smallCaps w:val="0"/>
          <w:kern w:val="44"/>
          <w:sz w:val="24"/>
          <w:szCs w:val="22"/>
        </w:rPr>
        <w:fldChar w:fldCharType="end"/>
      </w:r>
    </w:p>
    <w:p>
      <w:pPr>
        <w:pStyle w:val="23"/>
        <w:rPr>
          <w:b w:val="0"/>
          <w:bCs w:val="0"/>
          <w:kern w:val="44"/>
          <w:sz w:val="24"/>
          <w:szCs w:val="22"/>
        </w:rPr>
      </w:pPr>
      <w:r>
        <w:fldChar w:fldCharType="begin"/>
      </w:r>
      <w:r>
        <w:instrText xml:space="preserve"> HYPERLINK \l "_Toc38289910" </w:instrText>
      </w:r>
      <w:r>
        <w:fldChar w:fldCharType="separate"/>
      </w:r>
      <w:r>
        <w:rPr>
          <w:b w:val="0"/>
          <w:bCs w:val="0"/>
          <w:caps w:val="0"/>
          <w:kern w:val="44"/>
          <w:sz w:val="24"/>
          <w:szCs w:val="22"/>
        </w:rPr>
        <w:t>7</w:t>
      </w:r>
      <w:r>
        <w:rPr>
          <w:b w:val="0"/>
          <w:bCs w:val="0"/>
          <w:caps w:val="0"/>
          <w:kern w:val="44"/>
          <w:sz w:val="24"/>
          <w:szCs w:val="22"/>
        </w:rPr>
        <w:tab/>
      </w:r>
      <w:r>
        <w:rPr>
          <w:b w:val="0"/>
          <w:bCs w:val="0"/>
          <w:caps w:val="0"/>
          <w:kern w:val="44"/>
          <w:sz w:val="24"/>
          <w:szCs w:val="22"/>
        </w:rPr>
        <w:t>Slab Design</w:t>
      </w:r>
      <w:r>
        <w:rPr>
          <w:b w:val="0"/>
          <w:bCs w:val="0"/>
          <w:caps w:val="0"/>
          <w:kern w:val="44"/>
          <w:sz w:val="24"/>
          <w:szCs w:val="22"/>
        </w:rPr>
        <w:tab/>
      </w:r>
      <w:r>
        <w:rPr>
          <w:b w:val="0"/>
          <w:bCs w:val="0"/>
          <w:caps w:val="0"/>
          <w:kern w:val="44"/>
          <w:sz w:val="24"/>
          <w:szCs w:val="22"/>
        </w:rPr>
        <w:t>45</w:t>
      </w:r>
      <w:r>
        <w:rPr>
          <w:b w:val="0"/>
          <w:bCs w:val="0"/>
          <w: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"_Toc38289911" </w:instrText>
      </w:r>
      <w:r>
        <w:fldChar w:fldCharType="separate"/>
      </w:r>
      <w:r>
        <w:rPr>
          <w:b w:val="0"/>
          <w:smallCaps w:val="0"/>
          <w:kern w:val="44"/>
          <w:sz w:val="24"/>
          <w:szCs w:val="22"/>
        </w:rPr>
        <w:t>7.1</w:t>
      </w:r>
      <w:r>
        <w:rPr>
          <w:b w:val="0"/>
          <w:smallCaps w:val="0"/>
          <w:kern w:val="44"/>
          <w:sz w:val="24"/>
          <w:szCs w:val="22"/>
        </w:rPr>
        <w:tab/>
      </w:r>
      <w:r>
        <w:rPr>
          <w:b w:val="0"/>
          <w:smallCaps w:val="0"/>
          <w:kern w:val="44"/>
          <w:sz w:val="24"/>
          <w:szCs w:val="22"/>
        </w:rPr>
        <w:t>General Requirements</w:t>
      </w:r>
      <w:r>
        <w:rPr>
          <w:b w:val="0"/>
          <w:smallCaps w:val="0"/>
          <w:kern w:val="44"/>
          <w:sz w:val="24"/>
          <w:szCs w:val="22"/>
        </w:rPr>
        <w:tab/>
      </w:r>
      <w:r>
        <w:rPr>
          <w:b w:val="0"/>
          <w:smallCaps w:val="0"/>
          <w:kern w:val="44"/>
          <w:sz w:val="24"/>
          <w:szCs w:val="22"/>
        </w:rPr>
        <w:t>45</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"_Toc38289912" </w:instrText>
      </w:r>
      <w:r>
        <w:fldChar w:fldCharType="separate"/>
      </w:r>
      <w:r>
        <w:rPr>
          <w:b w:val="0"/>
          <w:smallCaps w:val="0"/>
          <w:kern w:val="44"/>
          <w:sz w:val="24"/>
          <w:szCs w:val="22"/>
        </w:rPr>
        <w:t>7.2</w:t>
      </w:r>
      <w:r>
        <w:rPr>
          <w:b w:val="0"/>
          <w:smallCaps w:val="0"/>
          <w:kern w:val="44"/>
          <w:sz w:val="24"/>
          <w:szCs w:val="22"/>
        </w:rPr>
        <w:tab/>
      </w:r>
      <w:r>
        <w:rPr>
          <w:b w:val="0"/>
          <w:smallCaps w:val="0"/>
          <w:kern w:val="44"/>
          <w:sz w:val="24"/>
          <w:szCs w:val="22"/>
        </w:rPr>
        <w:t>Slab Design and Detailing</w:t>
      </w:r>
      <w:r>
        <w:rPr>
          <w:b w:val="0"/>
          <w:smallCaps w:val="0"/>
          <w:kern w:val="44"/>
          <w:sz w:val="24"/>
          <w:szCs w:val="22"/>
        </w:rPr>
        <w:tab/>
      </w:r>
      <w:r>
        <w:rPr>
          <w:b w:val="0"/>
          <w:smallCaps w:val="0"/>
          <w:kern w:val="44"/>
          <w:sz w:val="24"/>
          <w:szCs w:val="22"/>
        </w:rPr>
        <w:t>46</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"_Toc38289913" </w:instrText>
      </w:r>
      <w:r>
        <w:fldChar w:fldCharType="separate"/>
      </w:r>
      <w:r>
        <w:rPr>
          <w:b w:val="0"/>
          <w:smallCaps w:val="0"/>
          <w:kern w:val="44"/>
          <w:sz w:val="24"/>
          <w:szCs w:val="22"/>
        </w:rPr>
        <w:t>7.3</w:t>
      </w:r>
      <w:r>
        <w:rPr>
          <w:b w:val="0"/>
          <w:smallCaps w:val="0"/>
          <w:kern w:val="44"/>
          <w:sz w:val="24"/>
          <w:szCs w:val="22"/>
        </w:rPr>
        <w:tab/>
      </w:r>
      <w:r>
        <w:rPr>
          <w:b w:val="0"/>
          <w:smallCaps w:val="0"/>
          <w:kern w:val="44"/>
          <w:sz w:val="24"/>
          <w:szCs w:val="22"/>
        </w:rPr>
        <w:t>Slab Joint Design and Detailing</w:t>
      </w:r>
      <w:r>
        <w:rPr>
          <w:b w:val="0"/>
          <w:smallCaps w:val="0"/>
          <w:kern w:val="44"/>
          <w:sz w:val="24"/>
          <w:szCs w:val="22"/>
        </w:rPr>
        <w:tab/>
      </w:r>
      <w:r>
        <w:rPr>
          <w:b w:val="0"/>
          <w:smallCaps w:val="0"/>
          <w:kern w:val="44"/>
          <w:sz w:val="24"/>
          <w:szCs w:val="22"/>
        </w:rPr>
        <w:t>48</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"_Toc38289913" </w:instrText>
      </w:r>
      <w:r>
        <w:fldChar w:fldCharType="separate"/>
      </w:r>
      <w:r>
        <w:rPr>
          <w:b w:val="0"/>
          <w:smallCaps w:val="0"/>
          <w:kern w:val="44"/>
          <w:sz w:val="24"/>
          <w:szCs w:val="22"/>
        </w:rPr>
        <w:t>7.4</w:t>
      </w:r>
      <w:r>
        <w:rPr>
          <w:b w:val="0"/>
          <w:smallCaps w:val="0"/>
          <w:kern w:val="44"/>
          <w:sz w:val="24"/>
          <w:szCs w:val="22"/>
        </w:rPr>
        <w:tab/>
      </w:r>
      <w:r>
        <w:rPr>
          <w:b w:val="0"/>
          <w:smallCaps w:val="0"/>
          <w:kern w:val="44"/>
          <w:sz w:val="24"/>
          <w:szCs w:val="22"/>
        </w:rPr>
        <w:t>Support Joint Design and Detailing</w:t>
      </w:r>
      <w:r>
        <w:rPr>
          <w:b w:val="0"/>
          <w:smallCaps w:val="0"/>
          <w:kern w:val="44"/>
          <w:sz w:val="24"/>
          <w:szCs w:val="22"/>
        </w:rPr>
        <w:tab/>
      </w:r>
      <w:r>
        <w:rPr>
          <w:b w:val="0"/>
          <w:smallCaps w:val="0"/>
          <w:kern w:val="44"/>
          <w:sz w:val="24"/>
          <w:szCs w:val="22"/>
        </w:rPr>
        <w:t>55</w:t>
      </w:r>
      <w:r>
        <w:rPr>
          <w:b w:val="0"/>
          <w:smallCaps w:val="0"/>
          <w:kern w:val="44"/>
          <w:sz w:val="24"/>
          <w:szCs w:val="22"/>
        </w:rPr>
        <w:fldChar w:fldCharType="end"/>
      </w:r>
    </w:p>
    <w:p>
      <w:pPr>
        <w:pStyle w:val="23"/>
        <w:rPr>
          <w:b w:val="0"/>
          <w:bCs w:val="0"/>
          <w:sz w:val="24"/>
          <w:szCs w:val="22"/>
        </w:rPr>
      </w:pPr>
      <w:r>
        <w:fldChar w:fldCharType="begin"/>
      </w:r>
      <w:r>
        <w:instrText xml:space="preserve"> HYPERLINK \l "_Toc38289918" </w:instrText>
      </w:r>
      <w:r>
        <w:fldChar w:fldCharType="separate"/>
      </w:r>
      <w:r>
        <w:rPr>
          <w:b w:val="0"/>
          <w:bCs w:val="0"/>
          <w:caps w:val="0"/>
          <w:sz w:val="24"/>
          <w:szCs w:val="22"/>
        </w:rPr>
        <w:t>8</w:t>
      </w:r>
      <w:r>
        <w:rPr>
          <w:b w:val="0"/>
          <w:bCs w:val="0"/>
          <w:caps w:val="0"/>
          <w:sz w:val="24"/>
          <w:szCs w:val="22"/>
        </w:rPr>
        <w:tab/>
      </w:r>
      <w:r>
        <w:rPr>
          <w:b w:val="0"/>
          <w:bCs w:val="0"/>
          <w:caps w:val="0"/>
          <w:sz w:val="24"/>
          <w:szCs w:val="22"/>
        </w:rPr>
        <w:t>Multilayer Precast Composite Shear Wall Design</w:t>
      </w:r>
      <w:r>
        <w:rPr>
          <w:b w:val="0"/>
          <w:bCs w:val="0"/>
          <w:caps w:val="0"/>
          <w:sz w:val="24"/>
          <w:szCs w:val="22"/>
        </w:rPr>
        <w:tab/>
      </w:r>
      <w:r>
        <w:rPr>
          <w:b w:val="0"/>
          <w:bCs w:val="0"/>
          <w:sz w:val="24"/>
          <w:szCs w:val="22"/>
        </w:rPr>
        <w:t>61</w:t>
      </w:r>
      <w:r>
        <w:rPr>
          <w:b w:val="0"/>
          <w:bCs w:val="0"/>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"_Toc38289919" </w:instrText>
      </w:r>
      <w:r>
        <w:fldChar w:fldCharType="separate"/>
      </w:r>
      <w:r>
        <w:rPr>
          <w:b w:val="0"/>
          <w:smallCaps w:val="0"/>
          <w:kern w:val="44"/>
          <w:sz w:val="24"/>
          <w:szCs w:val="22"/>
        </w:rPr>
        <w:t>8.1</w:t>
      </w:r>
      <w:r>
        <w:rPr>
          <w:b w:val="0"/>
          <w:smallCaps w:val="0"/>
          <w:kern w:val="44"/>
          <w:sz w:val="24"/>
          <w:szCs w:val="22"/>
        </w:rPr>
        <w:tab/>
      </w:r>
      <w:r>
        <w:rPr>
          <w:b w:val="0"/>
          <w:smallCaps w:val="0"/>
          <w:kern w:val="44"/>
          <w:sz w:val="24"/>
          <w:szCs w:val="22"/>
        </w:rPr>
        <w:t>General Requirements</w:t>
      </w:r>
      <w:r>
        <w:rPr>
          <w:b w:val="0"/>
          <w:smallCaps w:val="0"/>
          <w:kern w:val="44"/>
          <w:sz w:val="24"/>
          <w:szCs w:val="22"/>
        </w:rPr>
        <w:tab/>
      </w:r>
      <w:r>
        <w:rPr>
          <w:b w:val="0"/>
          <w:smallCaps w:val="0"/>
          <w:kern w:val="44"/>
          <w:sz w:val="24"/>
          <w:szCs w:val="22"/>
        </w:rPr>
        <w:t>61</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"_Toc38289920" </w:instrText>
      </w:r>
      <w:r>
        <w:fldChar w:fldCharType="separate"/>
      </w:r>
      <w:r>
        <w:rPr>
          <w:b w:val="0"/>
          <w:smallCaps w:val="0"/>
          <w:kern w:val="44"/>
          <w:sz w:val="24"/>
          <w:szCs w:val="22"/>
        </w:rPr>
        <w:t>8.2</w:t>
      </w:r>
      <w:r>
        <w:rPr>
          <w:b w:val="0"/>
          <w:smallCaps w:val="0"/>
          <w:kern w:val="44"/>
          <w:sz w:val="24"/>
          <w:szCs w:val="22"/>
        </w:rPr>
        <w:tab/>
      </w:r>
      <w:r>
        <w:rPr>
          <w:b w:val="0"/>
          <w:smallCaps w:val="0"/>
          <w:kern w:val="44"/>
          <w:sz w:val="24"/>
          <w:szCs w:val="22"/>
        </w:rPr>
        <w:t>Structural Design and Detailing</w:t>
      </w:r>
      <w:r>
        <w:rPr>
          <w:b w:val="0"/>
          <w:smallCaps w:val="0"/>
          <w:kern w:val="44"/>
          <w:sz w:val="24"/>
          <w:szCs w:val="22"/>
        </w:rPr>
        <w:tab/>
      </w:r>
      <w:r>
        <w:rPr>
          <w:b w:val="0"/>
          <w:smallCaps w:val="0"/>
          <w:kern w:val="44"/>
          <w:sz w:val="24"/>
          <w:szCs w:val="22"/>
        </w:rPr>
        <w:t>62</w:t>
      </w:r>
      <w:r>
        <w:rPr>
          <w:b w:val="0"/>
          <w:smallCaps w:val="0"/>
          <w:kern w:val="44"/>
          <w:sz w:val="24"/>
          <w:szCs w:val="22"/>
        </w:rPr>
        <w:fldChar w:fldCharType="end"/>
      </w:r>
    </w:p>
    <w:p>
      <w:pPr>
        <w:pStyle w:val="23"/>
        <w:rPr>
          <w:b w:val="0"/>
          <w:bCs w:val="0"/>
          <w:sz w:val="24"/>
          <w:szCs w:val="22"/>
        </w:rPr>
      </w:pPr>
      <w:r>
        <w:fldChar w:fldCharType="begin"/>
      </w:r>
      <w:r>
        <w:instrText xml:space="preserve"> HYPERLINK \l "_Toc38289925" </w:instrText>
      </w:r>
      <w:r>
        <w:fldChar w:fldCharType="separate"/>
      </w:r>
      <w:r>
        <w:rPr>
          <w:b w:val="0"/>
          <w:bCs w:val="0"/>
          <w:caps w:val="0"/>
          <w:sz w:val="24"/>
          <w:szCs w:val="22"/>
        </w:rPr>
        <w:t>9</w:t>
      </w:r>
      <w:r>
        <w:rPr>
          <w:b w:val="0"/>
          <w:bCs w:val="0"/>
          <w:caps w:val="0"/>
          <w:sz w:val="24"/>
          <w:szCs w:val="22"/>
        </w:rPr>
        <w:tab/>
      </w:r>
      <w:r>
        <w:rPr>
          <w:b w:val="0"/>
          <w:bCs w:val="0"/>
          <w:caps w:val="0"/>
          <w:sz w:val="24"/>
          <w:szCs w:val="22"/>
        </w:rPr>
        <w:t>Production and Transportation</w:t>
      </w:r>
      <w:r>
        <w:rPr>
          <w:b w:val="0"/>
          <w:bCs w:val="0"/>
          <w:caps w:val="0"/>
          <w:sz w:val="24"/>
          <w:szCs w:val="22"/>
        </w:rPr>
        <w:tab/>
      </w:r>
      <w:r>
        <w:rPr>
          <w:b w:val="0"/>
          <w:bCs w:val="0"/>
          <w:caps w:val="0"/>
          <w:sz w:val="24"/>
          <w:szCs w:val="22"/>
        </w:rPr>
        <w:t>70</w:t>
      </w:r>
      <w:r>
        <w:rPr>
          <w:b w:val="0"/>
          <w:bCs w:val="0"/>
          <w:caps w:val="0"/>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"_Toc38289926" </w:instrText>
      </w:r>
      <w:r>
        <w:fldChar w:fldCharType="separate"/>
      </w:r>
      <w:r>
        <w:rPr>
          <w:b w:val="0"/>
          <w:smallCaps w:val="0"/>
          <w:kern w:val="44"/>
          <w:sz w:val="24"/>
          <w:szCs w:val="22"/>
        </w:rPr>
        <w:t>9.1</w:t>
      </w:r>
      <w:r>
        <w:rPr>
          <w:b w:val="0"/>
          <w:smallCaps w:val="0"/>
          <w:kern w:val="44"/>
          <w:sz w:val="24"/>
          <w:szCs w:val="22"/>
        </w:rPr>
        <w:tab/>
      </w:r>
      <w:r>
        <w:rPr>
          <w:b w:val="0"/>
          <w:smallCaps w:val="0"/>
          <w:kern w:val="44"/>
          <w:sz w:val="24"/>
          <w:szCs w:val="22"/>
        </w:rPr>
        <w:t>General Requirements</w:t>
      </w:r>
      <w:r>
        <w:rPr>
          <w:b w:val="0"/>
          <w:smallCaps w:val="0"/>
          <w:kern w:val="44"/>
          <w:sz w:val="24"/>
          <w:szCs w:val="22"/>
        </w:rPr>
        <w:tab/>
      </w:r>
      <w:r>
        <w:rPr>
          <w:b w:val="0"/>
          <w:smallCaps w:val="0"/>
          <w:kern w:val="44"/>
          <w:sz w:val="24"/>
          <w:szCs w:val="22"/>
        </w:rPr>
        <w:t>70</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"_Toc38289927" </w:instrText>
      </w:r>
      <w:r>
        <w:fldChar w:fldCharType="separate"/>
      </w:r>
      <w:r>
        <w:rPr>
          <w:b w:val="0"/>
          <w:smallCaps w:val="0"/>
          <w:kern w:val="44"/>
          <w:sz w:val="24"/>
          <w:szCs w:val="22"/>
        </w:rPr>
        <w:t>9.2</w:t>
      </w:r>
      <w:r>
        <w:rPr>
          <w:b w:val="0"/>
          <w:smallCaps w:val="0"/>
          <w:kern w:val="44"/>
          <w:sz w:val="24"/>
          <w:szCs w:val="22"/>
        </w:rPr>
        <w:tab/>
      </w:r>
      <w:r>
        <w:rPr>
          <w:b w:val="0"/>
          <w:smallCaps w:val="0"/>
          <w:kern w:val="44"/>
          <w:sz w:val="24"/>
          <w:szCs w:val="22"/>
        </w:rPr>
        <w:t>Raw Materials and fittings</w:t>
      </w:r>
      <w:r>
        <w:rPr>
          <w:b w:val="0"/>
          <w:smallCaps w:val="0"/>
          <w:kern w:val="44"/>
          <w:sz w:val="24"/>
          <w:szCs w:val="22"/>
        </w:rPr>
        <w:tab/>
      </w:r>
      <w:r>
        <w:rPr>
          <w:b w:val="0"/>
          <w:smallCaps w:val="0"/>
          <w:kern w:val="44"/>
          <w:sz w:val="24"/>
          <w:szCs w:val="22"/>
        </w:rPr>
        <w:t>73</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"_Toc38289928" </w:instrText>
      </w:r>
      <w:r>
        <w:fldChar w:fldCharType="separate"/>
      </w:r>
      <w:r>
        <w:rPr>
          <w:b w:val="0"/>
          <w:smallCaps w:val="0"/>
          <w:kern w:val="44"/>
          <w:sz w:val="24"/>
          <w:szCs w:val="22"/>
        </w:rPr>
        <w:t>9.3</w:t>
      </w:r>
      <w:r>
        <w:rPr>
          <w:b w:val="0"/>
          <w:smallCaps w:val="0"/>
          <w:kern w:val="44"/>
          <w:sz w:val="24"/>
          <w:szCs w:val="22"/>
        </w:rPr>
        <w:tab/>
      </w:r>
      <w:r>
        <w:rPr>
          <w:b w:val="0"/>
          <w:smallCaps w:val="0"/>
          <w:kern w:val="44"/>
          <w:sz w:val="24"/>
          <w:szCs w:val="22"/>
        </w:rPr>
        <w:t>Reinforcements and Embedded Parts</w:t>
      </w:r>
      <w:r>
        <w:rPr>
          <w:b w:val="0"/>
          <w:smallCaps w:val="0"/>
          <w:kern w:val="44"/>
          <w:sz w:val="24"/>
          <w:szCs w:val="22"/>
        </w:rPr>
        <w:tab/>
      </w:r>
      <w:r>
        <w:rPr>
          <w:b w:val="0"/>
          <w:smallCaps w:val="0"/>
          <w:kern w:val="44"/>
          <w:sz w:val="24"/>
          <w:szCs w:val="22"/>
        </w:rPr>
        <w:t>74</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"_Toc38289929" </w:instrText>
      </w:r>
      <w:r>
        <w:fldChar w:fldCharType="separate"/>
      </w:r>
      <w:r>
        <w:rPr>
          <w:b w:val="0"/>
          <w:smallCaps w:val="0"/>
          <w:kern w:val="44"/>
          <w:sz w:val="24"/>
          <w:szCs w:val="22"/>
        </w:rPr>
        <w:t>9.4</w:t>
      </w:r>
      <w:r>
        <w:rPr>
          <w:b w:val="0"/>
          <w:smallCaps w:val="0"/>
          <w:kern w:val="44"/>
          <w:sz w:val="24"/>
          <w:szCs w:val="22"/>
        </w:rPr>
        <w:tab/>
      </w:r>
      <w:r>
        <w:rPr>
          <w:b w:val="0"/>
          <w:smallCaps w:val="0"/>
          <w:kern w:val="44"/>
          <w:sz w:val="24"/>
          <w:szCs w:val="22"/>
        </w:rPr>
        <w:t>Concrete Molding, Curing and Demoulding</w:t>
      </w:r>
      <w:r>
        <w:rPr>
          <w:b w:val="0"/>
          <w:smallCaps w:val="0"/>
          <w:kern w:val="44"/>
          <w:sz w:val="24"/>
          <w:szCs w:val="22"/>
        </w:rPr>
        <w:tab/>
      </w:r>
      <w:r>
        <w:rPr>
          <w:b w:val="0"/>
          <w:smallCaps w:val="0"/>
          <w:kern w:val="44"/>
          <w:sz w:val="24"/>
          <w:szCs w:val="22"/>
        </w:rPr>
        <w:t>76</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"_Toc38289929" </w:instrText>
      </w:r>
      <w:r>
        <w:fldChar w:fldCharType="separate"/>
      </w:r>
      <w:r>
        <w:rPr>
          <w:b w:val="0"/>
          <w:smallCaps w:val="0"/>
          <w:kern w:val="44"/>
          <w:sz w:val="24"/>
          <w:szCs w:val="22"/>
        </w:rPr>
        <w:t>9.5</w:t>
      </w:r>
      <w:r>
        <w:rPr>
          <w:b w:val="0"/>
          <w:smallCaps w:val="0"/>
          <w:kern w:val="44"/>
          <w:sz w:val="24"/>
          <w:szCs w:val="22"/>
        </w:rPr>
        <w:tab/>
      </w:r>
      <w:r>
        <w:rPr>
          <w:b w:val="0"/>
          <w:smallCaps w:val="0"/>
          <w:kern w:val="44"/>
          <w:sz w:val="24"/>
          <w:szCs w:val="22"/>
        </w:rPr>
        <w:t>precast component testing</w:t>
      </w:r>
      <w:r>
        <w:rPr>
          <w:b w:val="0"/>
          <w:smallCaps w:val="0"/>
          <w:kern w:val="44"/>
          <w:sz w:val="24"/>
          <w:szCs w:val="22"/>
        </w:rPr>
        <w:tab/>
      </w:r>
      <w:r>
        <w:rPr>
          <w:b w:val="0"/>
          <w:smallCaps w:val="0"/>
          <w:kern w:val="44"/>
          <w:sz w:val="24"/>
          <w:szCs w:val="22"/>
        </w:rPr>
        <w:t>78</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"_Toc38289929" </w:instrText>
      </w:r>
      <w:r>
        <w:fldChar w:fldCharType="separate"/>
      </w:r>
      <w:r>
        <w:rPr>
          <w:b w:val="0"/>
          <w:smallCaps w:val="0"/>
          <w:kern w:val="44"/>
          <w:sz w:val="24"/>
          <w:szCs w:val="22"/>
        </w:rPr>
        <w:t>9.6</w:t>
      </w:r>
      <w:r>
        <w:rPr>
          <w:b w:val="0"/>
          <w:smallCaps w:val="0"/>
          <w:kern w:val="44"/>
          <w:sz w:val="24"/>
          <w:szCs w:val="22"/>
        </w:rPr>
        <w:tab/>
      </w:r>
      <w:r>
        <w:rPr>
          <w:b w:val="0"/>
          <w:smallCaps w:val="0"/>
          <w:kern w:val="44"/>
          <w:sz w:val="24"/>
          <w:szCs w:val="22"/>
        </w:rPr>
        <w:t>Storage, Lifting and Protection</w:t>
      </w:r>
      <w:r>
        <w:rPr>
          <w:b w:val="0"/>
          <w:smallCaps w:val="0"/>
          <w:kern w:val="44"/>
          <w:sz w:val="24"/>
          <w:szCs w:val="22"/>
        </w:rPr>
        <w:tab/>
      </w:r>
      <w:r>
        <w:rPr>
          <w:b w:val="0"/>
          <w:smallCaps w:val="0"/>
          <w:kern w:val="44"/>
          <w:sz w:val="24"/>
          <w:szCs w:val="22"/>
        </w:rPr>
        <w:t>82</w:t>
      </w:r>
      <w:r>
        <w:rPr>
          <w:b w:val="0"/>
          <w:smallCaps w:val="0"/>
          <w:kern w:val="44"/>
          <w:sz w:val="24"/>
          <w:szCs w:val="22"/>
        </w:rPr>
        <w:fldChar w:fldCharType="end"/>
      </w:r>
    </w:p>
    <w:p>
      <w:pPr>
        <w:pStyle w:val="23"/>
        <w:rPr>
          <w:b w:val="0"/>
          <w:bCs w:val="0"/>
          <w:sz w:val="24"/>
          <w:szCs w:val="22"/>
        </w:rPr>
      </w:pPr>
      <w:r>
        <w:fldChar w:fldCharType="begin"/>
      </w:r>
      <w:r>
        <w:instrText xml:space="preserve"> HYPERLINK \l "_Toc38289930" </w:instrText>
      </w:r>
      <w:r>
        <w:fldChar w:fldCharType="separate"/>
      </w:r>
      <w:r>
        <w:rPr>
          <w:b w:val="0"/>
          <w:bCs w:val="0"/>
          <w:caps w:val="0"/>
          <w:sz w:val="24"/>
          <w:szCs w:val="22"/>
        </w:rPr>
        <w:t>10</w:t>
      </w:r>
      <w:r>
        <w:rPr>
          <w:b w:val="0"/>
          <w:bCs w:val="0"/>
          <w:caps w:val="0"/>
          <w:sz w:val="24"/>
          <w:szCs w:val="22"/>
        </w:rPr>
        <w:tab/>
      </w:r>
      <w:r>
        <w:rPr>
          <w:b w:val="0"/>
          <w:bCs w:val="0"/>
          <w:caps w:val="0"/>
          <w:sz w:val="24"/>
          <w:szCs w:val="22"/>
        </w:rPr>
        <w:t>Construction and Erection</w:t>
      </w:r>
      <w:r>
        <w:rPr>
          <w:b w:val="0"/>
          <w:bCs w:val="0"/>
          <w:caps w:val="0"/>
          <w:sz w:val="24"/>
          <w:szCs w:val="22"/>
        </w:rPr>
        <w:tab/>
      </w:r>
      <w:r>
        <w:rPr>
          <w:b w:val="0"/>
          <w:bCs w:val="0"/>
          <w:caps w:val="0"/>
          <w:sz w:val="24"/>
          <w:szCs w:val="22"/>
        </w:rPr>
        <w:t>84</w:t>
      </w:r>
      <w:r>
        <w:rPr>
          <w:b w:val="0"/>
          <w:bCs w:val="0"/>
          <w:caps w:val="0"/>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"_Toc38289931" </w:instrText>
      </w:r>
      <w:r>
        <w:fldChar w:fldCharType="separate"/>
      </w:r>
      <w:r>
        <w:rPr>
          <w:b w:val="0"/>
          <w:smallCaps w:val="0"/>
          <w:kern w:val="44"/>
          <w:sz w:val="24"/>
          <w:szCs w:val="22"/>
        </w:rPr>
        <w:t>10.1 General Requirements</w:t>
      </w:r>
      <w:r>
        <w:rPr>
          <w:b w:val="0"/>
          <w:smallCaps w:val="0"/>
          <w:kern w:val="44"/>
          <w:sz w:val="24"/>
          <w:szCs w:val="22"/>
        </w:rPr>
        <w:tab/>
      </w:r>
      <w:r>
        <w:rPr>
          <w:b w:val="0"/>
          <w:smallCaps w:val="0"/>
          <w:kern w:val="44"/>
          <w:sz w:val="24"/>
          <w:szCs w:val="22"/>
        </w:rPr>
        <w:t>84</w:t>
      </w:r>
      <w:r>
        <w:rPr>
          <w:b w:val="0"/>
          <w:smallCaps w:val="0"/>
          <w:kern w:val="44"/>
          <w:sz w:val="24"/>
          <w:szCs w:val="22"/>
        </w:rPr>
        <w:fldChar w:fldCharType="end"/>
      </w:r>
    </w:p>
    <w:p>
      <w:pPr>
        <w:pStyle w:val="26"/>
        <w:tabs>
          <w:tab w:val="left" w:pos="959"/>
          <w:tab w:val="clear" w:pos="1200"/>
        </w:tabs>
        <w:ind w:left="440" w:firstLine="0" w:firstLineChars="0"/>
        <w:jc w:val="both"/>
        <w:rPr>
          <w:b w:val="0"/>
          <w:smallCaps w:val="0"/>
          <w:kern w:val="44"/>
          <w:sz w:val="24"/>
          <w:szCs w:val="22"/>
        </w:rPr>
      </w:pPr>
      <w:r>
        <w:fldChar w:fldCharType="begin"/>
      </w:r>
      <w:r>
        <w:instrText xml:space="preserve"> HYPERLINK \l "_Toc38289931" </w:instrText>
      </w:r>
      <w:r>
        <w:fldChar w:fldCharType="separate"/>
      </w:r>
      <w:r>
        <w:rPr>
          <w:b w:val="0"/>
          <w:smallCaps w:val="0"/>
          <w:kern w:val="44"/>
          <w:sz w:val="24"/>
          <w:szCs w:val="22"/>
        </w:rPr>
        <w:t>10.2 Lifting And Storage of Precast Components On Site</w:t>
      </w:r>
      <w:r>
        <w:rPr>
          <w:b w:val="0"/>
          <w:smallCaps w:val="0"/>
          <w:kern w:val="44"/>
          <w:sz w:val="24"/>
          <w:szCs w:val="22"/>
        </w:rPr>
        <w:tab/>
      </w:r>
      <w:r>
        <w:rPr>
          <w:b w:val="0"/>
          <w:smallCaps w:val="0"/>
          <w:kern w:val="44"/>
          <w:sz w:val="24"/>
          <w:szCs w:val="22"/>
        </w:rPr>
        <w:t>86</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"_Toc38289931" </w:instrText>
      </w:r>
      <w:r>
        <w:fldChar w:fldCharType="separate"/>
      </w:r>
      <w:r>
        <w:rPr>
          <w:b w:val="0"/>
          <w:smallCaps w:val="0"/>
          <w:kern w:val="44"/>
          <w:sz w:val="24"/>
          <w:szCs w:val="22"/>
        </w:rPr>
        <w:t>10.3 Erection of Precast Components</w:t>
      </w:r>
      <w:r>
        <w:rPr>
          <w:b w:val="0"/>
          <w:smallCaps w:val="0"/>
          <w:kern w:val="44"/>
          <w:sz w:val="24"/>
          <w:szCs w:val="22"/>
        </w:rPr>
        <w:tab/>
      </w:r>
      <w:r>
        <w:rPr>
          <w:b w:val="0"/>
          <w:smallCaps w:val="0"/>
          <w:kern w:val="44"/>
          <w:sz w:val="24"/>
          <w:szCs w:val="22"/>
        </w:rPr>
        <w:t>88</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"_Toc38289931" </w:instrText>
      </w:r>
      <w:r>
        <w:fldChar w:fldCharType="separate"/>
      </w:r>
      <w:r>
        <w:rPr>
          <w:b w:val="0"/>
          <w:smallCaps w:val="0"/>
          <w:kern w:val="44"/>
          <w:sz w:val="24"/>
          <w:szCs w:val="22"/>
        </w:rPr>
        <w:t>10.4 Cast-in-place Concrete</w:t>
      </w:r>
      <w:r>
        <w:rPr>
          <w:b w:val="0"/>
          <w:smallCaps w:val="0"/>
          <w:kern w:val="44"/>
          <w:sz w:val="24"/>
          <w:szCs w:val="22"/>
        </w:rPr>
        <w:tab/>
      </w:r>
      <w:r>
        <w:rPr>
          <w:b w:val="0"/>
          <w:smallCaps w:val="0"/>
          <w:kern w:val="44"/>
          <w:sz w:val="24"/>
          <w:szCs w:val="22"/>
        </w:rPr>
        <w:t>90</w:t>
      </w:r>
      <w:r>
        <w:rPr>
          <w:b w:val="0"/>
          <w:smallCaps w:val="0"/>
          <w:kern w:val="44"/>
          <w:sz w:val="24"/>
          <w:szCs w:val="22"/>
        </w:rPr>
        <w:fldChar w:fldCharType="end"/>
      </w:r>
    </w:p>
    <w:p>
      <w:pPr>
        <w:pStyle w:val="23"/>
        <w:rPr>
          <w:b w:val="0"/>
          <w:bCs w:val="0"/>
          <w:kern w:val="44"/>
          <w:sz w:val="24"/>
          <w:szCs w:val="22"/>
        </w:rPr>
      </w:pPr>
      <w:r>
        <w:fldChar w:fldCharType="begin"/>
      </w:r>
      <w:r>
        <w:instrText xml:space="preserve"> HYPERLINK \l "_Toc38289930" </w:instrText>
      </w:r>
      <w:r>
        <w:fldChar w:fldCharType="separate"/>
      </w:r>
      <w:r>
        <w:rPr>
          <w:b w:val="0"/>
          <w:bCs w:val="0"/>
          <w:caps w:val="0"/>
          <w:kern w:val="44"/>
          <w:sz w:val="24"/>
          <w:szCs w:val="22"/>
        </w:rPr>
        <w:t>11</w:t>
      </w:r>
      <w:r>
        <w:rPr>
          <w:b w:val="0"/>
          <w:bCs w:val="0"/>
          <w:caps w:val="0"/>
          <w:kern w:val="44"/>
          <w:sz w:val="24"/>
          <w:szCs w:val="22"/>
        </w:rPr>
        <w:tab/>
      </w:r>
      <w:r>
        <w:rPr>
          <w:b w:val="0"/>
          <w:bCs w:val="0"/>
          <w:caps w:val="0"/>
          <w:kern w:val="44"/>
          <w:sz w:val="24"/>
          <w:szCs w:val="22"/>
        </w:rPr>
        <w:t>Construction Quality Acceptance</w:t>
      </w:r>
      <w:r>
        <w:rPr>
          <w:b w:val="0"/>
          <w:bCs w:val="0"/>
          <w:caps w:val="0"/>
          <w:kern w:val="44"/>
          <w:sz w:val="24"/>
          <w:szCs w:val="22"/>
        </w:rPr>
        <w:tab/>
      </w:r>
      <w:r>
        <w:rPr>
          <w:b w:val="0"/>
          <w:bCs w:val="0"/>
          <w:caps w:val="0"/>
          <w:kern w:val="44"/>
          <w:sz w:val="24"/>
          <w:szCs w:val="22"/>
        </w:rPr>
        <w:t>92</w:t>
      </w:r>
      <w:r>
        <w:rPr>
          <w:b w:val="0"/>
          <w:bCs w:val="0"/>
          <w: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"_Toc38289931" </w:instrText>
      </w:r>
      <w:r>
        <w:fldChar w:fldCharType="separate"/>
      </w:r>
      <w:r>
        <w:rPr>
          <w:b w:val="0"/>
          <w:smallCaps w:val="0"/>
          <w:kern w:val="44"/>
          <w:sz w:val="24"/>
          <w:szCs w:val="22"/>
        </w:rPr>
        <w:t>11.1 General Requirements</w:t>
      </w:r>
      <w:r>
        <w:rPr>
          <w:b w:val="0"/>
          <w:smallCaps w:val="0"/>
          <w:kern w:val="44"/>
          <w:sz w:val="24"/>
          <w:szCs w:val="22"/>
        </w:rPr>
        <w:tab/>
      </w:r>
      <w:r>
        <w:rPr>
          <w:b w:val="0"/>
          <w:smallCaps w:val="0"/>
          <w:kern w:val="44"/>
          <w:sz w:val="24"/>
          <w:szCs w:val="22"/>
        </w:rPr>
        <w:t>92</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"_Toc38289931" </w:instrText>
      </w:r>
      <w:r>
        <w:fldChar w:fldCharType="separate"/>
      </w:r>
      <w:r>
        <w:rPr>
          <w:b w:val="0"/>
          <w:smallCaps w:val="0"/>
          <w:kern w:val="44"/>
          <w:sz w:val="24"/>
          <w:szCs w:val="22"/>
        </w:rPr>
        <w:t>11.2 Precast Component</w:t>
      </w:r>
      <w:r>
        <w:rPr>
          <w:b w:val="0"/>
          <w:smallCaps w:val="0"/>
          <w:kern w:val="44"/>
          <w:sz w:val="24"/>
          <w:szCs w:val="22"/>
        </w:rPr>
        <w:tab/>
      </w:r>
      <w:r>
        <w:rPr>
          <w:b w:val="0"/>
          <w:smallCaps w:val="0"/>
          <w:kern w:val="44"/>
          <w:sz w:val="24"/>
          <w:szCs w:val="22"/>
        </w:rPr>
        <w:t>94</w:t>
      </w:r>
      <w:r>
        <w:rPr>
          <w:b w:val="0"/>
          <w:smallCaps w:val="0"/>
          <w:kern w:val="44"/>
          <w:sz w:val="24"/>
          <w:szCs w:val="22"/>
        </w:rPr>
        <w:fldChar w:fldCharType="end"/>
      </w:r>
    </w:p>
    <w:p>
      <w:pPr>
        <w:pStyle w:val="26"/>
        <w:tabs>
          <w:tab w:val="left" w:pos="959"/>
          <w:tab w:val="clear" w:pos="1200"/>
        </w:tabs>
        <w:ind w:firstLine="441"/>
        <w:rPr>
          <w:b w:val="0"/>
          <w:smallCaps w:val="0"/>
          <w:kern w:val="44"/>
          <w:sz w:val="24"/>
          <w:szCs w:val="22"/>
        </w:rPr>
      </w:pPr>
      <w:r>
        <w:fldChar w:fldCharType="begin"/>
      </w:r>
      <w:r>
        <w:instrText xml:space="preserve"> HYPERLINK \l "_Toc38289931" </w:instrText>
      </w:r>
      <w:r>
        <w:fldChar w:fldCharType="separate"/>
      </w:r>
      <w:r>
        <w:rPr>
          <w:b w:val="0"/>
          <w:smallCaps w:val="0"/>
          <w:kern w:val="44"/>
          <w:sz w:val="24"/>
          <w:szCs w:val="22"/>
        </w:rPr>
        <w:t>11.3 Erection and Connection</w:t>
      </w:r>
      <w:r>
        <w:rPr>
          <w:b w:val="0"/>
          <w:smallCaps w:val="0"/>
          <w:kern w:val="44"/>
          <w:sz w:val="24"/>
          <w:szCs w:val="22"/>
        </w:rPr>
        <w:tab/>
      </w:r>
      <w:r>
        <w:rPr>
          <w:b w:val="0"/>
          <w:smallCaps w:val="0"/>
          <w:kern w:val="44"/>
          <w:sz w:val="24"/>
          <w:szCs w:val="22"/>
        </w:rPr>
        <w:t>95</w:t>
      </w:r>
      <w:r>
        <w:rPr>
          <w:b w:val="0"/>
          <w:smallCaps w:val="0"/>
          <w:kern w:val="44"/>
          <w:sz w:val="24"/>
          <w:szCs w:val="22"/>
        </w:rPr>
        <w:fldChar w:fldCharType="end"/>
      </w:r>
    </w:p>
    <w:p>
      <w:pPr>
        <w:pStyle w:val="23"/>
        <w:rPr>
          <w:b w:val="0"/>
          <w:bCs w:val="0"/>
          <w:sz w:val="24"/>
          <w:szCs w:val="22"/>
        </w:rPr>
      </w:pPr>
      <w:r>
        <w:fldChar w:fldCharType="begin"/>
      </w:r>
      <w:r>
        <w:instrText xml:space="preserve"> HYPERLINK \l "_Toc38289934" </w:instrText>
      </w:r>
      <w:r>
        <w:fldChar w:fldCharType="separate"/>
      </w:r>
      <w:r>
        <w:rPr>
          <w:b w:val="0"/>
          <w:bCs w:val="0"/>
          <w:caps w:val="0"/>
          <w:sz w:val="24"/>
          <w:szCs w:val="22"/>
        </w:rPr>
        <w:t xml:space="preserve">Explanation of Wording in This Specification </w:t>
      </w:r>
      <w:r>
        <w:rPr>
          <w:b w:val="0"/>
          <w:bCs w:val="0"/>
          <w:caps w:val="0"/>
          <w:sz w:val="24"/>
          <w:szCs w:val="22"/>
        </w:rPr>
        <w:tab/>
      </w:r>
      <w:r>
        <w:rPr>
          <w:b w:val="0"/>
          <w:bCs w:val="0"/>
          <w:sz w:val="24"/>
          <w:szCs w:val="22"/>
        </w:rPr>
        <w:t>98</w:t>
      </w:r>
      <w:r>
        <w:rPr>
          <w:b w:val="0"/>
          <w:bCs w:val="0"/>
          <w:sz w:val="24"/>
          <w:szCs w:val="22"/>
        </w:rPr>
        <w:fldChar w:fldCharType="end"/>
      </w:r>
    </w:p>
    <w:p>
      <w:pPr>
        <w:pStyle w:val="23"/>
        <w:rPr>
          <w:rFonts w:eastAsiaTheme="minorEastAsia"/>
          <w:b w:val="0"/>
          <w:bCs w:val="0"/>
          <w:spacing w:val="0"/>
          <w:sz w:val="20"/>
          <w:szCs w:val="21"/>
        </w:rPr>
      </w:pPr>
      <w:r>
        <w:fldChar w:fldCharType="begin"/>
      </w:r>
      <w:r>
        <w:instrText xml:space="preserve"> HYPERLINK \l "_Toc38289935" </w:instrText>
      </w:r>
      <w:r>
        <w:fldChar w:fldCharType="separate"/>
      </w:r>
      <w:r>
        <w:rPr>
          <w:b w:val="0"/>
          <w:bCs w:val="0"/>
          <w:caps w:val="0"/>
          <w:sz w:val="24"/>
          <w:szCs w:val="22"/>
        </w:rPr>
        <w:t>List of Quoted Standards</w:t>
      </w:r>
      <w:r>
        <w:rPr>
          <w:b w:val="0"/>
          <w:bCs w:val="0"/>
          <w:caps w:val="0"/>
          <w:sz w:val="24"/>
          <w:szCs w:val="22"/>
        </w:rPr>
        <w:tab/>
      </w:r>
      <w:r>
        <w:rPr>
          <w:b w:val="0"/>
          <w:bCs w:val="0"/>
          <w:sz w:val="24"/>
          <w:szCs w:val="22"/>
        </w:rPr>
        <w:t>99</w:t>
      </w:r>
      <w:r>
        <w:rPr>
          <w:b w:val="0"/>
          <w:bCs w:val="0"/>
          <w:sz w:val="24"/>
          <w:szCs w:val="22"/>
        </w:rPr>
        <w:fldChar w:fldCharType="end"/>
      </w:r>
      <w:bookmarkEnd w:id="29"/>
    </w:p>
    <w:p>
      <w:pPr>
        <w:rPr>
          <w:szCs w:val="24"/>
        </w:rPr>
        <w:sectPr>
          <w:type w:val="continuous"/>
          <w:pgSz w:w="11906" w:h="16838"/>
          <w:pgMar w:top="1440" w:right="1797" w:bottom="1440" w:left="1797" w:header="851" w:footer="992" w:gutter="0"/>
          <w:cols w:space="425" w:num="1"/>
          <w:docGrid w:type="linesAndChars" w:linePitch="326" w:charSpace="0"/>
        </w:sectPr>
      </w:pPr>
      <w:r>
        <w:rPr>
          <w:bCs/>
          <w:szCs w:val="24"/>
        </w:rPr>
        <w:fldChar w:fldCharType="end"/>
      </w:r>
    </w:p>
    <w:p>
      <w:pPr>
        <w:pStyle w:val="2"/>
        <w:pageBreakBefore/>
        <w:spacing w:before="312" w:after="312"/>
        <w:ind w:left="431" w:hanging="431"/>
      </w:pPr>
      <w:bookmarkStart w:id="30" w:name="_Toc532542979"/>
      <w:bookmarkStart w:id="31" w:name="_Toc45574521"/>
      <w:bookmarkStart w:id="32" w:name="_Toc45313916"/>
      <w:r>
        <w:t>总则</w:t>
      </w:r>
      <w:bookmarkEnd w:id="30"/>
      <w:bookmarkEnd w:id="31"/>
      <w:bookmarkEnd w:id="32"/>
    </w:p>
    <w:p>
      <w:pPr>
        <w:adjustRightInd w:val="0"/>
        <w:snapToGrid w:val="0"/>
        <w:rPr>
          <w:rFonts w:eastAsiaTheme="minorEastAsia"/>
          <w:szCs w:val="21"/>
        </w:rPr>
      </w:pPr>
      <w:r>
        <w:rPr>
          <w:b/>
        </w:rPr>
        <w:t xml:space="preserve">1.0.1 </w:t>
      </w:r>
      <w:r>
        <w:rPr>
          <w:szCs w:val="21"/>
        </w:rPr>
        <w:t>为在装配整体式叠合剪力墙结构的设计、生产、施工及验收中，贯彻执行国家和广东省的技术经济政策，做到安全适用、技术先进、经济合理、确保质量，制定本规程。</w:t>
      </w:r>
    </w:p>
    <w:p>
      <w:pPr>
        <w:rPr>
          <w:rFonts w:eastAsia="仿宋"/>
          <w:i/>
          <w:spacing w:val="10"/>
          <w:szCs w:val="21"/>
        </w:rPr>
      </w:pPr>
      <w:r>
        <w:rPr>
          <w:rFonts w:eastAsia="仿宋"/>
          <w:i/>
          <w:spacing w:val="10"/>
          <w:szCs w:val="21"/>
        </w:rPr>
        <w:t>【条文说明】1.0.1 本条规定是制定本规程的基本方针和原则。本规程的叠合墙是指叠合墙体中带有钢筋桁架的叠合墙。</w:t>
      </w:r>
    </w:p>
    <w:p>
      <w:pPr>
        <w:rPr>
          <w:rFonts w:eastAsiaTheme="minorEastAsia"/>
          <w:szCs w:val="21"/>
        </w:rPr>
      </w:pPr>
      <w:r>
        <w:rPr>
          <w:b/>
        </w:rPr>
        <w:t>1.0.2</w:t>
      </w:r>
      <w:r>
        <w:t xml:space="preserve"> </w:t>
      </w:r>
      <w:r>
        <w:rPr>
          <w:szCs w:val="21"/>
        </w:rPr>
        <w:t>本规程适用于广东省民用建筑非抗震设计及抗震设防烈度为6度至8度（0.2g）抗震设计的乙类及乙类以下的装配整体式叠合剪力墙结构的设计、生产、施工及验收。本规程不适用于特别不规则的建筑。</w:t>
      </w:r>
    </w:p>
    <w:p>
      <w:pPr>
        <w:rPr>
          <w:rFonts w:eastAsia="仿宋"/>
          <w:i/>
          <w:spacing w:val="10"/>
          <w:szCs w:val="21"/>
        </w:rPr>
      </w:pPr>
      <w:r>
        <w:rPr>
          <w:rFonts w:eastAsia="仿宋"/>
          <w:i/>
          <w:spacing w:val="10"/>
          <w:szCs w:val="21"/>
        </w:rPr>
        <w:t>【条文说明】1.0.2 特别不规则建筑受力复杂，且可供借鉴经验较少，暂时不推荐采用叠合剪力墙结构。</w:t>
      </w:r>
    </w:p>
    <w:p>
      <w:r>
        <w:rPr>
          <w:b/>
        </w:rPr>
        <w:t>1.0.3</w:t>
      </w:r>
      <w:r>
        <w:t xml:space="preserve"> </w:t>
      </w:r>
      <w:r>
        <w:rPr>
          <w:szCs w:val="21"/>
        </w:rPr>
        <w:t>装配整体式叠合剪力墙结构的设计、施工与验收除应符合本规程外，尚应符合国家和广东省现行有关标准的规定。</w:t>
      </w:r>
    </w:p>
    <w:p>
      <w:pPr>
        <w:rPr>
          <w:rFonts w:eastAsia="仿宋"/>
          <w:i/>
          <w:spacing w:val="10"/>
          <w:szCs w:val="21"/>
        </w:rPr>
      </w:pPr>
      <w:r>
        <w:rPr>
          <w:rFonts w:eastAsia="仿宋"/>
          <w:i/>
          <w:spacing w:val="10"/>
          <w:szCs w:val="21"/>
        </w:rPr>
        <w:t>【条文说明】1.0.3 本规程主要针对采用叠合剪力墙的设计、制作、施工及验收，本规程未规定的部分应符合现行标准《混凝土结构设计规范》GB 50010、《</w:t>
      </w:r>
      <w:r>
        <w:rPr>
          <w:rFonts w:hint="eastAsia" w:eastAsia="仿宋"/>
          <w:i/>
          <w:spacing w:val="10"/>
          <w:szCs w:val="21"/>
        </w:rPr>
        <w:t>装配式混凝土结构技术规程</w:t>
      </w:r>
      <w:r>
        <w:rPr>
          <w:rFonts w:eastAsia="仿宋"/>
          <w:i/>
          <w:spacing w:val="10"/>
          <w:szCs w:val="21"/>
        </w:rPr>
        <w:t xml:space="preserve">》JGJ </w:t>
      </w:r>
      <w:r>
        <w:rPr>
          <w:rFonts w:hint="eastAsia" w:eastAsia="仿宋"/>
          <w:i/>
          <w:spacing w:val="10"/>
          <w:szCs w:val="21"/>
        </w:rPr>
        <w:t>1</w:t>
      </w:r>
      <w:r>
        <w:rPr>
          <w:rFonts w:eastAsia="仿宋"/>
          <w:i/>
          <w:spacing w:val="10"/>
          <w:szCs w:val="21"/>
        </w:rPr>
        <w:t>、《</w:t>
      </w:r>
      <w:r>
        <w:rPr>
          <w:rFonts w:hint="eastAsia" w:eastAsia="仿宋"/>
          <w:i/>
          <w:spacing w:val="10"/>
          <w:szCs w:val="21"/>
        </w:rPr>
        <w:t>装配式混凝土建筑技术标准</w:t>
      </w:r>
      <w:r>
        <w:rPr>
          <w:rFonts w:eastAsia="仿宋"/>
          <w:i/>
          <w:spacing w:val="10"/>
          <w:szCs w:val="21"/>
        </w:rPr>
        <w:t>》</w:t>
      </w:r>
      <w:r>
        <w:rPr>
          <w:rFonts w:hint="eastAsia" w:eastAsia="仿宋"/>
          <w:i/>
          <w:spacing w:val="10"/>
          <w:szCs w:val="21"/>
        </w:rPr>
        <w:t>GB/T</w:t>
      </w:r>
      <w:r>
        <w:rPr>
          <w:rFonts w:eastAsia="仿宋"/>
          <w:i/>
          <w:spacing w:val="10"/>
          <w:szCs w:val="21"/>
        </w:rPr>
        <w:t xml:space="preserve"> </w:t>
      </w:r>
      <w:r>
        <w:rPr>
          <w:rFonts w:hint="eastAsia" w:eastAsia="仿宋"/>
          <w:i/>
          <w:spacing w:val="10"/>
          <w:szCs w:val="21"/>
        </w:rPr>
        <w:t>51231</w:t>
      </w:r>
      <w:r>
        <w:rPr>
          <w:rFonts w:eastAsia="仿宋"/>
          <w:i/>
          <w:spacing w:val="10"/>
          <w:szCs w:val="21"/>
        </w:rPr>
        <w:t>、《建筑抗震设计规范》GB 50011、《建筑工程抗震设防分类标准》GB 50023、《装配式混凝土建筑结构技术规程》DBJ 15-107、《装配式混凝土建筑深化设计技术规程》DBJ∕T 15-155</w:t>
      </w:r>
      <w:r>
        <w:rPr>
          <w:rFonts w:hint="eastAsia" w:eastAsia="仿宋"/>
          <w:i/>
          <w:spacing w:val="10"/>
          <w:szCs w:val="21"/>
        </w:rPr>
        <w:t>等相关</w:t>
      </w:r>
      <w:r>
        <w:rPr>
          <w:rFonts w:eastAsia="仿宋"/>
          <w:i/>
          <w:spacing w:val="10"/>
          <w:szCs w:val="21"/>
        </w:rPr>
        <w:t>规定。</w:t>
      </w:r>
    </w:p>
    <w:p>
      <w:pPr>
        <w:rPr>
          <w:rFonts w:eastAsia="仿宋_GB2312"/>
          <w:shd w:val="pct10" w:color="auto" w:fill="FFFFFF"/>
        </w:rPr>
        <w:sectPr>
          <w:type w:val="continuous"/>
          <w:pgSz w:w="11906" w:h="16838"/>
          <w:pgMar w:top="1440" w:right="1418" w:bottom="1440" w:left="1418" w:header="851" w:footer="992" w:gutter="0"/>
          <w:pgNumType w:start="1"/>
          <w:cols w:space="425" w:num="1"/>
          <w:docGrid w:type="linesAndChars" w:linePitch="312" w:charSpace="0"/>
        </w:sectPr>
      </w:pPr>
    </w:p>
    <w:p>
      <w:pPr>
        <w:pStyle w:val="2"/>
        <w:pageBreakBefore/>
        <w:spacing w:before="312" w:after="312"/>
        <w:ind w:left="431" w:hanging="431"/>
      </w:pPr>
      <w:bookmarkStart w:id="33" w:name="_Toc532542980"/>
      <w:bookmarkStart w:id="34" w:name="_Toc45574522"/>
      <w:bookmarkStart w:id="35" w:name="_Toc45313917"/>
      <w:r>
        <w:t>术语和符号</w:t>
      </w:r>
      <w:bookmarkEnd w:id="33"/>
      <w:bookmarkEnd w:id="34"/>
      <w:bookmarkEnd w:id="35"/>
    </w:p>
    <w:p>
      <w:pPr>
        <w:pStyle w:val="3"/>
      </w:pPr>
      <w:bookmarkStart w:id="36" w:name="_Toc532542981"/>
      <w:bookmarkStart w:id="37" w:name="_Toc45574523"/>
      <w:bookmarkStart w:id="38" w:name="_Toc45313918"/>
      <w:r>
        <w:t>术语</w:t>
      </w:r>
      <w:bookmarkEnd w:id="36"/>
      <w:bookmarkEnd w:id="37"/>
      <w:bookmarkEnd w:id="38"/>
    </w:p>
    <w:p>
      <w:r>
        <w:rPr>
          <w:b/>
        </w:rPr>
        <w:t xml:space="preserve">2.1.1 </w:t>
      </w:r>
      <w:r>
        <w:t>钢筋桁架</w:t>
      </w:r>
      <w:r>
        <w:rPr>
          <w:rFonts w:hint="eastAsia"/>
        </w:rPr>
        <w:t xml:space="preserve"> </w:t>
      </w:r>
      <w:r>
        <w:t>steel-bar truss</w:t>
      </w:r>
    </w:p>
    <w:p>
      <w:pPr>
        <w:ind w:firstLine="420"/>
      </w:pPr>
      <w:r>
        <w:t>钢筋桁架</w:t>
      </w:r>
      <w:r>
        <w:rPr>
          <w:rFonts w:hint="eastAsia"/>
        </w:rPr>
        <w:t>是由一根上弦钢筋、两根下弦钢筋和两侧腹杆钢筋经焊接成型的钢筋骨架</w:t>
      </w:r>
      <w:r>
        <w:t>。</w:t>
      </w:r>
    </w:p>
    <w:p>
      <w:pPr>
        <w:rPr>
          <w:rFonts w:eastAsia="仿宋"/>
          <w:i/>
          <w:spacing w:val="10"/>
          <w:szCs w:val="21"/>
        </w:rPr>
      </w:pPr>
      <w:r>
        <w:rPr>
          <w:rFonts w:eastAsia="仿宋"/>
          <w:i/>
          <w:spacing w:val="10"/>
          <w:szCs w:val="21"/>
        </w:rPr>
        <w:t>【条文说明】2.1.1 钢筋桁架，轴测图见图2.1.1。</w:t>
      </w:r>
    </w:p>
    <w:tbl>
      <w:tblPr>
        <w:tblStyle w:val="30"/>
        <w:tblW w:w="0" w:type="auto"/>
        <w:tblInd w:w="0" w:type="dxa"/>
        <w:tblLayout w:type="autofit"/>
        <w:tblCellMar>
          <w:top w:w="0" w:type="dxa"/>
          <w:left w:w="108" w:type="dxa"/>
          <w:bottom w:w="0" w:type="dxa"/>
          <w:right w:w="108" w:type="dxa"/>
        </w:tblCellMar>
      </w:tblPr>
      <w:tblGrid>
        <w:gridCol w:w="8306"/>
      </w:tblGrid>
      <w:tr>
        <w:tblPrEx>
          <w:tblCellMar>
            <w:top w:w="0" w:type="dxa"/>
            <w:left w:w="108" w:type="dxa"/>
            <w:bottom w:w="0" w:type="dxa"/>
            <w:right w:w="108" w:type="dxa"/>
          </w:tblCellMar>
        </w:tblPrEx>
        <w:trPr>
          <w:trHeight w:val="955" w:hRule="atLeast"/>
        </w:trPr>
        <w:tc>
          <w:tcPr>
            <w:tcW w:w="8306" w:type="dxa"/>
            <w:shd w:val="clear" w:color="auto" w:fill="auto"/>
            <w:vAlign w:val="center"/>
          </w:tcPr>
          <w:p>
            <w:pPr>
              <w:pStyle w:val="51"/>
              <w:rPr>
                <w:sz w:val="28"/>
                <w:szCs w:val="28"/>
              </w:rPr>
            </w:pPr>
            <w:r>
              <w:drawing>
                <wp:inline distT="0" distB="0" distL="0" distR="0">
                  <wp:extent cx="3244850" cy="2171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44850" cy="21717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75" w:hRule="atLeast"/>
        </w:trPr>
        <w:tc>
          <w:tcPr>
            <w:tcW w:w="8306" w:type="dxa"/>
            <w:shd w:val="clear" w:color="auto" w:fill="auto"/>
            <w:vAlign w:val="center"/>
          </w:tcPr>
          <w:p>
            <w:pPr>
              <w:pStyle w:val="54"/>
            </w:pPr>
            <w:r>
              <w:t>图 2.1.1钢筋桁架</w:t>
            </w:r>
          </w:p>
          <w:p>
            <w:pPr>
              <w:pStyle w:val="54"/>
            </w:pPr>
            <w:r>
              <w:t>1—上弦钢筋；2—下弦钢筋；3—腹杆钢筋</w:t>
            </w:r>
          </w:p>
        </w:tc>
      </w:tr>
    </w:tbl>
    <w:p>
      <w:bookmarkStart w:id="39" w:name="_Ref532538384"/>
      <w:r>
        <w:rPr>
          <w:b/>
        </w:rPr>
        <w:t xml:space="preserve">2.1.2 </w:t>
      </w:r>
      <w:r>
        <w:t>预制混凝土叶板 precast concrete vane</w:t>
      </w:r>
    </w:p>
    <w:p>
      <w:pPr>
        <w:ind w:firstLine="480"/>
      </w:pPr>
      <w:r>
        <w:t>包含单层双向钢筋网的预制混凝土板</w:t>
      </w:r>
      <w:r>
        <w:rPr>
          <w:rFonts w:hint="eastAsia"/>
        </w:rPr>
        <w:t>。</w:t>
      </w:r>
      <w:r>
        <w:t>简称叶板。</w:t>
      </w:r>
    </w:p>
    <w:p>
      <w:r>
        <w:rPr>
          <w:b/>
        </w:rPr>
        <w:t>2.1.3</w:t>
      </w:r>
      <w:r>
        <w:t xml:space="preserve">预制单面叠合剪力墙 precast </w:t>
      </w:r>
      <w:r>
        <w:rPr>
          <w:rFonts w:hint="eastAsia"/>
        </w:rPr>
        <w:t>single-side</w:t>
      </w:r>
      <w:r>
        <w:t xml:space="preserve"> composite wall panel</w:t>
      </w:r>
    </w:p>
    <w:p>
      <w:pPr>
        <w:ind w:firstLine="420"/>
      </w:pPr>
      <w:r>
        <w:t>由单片预制混凝土叶板与钢筋桁架连接而成的预制混凝土构件，现场安装就位后兼作钢筋混凝土墙体一侧模板使用，在钢筋桁架另一侧支设模板并浇筑混凝土，形成预制和</w:t>
      </w:r>
      <w:r>
        <w:rPr>
          <w:rFonts w:hint="eastAsia"/>
        </w:rPr>
        <w:t>后</w:t>
      </w:r>
      <w:r>
        <w:t>浇共同受力的整体钢筋混凝土墙体，称为单面叠合墙。当预制单面叠合墙为结构抗震墙时，称为单面叠合剪力墙。</w:t>
      </w:r>
    </w:p>
    <w:p>
      <w:pPr>
        <w:rPr>
          <w:rFonts w:eastAsia="仿宋"/>
          <w:i/>
          <w:spacing w:val="10"/>
          <w:szCs w:val="21"/>
        </w:rPr>
      </w:pPr>
      <w:r>
        <w:rPr>
          <w:rFonts w:eastAsia="仿宋"/>
          <w:i/>
          <w:spacing w:val="10"/>
          <w:szCs w:val="21"/>
        </w:rPr>
        <w:t>【条文说明】 2.1.3 预制单面叠合墙简称单面叠合墙</w:t>
      </w:r>
      <w:r>
        <w:rPr>
          <w:rFonts w:hint="eastAsia" w:eastAsia="仿宋"/>
          <w:i/>
          <w:spacing w:val="10"/>
          <w:szCs w:val="21"/>
        </w:rPr>
        <w:t>，属于非结构预制构件模板，</w:t>
      </w:r>
      <w:r>
        <w:rPr>
          <w:rFonts w:eastAsia="仿宋"/>
          <w:i/>
          <w:spacing w:val="10"/>
          <w:szCs w:val="21"/>
        </w:rPr>
        <w:t>亦称为预制构件F板，轴测图详见图2.1.3。预制单面叠合剪力墙简称单面叠合剪力墙。当叶板仅作为模板功能使用时，其现场浇筑完成后的墙体不属于叠合墙范围。</w:t>
      </w:r>
    </w:p>
    <w:p>
      <w:pPr>
        <w:pStyle w:val="54"/>
      </w:pPr>
      <w:r>
        <w:drawing>
          <wp:inline distT="0" distB="0" distL="0" distR="0">
            <wp:extent cx="2279650" cy="2811780"/>
            <wp:effectExtent l="0" t="0" r="635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80267" cy="2811780"/>
                    </a:xfrm>
                    <a:prstGeom prst="rect">
                      <a:avLst/>
                    </a:prstGeom>
                    <a:noFill/>
                    <a:ln>
                      <a:noFill/>
                    </a:ln>
                  </pic:spPr>
                </pic:pic>
              </a:graphicData>
            </a:graphic>
          </wp:inline>
        </w:drawing>
      </w:r>
    </w:p>
    <w:p>
      <w:pPr>
        <w:pStyle w:val="12"/>
        <w:spacing w:before="156"/>
        <w:rPr>
          <w:b w:val="0"/>
          <w:sz w:val="28"/>
          <w:szCs w:val="22"/>
        </w:rPr>
      </w:pPr>
      <w:r>
        <w:rPr>
          <w:b w:val="0"/>
          <w:sz w:val="28"/>
          <w:szCs w:val="22"/>
        </w:rPr>
        <w:t>图2.1.3 预制单面叠合墙</w:t>
      </w:r>
    </w:p>
    <w:p>
      <w:pPr>
        <w:jc w:val="center"/>
      </w:pPr>
      <w:r>
        <w:t>1—叶板，2—钢筋桁架</w:t>
      </w:r>
    </w:p>
    <w:p>
      <w:r>
        <w:rPr>
          <w:b/>
        </w:rPr>
        <w:t xml:space="preserve">2.1.4 </w:t>
      </w:r>
      <w:r>
        <w:t>预制双面叠合剪力墙</w:t>
      </w:r>
      <w:bookmarkEnd w:id="39"/>
      <w:r>
        <w:t xml:space="preserve">precast </w:t>
      </w:r>
      <w:r>
        <w:rPr>
          <w:rFonts w:hint="eastAsia"/>
        </w:rPr>
        <w:t>double-side</w:t>
      </w:r>
      <w:r>
        <w:t xml:space="preserve"> composite wall panel</w:t>
      </w:r>
    </w:p>
    <w:p>
      <w:pPr>
        <w:ind w:firstLine="480"/>
      </w:pPr>
      <w:r>
        <w:t>由钢筋桁架连接两片预制混凝土叶板所形成中部空腔的预制混凝土构件，现场安装就位后在中部空腔内浇筑混凝土，形成共同受力的整体钢筋混凝土墙体，称为双面叠合墙。当预制双面叠合墙为结构抗震墙时，称为双面叠合剪力墙。</w:t>
      </w:r>
    </w:p>
    <w:p>
      <w:pPr>
        <w:rPr>
          <w:rFonts w:eastAsia="仿宋"/>
          <w:i/>
          <w:spacing w:val="10"/>
          <w:szCs w:val="21"/>
        </w:rPr>
      </w:pPr>
      <w:r>
        <w:rPr>
          <w:rFonts w:eastAsia="仿宋"/>
          <w:i/>
          <w:spacing w:val="10"/>
          <w:szCs w:val="21"/>
        </w:rPr>
        <w:t>【条文说明】2.1.4 预制双面叠合墙简称双面叠合墙，轴测图详见图2.1.4。当叠合墙为建筑外围护墙时，室外一侧的叶板成为外叶板，室内一侧的叶板成为内叶板。预制双面叠合剪力墙简称双面叠合剪力墙。当叶板仅作为模板功能使用时，其现场浇筑完成后的墙体不属于叠合墙范围。</w:t>
      </w:r>
    </w:p>
    <w:p>
      <w:pPr>
        <w:rPr>
          <w:rFonts w:eastAsia="仿宋"/>
          <w:i/>
          <w:spacing w:val="10"/>
          <w:szCs w:val="21"/>
        </w:rPr>
      </w:pPr>
    </w:p>
    <w:p>
      <w:pPr>
        <w:pStyle w:val="54"/>
      </w:pPr>
      <w:r>
        <w:drawing>
          <wp:inline distT="0" distB="0" distL="0" distR="0">
            <wp:extent cx="1524000" cy="2670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24000" cy="2671379"/>
                    </a:xfrm>
                    <a:prstGeom prst="rect">
                      <a:avLst/>
                    </a:prstGeom>
                    <a:noFill/>
                    <a:ln>
                      <a:noFill/>
                    </a:ln>
                  </pic:spPr>
                </pic:pic>
              </a:graphicData>
            </a:graphic>
          </wp:inline>
        </w:drawing>
      </w:r>
    </w:p>
    <w:p>
      <w:pPr>
        <w:pStyle w:val="54"/>
      </w:pPr>
      <w:r>
        <w:t>图 2.1.4   预制双面叠合墙</w:t>
      </w:r>
    </w:p>
    <w:p>
      <w:pPr>
        <w:pStyle w:val="54"/>
      </w:pPr>
      <w:r>
        <w:t>1—叶板；2—钢筋桁架</w:t>
      </w:r>
    </w:p>
    <w:p>
      <w:bookmarkStart w:id="40" w:name="_Ref532538003"/>
      <w:r>
        <w:rPr>
          <w:b/>
        </w:rPr>
        <w:t xml:space="preserve">2.1.5 </w:t>
      </w:r>
      <w:r>
        <w:t xml:space="preserve">预制夹心保温叠合剪力墙 </w:t>
      </w:r>
      <w:bookmarkEnd w:id="40"/>
      <w:r>
        <w:rPr>
          <w:rFonts w:hint="eastAsia"/>
        </w:rPr>
        <w:t>precast</w:t>
      </w:r>
      <w:r>
        <w:t xml:space="preserve"> sandwich composite concrete shear wall</w:t>
      </w:r>
    </w:p>
    <w:p>
      <w:pPr>
        <w:ind w:firstLine="480"/>
      </w:pPr>
      <w:r>
        <w:t>由保温</w:t>
      </w:r>
      <w:r>
        <w:rPr>
          <w:rFonts w:hint="eastAsia"/>
        </w:rPr>
        <w:t>拉结</w:t>
      </w:r>
      <w:r>
        <w:t>件连接预制单面叠合墙和带保温材料外叶板所形成中部空腔的预制构件，现场安装就位后在中部空腔内浇筑混凝土，形成预制和现浇共同受力的整体钢筋混凝土墙体，称为夹心保温叠合墙。当叠合墙为结构抗震墙时，称为夹心保温叠合剪力墙。</w:t>
      </w:r>
    </w:p>
    <w:p>
      <w:pPr>
        <w:rPr>
          <w:rFonts w:eastAsia="仿宋"/>
          <w:i/>
          <w:spacing w:val="10"/>
          <w:szCs w:val="21"/>
        </w:rPr>
      </w:pPr>
      <w:r>
        <w:rPr>
          <w:rFonts w:eastAsia="仿宋"/>
          <w:i/>
          <w:spacing w:val="10"/>
          <w:szCs w:val="21"/>
        </w:rPr>
        <w:t>【条文说明】2.1.5 预制夹心保温叠合墙简称夹心保温叠合墙，轴测图见图2.1.5。预制夹心保温叠合剪力墙简称夹心保温叠合剪力墙。建筑室外一侧的预制混凝土叶板称为外叶板（保温材料的外部保护层），建筑室内一侧的预制混凝土叶板称为内叶板。</w:t>
      </w:r>
    </w:p>
    <w:p>
      <w:pPr>
        <w:ind w:firstLine="600" w:firstLineChars="200"/>
        <w:rPr>
          <w:rFonts w:eastAsia="仿宋"/>
          <w:i/>
          <w:spacing w:val="10"/>
          <w:szCs w:val="21"/>
        </w:rPr>
      </w:pPr>
      <w:r>
        <w:rPr>
          <w:rFonts w:eastAsia="仿宋"/>
          <w:i/>
          <w:spacing w:val="10"/>
          <w:szCs w:val="21"/>
        </w:rPr>
        <w:t xml:space="preserve"> 由于夹心保温做法可以有效解决外围护墙保温、隔热，考虑到我省后期绿色节能建筑的持续发展，所以本规程引入了此种做法，为我省以后建筑节能措施提供一种更好的技术选择。</w:t>
      </w:r>
    </w:p>
    <w:p>
      <w:pPr>
        <w:pStyle w:val="54"/>
      </w:pPr>
      <w:r>
        <w:drawing>
          <wp:inline distT="0" distB="0" distL="0" distR="0">
            <wp:extent cx="2171700" cy="2609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71700" cy="2610427"/>
                    </a:xfrm>
                    <a:prstGeom prst="rect">
                      <a:avLst/>
                    </a:prstGeom>
                    <a:noFill/>
                    <a:ln>
                      <a:noFill/>
                    </a:ln>
                  </pic:spPr>
                </pic:pic>
              </a:graphicData>
            </a:graphic>
          </wp:inline>
        </w:drawing>
      </w:r>
      <w:r>
        <w:drawing>
          <wp:inline distT="0" distB="0" distL="0" distR="0">
            <wp:extent cx="1196340" cy="241046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06657" cy="2429999"/>
                    </a:xfrm>
                    <a:prstGeom prst="rect">
                      <a:avLst/>
                    </a:prstGeom>
                    <a:noFill/>
                    <a:ln>
                      <a:noFill/>
                    </a:ln>
                  </pic:spPr>
                </pic:pic>
              </a:graphicData>
            </a:graphic>
          </wp:inline>
        </w:drawing>
      </w:r>
    </w:p>
    <w:p>
      <w:pPr>
        <w:pStyle w:val="54"/>
        <w:rPr>
          <w:kern w:val="0"/>
        </w:rPr>
      </w:pPr>
      <w:r>
        <w:t>图2.1.5 夹心保温叠合墙</w:t>
      </w:r>
    </w:p>
    <w:p>
      <w:pPr>
        <w:pStyle w:val="54"/>
      </w:pPr>
      <w:r>
        <w:t>1—内叶板；2—外叶板；3—保温材料；4—钢筋桁架；</w:t>
      </w:r>
    </w:p>
    <w:p>
      <w:pPr>
        <w:pStyle w:val="54"/>
      </w:pPr>
      <w:r>
        <w:t>5—保温连接件</w:t>
      </w:r>
    </w:p>
    <w:p>
      <w:r>
        <w:rPr>
          <w:b/>
        </w:rPr>
        <w:t xml:space="preserve">2.1.6 </w:t>
      </w:r>
      <w:r>
        <w:t>预制叠合剪力墙 precast composite shear wall</w:t>
      </w:r>
    </w:p>
    <w:p>
      <w:pPr>
        <w:ind w:firstLine="576" w:firstLineChars="200"/>
      </w:pPr>
      <w:r>
        <w:t>预制单面叠合剪力墙、预制双面叠合剪力墙、预制夹心保温叠合剪力墙统称为预制叠合剪力墙</w:t>
      </w:r>
      <w:r>
        <w:rPr>
          <w:rFonts w:hint="eastAsia"/>
        </w:rPr>
        <w:t>。</w:t>
      </w:r>
      <w:r>
        <w:t>简称叠合剪力墙。</w:t>
      </w:r>
    </w:p>
    <w:p>
      <w:r>
        <w:rPr>
          <w:b/>
        </w:rPr>
        <w:t xml:space="preserve">2.1.7 </w:t>
      </w:r>
      <w:r>
        <w:t xml:space="preserve">装配整体式叠合剪力墙结构 monolithic precast concrete composite shear wall structure </w:t>
      </w:r>
    </w:p>
    <w:p>
      <w:pPr>
        <w:ind w:firstLine="576" w:firstLineChars="200"/>
      </w:pPr>
      <w:r>
        <w:t>剪力墙结构中全部或部分剪力墙采用预制叠合剪力墙，通过可靠连接并与现场后浇混凝土形成整体的装配整体式混凝土剪力墙结构</w:t>
      </w:r>
      <w:r>
        <w:rPr>
          <w:rFonts w:hint="eastAsia"/>
        </w:rPr>
        <w:t>。</w:t>
      </w:r>
      <w:r>
        <w:t>简称叠合剪力墙结构。</w:t>
      </w:r>
    </w:p>
    <w:p>
      <w:r>
        <w:rPr>
          <w:b/>
        </w:rPr>
        <w:t xml:space="preserve">2.1.8 </w:t>
      </w:r>
      <w:r>
        <w:t>装配整体式部分框支叠合剪力墙结构 partial frame supported precast concrete composite shear wall structure</w:t>
      </w:r>
    </w:p>
    <w:p>
      <w:pPr>
        <w:ind w:firstLine="480"/>
      </w:pPr>
      <w:r>
        <w:t>带托墙转换层的装配整体式叠合剪力墙结构</w:t>
      </w:r>
      <w:r>
        <w:rPr>
          <w:rFonts w:hint="eastAsia"/>
        </w:rPr>
        <w:t>。</w:t>
      </w:r>
      <w:r>
        <w:t>简称部分框支叠合剪力墙结构。</w:t>
      </w:r>
    </w:p>
    <w:p>
      <w:pPr>
        <w:rPr>
          <w:bCs/>
        </w:rPr>
      </w:pPr>
      <w:r>
        <w:rPr>
          <w:b/>
        </w:rPr>
        <w:t>2.1.</w:t>
      </w:r>
      <w:r>
        <w:rPr>
          <w:rFonts w:hint="eastAsia"/>
          <w:b/>
        </w:rPr>
        <w:t>9</w:t>
      </w:r>
      <w:r>
        <w:rPr>
          <w:b/>
        </w:rPr>
        <w:t xml:space="preserve"> </w:t>
      </w:r>
      <w:r>
        <w:rPr>
          <w:bCs/>
        </w:rPr>
        <w:t>装配整体式叠合剪力墙结构</w:t>
      </w:r>
      <w:r>
        <w:t>体系</w:t>
      </w:r>
      <w:r>
        <w:rPr>
          <w:bCs/>
        </w:rPr>
        <w:t xml:space="preserve"> monolithic precast composite shear wall structure system</w:t>
      </w:r>
    </w:p>
    <w:p>
      <w:pPr>
        <w:ind w:firstLine="576" w:firstLineChars="200"/>
      </w:pPr>
      <w:r>
        <w:t>装配整体式叠合剪力墙结构、装配整体式部分框支叠合剪力墙结构，统称</w:t>
      </w:r>
      <w:r>
        <w:rPr>
          <w:bCs/>
        </w:rPr>
        <w:t>装配整体式</w:t>
      </w:r>
      <w:r>
        <w:t>叠合剪力墙结构体系</w:t>
      </w:r>
      <w:r>
        <w:rPr>
          <w:rFonts w:hint="eastAsia"/>
        </w:rPr>
        <w:t>。</w:t>
      </w:r>
      <w:r>
        <w:t>简称叠合剪力墙结构体系。</w:t>
      </w:r>
    </w:p>
    <w:p>
      <w:r>
        <w:rPr>
          <w:b/>
        </w:rPr>
        <w:t>2.1.1</w:t>
      </w:r>
      <w:r>
        <w:rPr>
          <w:rFonts w:hint="eastAsia"/>
          <w:b/>
        </w:rPr>
        <w:t>0</w:t>
      </w:r>
      <w:r>
        <w:rPr>
          <w:b/>
        </w:rPr>
        <w:t xml:space="preserve"> </w:t>
      </w:r>
      <w:r>
        <w:t>钢筋桁架混凝土叠合板 concrete composite slab with steel-bar truss</w:t>
      </w:r>
    </w:p>
    <w:p>
      <w:pPr>
        <w:ind w:firstLine="576" w:firstLineChars="200"/>
      </w:pPr>
      <w:r>
        <w:t>底部采用钢筋桁架预制板、顶部采用现场后浇混凝土形成的叠合板，用于楼板、屋面板</w:t>
      </w:r>
      <w:r>
        <w:rPr>
          <w:rFonts w:hint="eastAsia"/>
        </w:rPr>
        <w:t>。</w:t>
      </w:r>
      <w:r>
        <w:t>简称</w:t>
      </w:r>
      <w:r>
        <w:rPr>
          <w:rFonts w:hint="eastAsia"/>
        </w:rPr>
        <w:t>钢筋</w:t>
      </w:r>
      <w:r>
        <w:t>桁架叠合板。</w:t>
      </w:r>
    </w:p>
    <w:p>
      <w:pPr>
        <w:rPr>
          <w:rFonts w:eastAsia="仿宋"/>
          <w:i/>
          <w:spacing w:val="10"/>
          <w:szCs w:val="21"/>
        </w:rPr>
      </w:pPr>
      <w:r>
        <w:rPr>
          <w:rFonts w:eastAsia="仿宋"/>
          <w:i/>
          <w:spacing w:val="10"/>
          <w:szCs w:val="21"/>
        </w:rPr>
        <w:t>【条文说明】2.1.1</w:t>
      </w:r>
      <w:r>
        <w:rPr>
          <w:rFonts w:hint="eastAsia" w:eastAsia="仿宋"/>
          <w:i/>
          <w:spacing w:val="10"/>
          <w:szCs w:val="21"/>
        </w:rPr>
        <w:t>0</w:t>
      </w:r>
      <w:r>
        <w:rPr>
          <w:rFonts w:eastAsia="仿宋"/>
          <w:i/>
          <w:spacing w:val="10"/>
          <w:szCs w:val="21"/>
        </w:rPr>
        <w:t xml:space="preserve"> 预制混凝土梁或板顶部在现场后浇混凝土而形成的整体受弯构件，简称叠合梁或叠合板。</w:t>
      </w:r>
    </w:p>
    <w:p>
      <w:r>
        <w:rPr>
          <w:b/>
        </w:rPr>
        <w:t>2.1.1</w:t>
      </w:r>
      <w:r>
        <w:rPr>
          <w:rFonts w:hint="eastAsia"/>
          <w:b/>
        </w:rPr>
        <w:t>1</w:t>
      </w:r>
      <w:r>
        <w:rPr>
          <w:b/>
        </w:rPr>
        <w:t xml:space="preserve"> </w:t>
      </w:r>
      <w:r>
        <w:t>混凝土结合面 concrete laminated interface</w:t>
      </w:r>
    </w:p>
    <w:p>
      <w:pPr>
        <w:ind w:firstLine="576" w:firstLineChars="200"/>
      </w:pPr>
      <w:r>
        <w:t>预制混凝土构件与后浇混凝土之间的接触面</w:t>
      </w:r>
      <w:r>
        <w:rPr>
          <w:rFonts w:hint="eastAsia"/>
        </w:rPr>
        <w:t>。</w:t>
      </w:r>
      <w:r>
        <w:t>简称结合面。</w:t>
      </w:r>
    </w:p>
    <w:p>
      <w:r>
        <w:rPr>
          <w:b/>
        </w:rPr>
        <w:t>2.1.1</w:t>
      </w:r>
      <w:r>
        <w:rPr>
          <w:rFonts w:hint="eastAsia"/>
          <w:b/>
        </w:rPr>
        <w:t>2</w:t>
      </w:r>
      <w:r>
        <w:rPr>
          <w:b/>
        </w:rPr>
        <w:t xml:space="preserve"> </w:t>
      </w:r>
      <w:r>
        <w:t>混凝土粗糙面 concrete rough surface</w:t>
      </w:r>
    </w:p>
    <w:p>
      <w:pPr>
        <w:ind w:firstLine="576" w:firstLineChars="200"/>
      </w:pPr>
      <w:r>
        <w:t>预制构件结合面上的凹凸不平或骨料显露的表面</w:t>
      </w:r>
      <w:r>
        <w:rPr>
          <w:rFonts w:hint="eastAsia"/>
        </w:rPr>
        <w:t>。</w:t>
      </w:r>
      <w:r>
        <w:t>简称粗糙面。</w:t>
      </w:r>
    </w:p>
    <w:p>
      <w:pPr>
        <w:widowControl/>
        <w:spacing w:line="240" w:lineRule="auto"/>
        <w:jc w:val="left"/>
        <w:rPr>
          <w:b/>
          <w:bCs/>
          <w:sz w:val="32"/>
          <w:szCs w:val="32"/>
        </w:rPr>
      </w:pPr>
      <w:bookmarkStart w:id="41" w:name="_Toc532542982"/>
      <w:r>
        <w:br w:type="page"/>
      </w:r>
    </w:p>
    <w:p>
      <w:pPr>
        <w:pStyle w:val="3"/>
      </w:pPr>
      <w:bookmarkStart w:id="42" w:name="_Toc45313919"/>
      <w:bookmarkStart w:id="43" w:name="_Toc45574524"/>
      <w:r>
        <w:t>符号</w:t>
      </w:r>
      <w:bookmarkEnd w:id="41"/>
      <w:bookmarkEnd w:id="42"/>
      <w:bookmarkEnd w:id="43"/>
    </w:p>
    <w:p>
      <w:pPr>
        <w:pStyle w:val="4"/>
      </w:pPr>
      <w:r>
        <w:rPr>
          <w:rFonts w:hint="eastAsia"/>
        </w:rPr>
        <w:t>几何参数</w:t>
      </w:r>
    </w:p>
    <w:tbl>
      <w:tblPr>
        <w:tblStyle w:val="30"/>
        <w:tblW w:w="7655" w:type="dxa"/>
        <w:tblInd w:w="709" w:type="dxa"/>
        <w:tblLayout w:type="autofit"/>
        <w:tblCellMar>
          <w:top w:w="0" w:type="dxa"/>
          <w:left w:w="0" w:type="dxa"/>
          <w:bottom w:w="0" w:type="dxa"/>
          <w:right w:w="0" w:type="dxa"/>
        </w:tblCellMar>
      </w:tblPr>
      <w:tblGrid>
        <w:gridCol w:w="992"/>
        <w:gridCol w:w="6663"/>
      </w:tblGrid>
      <w:tr>
        <w:tblPrEx>
          <w:tblCellMar>
            <w:top w:w="0" w:type="dxa"/>
            <w:left w:w="0" w:type="dxa"/>
            <w:bottom w:w="0" w:type="dxa"/>
            <w:right w:w="0" w:type="dxa"/>
          </w:tblCellMar>
        </w:tblPrEx>
        <w:tc>
          <w:tcPr>
            <w:tcW w:w="992" w:type="dxa"/>
          </w:tcPr>
          <w:p>
            <w:pPr>
              <w:jc w:val="right"/>
              <w:rPr>
                <w:rFonts w:eastAsiaTheme="minorEastAsia"/>
              </w:rPr>
            </w:pPr>
            <w:r>
              <w:rPr>
                <w:i/>
              </w:rPr>
              <w:t>L</w:t>
            </w:r>
            <w:r>
              <w:rPr>
                <w:vertAlign w:val="subscript"/>
              </w:rPr>
              <w:t>x</w:t>
            </w:r>
            <w:r>
              <w:t>、</w:t>
            </w:r>
            <w:r>
              <w:rPr>
                <w:i/>
              </w:rPr>
              <w:t>L</w:t>
            </w:r>
            <w:r>
              <w:rPr>
                <w:vertAlign w:val="subscript"/>
              </w:rPr>
              <w:t>y</w:t>
            </w:r>
          </w:p>
        </w:tc>
        <w:tc>
          <w:tcPr>
            <w:tcW w:w="6663" w:type="dxa"/>
          </w:tcPr>
          <w:p>
            <w:r>
              <w:rPr>
                <w:kern w:val="0"/>
              </w:rPr>
              <w:t>—</w:t>
            </w:r>
            <w:r>
              <w:t>—双向板的边长；</w:t>
            </w:r>
          </w:p>
        </w:tc>
      </w:tr>
      <w:tr>
        <w:tc>
          <w:tcPr>
            <w:tcW w:w="992" w:type="dxa"/>
          </w:tcPr>
          <w:p>
            <w:pPr>
              <w:jc w:val="right"/>
              <w:rPr>
                <w:i/>
              </w:rPr>
            </w:pPr>
            <w:r>
              <w:rPr>
                <w:i/>
              </w:rPr>
              <w:t>b</w:t>
            </w:r>
            <w:r>
              <w:rPr>
                <w:vertAlign w:val="subscript"/>
              </w:rPr>
              <w:t>st</w:t>
            </w:r>
          </w:p>
        </w:tc>
        <w:tc>
          <w:tcPr>
            <w:tcW w:w="6663" w:type="dxa"/>
          </w:tcPr>
          <w:p>
            <w:pPr>
              <w:spacing w:line="240" w:lineRule="auto"/>
              <w:jc w:val="left"/>
            </w:pPr>
            <w:r>
              <w:t>——下弦钢筋外表面距离；</w:t>
            </w:r>
          </w:p>
        </w:tc>
      </w:tr>
      <w:tr>
        <w:tc>
          <w:tcPr>
            <w:tcW w:w="992" w:type="dxa"/>
          </w:tcPr>
          <w:p>
            <w:pPr>
              <w:jc w:val="right"/>
              <w:rPr>
                <w:rFonts w:eastAsiaTheme="minorEastAsia"/>
                <w:i/>
              </w:rPr>
            </w:pPr>
            <w:r>
              <w:rPr>
                <w:rFonts w:eastAsiaTheme="minorEastAsia"/>
                <w:i/>
              </w:rPr>
              <w:t>d</w:t>
            </w:r>
            <w:r>
              <w:rPr>
                <w:rFonts w:eastAsiaTheme="minorEastAsia"/>
                <w:vertAlign w:val="subscript"/>
              </w:rPr>
              <w:t>f</w:t>
            </w:r>
          </w:p>
        </w:tc>
        <w:tc>
          <w:tcPr>
            <w:tcW w:w="6663" w:type="dxa"/>
          </w:tcPr>
          <w:p>
            <w:pPr>
              <w:spacing w:line="240" w:lineRule="auto"/>
              <w:jc w:val="left"/>
            </w:pPr>
            <w:r>
              <w:t>——格构钢筋直径；</w:t>
            </w:r>
          </w:p>
        </w:tc>
      </w:tr>
      <w:tr>
        <w:tblPrEx>
          <w:tblCellMar>
            <w:top w:w="0" w:type="dxa"/>
            <w:left w:w="0" w:type="dxa"/>
            <w:bottom w:w="0" w:type="dxa"/>
            <w:right w:w="0" w:type="dxa"/>
          </w:tblCellMar>
        </w:tblPrEx>
        <w:tc>
          <w:tcPr>
            <w:tcW w:w="992" w:type="dxa"/>
          </w:tcPr>
          <w:p>
            <w:pPr>
              <w:jc w:val="right"/>
              <w:rPr>
                <w:rFonts w:eastAsiaTheme="minorEastAsia"/>
              </w:rPr>
            </w:pPr>
            <w:r>
              <w:rPr>
                <w:i/>
              </w:rPr>
              <w:t>h</w:t>
            </w:r>
          </w:p>
        </w:tc>
        <w:tc>
          <w:tcPr>
            <w:tcW w:w="6663" w:type="dxa"/>
          </w:tcPr>
          <w:p>
            <w:pPr>
              <w:spacing w:line="240" w:lineRule="auto"/>
              <w:jc w:val="left"/>
            </w:pPr>
            <w:r>
              <w:t>——叠合板总高度；</w:t>
            </w:r>
          </w:p>
        </w:tc>
      </w:tr>
      <w:tr>
        <w:tc>
          <w:tcPr>
            <w:tcW w:w="992" w:type="dxa"/>
          </w:tcPr>
          <w:p>
            <w:pPr>
              <w:jc w:val="right"/>
              <w:rPr>
                <w:rFonts w:eastAsiaTheme="minorEastAsia"/>
              </w:rPr>
            </w:pPr>
            <w:r>
              <w:rPr>
                <w:i/>
              </w:rPr>
              <w:t>h</w:t>
            </w:r>
            <w:r>
              <w:rPr>
                <w:vertAlign w:val="subscript"/>
              </w:rPr>
              <w:t>0</w:t>
            </w:r>
          </w:p>
        </w:tc>
        <w:tc>
          <w:tcPr>
            <w:tcW w:w="6663" w:type="dxa"/>
          </w:tcPr>
          <w:p>
            <w:pPr>
              <w:spacing w:line="240" w:lineRule="auto"/>
              <w:jc w:val="left"/>
            </w:pPr>
            <w:r>
              <w:t>——叠合板有效高度；</w:t>
            </w:r>
          </w:p>
        </w:tc>
      </w:tr>
      <w:tr>
        <w:tblPrEx>
          <w:tblCellMar>
            <w:top w:w="0" w:type="dxa"/>
            <w:left w:w="0" w:type="dxa"/>
            <w:bottom w:w="0" w:type="dxa"/>
            <w:right w:w="0" w:type="dxa"/>
          </w:tblCellMar>
        </w:tblPrEx>
        <w:tc>
          <w:tcPr>
            <w:tcW w:w="992" w:type="dxa"/>
          </w:tcPr>
          <w:p>
            <w:pPr>
              <w:jc w:val="right"/>
              <w:rPr>
                <w:i/>
              </w:rPr>
            </w:pPr>
            <w:r>
              <w:rPr>
                <w:i/>
              </w:rPr>
              <w:t>h</w:t>
            </w:r>
            <w:r>
              <w:rPr>
                <w:vertAlign w:val="subscript"/>
              </w:rPr>
              <w:t>st</w:t>
            </w:r>
          </w:p>
        </w:tc>
        <w:tc>
          <w:tcPr>
            <w:tcW w:w="6663" w:type="dxa"/>
          </w:tcPr>
          <w:p>
            <w:pPr>
              <w:spacing w:line="240" w:lineRule="auto"/>
              <w:jc w:val="left"/>
            </w:pPr>
            <w:r>
              <w:t>——上、下弦钢筋外表面距离；</w:t>
            </w:r>
          </w:p>
        </w:tc>
      </w:tr>
      <w:tr>
        <w:tblPrEx>
          <w:tblCellMar>
            <w:top w:w="0" w:type="dxa"/>
            <w:left w:w="0" w:type="dxa"/>
            <w:bottom w:w="0" w:type="dxa"/>
            <w:right w:w="0" w:type="dxa"/>
          </w:tblCellMar>
        </w:tblPrEx>
        <w:tc>
          <w:tcPr>
            <w:tcW w:w="992" w:type="dxa"/>
          </w:tcPr>
          <w:p>
            <w:pPr>
              <w:jc w:val="right"/>
              <w:rPr>
                <w:i/>
              </w:rPr>
            </w:pPr>
            <w:r>
              <w:rPr>
                <w:i/>
              </w:rPr>
              <w:t>l</w:t>
            </w:r>
            <w:r>
              <w:rPr>
                <w:vertAlign w:val="subscript"/>
              </w:rPr>
              <w:t>a</w:t>
            </w:r>
          </w:p>
        </w:tc>
        <w:tc>
          <w:tcPr>
            <w:tcW w:w="6663" w:type="dxa"/>
          </w:tcPr>
          <w:p>
            <w:pPr>
              <w:spacing w:line="240" w:lineRule="auto"/>
              <w:jc w:val="left"/>
            </w:pPr>
            <w:r>
              <w:t>——钢筋</w:t>
            </w:r>
            <w:r>
              <w:rPr>
                <w:rFonts w:hint="eastAsia"/>
              </w:rPr>
              <w:t>锚固长度</w:t>
            </w:r>
            <w:r>
              <w:t>；</w:t>
            </w:r>
          </w:p>
        </w:tc>
      </w:tr>
      <w:tr>
        <w:tc>
          <w:tcPr>
            <w:tcW w:w="992" w:type="dxa"/>
          </w:tcPr>
          <w:p>
            <w:pPr>
              <w:jc w:val="right"/>
              <w:rPr>
                <w:i/>
              </w:rPr>
            </w:pPr>
            <w:r>
              <w:rPr>
                <w:i/>
              </w:rPr>
              <w:t>l</w:t>
            </w:r>
            <w:r>
              <w:rPr>
                <w:vertAlign w:val="subscript"/>
              </w:rPr>
              <w:t>l</w:t>
            </w:r>
          </w:p>
        </w:tc>
        <w:tc>
          <w:tcPr>
            <w:tcW w:w="6663" w:type="dxa"/>
          </w:tcPr>
          <w:p>
            <w:pPr>
              <w:spacing w:line="240" w:lineRule="auto"/>
              <w:jc w:val="left"/>
            </w:pPr>
            <w:r>
              <w:t>——钢筋搭接长度；</w:t>
            </w:r>
          </w:p>
        </w:tc>
      </w:tr>
      <w:tr>
        <w:tc>
          <w:tcPr>
            <w:tcW w:w="992" w:type="dxa"/>
          </w:tcPr>
          <w:p>
            <w:pPr>
              <w:jc w:val="right"/>
              <w:rPr>
                <w:rFonts w:eastAsiaTheme="minorEastAsia"/>
                <w:i/>
              </w:rPr>
            </w:pPr>
            <w:r>
              <w:rPr>
                <w:i/>
              </w:rPr>
              <w:t>l</w:t>
            </w:r>
            <w:r>
              <w:rPr>
                <w:vertAlign w:val="subscript"/>
              </w:rPr>
              <w:t>s</w:t>
            </w:r>
          </w:p>
        </w:tc>
        <w:tc>
          <w:tcPr>
            <w:tcW w:w="6663" w:type="dxa"/>
          </w:tcPr>
          <w:p>
            <w:pPr>
              <w:spacing w:line="240" w:lineRule="auto"/>
              <w:jc w:val="left"/>
            </w:pPr>
            <w:r>
              <w:t>——上（下）弦钢筋的焊点中心距；</w:t>
            </w:r>
          </w:p>
        </w:tc>
      </w:tr>
      <w:tr>
        <w:tc>
          <w:tcPr>
            <w:tcW w:w="992" w:type="dxa"/>
            <w:vAlign w:val="center"/>
          </w:tcPr>
          <w:p>
            <w:pPr>
              <w:jc w:val="right"/>
              <w:rPr>
                <w:iCs/>
              </w:rPr>
            </w:pPr>
            <w:r>
              <w:rPr>
                <w:rFonts w:hint="eastAsia"/>
                <w:iCs/>
                <w:sz w:val="24"/>
                <w:szCs w:val="21"/>
              </w:rPr>
              <w:t>△</w:t>
            </w:r>
          </w:p>
        </w:tc>
        <w:tc>
          <w:tcPr>
            <w:tcW w:w="6663" w:type="dxa"/>
            <w:vAlign w:val="center"/>
          </w:tcPr>
          <w:p>
            <w:pPr>
              <w:spacing w:line="240" w:lineRule="auto"/>
              <w:jc w:val="left"/>
            </w:pPr>
            <w:r>
              <w:t>——水平接缝高度；</w:t>
            </w:r>
          </w:p>
        </w:tc>
      </w:tr>
      <w:tr>
        <w:tblPrEx>
          <w:tblCellMar>
            <w:top w:w="0" w:type="dxa"/>
            <w:left w:w="0" w:type="dxa"/>
            <w:bottom w:w="0" w:type="dxa"/>
            <w:right w:w="0" w:type="dxa"/>
          </w:tblCellMar>
        </w:tblPrEx>
        <w:tc>
          <w:tcPr>
            <w:tcW w:w="992" w:type="dxa"/>
            <w:vAlign w:val="center"/>
          </w:tcPr>
          <w:p>
            <w:pPr>
              <w:jc w:val="right"/>
              <w:rPr>
                <w:i/>
              </w:rPr>
            </w:pPr>
            <m:oMathPara>
              <m:oMathParaPr>
                <m:jc m:val="right"/>
              </m:oMathParaPr>
              <m:oMath>
                <m:r>
                  <w:rPr>
                    <w:rFonts w:ascii="Cambria Math" w:hAnsi="Cambria Math"/>
                  </w:rPr>
                  <m:t>δ</m:t>
                </m:r>
              </m:oMath>
            </m:oMathPara>
          </w:p>
        </w:tc>
        <w:tc>
          <w:tcPr>
            <w:tcW w:w="6663" w:type="dxa"/>
            <w:vAlign w:val="center"/>
          </w:tcPr>
          <w:p>
            <w:pPr>
              <w:spacing w:line="240" w:lineRule="auto"/>
              <w:jc w:val="left"/>
            </w:pPr>
            <w:r>
              <w:t>——竖向接缝宽度。</w:t>
            </w:r>
          </w:p>
        </w:tc>
      </w:tr>
      <w:tr>
        <w:tc>
          <w:tcPr>
            <w:tcW w:w="992" w:type="dxa"/>
          </w:tcPr>
          <w:p>
            <w:pPr>
              <w:jc w:val="right"/>
              <w:rPr>
                <w:rFonts w:eastAsiaTheme="minorEastAsia"/>
              </w:rPr>
            </w:pPr>
            <w:r>
              <w:rPr>
                <w:i/>
                <w:kern w:val="0"/>
              </w:rPr>
              <w:t>α</w:t>
            </w:r>
            <w:r>
              <w:t>、</w:t>
            </w:r>
            <w:r>
              <w:rPr>
                <w:i/>
                <w:kern w:val="0"/>
              </w:rPr>
              <w:t>β</w:t>
            </w:r>
          </w:p>
        </w:tc>
        <w:tc>
          <w:tcPr>
            <w:tcW w:w="6663" w:type="dxa"/>
          </w:tcPr>
          <w:p>
            <w:pPr>
              <w:spacing w:line="240" w:lineRule="auto"/>
              <w:jc w:val="left"/>
            </w:pPr>
            <w:r>
              <w:t>——格构钢筋垂直桁架方向和平行桁架方向的倾角。</w:t>
            </w:r>
          </w:p>
        </w:tc>
      </w:tr>
      <w:tr>
        <w:tblPrEx>
          <w:tblCellMar>
            <w:top w:w="0" w:type="dxa"/>
            <w:left w:w="0" w:type="dxa"/>
            <w:bottom w:w="0" w:type="dxa"/>
            <w:right w:w="0" w:type="dxa"/>
          </w:tblCellMar>
        </w:tblPrEx>
        <w:tc>
          <w:tcPr>
            <w:tcW w:w="992" w:type="dxa"/>
          </w:tcPr>
          <w:p>
            <w:pPr>
              <w:jc w:val="right"/>
              <w:rPr>
                <w:i/>
                <w:kern w:val="0"/>
              </w:rPr>
            </w:pPr>
          </w:p>
        </w:tc>
        <w:tc>
          <w:tcPr>
            <w:tcW w:w="6663" w:type="dxa"/>
          </w:tcPr>
          <w:p>
            <w:pPr>
              <w:spacing w:line="240" w:lineRule="auto"/>
              <w:jc w:val="left"/>
            </w:pPr>
          </w:p>
        </w:tc>
      </w:tr>
    </w:tbl>
    <w:p>
      <w:pPr>
        <w:pStyle w:val="2"/>
        <w:pageBreakBefore/>
        <w:spacing w:before="312" w:after="312"/>
        <w:ind w:left="431" w:hanging="431"/>
      </w:pPr>
      <w:bookmarkStart w:id="44" w:name="_Toc45574525"/>
      <w:bookmarkStart w:id="45" w:name="_Toc45313920"/>
      <w:r>
        <w:t>基本规定</w:t>
      </w:r>
      <w:bookmarkEnd w:id="44"/>
      <w:bookmarkEnd w:id="45"/>
    </w:p>
    <w:p>
      <w:r>
        <w:rPr>
          <w:b/>
          <w:bCs/>
        </w:rPr>
        <w:t>3.0.1</w:t>
      </w:r>
      <w:r>
        <w:tab/>
      </w:r>
      <w:r>
        <w:t>叠合剪力墙结构的设计阶段，应综合</w:t>
      </w:r>
      <w:r>
        <w:rPr>
          <w:rFonts w:hint="eastAsia"/>
        </w:rPr>
        <w:t>协调</w:t>
      </w:r>
      <w:r>
        <w:t>建设、设计、生产、施工等各方之间的关系，并应加强建筑、结构、设备、装修、幕墙等专业之间的配合。</w:t>
      </w:r>
    </w:p>
    <w:p>
      <w:r>
        <w:rPr>
          <w:rFonts w:eastAsia="仿宋"/>
          <w:i/>
          <w:spacing w:val="10"/>
          <w:szCs w:val="21"/>
        </w:rPr>
        <w:t>【条文说明】3.0.1 装配式建筑设计最关键的就是</w:t>
      </w:r>
      <w:r>
        <w:rPr>
          <w:rFonts w:hint="eastAsia" w:eastAsia="仿宋"/>
          <w:i/>
          <w:spacing w:val="10"/>
          <w:szCs w:val="21"/>
        </w:rPr>
        <w:t>预制构件</w:t>
      </w:r>
      <w:r>
        <w:rPr>
          <w:rFonts w:eastAsia="仿宋"/>
          <w:i/>
          <w:spacing w:val="10"/>
          <w:szCs w:val="21"/>
        </w:rPr>
        <w:t>内容要在建筑方案阶段开始介入，考虑</w:t>
      </w:r>
      <w:r>
        <w:rPr>
          <w:rFonts w:hint="eastAsia" w:eastAsia="仿宋"/>
          <w:i/>
          <w:spacing w:val="10"/>
          <w:szCs w:val="21"/>
        </w:rPr>
        <w:t>预制构件</w:t>
      </w:r>
      <w:r>
        <w:rPr>
          <w:rFonts w:eastAsia="仿宋"/>
          <w:i/>
          <w:spacing w:val="10"/>
          <w:szCs w:val="21"/>
        </w:rPr>
        <w:t>方案的标准化和构造合理性，生产、施工的技术内容需要提前在设计阶段解决，做到管理前置、技术前移、协同合作。</w:t>
      </w:r>
    </w:p>
    <w:p>
      <w:r>
        <w:rPr>
          <w:b/>
          <w:bCs/>
        </w:rPr>
        <w:t>3.0.2</w:t>
      </w:r>
      <w:r>
        <w:tab/>
      </w:r>
      <w:r>
        <w:t>叠合剪力墙结构的建筑设计应遵循少规格、多组合的原则，实现部品部件系列化和建筑多样化。</w:t>
      </w:r>
    </w:p>
    <w:p>
      <w:r>
        <w:rPr>
          <w:rFonts w:eastAsia="仿宋"/>
          <w:i/>
          <w:spacing w:val="10"/>
          <w:szCs w:val="21"/>
        </w:rPr>
        <w:t>【条文说明】3.0.2 装配式建筑做好</w:t>
      </w:r>
      <w:r>
        <w:rPr>
          <w:rFonts w:hint="eastAsia" w:eastAsia="仿宋"/>
          <w:i/>
          <w:spacing w:val="10"/>
          <w:szCs w:val="21"/>
        </w:rPr>
        <w:t>预制构件标准化和现场模具标准化</w:t>
      </w:r>
      <w:r>
        <w:rPr>
          <w:rFonts w:eastAsia="仿宋"/>
          <w:i/>
          <w:spacing w:val="10"/>
          <w:szCs w:val="21"/>
        </w:rPr>
        <w:t>，才能有效控制建造过程中的构件成本和管理成本。</w:t>
      </w:r>
    </w:p>
    <w:p>
      <w:r>
        <w:rPr>
          <w:b/>
          <w:bCs/>
        </w:rPr>
        <w:t>3.0.3</w:t>
      </w:r>
      <w:r>
        <w:tab/>
      </w:r>
      <w:r>
        <w:t>叠合剪力墙结构设计应符合下列规定：</w:t>
      </w:r>
    </w:p>
    <w:p>
      <w:pPr>
        <w:pStyle w:val="47"/>
        <w:numPr>
          <w:ilvl w:val="0"/>
          <w:numId w:val="5"/>
        </w:numPr>
        <w:ind w:left="0" w:firstLine="576" w:firstLineChars="200"/>
      </w:pPr>
      <w:r>
        <w:t>采取有效措施确保结构的整体性；</w:t>
      </w:r>
    </w:p>
    <w:p>
      <w:pPr>
        <w:pStyle w:val="47"/>
        <w:numPr>
          <w:ilvl w:val="0"/>
          <w:numId w:val="5"/>
        </w:numPr>
        <w:ind w:left="0" w:firstLine="576" w:firstLineChars="200"/>
      </w:pPr>
      <w:r>
        <w:t>节点受力明确、构造可靠，并满足承载力、延性和耐久性的要求；</w:t>
      </w:r>
    </w:p>
    <w:p>
      <w:pPr>
        <w:pStyle w:val="47"/>
        <w:numPr>
          <w:ilvl w:val="0"/>
          <w:numId w:val="5"/>
        </w:numPr>
        <w:ind w:left="0" w:firstLine="576" w:firstLineChars="200"/>
      </w:pPr>
      <w:r>
        <w:t>预制构件的连接方式传力可靠、构造简单、施工便捷。</w:t>
      </w:r>
    </w:p>
    <w:p>
      <w:r>
        <w:rPr>
          <w:b/>
          <w:bCs/>
        </w:rPr>
        <w:t>3.0.4</w:t>
      </w:r>
      <w:r>
        <w:tab/>
      </w:r>
      <w:r>
        <w:t>叠合剪力墙结构中预制构件的尺寸和形状应符合下列规定：</w:t>
      </w:r>
    </w:p>
    <w:p>
      <w:pPr>
        <w:pStyle w:val="47"/>
        <w:numPr>
          <w:ilvl w:val="0"/>
          <w:numId w:val="6"/>
        </w:numPr>
        <w:ind w:left="0" w:firstLine="576" w:firstLineChars="200"/>
      </w:pPr>
      <w:r>
        <w:t>满足建筑使用功能、标准化要求；</w:t>
      </w:r>
    </w:p>
    <w:p>
      <w:pPr>
        <w:pStyle w:val="47"/>
        <w:numPr>
          <w:ilvl w:val="0"/>
          <w:numId w:val="6"/>
        </w:numPr>
        <w:ind w:left="0" w:firstLine="576" w:firstLineChars="200"/>
      </w:pPr>
      <w:r>
        <w:t>根据预制构件的功能、安装部位、制作方法、施工精度及质量控制等要求，确定合理的尺寸公差；</w:t>
      </w:r>
    </w:p>
    <w:p>
      <w:pPr>
        <w:pStyle w:val="47"/>
        <w:numPr>
          <w:ilvl w:val="0"/>
          <w:numId w:val="6"/>
        </w:numPr>
        <w:ind w:left="0" w:firstLine="576" w:firstLineChars="200"/>
      </w:pPr>
      <w:r>
        <w:t>满足预制构件制作、运输、堆放</w:t>
      </w:r>
      <w:r>
        <w:rPr>
          <w:rFonts w:hint="eastAsia"/>
        </w:rPr>
        <w:t>及</w:t>
      </w:r>
      <w:r>
        <w:t>安装要求。</w:t>
      </w:r>
    </w:p>
    <w:p>
      <w:r>
        <w:rPr>
          <w:b/>
          <w:bCs/>
        </w:rPr>
        <w:t>3.0.</w:t>
      </w:r>
      <w:r>
        <w:rPr>
          <w:rFonts w:hint="eastAsia"/>
          <w:b/>
          <w:bCs/>
        </w:rPr>
        <w:t>5</w:t>
      </w:r>
      <w:r>
        <w:tab/>
      </w:r>
      <w:r>
        <w:t>叠合剪力墙结构的非承重墙体，宜采用后安装的轻质墙体材料，轻质墙体材料与主体结构应有可靠的连接，并应满足稳定性</w:t>
      </w:r>
      <w:r>
        <w:rPr>
          <w:rFonts w:hint="eastAsia"/>
        </w:rPr>
        <w:t>及抗裂等</w:t>
      </w:r>
      <w:r>
        <w:t>要求。</w:t>
      </w:r>
    </w:p>
    <w:p>
      <w:pPr>
        <w:rPr>
          <w:rFonts w:eastAsia="仿宋"/>
          <w:i/>
          <w:spacing w:val="10"/>
          <w:szCs w:val="21"/>
        </w:rPr>
      </w:pPr>
      <w:r>
        <w:rPr>
          <w:rFonts w:eastAsia="仿宋"/>
          <w:i/>
          <w:spacing w:val="10"/>
          <w:szCs w:val="21"/>
        </w:rPr>
        <w:t>【条文说明】3.0.</w:t>
      </w:r>
      <w:r>
        <w:rPr>
          <w:rFonts w:hint="eastAsia" w:eastAsia="仿宋"/>
          <w:i/>
          <w:spacing w:val="10"/>
          <w:szCs w:val="21"/>
        </w:rPr>
        <w:t>5</w:t>
      </w:r>
      <w:r>
        <w:rPr>
          <w:rFonts w:eastAsia="仿宋"/>
          <w:i/>
          <w:spacing w:val="10"/>
          <w:szCs w:val="21"/>
        </w:rPr>
        <w:t xml:space="preserve"> 户内非承重隔墙的刚度对于结构整体刚度及结构竖向传力有较大影响，因此内隔墙应尽量在主体结构完成后再进行安装，并采用轻质墙体材料。另外由于叠合剪力墙表面的精度较高，可以优先采用轻质隔墙条板，以满足整体免抹灰的要求，从而避免抹灰空鼓的质量通病。如果采用与主体结构同时施工的整体预制混凝土内隔墙板，则结构设计应充分论证、分析预制墙板对主体结构的不利影响。</w:t>
      </w:r>
    </w:p>
    <w:p>
      <w:pPr>
        <w:widowControl/>
        <w:spacing w:line="240" w:lineRule="auto"/>
        <w:jc w:val="left"/>
      </w:pPr>
      <w:r>
        <w:br w:type="page"/>
      </w:r>
    </w:p>
    <w:p>
      <w:pPr>
        <w:pStyle w:val="2"/>
        <w:pageBreakBefore/>
        <w:spacing w:before="312" w:after="312"/>
        <w:ind w:left="425" w:hanging="431"/>
      </w:pPr>
      <w:bookmarkStart w:id="46" w:name="_Toc45574526"/>
      <w:bookmarkStart w:id="47" w:name="_Toc45313921"/>
      <w:r>
        <w:t>材料</w:t>
      </w:r>
      <w:bookmarkEnd w:id="46"/>
      <w:bookmarkEnd w:id="47"/>
    </w:p>
    <w:p>
      <w:pPr>
        <w:pStyle w:val="3"/>
      </w:pPr>
      <w:bookmarkStart w:id="48" w:name="_Toc45574527"/>
      <w:bookmarkStart w:id="49" w:name="_Toc45313922"/>
      <w:r>
        <w:t>混凝土</w:t>
      </w:r>
      <w:bookmarkEnd w:id="48"/>
      <w:bookmarkEnd w:id="49"/>
    </w:p>
    <w:p>
      <w:r>
        <w:rPr>
          <w:b/>
          <w:bCs/>
        </w:rPr>
        <w:t xml:space="preserve">4.1.1 </w:t>
      </w:r>
      <w:r>
        <w:t>混凝土的力学性能指标和耐久性要求等应符合现行国家标准《混凝土结构设计规范》GB 50010</w:t>
      </w:r>
      <w:r>
        <w:rPr>
          <w:rFonts w:hint="eastAsia"/>
        </w:rPr>
        <w:t>等相关规范的</w:t>
      </w:r>
      <w:r>
        <w:t>规定。</w:t>
      </w:r>
    </w:p>
    <w:p>
      <w:r>
        <w:rPr>
          <w:b/>
          <w:bCs/>
        </w:rPr>
        <w:t xml:space="preserve">4.1.2 </w:t>
      </w:r>
      <w:r>
        <w:t>混凝土强度等级应符合下列要求：</w:t>
      </w:r>
    </w:p>
    <w:p>
      <w:pPr>
        <w:pStyle w:val="47"/>
        <w:numPr>
          <w:ilvl w:val="0"/>
          <w:numId w:val="7"/>
        </w:numPr>
        <w:ind w:left="0" w:firstLine="576" w:firstLineChars="200"/>
      </w:pPr>
      <w:r>
        <w:t>叠合墙板的叶板、钢筋桁架叠合板和其他预制构件的混凝土强度等级不宜低于C30。</w:t>
      </w:r>
    </w:p>
    <w:p>
      <w:pPr>
        <w:pStyle w:val="47"/>
        <w:numPr>
          <w:ilvl w:val="0"/>
          <w:numId w:val="7"/>
        </w:numPr>
        <w:ind w:left="0" w:firstLine="576" w:firstLineChars="200"/>
      </w:pPr>
      <w:r>
        <w:t>叠合墙空腔内后浇混凝土强度等级不</w:t>
      </w:r>
      <w:r>
        <w:rPr>
          <w:rFonts w:hint="eastAsia"/>
        </w:rPr>
        <w:t>应</w:t>
      </w:r>
      <w:r>
        <w:t>低于构件预制部分的设计混凝土强度等级。</w:t>
      </w:r>
    </w:p>
    <w:p>
      <w:pPr>
        <w:pStyle w:val="47"/>
        <w:numPr>
          <w:ilvl w:val="0"/>
          <w:numId w:val="7"/>
        </w:numPr>
        <w:ind w:left="0" w:firstLine="576" w:firstLineChars="200"/>
      </w:pPr>
      <w:r>
        <w:t>预应力构件混凝土强度等级不宜低于C40。</w:t>
      </w:r>
    </w:p>
    <w:p>
      <w:pPr>
        <w:rPr>
          <w:rFonts w:eastAsia="仿宋"/>
          <w:i/>
          <w:spacing w:val="10"/>
          <w:szCs w:val="24"/>
        </w:rPr>
      </w:pPr>
      <w:r>
        <w:rPr>
          <w:rFonts w:eastAsia="仿宋"/>
          <w:i/>
          <w:spacing w:val="10"/>
          <w:szCs w:val="24"/>
        </w:rPr>
        <w:t xml:space="preserve">【条文说明】4.1.2 </w:t>
      </w:r>
      <w:r>
        <w:rPr>
          <w:rFonts w:hint="eastAsia" w:eastAsia="仿宋"/>
          <w:i/>
          <w:spacing w:val="10"/>
          <w:szCs w:val="24"/>
        </w:rPr>
        <w:t>叠合剪力墙叶板混凝土强度等级应满足结构计算要求。</w:t>
      </w:r>
      <w:r>
        <w:rPr>
          <w:rFonts w:eastAsia="仿宋"/>
          <w:i/>
          <w:spacing w:val="10"/>
          <w:szCs w:val="24"/>
        </w:rPr>
        <w:t>叠合墙板大都采用标准化工厂进行生产，其预制部分混凝土强度、弹性模量等能得到充分保证，</w:t>
      </w:r>
      <w:r>
        <w:rPr>
          <w:rFonts w:hint="eastAsia" w:eastAsia="仿宋"/>
          <w:i/>
          <w:spacing w:val="10"/>
          <w:szCs w:val="24"/>
        </w:rPr>
        <w:t>现场施工应考虑</w:t>
      </w:r>
      <w:r>
        <w:rPr>
          <w:rFonts w:eastAsia="仿宋"/>
          <w:i/>
          <w:spacing w:val="10"/>
          <w:szCs w:val="24"/>
        </w:rPr>
        <w:t>后浇混凝土在不同浇捣方式、不同养条件护等因素</w:t>
      </w:r>
      <w:r>
        <w:rPr>
          <w:rFonts w:hint="eastAsia" w:eastAsia="仿宋"/>
          <w:i/>
          <w:spacing w:val="10"/>
          <w:szCs w:val="24"/>
        </w:rPr>
        <w:t>对混凝土质量的影响</w:t>
      </w:r>
      <w:r>
        <w:rPr>
          <w:rFonts w:eastAsia="仿宋"/>
          <w:i/>
          <w:spacing w:val="10"/>
          <w:szCs w:val="24"/>
        </w:rPr>
        <w:t>。</w:t>
      </w:r>
    </w:p>
    <w:p>
      <w:r>
        <w:rPr>
          <w:b/>
          <w:bCs/>
        </w:rPr>
        <w:t xml:space="preserve">4.1.3 </w:t>
      </w:r>
      <w:r>
        <w:t>叠合墙空腔内后浇混凝土粗骨料的最大粒径不应大于20mm。</w:t>
      </w:r>
    </w:p>
    <w:p>
      <w:pPr>
        <w:rPr>
          <w:rFonts w:eastAsia="仿宋"/>
          <w:i/>
          <w:spacing w:val="10"/>
          <w:szCs w:val="24"/>
        </w:rPr>
      </w:pPr>
      <w:r>
        <w:rPr>
          <w:rFonts w:eastAsia="仿宋"/>
          <w:i/>
          <w:spacing w:val="10"/>
          <w:szCs w:val="21"/>
        </w:rPr>
        <w:t xml:space="preserve">【条文说明】4.1.3 </w:t>
      </w:r>
      <w:r>
        <w:rPr>
          <w:rFonts w:eastAsia="仿宋"/>
          <w:i/>
          <w:spacing w:val="10"/>
          <w:szCs w:val="24"/>
        </w:rPr>
        <w:t>为了保证混凝土浇捣密实，本条规定了采用普通混凝土时，其粗骨料最大粒径的限值，且后浇混凝土的坍落度应满足施工的要求。当采用自密实混凝土时，应符合现行行业标准《自密实混凝土应用技术规程》JGJ/T 283的有关规定。</w:t>
      </w:r>
    </w:p>
    <w:p>
      <w:pPr>
        <w:pStyle w:val="3"/>
      </w:pPr>
      <w:bookmarkStart w:id="50" w:name="_Toc45313923"/>
      <w:bookmarkStart w:id="51" w:name="_Toc45574528"/>
      <w:r>
        <w:t>钢筋、钢材和连接材料</w:t>
      </w:r>
      <w:bookmarkEnd w:id="50"/>
      <w:bookmarkEnd w:id="51"/>
    </w:p>
    <w:p>
      <w:r>
        <w:rPr>
          <w:b/>
          <w:bCs/>
        </w:rPr>
        <w:t xml:space="preserve">4.2.1 </w:t>
      </w:r>
      <w:r>
        <w:t>钢筋和钢材的力学性能指标应分别符合现行国家标准《混凝土结构设计规范》GB 50010</w:t>
      </w:r>
      <w:r>
        <w:rPr>
          <w:rFonts w:hint="eastAsia"/>
        </w:rPr>
        <w:t>、</w:t>
      </w:r>
      <w:r>
        <w:t>《钢结构设计标准》GB 50017</w:t>
      </w:r>
      <w:r>
        <w:rPr>
          <w:rFonts w:hint="eastAsia"/>
        </w:rPr>
        <w:t>以及</w:t>
      </w:r>
      <w:r>
        <w:rPr>
          <w:rFonts w:hint="eastAsia"/>
          <w:szCs w:val="24"/>
        </w:rPr>
        <w:t>《冷轧带肋钢筋混凝土结构应用技术规程》JGJ 95-2011</w:t>
      </w:r>
      <w:r>
        <w:t>的有关规定。</w:t>
      </w:r>
    </w:p>
    <w:p>
      <w:r>
        <w:rPr>
          <w:b/>
          <w:bCs/>
        </w:rPr>
        <w:t xml:space="preserve">4.2.2 </w:t>
      </w:r>
      <w:r>
        <w:t>钢筋焊接网应符合现行行业标准《钢筋焊接网混凝土结构技术规程》JGJ 114的规定。</w:t>
      </w:r>
    </w:p>
    <w:p>
      <w:r>
        <w:rPr>
          <w:b/>
          <w:bCs/>
        </w:rPr>
        <w:t xml:space="preserve">4.2.3 </w:t>
      </w:r>
      <w:r>
        <w:t>预制构件的吊环应采用未经冷加工的HPB300级钢筋制作。吊装用内埋式螺母或吊杆的材料应符合国家现行相关标准的规定。</w:t>
      </w:r>
    </w:p>
    <w:p>
      <w:pPr>
        <w:pStyle w:val="47"/>
        <w:widowControl/>
        <w:ind w:firstLine="0"/>
        <w:rPr>
          <w:rFonts w:eastAsia="仿宋"/>
          <w:i/>
          <w:spacing w:val="10"/>
          <w:szCs w:val="21"/>
        </w:rPr>
      </w:pPr>
      <w:r>
        <w:rPr>
          <w:rFonts w:eastAsia="仿宋"/>
          <w:i/>
          <w:spacing w:val="10"/>
          <w:szCs w:val="21"/>
        </w:rPr>
        <w:t>【条文说明】4.2.3 预制构件起吊用预埋件，需要同时考虑脱模、翻转等各个环节的工况。吊环的选取需经过专门设计，并满足此条规定，当采用其他材质的吊环时，须提供可靠依据。</w:t>
      </w:r>
    </w:p>
    <w:p>
      <w:r>
        <w:rPr>
          <w:b/>
          <w:bCs/>
        </w:rPr>
        <w:t xml:space="preserve">4.2.4 </w:t>
      </w:r>
      <w:r>
        <w:t>受力预埋件的锚板及锚筋材料应符合现行标准《混凝土结构设计规范》GB 50010的有关规定。</w:t>
      </w:r>
    </w:p>
    <w:p>
      <w:r>
        <w:rPr>
          <w:b/>
          <w:bCs/>
        </w:rPr>
        <w:t xml:space="preserve">4.2.5 </w:t>
      </w:r>
      <w:r>
        <w:t>连接用焊接材料，螺栓、锚栓和铆钉等紧固件的材料应分别符合现行国家标准《钢结构设计标准》GB 50017、《钢结构焊接规范》GB 50661和《钢筋焊接及验收规程》JGJ 18等的有关规定。</w:t>
      </w:r>
    </w:p>
    <w:p>
      <w:r>
        <w:rPr>
          <w:b/>
          <w:bCs/>
        </w:rPr>
        <w:t xml:space="preserve">4.2.6 </w:t>
      </w:r>
      <w:r>
        <w:t>夹心保温叠合墙中保温拉接件产品应符合下列规定：</w:t>
      </w:r>
    </w:p>
    <w:p>
      <w:pPr>
        <w:pStyle w:val="47"/>
        <w:numPr>
          <w:ilvl w:val="0"/>
          <w:numId w:val="8"/>
        </w:numPr>
        <w:ind w:left="0" w:firstLine="576" w:firstLineChars="200"/>
      </w:pPr>
      <w:r>
        <w:t xml:space="preserve"> 金属及非金属材料保温拉</w:t>
      </w:r>
      <w:r>
        <w:rPr>
          <w:rFonts w:hint="eastAsia"/>
        </w:rPr>
        <w:t>结</w:t>
      </w:r>
      <w:r>
        <w:t>件均应具有规定的承载力、变形和耐久性能，满足建筑节能设计要求；</w:t>
      </w:r>
    </w:p>
    <w:p>
      <w:pPr>
        <w:pStyle w:val="47"/>
        <w:numPr>
          <w:ilvl w:val="0"/>
          <w:numId w:val="8"/>
        </w:numPr>
        <w:ind w:left="0" w:firstLine="576" w:firstLineChars="200"/>
      </w:pPr>
      <w:r>
        <w:t>纤维增强复合材料（FRP）保温拉接件的性能应符合现行现行国家标准《纤维增强复合材料建设工程应用技术规范》GB 50608、建筑工业行业产品标准《预制保温墙体用纤维增强塑料连接件》JG/T561的有关规定。</w:t>
      </w:r>
    </w:p>
    <w:p>
      <w:pPr>
        <w:pStyle w:val="47"/>
        <w:widowControl/>
        <w:ind w:firstLine="0"/>
        <w:rPr>
          <w:rFonts w:eastAsia="仿宋"/>
          <w:i/>
          <w:spacing w:val="10"/>
          <w:szCs w:val="21"/>
        </w:rPr>
      </w:pPr>
      <w:r>
        <w:rPr>
          <w:rFonts w:eastAsia="仿宋"/>
          <w:spacing w:val="10"/>
          <w:szCs w:val="24"/>
        </w:rPr>
        <w:t>【</w:t>
      </w:r>
      <w:r>
        <w:rPr>
          <w:rFonts w:eastAsia="仿宋"/>
          <w:i/>
          <w:spacing w:val="10"/>
          <w:szCs w:val="21"/>
        </w:rPr>
        <w:t>条文说明】4.2.6保温拉</w:t>
      </w:r>
      <w:r>
        <w:rPr>
          <w:rFonts w:hint="eastAsia" w:eastAsia="仿宋"/>
          <w:i/>
          <w:spacing w:val="10"/>
          <w:szCs w:val="21"/>
        </w:rPr>
        <w:t>结</w:t>
      </w:r>
      <w:r>
        <w:rPr>
          <w:rFonts w:eastAsia="仿宋"/>
          <w:i/>
          <w:spacing w:val="10"/>
          <w:szCs w:val="21"/>
        </w:rPr>
        <w:t>件在欧、美等国工程中多采用GFRP非金属连接件和不锈钢连接件，由于GFRP连接件的导热系数很低，相当于实现了断桥，可以忽略连接件热桥对墙板热工性能的影响，而金属连接件的导热系数较高，因此在节能设计时，需要计算连接件的热桥影响</w:t>
      </w:r>
      <w:r>
        <w:rPr>
          <w:rFonts w:hint="eastAsia" w:eastAsia="仿宋"/>
          <w:i/>
          <w:spacing w:val="10"/>
          <w:szCs w:val="24"/>
        </w:rPr>
        <w:t>，</w:t>
      </w:r>
      <w:r>
        <w:rPr>
          <w:rFonts w:eastAsia="仿宋"/>
          <w:i/>
          <w:spacing w:val="10"/>
          <w:szCs w:val="24"/>
        </w:rPr>
        <w:t>当采用非金属保温拉接件时，应为耐碱材料；当采用金属保温拉接件时，应考虑热桥影响</w:t>
      </w:r>
      <w:r>
        <w:rPr>
          <w:rFonts w:hint="eastAsia" w:eastAsia="仿宋"/>
          <w:i/>
          <w:spacing w:val="10"/>
          <w:szCs w:val="24"/>
        </w:rPr>
        <w:t>。</w:t>
      </w:r>
      <w:r>
        <w:rPr>
          <w:rFonts w:eastAsia="仿宋"/>
          <w:i/>
          <w:spacing w:val="10"/>
          <w:szCs w:val="24"/>
        </w:rPr>
        <w:t>另</w:t>
      </w:r>
      <w:r>
        <w:rPr>
          <w:rFonts w:eastAsia="仿宋"/>
          <w:i/>
          <w:spacing w:val="10"/>
          <w:szCs w:val="21"/>
        </w:rPr>
        <w:t>外市场上各品牌保温连接件的力学性能和物理性能相差较大，产品选择应有相应性能的检测报告。</w:t>
      </w:r>
    </w:p>
    <w:p>
      <w:pPr>
        <w:pStyle w:val="3"/>
      </w:pPr>
      <w:bookmarkStart w:id="52" w:name="_Toc45574529"/>
      <w:bookmarkStart w:id="53" w:name="_Toc45313924"/>
      <w:r>
        <w:t>钢筋桁架</w:t>
      </w:r>
      <w:bookmarkEnd w:id="52"/>
      <w:bookmarkEnd w:id="53"/>
    </w:p>
    <w:p>
      <w:r>
        <w:rPr>
          <w:b/>
          <w:bCs/>
        </w:rPr>
        <w:t xml:space="preserve">4.3.1 </w:t>
      </w:r>
      <w:r>
        <w:t>钢筋桁架的上、下弦钢筋作为受力钢筋使用时，上、下弦钢筋的性能应符合现行国家标准《混凝土结构设计规范》GB 50010及《建筑抗震设计规范》GB 50011中纵向受力普通钢筋的有关规定，</w:t>
      </w:r>
      <w:r>
        <w:rPr>
          <w:rFonts w:hint="eastAsia"/>
        </w:rPr>
        <w:t>宜采用HRB400、HRB500级钢筋，也可采用CRB550、CRB</w:t>
      </w:r>
      <w:r>
        <w:t>600H钢筋。</w:t>
      </w:r>
    </w:p>
    <w:p>
      <w:pPr>
        <w:pStyle w:val="47"/>
        <w:widowControl/>
        <w:ind w:firstLine="0"/>
        <w:rPr>
          <w:rFonts w:eastAsia="仿宋"/>
          <w:i/>
          <w:spacing w:val="10"/>
          <w:szCs w:val="21"/>
        </w:rPr>
      </w:pPr>
      <w:r>
        <w:rPr>
          <w:rFonts w:eastAsia="仿宋"/>
          <w:i/>
          <w:spacing w:val="10"/>
          <w:szCs w:val="21"/>
        </w:rPr>
        <w:t>【条文说明】4.3.1 高强冷轧钢筋有强度高、脆性大的特点，可以有效减小正常使用状态下预制构件的裂缝宽度并节约钢材，但是其伸长率、弯折性能等均较差。因此当上、下弦钢筋作为受力钢筋使用时不宜采用高强冷轧钢筋。</w:t>
      </w:r>
    </w:p>
    <w:p>
      <w:r>
        <w:rPr>
          <w:b/>
          <w:bCs/>
        </w:rPr>
        <w:t xml:space="preserve">4.3.2 </w:t>
      </w:r>
      <w:r>
        <w:t>钢筋桁架由上弦钢筋、下弦钢筋及腹杆钢筋组成（图4.3.2），腹杆钢筋在上、下弦交点处的弯钩内径不宜小于4</w:t>
      </w:r>
      <m:oMath>
        <m:sSub>
          <m:sSubPr>
            <m:ctrlPr>
              <w:rPr>
                <w:rFonts w:ascii="Cambria Math" w:hAnsi="Cambria Math"/>
                <w:i/>
              </w:rPr>
            </m:ctrlPr>
          </m:sSubPr>
          <m:e>
            <m:r>
              <w:rPr>
                <w:rFonts w:ascii="Cambria Math" w:hAnsi="Cambria Math"/>
              </w:rPr>
              <m:t>d</m:t>
            </m:r>
            <m:ctrlPr>
              <w:rPr>
                <w:rFonts w:ascii="Cambria Math" w:hAnsi="Cambria Math"/>
                <w:i/>
              </w:rPr>
            </m:ctrlPr>
          </m:e>
          <m:sub>
            <m:r>
              <m:rPr>
                <m:sty m:val="p"/>
              </m:rPr>
              <w:rPr>
                <w:rFonts w:ascii="Cambria Math" w:hAnsi="Cambria Math"/>
              </w:rPr>
              <m:t>f</m:t>
            </m:r>
            <m:ctrlPr>
              <w:rPr>
                <w:rFonts w:ascii="Cambria Math" w:hAnsi="Cambria Math"/>
                <w:i/>
              </w:rPr>
            </m:ctrlPr>
          </m:sub>
        </m:sSub>
      </m:oMath>
      <w:r>
        <w:t>（</w:t>
      </w:r>
      <m:oMath>
        <m:sSub>
          <m:sSubPr>
            <m:ctrlPr>
              <w:rPr>
                <w:rFonts w:ascii="Cambria Math" w:hAnsi="Cambria Math"/>
                <w:i/>
              </w:rPr>
            </m:ctrlPr>
          </m:sSubPr>
          <m:e>
            <m:r>
              <w:rPr>
                <w:rFonts w:ascii="Cambria Math" w:hAnsi="Cambria Math"/>
              </w:rPr>
              <m:t>d</m:t>
            </m:r>
            <m:ctrlPr>
              <w:rPr>
                <w:rFonts w:ascii="Cambria Math" w:hAnsi="Cambria Math"/>
                <w:i/>
              </w:rPr>
            </m:ctrlPr>
          </m:e>
          <m:sub>
            <m:r>
              <m:rPr>
                <m:sty m:val="p"/>
              </m:rPr>
              <w:rPr>
                <w:rFonts w:ascii="Cambria Math" w:hAnsi="Cambria Math"/>
              </w:rPr>
              <m:t>f</m:t>
            </m:r>
            <m:ctrlPr>
              <w:rPr>
                <w:rFonts w:ascii="Cambria Math" w:hAnsi="Cambria Math"/>
                <w:i/>
              </w:rPr>
            </m:ctrlPr>
          </m:sub>
        </m:sSub>
      </m:oMath>
      <w:r>
        <w:t>为腹杆钢筋的直径）。上弦钢筋、下弦钢筋及腹杆钢筋的牌号及直径范围应满足表4.3.2的要求。</w:t>
      </w:r>
    </w:p>
    <w:p>
      <w:pPr>
        <w:pStyle w:val="47"/>
        <w:keepNext/>
        <w:widowControl/>
        <w:ind w:firstLine="0"/>
        <w:jc w:val="center"/>
        <w:rPr>
          <w:b/>
          <w:bCs/>
        </w:rPr>
      </w:pPr>
      <w:r>
        <w:rPr>
          <w:b/>
          <w:bCs/>
        </w:rPr>
        <w:t>表</w:t>
      </w:r>
      <w:r>
        <w:rPr>
          <w:rFonts w:hint="eastAsia"/>
          <w:b/>
          <w:bCs/>
        </w:rPr>
        <w:t>4.3.2</w:t>
      </w:r>
      <w:r>
        <w:rPr>
          <w:b/>
          <w:bCs/>
        </w:rPr>
        <w:t xml:space="preserve">  钢筋桁架参考选用表</w:t>
      </w:r>
    </w:p>
    <w:tbl>
      <w:tblPr>
        <w:tblStyle w:val="31"/>
        <w:tblW w:w="820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3828"/>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Borders>
              <w:top w:val="single" w:color="auto" w:sz="12" w:space="0"/>
              <w:left w:val="single" w:color="auto" w:sz="4" w:space="0"/>
              <w:bottom w:val="single" w:color="auto" w:sz="12" w:space="0"/>
              <w:right w:val="single" w:color="auto" w:sz="4" w:space="0"/>
            </w:tcBorders>
            <w:vAlign w:val="center"/>
          </w:tcPr>
          <w:p>
            <w:pPr>
              <w:jc w:val="center"/>
              <w:rPr>
                <w:sz w:val="24"/>
                <w:szCs w:val="28"/>
              </w:rPr>
            </w:pPr>
            <w:bookmarkStart w:id="54" w:name="_Hlk37414912"/>
            <w:r>
              <w:rPr>
                <w:sz w:val="24"/>
                <w:szCs w:val="28"/>
              </w:rPr>
              <w:t>类别</w:t>
            </w:r>
          </w:p>
        </w:tc>
        <w:tc>
          <w:tcPr>
            <w:tcW w:w="3828" w:type="dxa"/>
            <w:tcBorders>
              <w:top w:val="single" w:color="auto" w:sz="12" w:space="0"/>
              <w:left w:val="single" w:color="auto" w:sz="4" w:space="0"/>
              <w:bottom w:val="single" w:color="auto" w:sz="12" w:space="0"/>
            </w:tcBorders>
            <w:vAlign w:val="center"/>
          </w:tcPr>
          <w:p>
            <w:pPr>
              <w:jc w:val="center"/>
              <w:rPr>
                <w:sz w:val="24"/>
                <w:szCs w:val="28"/>
              </w:rPr>
            </w:pPr>
            <w:r>
              <w:rPr>
                <w:sz w:val="24"/>
                <w:szCs w:val="28"/>
              </w:rPr>
              <w:t>钢筋类型</w:t>
            </w:r>
          </w:p>
        </w:tc>
        <w:tc>
          <w:tcPr>
            <w:tcW w:w="2693" w:type="dxa"/>
            <w:tcBorders>
              <w:top w:val="single" w:color="auto" w:sz="12" w:space="0"/>
              <w:bottom w:val="single" w:color="auto" w:sz="12" w:space="0"/>
              <w:right w:val="single" w:color="auto" w:sz="12" w:space="0"/>
            </w:tcBorders>
            <w:vAlign w:val="center"/>
          </w:tcPr>
          <w:p>
            <w:pPr>
              <w:jc w:val="center"/>
              <w:rPr>
                <w:sz w:val="24"/>
                <w:szCs w:val="28"/>
              </w:rPr>
            </w:pPr>
            <w:r>
              <w:rPr>
                <w:sz w:val="24"/>
                <w:szCs w:val="28"/>
              </w:rPr>
              <w:t>公称直径（</w:t>
            </w:r>
            <m:oMath>
              <m:r>
                <m:rPr>
                  <m:sty m:val="p"/>
                </m:rPr>
                <w:rPr>
                  <w:rFonts w:ascii="Cambria Math" w:hAnsi="Cambria Math"/>
                  <w:sz w:val="24"/>
                  <w:szCs w:val="28"/>
                </w:rPr>
                <m:t>mm</m:t>
              </m:r>
            </m:oMath>
            <w:r>
              <w:rPr>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Borders>
              <w:top w:val="single" w:color="auto" w:sz="12" w:space="0"/>
              <w:left w:val="single" w:color="auto" w:sz="2" w:space="0"/>
              <w:right w:val="single" w:color="auto" w:sz="4" w:space="0"/>
            </w:tcBorders>
            <w:vAlign w:val="center"/>
          </w:tcPr>
          <w:p>
            <w:pPr>
              <w:jc w:val="center"/>
              <w:rPr>
                <w:sz w:val="24"/>
                <w:szCs w:val="28"/>
              </w:rPr>
            </w:pPr>
            <w:r>
              <w:rPr>
                <w:sz w:val="24"/>
                <w:szCs w:val="28"/>
              </w:rPr>
              <w:t>上弦钢筋</w:t>
            </w:r>
          </w:p>
        </w:tc>
        <w:tc>
          <w:tcPr>
            <w:tcW w:w="3828" w:type="dxa"/>
            <w:vMerge w:val="restart"/>
            <w:tcBorders>
              <w:top w:val="single" w:color="auto" w:sz="12" w:space="0"/>
              <w:left w:val="single" w:color="auto" w:sz="4" w:space="0"/>
            </w:tcBorders>
            <w:vAlign w:val="center"/>
          </w:tcPr>
          <w:p>
            <w:pPr>
              <w:jc w:val="center"/>
              <w:rPr>
                <w:sz w:val="24"/>
                <w:szCs w:val="28"/>
              </w:rPr>
            </w:pPr>
            <w:r>
              <w:rPr>
                <w:sz w:val="24"/>
                <w:szCs w:val="28"/>
              </w:rPr>
              <w:t>HPB300、HRB400、HRB500、CRB550、CRB600H</w:t>
            </w:r>
          </w:p>
        </w:tc>
        <w:tc>
          <w:tcPr>
            <w:tcW w:w="2693" w:type="dxa"/>
            <w:tcBorders>
              <w:top w:val="single" w:color="auto" w:sz="12" w:space="0"/>
              <w:right w:val="single" w:color="auto" w:sz="12" w:space="0"/>
            </w:tcBorders>
            <w:vAlign w:val="center"/>
          </w:tcPr>
          <w:p>
            <w:pPr>
              <w:jc w:val="center"/>
              <w:rPr>
                <w:sz w:val="24"/>
                <w:szCs w:val="28"/>
              </w:rPr>
            </w:pPr>
            <w:r>
              <w:rPr>
                <w:sz w:val="24"/>
                <w:szCs w:val="28"/>
              </w:rPr>
              <w:t>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Borders>
              <w:left w:val="single" w:color="auto" w:sz="2" w:space="0"/>
              <w:bottom w:val="single" w:color="auto" w:sz="4" w:space="0"/>
              <w:right w:val="single" w:color="auto" w:sz="4" w:space="0"/>
            </w:tcBorders>
            <w:vAlign w:val="center"/>
          </w:tcPr>
          <w:p>
            <w:pPr>
              <w:jc w:val="center"/>
              <w:rPr>
                <w:sz w:val="24"/>
                <w:szCs w:val="28"/>
              </w:rPr>
            </w:pPr>
            <w:r>
              <w:rPr>
                <w:sz w:val="24"/>
                <w:szCs w:val="28"/>
              </w:rPr>
              <w:t>下弦钢筋</w:t>
            </w:r>
          </w:p>
        </w:tc>
        <w:tc>
          <w:tcPr>
            <w:tcW w:w="3828" w:type="dxa"/>
            <w:vMerge w:val="continue"/>
            <w:tcBorders>
              <w:left w:val="single" w:color="auto" w:sz="4" w:space="0"/>
              <w:bottom w:val="single" w:color="auto" w:sz="4" w:space="0"/>
            </w:tcBorders>
            <w:vAlign w:val="center"/>
          </w:tcPr>
          <w:p>
            <w:pPr>
              <w:jc w:val="center"/>
              <w:rPr>
                <w:sz w:val="24"/>
                <w:szCs w:val="28"/>
              </w:rPr>
            </w:pPr>
          </w:p>
        </w:tc>
        <w:tc>
          <w:tcPr>
            <w:tcW w:w="2693" w:type="dxa"/>
            <w:tcBorders>
              <w:bottom w:val="single" w:color="auto" w:sz="4" w:space="0"/>
              <w:right w:val="single" w:color="auto" w:sz="12" w:space="0"/>
            </w:tcBorders>
            <w:vAlign w:val="center"/>
          </w:tcPr>
          <w:p>
            <w:pPr>
              <w:jc w:val="center"/>
              <w:rPr>
                <w:sz w:val="24"/>
                <w:szCs w:val="28"/>
              </w:rPr>
            </w:pPr>
            <w:r>
              <w:rPr>
                <w:sz w:val="24"/>
                <w:szCs w:val="28"/>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Borders>
              <w:left w:val="single" w:color="auto" w:sz="2" w:space="0"/>
              <w:bottom w:val="single" w:color="auto" w:sz="4" w:space="0"/>
              <w:right w:val="single" w:color="auto" w:sz="4" w:space="0"/>
            </w:tcBorders>
            <w:vAlign w:val="center"/>
          </w:tcPr>
          <w:p>
            <w:pPr>
              <w:jc w:val="center"/>
              <w:rPr>
                <w:sz w:val="24"/>
                <w:szCs w:val="28"/>
              </w:rPr>
            </w:pPr>
            <w:r>
              <w:rPr>
                <w:sz w:val="24"/>
                <w:szCs w:val="28"/>
              </w:rPr>
              <w:t>腹杆钢筋</w:t>
            </w:r>
          </w:p>
        </w:tc>
        <w:tc>
          <w:tcPr>
            <w:tcW w:w="3828" w:type="dxa"/>
            <w:tcBorders>
              <w:left w:val="single" w:color="auto" w:sz="4" w:space="0"/>
              <w:bottom w:val="single" w:color="auto" w:sz="4" w:space="0"/>
            </w:tcBorders>
            <w:vAlign w:val="center"/>
          </w:tcPr>
          <w:p>
            <w:pPr>
              <w:jc w:val="center"/>
              <w:rPr>
                <w:sz w:val="24"/>
                <w:szCs w:val="28"/>
              </w:rPr>
            </w:pPr>
            <w:r>
              <w:rPr>
                <w:sz w:val="24"/>
                <w:szCs w:val="28"/>
              </w:rPr>
              <w:t>HPB300、CRB550、抗拉强度不小于500MPa的冷</w:t>
            </w:r>
            <w:r>
              <w:rPr>
                <w:rFonts w:hint="eastAsia"/>
                <w:sz w:val="24"/>
                <w:szCs w:val="28"/>
              </w:rPr>
              <w:t>拔</w:t>
            </w:r>
            <w:r>
              <w:rPr>
                <w:sz w:val="24"/>
                <w:szCs w:val="28"/>
              </w:rPr>
              <w:t>光圆钢筋</w:t>
            </w:r>
          </w:p>
        </w:tc>
        <w:tc>
          <w:tcPr>
            <w:tcW w:w="2693" w:type="dxa"/>
            <w:tcBorders>
              <w:bottom w:val="single" w:color="auto" w:sz="4" w:space="0"/>
              <w:right w:val="single" w:color="auto" w:sz="12" w:space="0"/>
            </w:tcBorders>
            <w:vAlign w:val="center"/>
          </w:tcPr>
          <w:p>
            <w:pPr>
              <w:jc w:val="center"/>
              <w:rPr>
                <w:sz w:val="24"/>
                <w:szCs w:val="28"/>
              </w:rPr>
            </w:pPr>
            <w:r>
              <w:rPr>
                <w:sz w:val="24"/>
                <w:szCs w:val="28"/>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7" w:type="dxa"/>
            <w:gridSpan w:val="3"/>
            <w:tcBorders>
              <w:top w:val="single" w:color="auto" w:sz="12" w:space="0"/>
              <w:left w:val="nil"/>
              <w:bottom w:val="nil"/>
              <w:right w:val="nil"/>
            </w:tcBorders>
          </w:tcPr>
          <w:p>
            <w:pPr>
              <w:rPr>
                <w:sz w:val="21"/>
                <w:szCs w:val="21"/>
              </w:rPr>
            </w:pPr>
            <w:r>
              <w:rPr>
                <w:sz w:val="21"/>
                <w:szCs w:val="21"/>
              </w:rPr>
              <w:t>注：1 腹杆钢筋不宜小于上下弦钢筋直径的0.3倍，且不应小于</w:t>
            </w:r>
            <w:r>
              <w:rPr>
                <w:rFonts w:hint="eastAsia"/>
                <w:sz w:val="21"/>
                <w:szCs w:val="21"/>
              </w:rPr>
              <w:t>6</w:t>
            </w:r>
            <w:r>
              <w:rPr>
                <w:sz w:val="21"/>
                <w:szCs w:val="21"/>
              </w:rPr>
              <w:t>mm；</w:t>
            </w:r>
          </w:p>
          <w:p>
            <w:pPr>
              <w:rPr>
                <w:sz w:val="21"/>
                <w:szCs w:val="21"/>
              </w:rPr>
            </w:pPr>
            <w:r>
              <w:rPr>
                <w:sz w:val="21"/>
                <w:szCs w:val="21"/>
              </w:rPr>
              <w:t xml:space="preserve">    2 上弦钢筋、下弦钢筋及腹杆钢筋的选择应通过计算确定。</w:t>
            </w:r>
          </w:p>
        </w:tc>
      </w:tr>
    </w:tbl>
    <w:p>
      <w:pPr>
        <w:pStyle w:val="47"/>
        <w:widowControl/>
        <w:ind w:firstLine="0"/>
        <w:jc w:val="center"/>
        <w:rPr>
          <w:rFonts w:eastAsia="仿宋"/>
          <w:i/>
          <w:spacing w:val="10"/>
          <w:szCs w:val="21"/>
        </w:rPr>
      </w:pPr>
      <w:r>
        <w:drawing>
          <wp:inline distT="0" distB="0" distL="0" distR="0">
            <wp:extent cx="4604385" cy="13944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04961" cy="1394460"/>
                    </a:xfrm>
                    <a:prstGeom prst="rect">
                      <a:avLst/>
                    </a:prstGeom>
                    <a:noFill/>
                    <a:ln>
                      <a:noFill/>
                    </a:ln>
                  </pic:spPr>
                </pic:pic>
              </a:graphicData>
            </a:graphic>
          </wp:inline>
        </w:drawing>
      </w:r>
    </w:p>
    <w:p>
      <w:pPr>
        <w:jc w:val="center"/>
        <w:rPr>
          <w:b/>
          <w:bCs/>
        </w:rPr>
      </w:pPr>
      <w:r>
        <w:rPr>
          <w:b/>
          <w:bCs/>
        </w:rPr>
        <w:t>图</w:t>
      </w:r>
      <w:r>
        <w:rPr>
          <w:rFonts w:hint="eastAsia"/>
          <w:b/>
          <w:bCs/>
        </w:rPr>
        <w:t>4.3.2</w:t>
      </w:r>
      <w:r>
        <w:rPr>
          <w:b/>
          <w:bCs/>
        </w:rPr>
        <w:t xml:space="preserve"> 钢筋桁架示意图</w:t>
      </w:r>
    </w:p>
    <w:p>
      <w:pPr>
        <w:jc w:val="center"/>
        <w:rPr>
          <w:kern w:val="0"/>
          <w:sz w:val="24"/>
          <w:szCs w:val="24"/>
        </w:rPr>
      </w:pPr>
      <w:r>
        <w:rPr>
          <w:kern w:val="0"/>
          <w:sz w:val="24"/>
          <w:szCs w:val="24"/>
        </w:rPr>
        <w:t>1—下弦钢筋；2—腹杆钢筋；3—上弦钢筋；</w:t>
      </w:r>
    </w:p>
    <w:p>
      <w:pPr>
        <w:jc w:val="center"/>
        <w:rPr>
          <w:kern w:val="0"/>
          <w:sz w:val="24"/>
          <w:szCs w:val="24"/>
        </w:rPr>
      </w:pPr>
      <w:r>
        <w:rPr>
          <w:i/>
          <w:iCs/>
          <w:kern w:val="0"/>
          <w:sz w:val="24"/>
          <w:szCs w:val="24"/>
        </w:rPr>
        <w:t>h</w:t>
      </w:r>
      <w:r>
        <w:rPr>
          <w:i/>
          <w:iCs/>
          <w:kern w:val="0"/>
          <w:sz w:val="24"/>
          <w:szCs w:val="24"/>
          <w:vertAlign w:val="subscript"/>
        </w:rPr>
        <w:t>st</w:t>
      </w:r>
      <w:r>
        <w:rPr>
          <w:kern w:val="0"/>
          <w:sz w:val="24"/>
          <w:szCs w:val="24"/>
        </w:rPr>
        <w:t>—上、下弦钢筋外表面距离；</w:t>
      </w:r>
      <w:r>
        <w:rPr>
          <w:i/>
          <w:iCs/>
          <w:kern w:val="0"/>
          <w:sz w:val="24"/>
          <w:szCs w:val="24"/>
        </w:rPr>
        <w:t>b</w:t>
      </w:r>
      <w:r>
        <w:rPr>
          <w:i/>
          <w:iCs/>
          <w:kern w:val="0"/>
          <w:sz w:val="24"/>
          <w:szCs w:val="24"/>
          <w:vertAlign w:val="subscript"/>
        </w:rPr>
        <w:t>st</w:t>
      </w:r>
      <w:r>
        <w:rPr>
          <w:kern w:val="0"/>
          <w:sz w:val="24"/>
          <w:szCs w:val="24"/>
        </w:rPr>
        <w:t>—下弦钢筋外表面距离；</w:t>
      </w:r>
    </w:p>
    <w:p>
      <w:pPr>
        <w:pStyle w:val="47"/>
        <w:widowControl/>
        <w:ind w:firstLine="0"/>
        <w:jc w:val="center"/>
        <w:rPr>
          <w:rFonts w:eastAsia="仿宋"/>
          <w:i/>
          <w:spacing w:val="10"/>
          <w:szCs w:val="21"/>
        </w:rPr>
      </w:pPr>
      <w:r>
        <w:rPr>
          <w:i/>
          <w:iCs/>
          <w:kern w:val="0"/>
          <w:sz w:val="24"/>
          <w:szCs w:val="24"/>
        </w:rPr>
        <w:t>l</w:t>
      </w:r>
      <w:r>
        <w:rPr>
          <w:i/>
          <w:iCs/>
          <w:kern w:val="0"/>
          <w:sz w:val="24"/>
          <w:szCs w:val="24"/>
          <w:vertAlign w:val="subscript"/>
        </w:rPr>
        <w:t>st</w:t>
      </w:r>
      <w:r>
        <w:rPr>
          <w:kern w:val="0"/>
          <w:sz w:val="24"/>
          <w:szCs w:val="24"/>
        </w:rPr>
        <w:t>—腹杆钢筋两相邻顶点之间的距离</w:t>
      </w:r>
    </w:p>
    <w:p>
      <w:pPr>
        <w:pStyle w:val="47"/>
        <w:widowControl/>
        <w:ind w:firstLine="0"/>
        <w:rPr>
          <w:rFonts w:eastAsia="仿宋"/>
          <w:i/>
          <w:spacing w:val="10"/>
          <w:szCs w:val="21"/>
        </w:rPr>
      </w:pPr>
      <w:r>
        <w:rPr>
          <w:rFonts w:eastAsia="仿宋"/>
          <w:i/>
          <w:spacing w:val="10"/>
          <w:szCs w:val="21"/>
        </w:rPr>
        <w:t>【条文说明】4.3.2 本条规定了格构钢筋弯弧要求，参考了国家标准《混凝土结构设计规范》GB 50010对受拉钢筋采用弯钩锚固的措施要求。另外为保证腹杆钢筋和上、下弦钢筋的焊接质量，一般情况下腹杆钢筋弯折顶端应超出上、下弦钢筋不小于3mm。</w:t>
      </w:r>
    </w:p>
    <w:p>
      <w:r>
        <w:rPr>
          <w:b/>
          <w:bCs/>
        </w:rPr>
        <w:t xml:space="preserve">4.3.3 </w:t>
      </w:r>
      <w:r>
        <w:t>叠合墙板中钢筋桁架应符合以下规定：</w:t>
      </w:r>
    </w:p>
    <w:p>
      <w:pPr>
        <w:pStyle w:val="47"/>
        <w:numPr>
          <w:ilvl w:val="0"/>
          <w:numId w:val="9"/>
        </w:numPr>
        <w:ind w:left="0" w:firstLine="576" w:firstLineChars="200"/>
      </w:pPr>
      <w:r>
        <w:t>当上弦钢筋、下弦钢筋兼作叠合墙分布钢筋时，</w:t>
      </w:r>
      <w:r>
        <w:rPr>
          <w:rFonts w:ascii="宋体" w:hAnsi="宋体"/>
        </w:rPr>
        <w:t>其直径</w:t>
      </w:r>
      <w:r>
        <w:rPr>
          <w:rFonts w:hint="eastAsia" w:ascii="宋体" w:hAnsi="宋体"/>
        </w:rPr>
        <w:t>及间距</w:t>
      </w:r>
      <w:r>
        <w:rPr>
          <w:rFonts w:ascii="宋体" w:hAnsi="宋体"/>
        </w:rPr>
        <w:t>不应小于叠合墙设计的分布钢筋直径</w:t>
      </w:r>
      <w:r>
        <w:rPr>
          <w:rFonts w:hint="eastAsia" w:ascii="宋体" w:hAnsi="宋体"/>
        </w:rPr>
        <w:t>及间距</w:t>
      </w:r>
      <w:r>
        <w:t>。</w:t>
      </w:r>
    </w:p>
    <w:p>
      <w:pPr>
        <w:pStyle w:val="47"/>
        <w:numPr>
          <w:ilvl w:val="0"/>
          <w:numId w:val="9"/>
        </w:numPr>
        <w:ind w:left="0" w:firstLine="576" w:firstLineChars="200"/>
      </w:pPr>
      <w:r>
        <w:t>钢筋桁架横截面高度</w:t>
      </w:r>
      <m:oMath>
        <m:sSub>
          <m:sSubPr>
            <m:ctrlPr>
              <w:rPr>
                <w:rFonts w:ascii="Cambria Math" w:hAnsi="Cambria Math"/>
              </w:rPr>
            </m:ctrlPr>
          </m:sSubPr>
          <m:e>
            <m:r>
              <w:rPr>
                <w:rFonts w:ascii="Cambria Math" w:hAnsi="Cambria Math"/>
              </w:rPr>
              <m:t>h</m:t>
            </m:r>
            <m:ctrlPr>
              <w:rPr>
                <w:rFonts w:ascii="Cambria Math" w:hAnsi="Cambria Math"/>
              </w:rPr>
            </m:ctrlPr>
          </m:e>
          <m:sub>
            <m:r>
              <m:rPr>
                <m:sty m:val="p"/>
              </m:rPr>
              <w:rPr>
                <w:rFonts w:ascii="Cambria Math" w:hAnsi="Cambria Math"/>
              </w:rPr>
              <m:t>st</m:t>
            </m:r>
            <m:ctrlPr>
              <w:rPr>
                <w:rFonts w:ascii="Cambria Math" w:hAnsi="Cambria Math"/>
              </w:rPr>
            </m:ctrlPr>
          </m:sub>
        </m:sSub>
      </m:oMath>
      <w:r>
        <w:t>应根据叠合墙板的总厚度确定，钢筋保护层厚度不应小于20mm，高度适用范围为100</w:t>
      </w:r>
      <m:oMath>
        <m:r>
          <m:rPr>
            <m:sty m:val="p"/>
          </m:rPr>
          <w:rPr>
            <w:rFonts w:ascii="Cambria Math" w:hAnsi="Cambria Math"/>
          </w:rPr>
          <m:t>mm</m:t>
        </m:r>
        <m:sSub>
          <m:sSubPr>
            <m:ctrlPr>
              <w:rPr>
                <w:rFonts w:ascii="Cambria Math" w:hAnsi="Cambria Math"/>
              </w:rPr>
            </m:ctrlPr>
          </m:sSubPr>
          <m:e>
            <m:r>
              <m:rPr>
                <m:sty m:val="p"/>
              </m:rPr>
              <w:rPr>
                <w:rFonts w:ascii="Cambria Math" w:hAnsi="Cambria Math"/>
              </w:rPr>
              <m:t>≤</m:t>
            </m:r>
            <m:r>
              <w:rPr>
                <w:rFonts w:ascii="Cambria Math" w:hAnsi="Cambria Math"/>
              </w:rPr>
              <m:t>h</m:t>
            </m:r>
            <m:ctrlPr>
              <w:rPr>
                <w:rFonts w:ascii="Cambria Math" w:hAnsi="Cambria Math"/>
              </w:rPr>
            </m:ctrlPr>
          </m:e>
          <m:sub>
            <m:r>
              <m:rPr>
                <m:sty m:val="p"/>
              </m:rPr>
              <w:rPr>
                <w:rFonts w:ascii="Cambria Math" w:hAnsi="Cambria Math"/>
              </w:rPr>
              <m:t>st</m:t>
            </m:r>
            <m:ctrlPr>
              <w:rPr>
                <w:rFonts w:ascii="Cambria Math" w:hAnsi="Cambria Math"/>
              </w:rPr>
            </m:ctrlPr>
          </m:sub>
        </m:sSub>
        <m:r>
          <m:rPr>
            <m:sty m:val="p"/>
          </m:rPr>
          <w:rPr>
            <w:rFonts w:ascii="Cambria Math" w:hAnsi="Cambria Math"/>
          </w:rPr>
          <m:t>≤</m:t>
        </m:r>
      </m:oMath>
      <w:r>
        <w:t>350</w:t>
      </w:r>
      <m:oMath>
        <m:r>
          <m:rPr>
            <m:sty m:val="p"/>
          </m:rPr>
          <w:rPr>
            <w:rFonts w:ascii="Cambria Math" w:hAnsi="Cambria Math"/>
          </w:rPr>
          <m:t>mm</m:t>
        </m:r>
      </m:oMath>
      <w:r>
        <w:t>。</w:t>
      </w:r>
    </w:p>
    <w:p>
      <w:pPr>
        <w:pStyle w:val="47"/>
        <w:numPr>
          <w:ilvl w:val="0"/>
          <w:numId w:val="9"/>
        </w:numPr>
        <w:ind w:left="0" w:firstLine="576" w:firstLineChars="200"/>
      </w:pPr>
      <w:r>
        <w:t>钢筋桁架截面宽度</w:t>
      </w:r>
      <m:oMath>
        <m:sSub>
          <m:sSubPr>
            <m:ctrlPr>
              <w:rPr>
                <w:rFonts w:ascii="Cambria Math" w:hAnsi="Cambria Math"/>
              </w:rPr>
            </m:ctrlPr>
          </m:sSubPr>
          <m:e>
            <m:r>
              <w:rPr>
                <w:rFonts w:ascii="Cambria Math" w:hAnsi="Cambria Math"/>
              </w:rPr>
              <m:t>b</m:t>
            </m:r>
            <m:ctrlPr>
              <w:rPr>
                <w:rFonts w:ascii="Cambria Math" w:hAnsi="Cambria Math"/>
              </w:rPr>
            </m:ctrlPr>
          </m:e>
          <m:sub>
            <m:r>
              <m:rPr>
                <m:sty m:val="p"/>
              </m:rPr>
              <w:rPr>
                <w:rFonts w:ascii="Cambria Math" w:hAnsi="Cambria Math"/>
              </w:rPr>
              <m:t>st</m:t>
            </m:r>
            <m:ctrlPr>
              <w:rPr>
                <w:rFonts w:ascii="Cambria Math" w:hAnsi="Cambria Math"/>
              </w:rPr>
            </m:ctrlPr>
          </m:sub>
        </m:sSub>
      </m:oMath>
      <w:r>
        <w:t>适用范围为50</w:t>
      </w:r>
      <m:oMath>
        <m:r>
          <m:rPr>
            <m:sty m:val="p"/>
          </m:rPr>
          <w:rPr>
            <w:rFonts w:ascii="Cambria Math" w:hAnsi="Cambria Math"/>
          </w:rPr>
          <m:t>mm≤</m:t>
        </m:r>
        <m:sSub>
          <m:sSubPr>
            <m:ctrlPr>
              <w:rPr>
                <w:rFonts w:ascii="Cambria Math" w:hAnsi="Cambria Math"/>
              </w:rPr>
            </m:ctrlPr>
          </m:sSubPr>
          <m:e>
            <m:r>
              <w:rPr>
                <w:rFonts w:ascii="Cambria Math" w:hAnsi="Cambria Math"/>
              </w:rPr>
              <m:t>b</m:t>
            </m:r>
            <m:ctrlPr>
              <w:rPr>
                <w:rFonts w:ascii="Cambria Math" w:hAnsi="Cambria Math"/>
              </w:rPr>
            </m:ctrlPr>
          </m:e>
          <m:sub>
            <m:r>
              <m:rPr>
                <m:sty m:val="p"/>
              </m:rPr>
              <w:rPr>
                <w:rFonts w:ascii="Cambria Math" w:hAnsi="Cambria Math"/>
              </w:rPr>
              <m:t>st</m:t>
            </m:r>
            <m:ctrlPr>
              <w:rPr>
                <w:rFonts w:ascii="Cambria Math" w:hAnsi="Cambria Math"/>
              </w:rPr>
            </m:ctrlPr>
          </m:sub>
        </m:sSub>
        <m:r>
          <m:rPr>
            <m:sty m:val="p"/>
          </m:rPr>
          <w:rPr>
            <w:rFonts w:ascii="Cambria Math" w:hAnsi="Cambria Math"/>
          </w:rPr>
          <m:t>≤</m:t>
        </m:r>
      </m:oMath>
      <w:r>
        <w:t>110</w:t>
      </w:r>
      <m:oMath>
        <m:r>
          <m:rPr>
            <m:sty m:val="p"/>
          </m:rPr>
          <w:rPr>
            <w:rFonts w:ascii="Cambria Math" w:hAnsi="Cambria Math"/>
          </w:rPr>
          <m:t>mm</m:t>
        </m:r>
      </m:oMath>
      <w:r>
        <w:t>。腹杆钢筋和上、下弦钢筋的焊接节点中心间距</w:t>
      </w:r>
      <m:oMath>
        <m:sSub>
          <m:sSubPr>
            <m:ctrlPr>
              <w:rPr>
                <w:rFonts w:ascii="Cambria Math" w:hAnsi="Cambria Math"/>
              </w:rPr>
            </m:ctrlPr>
          </m:sSubPr>
          <m:e>
            <m:r>
              <w:rPr>
                <w:rFonts w:ascii="Cambria Math" w:hAnsi="Cambria Math"/>
              </w:rPr>
              <m:t>l</m:t>
            </m:r>
            <m:ctrlPr>
              <w:rPr>
                <w:rFonts w:ascii="Cambria Math" w:hAnsi="Cambria Math"/>
              </w:rPr>
            </m:ctrlPr>
          </m:e>
          <m:sub>
            <m:r>
              <m:rPr>
                <m:sty m:val="p"/>
              </m:rPr>
              <w:rPr>
                <w:rFonts w:ascii="Cambria Math" w:hAnsi="Cambria Math"/>
              </w:rPr>
              <m:t>s</m:t>
            </m:r>
            <m:ctrlPr>
              <w:rPr>
                <w:rFonts w:ascii="Cambria Math" w:hAnsi="Cambria Math"/>
              </w:rPr>
            </m:ctrlPr>
          </m:sub>
        </m:sSub>
      </m:oMath>
      <w:r>
        <w:t>不应大于200</w:t>
      </w:r>
      <m:oMath>
        <m:r>
          <m:rPr>
            <m:sty m:val="p"/>
          </m:rPr>
          <w:rPr>
            <w:rFonts w:ascii="Cambria Math" w:hAnsi="Cambria Math"/>
          </w:rPr>
          <m:t>mm</m:t>
        </m:r>
      </m:oMath>
      <w:r>
        <w:t>。</w:t>
      </w:r>
    </w:p>
    <w:p>
      <w:pPr>
        <w:pStyle w:val="47"/>
        <w:widowControl/>
        <w:ind w:firstLine="0"/>
      </w:pPr>
      <w:r>
        <w:rPr>
          <w:rFonts w:eastAsia="仿宋"/>
          <w:i/>
          <w:spacing w:val="10"/>
          <w:szCs w:val="21"/>
        </w:rPr>
        <w:t>【条文说明】4.3.3 对于单面叠合墙板钢筋桁架的高度</w:t>
      </w:r>
      <m:oMath>
        <m:sSub>
          <m:sSubPr>
            <m:ctrlPr>
              <w:rPr>
                <w:rFonts w:ascii="Cambria Math" w:hAnsi="Cambria Math"/>
              </w:rPr>
            </m:ctrlPr>
          </m:sSubPr>
          <m:e>
            <m:r>
              <w:rPr>
                <w:rFonts w:ascii="Cambria Math" w:hAnsi="Cambria Math"/>
              </w:rPr>
              <m:t>h</m:t>
            </m:r>
            <m:ctrlPr>
              <w:rPr>
                <w:rFonts w:ascii="Cambria Math" w:hAnsi="Cambria Math"/>
              </w:rPr>
            </m:ctrlPr>
          </m:e>
          <m:sub>
            <m:r>
              <m:rPr>
                <m:sty m:val="p"/>
              </m:rPr>
              <w:rPr>
                <w:rFonts w:ascii="Cambria Math" w:hAnsi="Cambria Math"/>
              </w:rPr>
              <m:t>st</m:t>
            </m:r>
            <m:ctrlPr>
              <w:rPr>
                <w:rFonts w:ascii="Cambria Math" w:hAnsi="Cambria Math"/>
              </w:rPr>
            </m:ctrlPr>
          </m:sub>
        </m:sSub>
      </m:oMath>
      <w:r>
        <w:rPr>
          <w:rFonts w:eastAsia="仿宋"/>
          <w:i/>
        </w:rPr>
        <w:t>设计需要考虑后绑扎钢筋保护层厚度不小于20mm的需求。钢筋桁架的高度适用范围按照墙厚不小于160mm且不大于400mm来考虑。</w:t>
      </w:r>
    </w:p>
    <w:p>
      <w:r>
        <w:rPr>
          <w:b/>
          <w:bCs/>
        </w:rPr>
        <w:t xml:space="preserve">4.3.4 </w:t>
      </w:r>
      <w:r>
        <w:t>钢筋桁架叠合板中的钢筋桁架应符合以下规定：</w:t>
      </w:r>
    </w:p>
    <w:p>
      <w:pPr>
        <w:pStyle w:val="47"/>
        <w:numPr>
          <w:ilvl w:val="0"/>
          <w:numId w:val="10"/>
        </w:numPr>
        <w:ind w:left="0" w:firstLine="564" w:firstLineChars="196"/>
      </w:pPr>
      <w:r>
        <w:t>当钢筋桁架兼作吊具使用时，上弦钢筋直径不应小于10mm，</w:t>
      </w:r>
      <w:r>
        <w:rPr>
          <w:rFonts w:hint="eastAsia"/>
        </w:rPr>
        <w:t>且应</w:t>
      </w:r>
      <w:r>
        <w:t>符合现行国家标准《混凝土结构工程施工规范》GB 50666的相关规定。</w:t>
      </w:r>
    </w:p>
    <w:p>
      <w:pPr>
        <w:pStyle w:val="47"/>
        <w:numPr>
          <w:ilvl w:val="0"/>
          <w:numId w:val="10"/>
        </w:numPr>
        <w:ind w:left="0" w:firstLine="564" w:firstLineChars="196"/>
      </w:pPr>
      <w:r>
        <w:t>钢筋桁架横截面高度</w:t>
      </w:r>
      <m:oMath>
        <m:sSub>
          <m:sSubPr>
            <m:ctrlPr>
              <w:rPr>
                <w:rFonts w:ascii="Cambria Math" w:hAnsi="Cambria Math"/>
              </w:rPr>
            </m:ctrlPr>
          </m:sSubPr>
          <m:e>
            <m:r>
              <w:rPr>
                <w:rFonts w:ascii="Cambria Math" w:hAnsi="Cambria Math"/>
              </w:rPr>
              <m:t>h</m:t>
            </m:r>
            <m:ctrlPr>
              <w:rPr>
                <w:rFonts w:ascii="Cambria Math" w:hAnsi="Cambria Math"/>
              </w:rPr>
            </m:ctrlPr>
          </m:e>
          <m:sub>
            <m:r>
              <m:rPr>
                <m:sty m:val="p"/>
              </m:rPr>
              <w:rPr>
                <w:rFonts w:ascii="Cambria Math" w:hAnsi="Cambria Math"/>
              </w:rPr>
              <m:t>st</m:t>
            </m:r>
            <m:ctrlPr>
              <w:rPr>
                <w:rFonts w:ascii="Cambria Math" w:hAnsi="Cambria Math"/>
              </w:rPr>
            </m:ctrlPr>
          </m:sub>
        </m:sSub>
      </m:oMath>
      <w:r>
        <w:t>应根据叠合板的总厚度确定，钢筋保护层厚度</w:t>
      </w:r>
      <w:r>
        <w:rPr>
          <w:rFonts w:hint="eastAsia"/>
        </w:rPr>
        <w:t>不宜</w:t>
      </w:r>
      <w:r>
        <w:t>小于20mm，高度适用范围</w:t>
      </w:r>
      <w:r>
        <w:rPr>
          <w:rFonts w:hint="eastAsia"/>
        </w:rPr>
        <w:t>宜</w:t>
      </w:r>
      <w:r>
        <w:t>为75</w:t>
      </w:r>
      <m:oMath>
        <m:r>
          <m:rPr>
            <m:sty m:val="p"/>
          </m:rPr>
          <w:rPr>
            <w:rFonts w:ascii="Cambria Math" w:hAnsi="Cambria Math"/>
          </w:rPr>
          <m:t>mm</m:t>
        </m:r>
        <m:sSub>
          <m:sSubPr>
            <m:ctrlPr>
              <w:rPr>
                <w:rFonts w:ascii="Cambria Math" w:hAnsi="Cambria Math"/>
              </w:rPr>
            </m:ctrlPr>
          </m:sSubPr>
          <m:e>
            <m:r>
              <m:rPr>
                <m:sty m:val="p"/>
              </m:rPr>
              <w:rPr>
                <w:rFonts w:ascii="Cambria Math" w:hAnsi="Cambria Math"/>
              </w:rPr>
              <m:t>≤</m:t>
            </m:r>
            <m:r>
              <w:rPr>
                <w:rFonts w:ascii="Cambria Math" w:hAnsi="Cambria Math"/>
              </w:rPr>
              <m:t>h</m:t>
            </m:r>
            <m:ctrlPr>
              <w:rPr>
                <w:rFonts w:ascii="Cambria Math" w:hAnsi="Cambria Math"/>
              </w:rPr>
            </m:ctrlPr>
          </m:e>
          <m:sub>
            <m:r>
              <m:rPr>
                <m:sty m:val="p"/>
              </m:rPr>
              <w:rPr>
                <w:rFonts w:ascii="Cambria Math" w:hAnsi="Cambria Math"/>
              </w:rPr>
              <m:t>st</m:t>
            </m:r>
            <m:ctrlPr>
              <w:rPr>
                <w:rFonts w:ascii="Cambria Math" w:hAnsi="Cambria Math"/>
              </w:rPr>
            </m:ctrlPr>
          </m:sub>
        </m:sSub>
        <m:r>
          <m:rPr>
            <m:sty m:val="p"/>
          </m:rPr>
          <w:rPr>
            <w:rFonts w:ascii="Cambria Math" w:hAnsi="Cambria Math"/>
          </w:rPr>
          <m:t>≤</m:t>
        </m:r>
      </m:oMath>
      <w:r>
        <w:t>250</w:t>
      </w:r>
      <m:oMath>
        <m:r>
          <m:rPr>
            <m:sty m:val="p"/>
          </m:rPr>
          <w:rPr>
            <w:rFonts w:ascii="Cambria Math" w:hAnsi="Cambria Math"/>
          </w:rPr>
          <m:t>mm</m:t>
        </m:r>
      </m:oMath>
      <w:r>
        <w:t>。</w:t>
      </w:r>
    </w:p>
    <w:p>
      <w:pPr>
        <w:pStyle w:val="47"/>
        <w:numPr>
          <w:ilvl w:val="0"/>
          <w:numId w:val="10"/>
        </w:numPr>
        <w:ind w:left="0" w:firstLine="564" w:firstLineChars="196"/>
      </w:pPr>
      <w:r>
        <w:t>钢筋桁架截面宽度</w:t>
      </w:r>
      <m:oMath>
        <m:sSub>
          <m:sSubPr>
            <m:ctrlPr>
              <w:rPr>
                <w:rFonts w:ascii="Cambria Math" w:hAnsi="Cambria Math"/>
              </w:rPr>
            </m:ctrlPr>
          </m:sSubPr>
          <m:e>
            <m:r>
              <w:rPr>
                <w:rFonts w:ascii="Cambria Math" w:hAnsi="Cambria Math"/>
              </w:rPr>
              <m:t>b</m:t>
            </m:r>
            <m:ctrlPr>
              <w:rPr>
                <w:rFonts w:ascii="Cambria Math" w:hAnsi="Cambria Math"/>
              </w:rPr>
            </m:ctrlPr>
          </m:e>
          <m:sub>
            <m:r>
              <m:rPr>
                <m:sty m:val="p"/>
              </m:rPr>
              <w:rPr>
                <w:rFonts w:ascii="Cambria Math" w:hAnsi="Cambria Math"/>
              </w:rPr>
              <m:t>st</m:t>
            </m:r>
            <m:ctrlPr>
              <w:rPr>
                <w:rFonts w:ascii="Cambria Math" w:hAnsi="Cambria Math"/>
              </w:rPr>
            </m:ctrlPr>
          </m:sub>
        </m:sSub>
      </m:oMath>
      <w:r>
        <w:t>适用范围为50</w:t>
      </w:r>
      <m:oMath>
        <m:r>
          <m:rPr>
            <m:sty m:val="p"/>
          </m:rPr>
          <w:rPr>
            <w:rFonts w:ascii="Cambria Math" w:hAnsi="Cambria Math"/>
          </w:rPr>
          <m:t>mm≤</m:t>
        </m:r>
        <m:sSub>
          <m:sSubPr>
            <m:ctrlPr>
              <w:rPr>
                <w:rFonts w:ascii="Cambria Math" w:hAnsi="Cambria Math"/>
              </w:rPr>
            </m:ctrlPr>
          </m:sSubPr>
          <m:e>
            <m:r>
              <w:rPr>
                <w:rFonts w:ascii="Cambria Math" w:hAnsi="Cambria Math"/>
              </w:rPr>
              <m:t>b</m:t>
            </m:r>
            <m:ctrlPr>
              <w:rPr>
                <w:rFonts w:ascii="Cambria Math" w:hAnsi="Cambria Math"/>
              </w:rPr>
            </m:ctrlPr>
          </m:e>
          <m:sub>
            <m:r>
              <m:rPr>
                <m:sty m:val="p"/>
              </m:rPr>
              <w:rPr>
                <w:rFonts w:ascii="Cambria Math" w:hAnsi="Cambria Math"/>
              </w:rPr>
              <m:t>st</m:t>
            </m:r>
            <m:ctrlPr>
              <w:rPr>
                <w:rFonts w:ascii="Cambria Math" w:hAnsi="Cambria Math"/>
              </w:rPr>
            </m:ctrlPr>
          </m:sub>
        </m:sSub>
        <m:r>
          <m:rPr>
            <m:sty m:val="p"/>
          </m:rPr>
          <w:rPr>
            <w:rFonts w:ascii="Cambria Math" w:hAnsi="Cambria Math"/>
          </w:rPr>
          <m:t>≤</m:t>
        </m:r>
      </m:oMath>
      <w:r>
        <w:t>110</w:t>
      </w:r>
      <m:oMath>
        <m:r>
          <m:rPr>
            <m:sty m:val="p"/>
          </m:rPr>
          <w:rPr>
            <w:rFonts w:ascii="Cambria Math" w:hAnsi="Cambria Math"/>
          </w:rPr>
          <m:t>mm</m:t>
        </m:r>
      </m:oMath>
      <w:r>
        <w:t>。腹杆钢筋和上、下弦钢筋的焊接节点中心间距</w:t>
      </w:r>
      <m:oMath>
        <m:sSub>
          <m:sSubPr>
            <m:ctrlPr>
              <w:rPr>
                <w:rFonts w:ascii="Cambria Math" w:hAnsi="Cambria Math"/>
              </w:rPr>
            </m:ctrlPr>
          </m:sSubPr>
          <m:e>
            <m:r>
              <w:rPr>
                <w:rFonts w:ascii="Cambria Math" w:hAnsi="Cambria Math"/>
              </w:rPr>
              <m:t>l</m:t>
            </m:r>
            <m:ctrlPr>
              <w:rPr>
                <w:rFonts w:ascii="Cambria Math" w:hAnsi="Cambria Math"/>
              </w:rPr>
            </m:ctrlPr>
          </m:e>
          <m:sub>
            <m:r>
              <m:rPr>
                <m:sty m:val="p"/>
              </m:rPr>
              <w:rPr>
                <w:rFonts w:ascii="Cambria Math" w:hAnsi="Cambria Math"/>
              </w:rPr>
              <m:t>s</m:t>
            </m:r>
            <m:ctrlPr>
              <w:rPr>
                <w:rFonts w:ascii="Cambria Math" w:hAnsi="Cambria Math"/>
              </w:rPr>
            </m:ctrlPr>
          </m:sub>
        </m:sSub>
      </m:oMath>
      <w:r>
        <w:t>不应大于200</w:t>
      </w:r>
      <m:oMath>
        <m:r>
          <m:rPr>
            <m:sty m:val="p"/>
          </m:rPr>
          <w:rPr>
            <w:rFonts w:ascii="Cambria Math" w:hAnsi="Cambria Math"/>
          </w:rPr>
          <m:t>mm</m:t>
        </m:r>
      </m:oMath>
      <w:r>
        <w:t>。</w:t>
      </w:r>
    </w:p>
    <w:p>
      <w:pPr>
        <w:pStyle w:val="47"/>
        <w:widowControl/>
        <w:ind w:firstLine="588" w:firstLineChars="196"/>
      </w:pPr>
      <w:r>
        <w:rPr>
          <w:rFonts w:eastAsia="仿宋"/>
          <w:i/>
          <w:spacing w:val="10"/>
          <w:szCs w:val="21"/>
        </w:rPr>
        <w:t>【条文说明】4.3.4对利用桁架钢筋吊装的上弦筋直径提高了要求，</w:t>
      </w:r>
      <w:r>
        <w:rPr>
          <w:rFonts w:hint="eastAsia" w:eastAsia="仿宋"/>
          <w:i/>
          <w:spacing w:val="10"/>
          <w:szCs w:val="21"/>
        </w:rPr>
        <w:t>吊装时应同时勾住上弦筋与腹杆钢筋，腹杆钢筋直径不宜小于6mm,</w:t>
      </w:r>
      <w:r>
        <w:rPr>
          <w:rFonts w:eastAsia="仿宋"/>
          <w:i/>
          <w:spacing w:val="10"/>
          <w:szCs w:val="21"/>
        </w:rPr>
        <w:t>确保吊装安全。钢筋桁架</w:t>
      </w:r>
      <w:r>
        <w:rPr>
          <w:rFonts w:eastAsia="仿宋"/>
          <w:i/>
        </w:rPr>
        <w:t>的高度适用范围按照叠合板总厚度不小于</w:t>
      </w:r>
      <w:r>
        <w:rPr>
          <w:rFonts w:hint="eastAsia" w:eastAsia="仿宋"/>
          <w:i/>
        </w:rPr>
        <w:t>13</w:t>
      </w:r>
      <w:r>
        <w:rPr>
          <w:rFonts w:eastAsia="仿宋"/>
          <w:i/>
        </w:rPr>
        <w:t>0mm且不大于300mm来考虑。</w:t>
      </w:r>
    </w:p>
    <w:bookmarkEnd w:id="54"/>
    <w:p>
      <w:pPr>
        <w:pStyle w:val="3"/>
      </w:pPr>
      <w:bookmarkStart w:id="55" w:name="_Toc23256803"/>
      <w:bookmarkStart w:id="56" w:name="_Toc23498015"/>
      <w:bookmarkStart w:id="57" w:name="_Toc45313925"/>
      <w:bookmarkStart w:id="58" w:name="_Toc45574530"/>
      <w:r>
        <w:t>其他材料</w:t>
      </w:r>
      <w:bookmarkEnd w:id="55"/>
      <w:bookmarkEnd w:id="56"/>
      <w:bookmarkEnd w:id="57"/>
      <w:bookmarkEnd w:id="58"/>
    </w:p>
    <w:p>
      <w:r>
        <w:rPr>
          <w:b/>
          <w:bCs/>
        </w:rPr>
        <w:t xml:space="preserve">4.4.1 </w:t>
      </w:r>
      <w:r>
        <w:t>外墙板</w:t>
      </w:r>
      <w:r>
        <w:rPr>
          <w:rFonts w:hint="eastAsia"/>
        </w:rPr>
        <w:t>拼</w:t>
      </w:r>
      <w:r>
        <w:t>缝所用的密封材料应符合下列规定：</w:t>
      </w:r>
    </w:p>
    <w:p>
      <w:pPr>
        <w:pStyle w:val="47"/>
        <w:numPr>
          <w:ilvl w:val="0"/>
          <w:numId w:val="11"/>
        </w:numPr>
        <w:ind w:left="0" w:firstLine="567"/>
      </w:pPr>
      <w:r>
        <w:t>密封胶应与混凝土具有相容性以及规定的抗剪切和伸缩变形能力；尚应具有防霉、防水及耐候等性能；</w:t>
      </w:r>
    </w:p>
    <w:p>
      <w:pPr>
        <w:pStyle w:val="47"/>
        <w:numPr>
          <w:ilvl w:val="0"/>
          <w:numId w:val="11"/>
        </w:numPr>
        <w:ind w:left="0" w:firstLine="567"/>
      </w:pPr>
      <w:r>
        <w:t>外墙板</w:t>
      </w:r>
      <w:r>
        <w:rPr>
          <w:rFonts w:hint="eastAsia"/>
        </w:rPr>
        <w:t>拼</w:t>
      </w:r>
      <w:r>
        <w:t>缝填充用保温材料的燃烧性能应满足现行国家标准《建筑材料及制品燃烧性能分级》GB 8624中A级的要求。</w:t>
      </w:r>
    </w:p>
    <w:p>
      <w:r>
        <w:rPr>
          <w:rFonts w:eastAsia="仿宋"/>
          <w:i/>
          <w:spacing w:val="10"/>
          <w:szCs w:val="21"/>
        </w:rPr>
        <w:t xml:space="preserve">【条文说明】4.4.1 </w:t>
      </w:r>
      <w:r>
        <w:rPr>
          <w:rFonts w:hint="eastAsia" w:eastAsia="仿宋"/>
          <w:i/>
          <w:spacing w:val="10"/>
          <w:szCs w:val="21"/>
        </w:rPr>
        <w:t>外墙板</w:t>
      </w:r>
      <w:r>
        <w:rPr>
          <w:rFonts w:eastAsia="仿宋"/>
          <w:i/>
          <w:spacing w:val="10"/>
          <w:szCs w:val="21"/>
        </w:rPr>
        <w:t>拼</w:t>
      </w:r>
      <w:r>
        <w:rPr>
          <w:rFonts w:hint="eastAsia" w:eastAsia="仿宋"/>
          <w:i/>
          <w:spacing w:val="10"/>
          <w:szCs w:val="21"/>
        </w:rPr>
        <w:t>缝一般用于非结构受力构件</w:t>
      </w:r>
      <w:r>
        <w:rPr>
          <w:rFonts w:eastAsia="仿宋"/>
          <w:i/>
          <w:spacing w:val="10"/>
          <w:szCs w:val="21"/>
        </w:rPr>
        <w:t>拼</w:t>
      </w:r>
      <w:r>
        <w:rPr>
          <w:rFonts w:hint="eastAsia" w:eastAsia="仿宋"/>
          <w:i/>
          <w:spacing w:val="10"/>
          <w:szCs w:val="21"/>
        </w:rPr>
        <w:t>缝，</w:t>
      </w:r>
      <w:r>
        <w:rPr>
          <w:rFonts w:eastAsia="仿宋"/>
          <w:i/>
          <w:spacing w:val="10"/>
          <w:szCs w:val="21"/>
        </w:rPr>
        <w:t>常用的硅酮、聚氨酯、聚硫建筑密封胶不适合于混凝土构件之间的拼缝位置。混凝土构件之间拼缝的密封胶应优先采用MS建筑密封胶，且满足国家现行相关规范、标准要求。</w:t>
      </w:r>
    </w:p>
    <w:p>
      <w:r>
        <w:rPr>
          <w:b/>
          <w:bCs/>
        </w:rPr>
        <w:t xml:space="preserve">4.4.2 </w:t>
      </w:r>
      <w:r>
        <w:t>预制构件接缝处采用聚合物改性水泥砂浆填缝，聚合物改性水泥砂浆的质量应符合现行行业标准《聚合物水泥防水砂浆》</w:t>
      </w:r>
      <w:r>
        <w:rPr>
          <w:rFonts w:eastAsia="仿宋"/>
          <w:i/>
          <w:spacing w:val="10"/>
          <w:szCs w:val="21"/>
        </w:rPr>
        <w:t xml:space="preserve">JC/T </w:t>
      </w:r>
      <w:r>
        <w:t>984的有关规定。</w:t>
      </w:r>
    </w:p>
    <w:p>
      <w:pPr>
        <w:rPr>
          <w:rFonts w:eastAsia="仿宋"/>
          <w:i/>
          <w:spacing w:val="10"/>
          <w:szCs w:val="21"/>
        </w:rPr>
      </w:pPr>
      <w:r>
        <w:rPr>
          <w:rFonts w:eastAsia="仿宋"/>
          <w:i/>
          <w:spacing w:val="10"/>
          <w:szCs w:val="21"/>
        </w:rPr>
        <w:t>【条文说明】4.4.2 装配整体式建筑所用砂浆宜采用聚合物改性水泥砂浆，其目的是为了防止拼缝处砂浆开裂。</w:t>
      </w:r>
    </w:p>
    <w:p>
      <w:pPr>
        <w:rPr>
          <w:b/>
          <w:bCs/>
        </w:rPr>
      </w:pPr>
      <w:r>
        <w:rPr>
          <w:b/>
          <w:bCs/>
        </w:rPr>
        <w:t xml:space="preserve">4.4.3 </w:t>
      </w:r>
      <w:r>
        <w:t>夹心保温叠合墙中保温材料，其导热系数不宜大于0.04W/（m</w:t>
      </w:r>
      <m:oMath>
        <m:r>
          <w:rPr>
            <w:rFonts w:ascii="Cambria Math" w:hAnsi="Cambria Math"/>
          </w:rPr>
          <m:t>∙</m:t>
        </m:r>
      </m:oMath>
      <w:r>
        <w:t>K），体积比吸水率不宜大于0.3%，燃烧性能不应低于现行国家标准《建筑材料及制品燃烧性能分级》GB 8624中B</w:t>
      </w:r>
      <w:r>
        <w:rPr>
          <w:vertAlign w:val="subscript"/>
        </w:rPr>
        <w:t>2</w:t>
      </w:r>
      <w:r>
        <w:t>级的要求。</w:t>
      </w:r>
    </w:p>
    <w:p>
      <w:pPr>
        <w:pStyle w:val="2"/>
        <w:pageBreakBefore/>
        <w:spacing w:before="312" w:after="312"/>
        <w:ind w:left="425" w:hanging="431"/>
      </w:pPr>
      <w:bookmarkStart w:id="59" w:name="_Toc45313926"/>
      <w:bookmarkStart w:id="60" w:name="_Toc45574531"/>
      <w:r>
        <w:t>结构设计</w:t>
      </w:r>
      <w:bookmarkEnd w:id="59"/>
      <w:bookmarkEnd w:id="60"/>
    </w:p>
    <w:p>
      <w:pPr>
        <w:pStyle w:val="3"/>
      </w:pPr>
      <w:bookmarkStart w:id="61" w:name="_Toc45313927"/>
      <w:bookmarkStart w:id="62" w:name="_Toc45574532"/>
      <w:r>
        <w:t>一般规定</w:t>
      </w:r>
      <w:bookmarkEnd w:id="61"/>
      <w:bookmarkEnd w:id="62"/>
    </w:p>
    <w:p>
      <w:r>
        <w:rPr>
          <w:b/>
          <w:bCs/>
        </w:rPr>
        <w:t xml:space="preserve">5.1.1 </w:t>
      </w:r>
      <w:r>
        <w:t>叠合剪力墙结构房屋的最大适用高度应满足表5.1.1的要求，并应符合以下规定：</w:t>
      </w:r>
    </w:p>
    <w:p>
      <w:pPr>
        <w:pStyle w:val="75"/>
        <w:numPr>
          <w:ilvl w:val="0"/>
          <w:numId w:val="12"/>
        </w:numPr>
        <w:tabs>
          <w:tab w:val="left" w:pos="709"/>
          <w:tab w:val="clear" w:pos="1110"/>
          <w:tab w:val="clear" w:pos="1111"/>
        </w:tabs>
        <w:ind w:firstLine="423" w:firstLineChars="147"/>
        <w:rPr>
          <w:rFonts w:cs="Times New Roman"/>
        </w:rPr>
      </w:pPr>
      <w:r>
        <w:rPr>
          <w:rFonts w:cs="Times New Roman"/>
          <w:spacing w:val="4"/>
          <w:w w:val="100"/>
          <w:kern w:val="2"/>
        </w:rPr>
        <w:t>在规定水平力作用下，当叠合剪力墙构件底部承担的总剪力大于该层总剪力的50%时，其最大适用高度应适当降低；当叠合剪力墙构件底部承担的总剪力大于该层总剪力的80%时，最大适用高度应取表5.1.1中括号内的数值。</w:t>
      </w:r>
    </w:p>
    <w:p>
      <w:pPr>
        <w:pStyle w:val="75"/>
        <w:numPr>
          <w:ilvl w:val="0"/>
          <w:numId w:val="12"/>
        </w:numPr>
        <w:tabs>
          <w:tab w:val="left" w:pos="709"/>
          <w:tab w:val="clear" w:pos="1110"/>
          <w:tab w:val="clear" w:pos="1111"/>
        </w:tabs>
        <w:ind w:firstLine="423" w:firstLineChars="147"/>
        <w:rPr>
          <w:rFonts w:cs="Times New Roman"/>
        </w:rPr>
      </w:pPr>
      <w:r>
        <w:rPr>
          <w:rFonts w:cs="Times New Roman"/>
          <w:spacing w:val="4"/>
          <w:w w:val="100"/>
          <w:kern w:val="2"/>
        </w:rPr>
        <w:t>超过表内高度的房屋，应进行专门的研究和论证，采取有效的加强措施。</w:t>
      </w:r>
    </w:p>
    <w:p>
      <w:pPr>
        <w:jc w:val="center"/>
      </w:pPr>
      <w:r>
        <w:rPr>
          <w:b/>
          <w:bCs/>
        </w:rPr>
        <w:t>表5.1.1</w:t>
      </w:r>
      <w:r>
        <w:rPr>
          <w:b/>
          <w:bCs/>
        </w:rPr>
        <w:tab/>
      </w:r>
      <w:r>
        <w:rPr>
          <w:b/>
          <w:bCs/>
        </w:rPr>
        <w:t>叠合剪力墙结构房屋的最大适用高度</w:t>
      </w:r>
    </w:p>
    <w:tbl>
      <w:tblPr>
        <w:tblStyle w:val="31"/>
        <w:tblW w:w="80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82"/>
        <w:gridCol w:w="1928"/>
        <w:gridCol w:w="1843"/>
        <w:gridCol w:w="1631"/>
        <w:gridCol w:w="1629"/>
        <w:gridCol w:w="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62" w:type="dxa"/>
            <w:gridSpan w:val="3"/>
            <w:vMerge w:val="restart"/>
            <w:tcBorders>
              <w:top w:val="single" w:color="auto" w:sz="12" w:space="0"/>
              <w:bottom w:val="single" w:color="auto" w:sz="4" w:space="0"/>
              <w:right w:val="single" w:color="auto" w:sz="4" w:space="0"/>
            </w:tcBorders>
            <w:vAlign w:val="center"/>
          </w:tcPr>
          <w:p>
            <w:pPr>
              <w:jc w:val="center"/>
              <w:rPr>
                <w:sz w:val="24"/>
                <w:szCs w:val="24"/>
              </w:rPr>
            </w:pPr>
            <w:r>
              <w:rPr>
                <w:sz w:val="24"/>
                <w:szCs w:val="24"/>
              </w:rPr>
              <w:t>结构体系</w:t>
            </w:r>
          </w:p>
        </w:tc>
        <w:tc>
          <w:tcPr>
            <w:tcW w:w="5118" w:type="dxa"/>
            <w:gridSpan w:val="4"/>
            <w:tcBorders>
              <w:top w:val="single" w:color="auto" w:sz="12" w:space="0"/>
              <w:bottom w:val="single" w:color="auto" w:sz="4" w:space="0"/>
            </w:tcBorders>
          </w:tcPr>
          <w:p>
            <w:pPr>
              <w:jc w:val="center"/>
              <w:rPr>
                <w:sz w:val="24"/>
                <w:szCs w:val="24"/>
              </w:rPr>
            </w:pPr>
            <w:r>
              <w:rPr>
                <w:sz w:val="24"/>
                <w:szCs w:val="24"/>
              </w:rPr>
              <w:t>抗震设防烈度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962" w:type="dxa"/>
            <w:gridSpan w:val="3"/>
            <w:vMerge w:val="continue"/>
            <w:tcBorders>
              <w:top w:val="single" w:color="auto" w:sz="4" w:space="0"/>
              <w:bottom w:val="single" w:color="auto" w:sz="12" w:space="0"/>
              <w:right w:val="single" w:color="auto" w:sz="4" w:space="0"/>
            </w:tcBorders>
            <w:vAlign w:val="center"/>
          </w:tcPr>
          <w:p>
            <w:pPr>
              <w:jc w:val="center"/>
              <w:rPr>
                <w:sz w:val="24"/>
                <w:szCs w:val="24"/>
              </w:rPr>
            </w:pPr>
          </w:p>
        </w:tc>
        <w:tc>
          <w:tcPr>
            <w:tcW w:w="1843" w:type="dxa"/>
            <w:tcBorders>
              <w:top w:val="single" w:color="auto" w:sz="4" w:space="0"/>
              <w:bottom w:val="single" w:color="auto" w:sz="12" w:space="0"/>
              <w:right w:val="single" w:color="auto" w:sz="4" w:space="0"/>
            </w:tcBorders>
          </w:tcPr>
          <w:p>
            <w:pPr>
              <w:jc w:val="center"/>
              <w:rPr>
                <w:sz w:val="24"/>
                <w:szCs w:val="24"/>
              </w:rPr>
            </w:pPr>
            <w:r>
              <w:rPr>
                <w:sz w:val="24"/>
                <w:szCs w:val="24"/>
              </w:rPr>
              <w:t>6度</w:t>
            </w:r>
          </w:p>
        </w:tc>
        <w:tc>
          <w:tcPr>
            <w:tcW w:w="1631" w:type="dxa"/>
            <w:tcBorders>
              <w:top w:val="single" w:color="auto" w:sz="4" w:space="0"/>
              <w:left w:val="single" w:color="auto" w:sz="4" w:space="0"/>
              <w:bottom w:val="single" w:color="auto" w:sz="12" w:space="0"/>
            </w:tcBorders>
            <w:vAlign w:val="center"/>
          </w:tcPr>
          <w:p>
            <w:pPr>
              <w:jc w:val="center"/>
              <w:rPr>
                <w:sz w:val="24"/>
                <w:szCs w:val="24"/>
              </w:rPr>
            </w:pPr>
            <w:r>
              <w:rPr>
                <w:sz w:val="24"/>
                <w:szCs w:val="24"/>
              </w:rPr>
              <w:t>7度</w:t>
            </w:r>
          </w:p>
        </w:tc>
        <w:tc>
          <w:tcPr>
            <w:tcW w:w="1644" w:type="dxa"/>
            <w:gridSpan w:val="2"/>
            <w:tcBorders>
              <w:top w:val="single" w:color="auto" w:sz="4" w:space="0"/>
              <w:bottom w:val="single" w:color="auto" w:sz="12" w:space="0"/>
            </w:tcBorders>
            <w:vAlign w:val="center"/>
          </w:tcPr>
          <w:p>
            <w:pPr>
              <w:jc w:val="center"/>
              <w:rPr>
                <w:sz w:val="24"/>
                <w:szCs w:val="24"/>
              </w:rPr>
            </w:pPr>
            <w:r>
              <w:rPr>
                <w:sz w:val="24"/>
                <w:szCs w:val="24"/>
              </w:rPr>
              <w:t>8度（0.2g）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62" w:type="dxa"/>
            <w:gridSpan w:val="3"/>
            <w:tcBorders>
              <w:top w:val="single" w:color="auto" w:sz="12" w:space="0"/>
              <w:bottom w:val="single" w:color="auto" w:sz="4" w:space="0"/>
              <w:right w:val="single" w:color="auto" w:sz="4" w:space="0"/>
            </w:tcBorders>
            <w:vAlign w:val="center"/>
          </w:tcPr>
          <w:p>
            <w:pPr>
              <w:jc w:val="center"/>
              <w:rPr>
                <w:sz w:val="24"/>
                <w:szCs w:val="24"/>
              </w:rPr>
            </w:pPr>
            <w:r>
              <w:rPr>
                <w:sz w:val="24"/>
                <w:szCs w:val="24"/>
              </w:rPr>
              <w:t>叠合剪力墙结构</w:t>
            </w:r>
          </w:p>
        </w:tc>
        <w:tc>
          <w:tcPr>
            <w:tcW w:w="1843" w:type="dxa"/>
            <w:tcBorders>
              <w:top w:val="single" w:color="auto" w:sz="12" w:space="0"/>
              <w:bottom w:val="single" w:color="auto" w:sz="4" w:space="0"/>
              <w:right w:val="single" w:color="auto" w:sz="4" w:space="0"/>
            </w:tcBorders>
            <w:vAlign w:val="center"/>
          </w:tcPr>
          <w:p>
            <w:pPr>
              <w:jc w:val="center"/>
              <w:rPr>
                <w:sz w:val="24"/>
                <w:szCs w:val="24"/>
              </w:rPr>
            </w:pPr>
            <w:r>
              <w:rPr>
                <w:sz w:val="24"/>
                <w:szCs w:val="24"/>
              </w:rPr>
              <w:t>130（120）</w:t>
            </w:r>
          </w:p>
        </w:tc>
        <w:tc>
          <w:tcPr>
            <w:tcW w:w="1631" w:type="dxa"/>
            <w:tcBorders>
              <w:top w:val="single" w:color="auto" w:sz="12" w:space="0"/>
              <w:left w:val="single" w:color="auto" w:sz="4" w:space="0"/>
              <w:bottom w:val="single" w:color="auto" w:sz="4" w:space="0"/>
            </w:tcBorders>
            <w:vAlign w:val="center"/>
          </w:tcPr>
          <w:p>
            <w:pPr>
              <w:jc w:val="center"/>
              <w:rPr>
                <w:sz w:val="24"/>
                <w:szCs w:val="24"/>
              </w:rPr>
            </w:pPr>
            <w:r>
              <w:rPr>
                <w:sz w:val="24"/>
                <w:szCs w:val="24"/>
              </w:rPr>
              <w:t>110（100）</w:t>
            </w:r>
          </w:p>
        </w:tc>
        <w:tc>
          <w:tcPr>
            <w:tcW w:w="1644" w:type="dxa"/>
            <w:gridSpan w:val="2"/>
            <w:tcBorders>
              <w:top w:val="single" w:color="auto" w:sz="12" w:space="0"/>
              <w:bottom w:val="single" w:color="auto" w:sz="4" w:space="0"/>
            </w:tcBorders>
            <w:vAlign w:val="center"/>
          </w:tcPr>
          <w:p>
            <w:pPr>
              <w:jc w:val="center"/>
              <w:rPr>
                <w:sz w:val="24"/>
                <w:szCs w:val="24"/>
              </w:rPr>
            </w:pPr>
            <w:r>
              <w:rPr>
                <w:sz w:val="24"/>
                <w:szCs w:val="24"/>
              </w:rPr>
              <w:t>80（70）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62" w:type="dxa"/>
            <w:gridSpan w:val="3"/>
            <w:tcBorders>
              <w:top w:val="single" w:color="auto" w:sz="4" w:space="0"/>
              <w:bottom w:val="single" w:color="auto" w:sz="12" w:space="0"/>
              <w:right w:val="single" w:color="auto" w:sz="4" w:space="0"/>
            </w:tcBorders>
            <w:vAlign w:val="center"/>
          </w:tcPr>
          <w:p>
            <w:pPr>
              <w:jc w:val="center"/>
              <w:rPr>
                <w:sz w:val="24"/>
                <w:szCs w:val="24"/>
              </w:rPr>
            </w:pPr>
            <w:r>
              <w:rPr>
                <w:sz w:val="24"/>
                <w:szCs w:val="24"/>
              </w:rPr>
              <w:t>部分框支叠合剪力墙结构</w:t>
            </w:r>
          </w:p>
        </w:tc>
        <w:tc>
          <w:tcPr>
            <w:tcW w:w="1843" w:type="dxa"/>
            <w:tcBorders>
              <w:top w:val="single" w:color="auto" w:sz="4" w:space="0"/>
              <w:bottom w:val="single" w:color="auto" w:sz="12" w:space="0"/>
              <w:right w:val="single" w:color="auto" w:sz="4" w:space="0"/>
            </w:tcBorders>
            <w:vAlign w:val="center"/>
          </w:tcPr>
          <w:p>
            <w:pPr>
              <w:jc w:val="center"/>
              <w:rPr>
                <w:sz w:val="24"/>
                <w:szCs w:val="24"/>
              </w:rPr>
            </w:pPr>
            <w:r>
              <w:rPr>
                <w:sz w:val="24"/>
                <w:szCs w:val="24"/>
              </w:rPr>
              <w:t>110（100）</w:t>
            </w:r>
          </w:p>
        </w:tc>
        <w:tc>
          <w:tcPr>
            <w:tcW w:w="1631" w:type="dxa"/>
            <w:tcBorders>
              <w:top w:val="single" w:color="auto" w:sz="4" w:space="0"/>
              <w:left w:val="single" w:color="auto" w:sz="4" w:space="0"/>
              <w:bottom w:val="single" w:color="auto" w:sz="12" w:space="0"/>
            </w:tcBorders>
            <w:vAlign w:val="center"/>
          </w:tcPr>
          <w:p>
            <w:pPr>
              <w:jc w:val="center"/>
              <w:rPr>
                <w:sz w:val="24"/>
                <w:szCs w:val="24"/>
              </w:rPr>
            </w:pPr>
            <w:r>
              <w:rPr>
                <w:sz w:val="24"/>
                <w:szCs w:val="24"/>
              </w:rPr>
              <w:t>90（80）</w:t>
            </w:r>
          </w:p>
        </w:tc>
        <w:tc>
          <w:tcPr>
            <w:tcW w:w="1644" w:type="dxa"/>
            <w:gridSpan w:val="2"/>
            <w:tcBorders>
              <w:top w:val="single" w:color="auto" w:sz="4" w:space="0"/>
              <w:bottom w:val="single" w:color="auto" w:sz="12" w:space="0"/>
            </w:tcBorders>
            <w:vAlign w:val="center"/>
          </w:tcPr>
          <w:p>
            <w:pPr>
              <w:jc w:val="center"/>
              <w:rPr>
                <w:sz w:val="24"/>
                <w:szCs w:val="24"/>
              </w:rPr>
            </w:pPr>
            <w:r>
              <w:rPr>
                <w:sz w:val="24"/>
                <w:szCs w:val="24"/>
              </w:rPr>
              <w:t>60（50）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Height w:val="386" w:hRule="atLeast"/>
        </w:trPr>
        <w:tc>
          <w:tcPr>
            <w:tcW w:w="652" w:type="dxa"/>
          </w:tcPr>
          <w:p>
            <w:pPr>
              <w:spacing w:line="240" w:lineRule="auto"/>
              <w:jc w:val="right"/>
              <w:rPr>
                <w:sz w:val="21"/>
              </w:rPr>
            </w:pPr>
            <w:r>
              <w:rPr>
                <w:sz w:val="21"/>
              </w:rPr>
              <w:t>注：</w:t>
            </w:r>
          </w:p>
        </w:tc>
        <w:tc>
          <w:tcPr>
            <w:tcW w:w="382" w:type="dxa"/>
          </w:tcPr>
          <w:p>
            <w:pPr>
              <w:spacing w:line="240" w:lineRule="auto"/>
              <w:jc w:val="center"/>
              <w:rPr>
                <w:sz w:val="21"/>
              </w:rPr>
            </w:pPr>
            <w:r>
              <w:rPr>
                <w:sz w:val="21"/>
              </w:rPr>
              <w:t>1.</w:t>
            </w:r>
          </w:p>
        </w:tc>
        <w:tc>
          <w:tcPr>
            <w:tcW w:w="7031" w:type="dxa"/>
            <w:gridSpan w:val="4"/>
          </w:tcPr>
          <w:p>
            <w:pPr>
              <w:spacing w:line="240" w:lineRule="auto"/>
              <w:rPr>
                <w:sz w:val="21"/>
              </w:rPr>
            </w:pPr>
            <w:r>
              <w:rPr>
                <w:sz w:val="21"/>
              </w:rPr>
              <w:t>房屋高度指室外地面到主要屋面面板板顶的高度，不包括局部突出屋顶的部分。</w:t>
            </w:r>
          </w:p>
        </w:tc>
      </w:tr>
    </w:tbl>
    <w:p>
      <w:pPr>
        <w:pStyle w:val="47"/>
        <w:widowControl/>
        <w:ind w:firstLine="0"/>
        <w:rPr>
          <w:rFonts w:eastAsia="仿宋"/>
          <w:i/>
          <w:spacing w:val="10"/>
          <w:szCs w:val="24"/>
        </w:rPr>
      </w:pPr>
      <w:r>
        <w:rPr>
          <w:rFonts w:eastAsia="仿宋"/>
          <w:i/>
          <w:spacing w:val="10"/>
          <w:szCs w:val="24"/>
        </w:rPr>
        <w:t>【条文说明】5.1.1 根据《装配式混凝土建筑技术标准》GBT 51231附录A的规定，双面叠合剪力墙房屋的最大适用高度为6度90m、7度80m、8度（0.2g）60m，但是这个高度限制无法适用于我省的大多数建筑高度，急需进行高度方面的适度突破。随着近年来项目的逐渐应用以及同济大学、合肥工业大学、武汉理工大学等高校不断公开的课题试验研究资料，针对不同高度建筑对剪力墙底部连接截面损失情况又进行了详细的对比计算分析和研究。当采取了可靠的节点连接方式和合理的构造措施后，叠合剪力墙结构的破坏形态、变形能力、承载力、延性、滞回曲线等均表明叠合墙具有与现浇剪力墙接近的抗震能力和耗能能力，考虑墙体底部连接的局部截面高度损失时，对主体结构整体参数影响均不大于5%。考虑到广东地区的叠合墙结构工程实践的项目数量较少，本规程对高度限制采取从严要求的态度，结合广东省《装配式混凝土建筑结构技术规程》DBJ 15-107的有关规定，本规程叠合剪力墙结构的最大适用高度比现浇结构适当降低，但与DBJ 15-107中装配整体式剪力墙结构和装配整体式部分框支剪力墙结构的高度限制保持相对一致性，确保结构安全。可参考现浇结构计算方法进行结构计算。</w:t>
      </w:r>
    </w:p>
    <w:p>
      <w:pPr>
        <w:pStyle w:val="47"/>
        <w:widowControl/>
        <w:ind w:firstLine="600" w:firstLineChars="200"/>
        <w:rPr>
          <w:rFonts w:eastAsia="仿宋"/>
          <w:spacing w:val="10"/>
          <w:szCs w:val="24"/>
        </w:rPr>
      </w:pPr>
      <w:r>
        <w:rPr>
          <w:rFonts w:eastAsia="仿宋"/>
          <w:i/>
          <w:spacing w:val="10"/>
          <w:szCs w:val="24"/>
        </w:rPr>
        <w:t>其他结构体系中如采用叠合剪力墙，应经过充分分析和论证，并应满足本规程及《装配式混凝土建筑结构技术规程》DBJ 15-107的相关要求。</w:t>
      </w:r>
    </w:p>
    <w:p>
      <w:r>
        <w:rPr>
          <w:b/>
          <w:bCs/>
        </w:rPr>
        <w:t xml:space="preserve">5.1.2 </w:t>
      </w:r>
      <w:r>
        <w:t>高层叠合剪力墙结构的高宽比不</w:t>
      </w:r>
      <w:r>
        <w:rPr>
          <w:rFonts w:hint="eastAsia"/>
        </w:rPr>
        <w:t>应</w:t>
      </w:r>
      <w:r>
        <w:t>超过表5.1.2的规定。</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2410"/>
        <w:gridCol w:w="2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276" w:type="dxa"/>
            <w:gridSpan w:val="3"/>
            <w:tcBorders>
              <w:top w:val="nil"/>
              <w:left w:val="nil"/>
              <w:bottom w:val="single" w:color="auto" w:sz="12" w:space="0"/>
              <w:right w:val="nil"/>
            </w:tcBorders>
            <w:vAlign w:val="center"/>
          </w:tcPr>
          <w:p>
            <w:pPr>
              <w:jc w:val="center"/>
            </w:pPr>
            <w:r>
              <w:rPr>
                <w:b/>
                <w:bCs/>
              </w:rPr>
              <w:t>表5.1.2</w:t>
            </w:r>
            <w:r>
              <w:rPr>
                <w:b/>
                <w:bCs/>
              </w:rPr>
              <w:tab/>
            </w:r>
            <w:r>
              <w:rPr>
                <w:b/>
                <w:bCs/>
              </w:rPr>
              <w:t xml:space="preserve"> 高层叠合剪力墙结构适用的最大高宽比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4" w:type="dxa"/>
            <w:vMerge w:val="restart"/>
            <w:tcBorders>
              <w:top w:val="single" w:color="auto" w:sz="12" w:space="0"/>
              <w:bottom w:val="single" w:color="auto" w:sz="4" w:space="0"/>
              <w:right w:val="single" w:color="auto" w:sz="4" w:space="0"/>
            </w:tcBorders>
            <w:vAlign w:val="center"/>
          </w:tcPr>
          <w:p>
            <w:pPr>
              <w:jc w:val="center"/>
              <w:rPr>
                <w:sz w:val="24"/>
                <w:szCs w:val="24"/>
              </w:rPr>
            </w:pPr>
            <w:r>
              <w:rPr>
                <w:sz w:val="24"/>
                <w:szCs w:val="24"/>
              </w:rPr>
              <w:t>结构体系</w:t>
            </w:r>
          </w:p>
        </w:tc>
        <w:tc>
          <w:tcPr>
            <w:tcW w:w="4732" w:type="dxa"/>
            <w:gridSpan w:val="2"/>
            <w:tcBorders>
              <w:top w:val="single" w:color="auto" w:sz="12" w:space="0"/>
              <w:left w:val="single" w:color="auto" w:sz="4" w:space="0"/>
              <w:bottom w:val="single" w:color="auto" w:sz="4" w:space="0"/>
            </w:tcBorders>
            <w:vAlign w:val="center"/>
          </w:tcPr>
          <w:p>
            <w:pPr>
              <w:jc w:val="center"/>
              <w:rPr>
                <w:sz w:val="24"/>
                <w:szCs w:val="24"/>
              </w:rPr>
            </w:pPr>
            <w:r>
              <w:rPr>
                <w:sz w:val="24"/>
                <w:szCs w:val="24"/>
              </w:rPr>
              <w:t>抗震设防烈度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44" w:type="dxa"/>
            <w:vMerge w:val="continue"/>
            <w:tcBorders>
              <w:top w:val="single" w:color="auto" w:sz="4" w:space="0"/>
              <w:bottom w:val="single" w:color="auto" w:sz="12" w:space="0"/>
              <w:right w:val="single" w:color="auto" w:sz="4" w:space="0"/>
            </w:tcBorders>
            <w:vAlign w:val="center"/>
          </w:tcPr>
          <w:p>
            <w:pPr>
              <w:jc w:val="center"/>
              <w:rPr>
                <w:sz w:val="24"/>
                <w:szCs w:val="24"/>
              </w:rPr>
            </w:pPr>
          </w:p>
        </w:tc>
        <w:tc>
          <w:tcPr>
            <w:tcW w:w="2410" w:type="dxa"/>
            <w:tcBorders>
              <w:top w:val="single" w:color="auto" w:sz="4" w:space="0"/>
              <w:left w:val="single" w:color="auto" w:sz="4" w:space="0"/>
              <w:bottom w:val="single" w:color="auto" w:sz="12" w:space="0"/>
            </w:tcBorders>
            <w:vAlign w:val="center"/>
          </w:tcPr>
          <w:p>
            <w:pPr>
              <w:jc w:val="center"/>
              <w:rPr>
                <w:sz w:val="24"/>
                <w:szCs w:val="24"/>
              </w:rPr>
            </w:pPr>
            <w:r>
              <w:rPr>
                <w:sz w:val="24"/>
                <w:szCs w:val="24"/>
              </w:rPr>
              <w:t>6度、7度</w:t>
            </w:r>
          </w:p>
        </w:tc>
        <w:tc>
          <w:tcPr>
            <w:tcW w:w="2322" w:type="dxa"/>
            <w:tcBorders>
              <w:top w:val="single" w:color="auto" w:sz="4" w:space="0"/>
              <w:bottom w:val="single" w:color="auto" w:sz="12" w:space="0"/>
            </w:tcBorders>
            <w:vAlign w:val="center"/>
          </w:tcPr>
          <w:p>
            <w:pPr>
              <w:jc w:val="center"/>
              <w:rPr>
                <w:sz w:val="24"/>
                <w:szCs w:val="24"/>
              </w:rPr>
            </w:pPr>
            <w:r>
              <w:rPr>
                <w:sz w:val="24"/>
                <w:szCs w:val="24"/>
              </w:rPr>
              <w:t>8度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3544" w:type="dxa"/>
            <w:tcBorders>
              <w:top w:val="single" w:color="auto" w:sz="12" w:space="0"/>
              <w:bottom w:val="single" w:color="auto" w:sz="4" w:space="0"/>
              <w:right w:val="single" w:color="auto" w:sz="4" w:space="0"/>
            </w:tcBorders>
            <w:vAlign w:val="center"/>
          </w:tcPr>
          <w:p>
            <w:pPr>
              <w:jc w:val="center"/>
              <w:rPr>
                <w:sz w:val="24"/>
                <w:szCs w:val="24"/>
              </w:rPr>
            </w:pPr>
            <w:r>
              <w:rPr>
                <w:sz w:val="24"/>
                <w:szCs w:val="24"/>
              </w:rPr>
              <w:t>叠合剪力墙结构</w:t>
            </w:r>
          </w:p>
        </w:tc>
        <w:tc>
          <w:tcPr>
            <w:tcW w:w="2410" w:type="dxa"/>
            <w:tcBorders>
              <w:top w:val="single" w:color="auto" w:sz="12" w:space="0"/>
              <w:left w:val="single" w:color="auto" w:sz="4" w:space="0"/>
              <w:bottom w:val="single" w:color="auto" w:sz="4" w:space="0"/>
            </w:tcBorders>
            <w:vAlign w:val="center"/>
          </w:tcPr>
          <w:p>
            <w:pPr>
              <w:jc w:val="center"/>
              <w:rPr>
                <w:sz w:val="24"/>
                <w:szCs w:val="24"/>
              </w:rPr>
            </w:pPr>
            <w:r>
              <w:rPr>
                <w:sz w:val="24"/>
                <w:szCs w:val="24"/>
              </w:rPr>
              <w:t>6</w:t>
            </w:r>
          </w:p>
        </w:tc>
        <w:tc>
          <w:tcPr>
            <w:tcW w:w="2322" w:type="dxa"/>
            <w:tcBorders>
              <w:top w:val="single" w:color="auto" w:sz="12" w:space="0"/>
              <w:bottom w:val="single" w:color="auto" w:sz="4" w:space="0"/>
            </w:tcBorders>
            <w:vAlign w:val="center"/>
          </w:tcPr>
          <w:p>
            <w:pPr>
              <w:jc w:val="center"/>
              <w:rPr>
                <w:sz w:val="24"/>
                <w:szCs w:val="24"/>
              </w:rPr>
            </w:pPr>
            <w:r>
              <w:rPr>
                <w:sz w:val="24"/>
                <w:szCs w:val="24"/>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544" w:type="dxa"/>
            <w:tcBorders>
              <w:top w:val="single" w:color="auto" w:sz="4" w:space="0"/>
              <w:bottom w:val="single" w:color="auto" w:sz="12" w:space="0"/>
              <w:right w:val="single" w:color="auto" w:sz="4" w:space="0"/>
            </w:tcBorders>
            <w:vAlign w:val="center"/>
          </w:tcPr>
          <w:p>
            <w:pPr>
              <w:jc w:val="center"/>
              <w:rPr>
                <w:sz w:val="24"/>
                <w:szCs w:val="24"/>
              </w:rPr>
            </w:pPr>
            <w:r>
              <w:rPr>
                <w:sz w:val="24"/>
                <w:szCs w:val="24"/>
              </w:rPr>
              <w:t>部分框支叠合剪力墙结构</w:t>
            </w:r>
          </w:p>
        </w:tc>
        <w:tc>
          <w:tcPr>
            <w:tcW w:w="2410" w:type="dxa"/>
            <w:tcBorders>
              <w:top w:val="single" w:color="auto" w:sz="4" w:space="0"/>
              <w:left w:val="single" w:color="auto" w:sz="4" w:space="0"/>
            </w:tcBorders>
            <w:vAlign w:val="center"/>
          </w:tcPr>
          <w:p>
            <w:pPr>
              <w:jc w:val="center"/>
              <w:rPr>
                <w:sz w:val="24"/>
                <w:szCs w:val="24"/>
              </w:rPr>
            </w:pPr>
            <w:r>
              <w:rPr>
                <w:sz w:val="24"/>
                <w:szCs w:val="24"/>
              </w:rPr>
              <w:t>6</w:t>
            </w:r>
          </w:p>
        </w:tc>
        <w:tc>
          <w:tcPr>
            <w:tcW w:w="2322" w:type="dxa"/>
            <w:tcBorders>
              <w:top w:val="single" w:color="auto" w:sz="4" w:space="0"/>
            </w:tcBorders>
            <w:vAlign w:val="center"/>
          </w:tcPr>
          <w:p>
            <w:pPr>
              <w:jc w:val="center"/>
              <w:rPr>
                <w:sz w:val="24"/>
                <w:szCs w:val="24"/>
              </w:rPr>
            </w:pPr>
            <w:r>
              <w:rPr>
                <w:sz w:val="24"/>
                <w:szCs w:val="24"/>
              </w:rPr>
              <w:t>5</w:t>
            </w:r>
          </w:p>
        </w:tc>
      </w:tr>
    </w:tbl>
    <w:p>
      <w:pPr>
        <w:pStyle w:val="47"/>
        <w:widowControl/>
        <w:ind w:firstLine="0"/>
        <w:rPr>
          <w:rFonts w:eastAsia="仿宋"/>
          <w:i/>
          <w:spacing w:val="10"/>
          <w:szCs w:val="24"/>
        </w:rPr>
      </w:pPr>
      <w:r>
        <w:rPr>
          <w:rFonts w:eastAsia="仿宋"/>
          <w:i/>
          <w:spacing w:val="10"/>
          <w:szCs w:val="24"/>
        </w:rPr>
        <w:t>【条文说明】5.1.2 高宽比是对结构刚度、整体稳定、承载能力和经济合理性的宏观控制。本规程叠合剪力墙结构的最大高宽比</w:t>
      </w:r>
      <w:r>
        <w:rPr>
          <w:rFonts w:hint="eastAsia" w:eastAsia="仿宋"/>
          <w:i/>
          <w:spacing w:val="10"/>
          <w:szCs w:val="24"/>
        </w:rPr>
        <w:t>严于</w:t>
      </w:r>
      <w:r>
        <w:rPr>
          <w:rFonts w:eastAsia="仿宋"/>
          <w:i/>
          <w:spacing w:val="10"/>
          <w:szCs w:val="24"/>
        </w:rPr>
        <w:t>国家行业标准《装配式混凝土结构技术规程》JGJ 1以及广东省《装配式混凝土建筑结构技术规程》DBJ 15-107中的规定</w:t>
      </w:r>
      <w:r>
        <w:rPr>
          <w:rFonts w:hint="eastAsia" w:eastAsia="仿宋"/>
          <w:i/>
          <w:spacing w:val="10"/>
          <w:szCs w:val="24"/>
        </w:rPr>
        <w:t>。</w:t>
      </w:r>
    </w:p>
    <w:p>
      <w:pPr>
        <w:rPr>
          <w:b/>
          <w:bCs/>
        </w:rPr>
      </w:pPr>
      <w:r>
        <w:rPr>
          <w:b/>
          <w:bCs/>
        </w:rPr>
        <w:t>5.1.3 叠合剪力墙结构中构件的抗震设计，应根据设防类别、烈度、结构类型和建筑高度采用不同的抗震等级，并应符合相应的计算和构造措施要求。丙类建筑</w:t>
      </w:r>
      <w:r>
        <w:rPr>
          <w:rFonts w:hint="eastAsia"/>
          <w:b/>
          <w:bCs/>
        </w:rPr>
        <w:t>结构</w:t>
      </w:r>
      <w:r>
        <w:rPr>
          <w:b/>
          <w:bCs/>
        </w:rPr>
        <w:t>抗震等级应符合表5.1.3的规定。</w:t>
      </w:r>
    </w:p>
    <w:tbl>
      <w:tblPr>
        <w:tblStyle w:val="31"/>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501"/>
        <w:gridCol w:w="709"/>
        <w:gridCol w:w="851"/>
        <w:gridCol w:w="708"/>
        <w:gridCol w:w="993"/>
        <w:gridCol w:w="850"/>
        <w:gridCol w:w="664"/>
        <w:gridCol w:w="89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7" w:type="dxa"/>
            <w:gridSpan w:val="10"/>
            <w:tcBorders>
              <w:top w:val="nil"/>
              <w:left w:val="nil"/>
              <w:bottom w:val="single" w:color="auto" w:sz="12" w:space="0"/>
              <w:right w:val="nil"/>
            </w:tcBorders>
          </w:tcPr>
          <w:p>
            <w:pPr>
              <w:jc w:val="center"/>
              <w:rPr>
                <w:b/>
                <w:bCs/>
              </w:rPr>
            </w:pPr>
            <w:r>
              <w:rPr>
                <w:b/>
                <w:bCs/>
              </w:rPr>
              <w:t>表5.1.3</w:t>
            </w:r>
            <w:r>
              <w:rPr>
                <w:b/>
                <w:bCs/>
              </w:rPr>
              <w:tab/>
            </w:r>
            <w:r>
              <w:rPr>
                <w:b/>
                <w:bCs/>
              </w:rPr>
              <w:t xml:space="preserve"> 丙类建筑</w:t>
            </w:r>
            <w:r>
              <w:rPr>
                <w:rFonts w:hint="eastAsia"/>
                <w:b/>
                <w:bCs/>
              </w:rPr>
              <w:t>结构</w:t>
            </w:r>
            <w:r>
              <w:rPr>
                <w:b/>
                <w:bCs/>
              </w:rPr>
              <w:t>的抗震等级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vMerge w:val="restart"/>
            <w:tcBorders>
              <w:top w:val="single" w:color="auto" w:sz="12" w:space="0"/>
              <w:left w:val="single" w:color="auto" w:sz="12" w:space="0"/>
              <w:right w:val="single" w:color="auto" w:sz="4" w:space="0"/>
            </w:tcBorders>
            <w:vAlign w:val="center"/>
          </w:tcPr>
          <w:p>
            <w:pPr>
              <w:jc w:val="center"/>
              <w:rPr>
                <w:b/>
                <w:bCs/>
                <w:sz w:val="24"/>
                <w:szCs w:val="24"/>
              </w:rPr>
            </w:pPr>
            <w:r>
              <w:rPr>
                <w:b/>
                <w:bCs/>
                <w:sz w:val="24"/>
                <w:szCs w:val="24"/>
              </w:rPr>
              <w:t>结构</w:t>
            </w:r>
            <w:r>
              <w:rPr>
                <w:rFonts w:hint="eastAsia"/>
                <w:b/>
                <w:bCs/>
                <w:sz w:val="24"/>
                <w:szCs w:val="24"/>
              </w:rPr>
              <w:t>类型</w:t>
            </w:r>
          </w:p>
        </w:tc>
        <w:tc>
          <w:tcPr>
            <w:tcW w:w="6379" w:type="dxa"/>
            <w:gridSpan w:val="8"/>
            <w:tcBorders>
              <w:top w:val="single" w:color="auto" w:sz="12" w:space="0"/>
              <w:left w:val="single" w:color="auto" w:sz="4" w:space="0"/>
              <w:right w:val="single" w:color="auto" w:sz="12" w:space="0"/>
            </w:tcBorders>
          </w:tcPr>
          <w:p>
            <w:pPr>
              <w:jc w:val="center"/>
              <w:rPr>
                <w:b/>
                <w:bCs/>
                <w:sz w:val="24"/>
                <w:szCs w:val="24"/>
              </w:rPr>
            </w:pPr>
            <w:r>
              <w:rPr>
                <w:b/>
                <w:bCs/>
                <w:sz w:val="24"/>
                <w:szCs w:val="24"/>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gridSpan w:val="2"/>
            <w:vMerge w:val="continue"/>
            <w:tcBorders>
              <w:left w:val="single" w:color="auto" w:sz="12" w:space="0"/>
              <w:bottom w:val="single" w:color="auto" w:sz="12" w:space="0"/>
              <w:right w:val="single" w:color="auto" w:sz="4" w:space="0"/>
            </w:tcBorders>
            <w:vAlign w:val="center"/>
          </w:tcPr>
          <w:p>
            <w:pPr>
              <w:jc w:val="center"/>
              <w:rPr>
                <w:b/>
                <w:bCs/>
                <w:sz w:val="24"/>
                <w:szCs w:val="24"/>
              </w:rPr>
            </w:pPr>
          </w:p>
        </w:tc>
        <w:tc>
          <w:tcPr>
            <w:tcW w:w="1560" w:type="dxa"/>
            <w:gridSpan w:val="2"/>
            <w:tcBorders>
              <w:left w:val="single" w:color="auto" w:sz="4" w:space="0"/>
              <w:bottom w:val="single" w:color="auto" w:sz="12" w:space="0"/>
              <w:right w:val="single" w:color="auto" w:sz="4" w:space="0"/>
            </w:tcBorders>
            <w:vAlign w:val="center"/>
          </w:tcPr>
          <w:p>
            <w:pPr>
              <w:jc w:val="center"/>
              <w:rPr>
                <w:b/>
                <w:bCs/>
                <w:sz w:val="24"/>
                <w:szCs w:val="24"/>
              </w:rPr>
            </w:pPr>
            <w:r>
              <w:rPr>
                <w:b/>
                <w:bCs/>
                <w:sz w:val="24"/>
                <w:szCs w:val="24"/>
              </w:rPr>
              <w:t>6度</w:t>
            </w:r>
          </w:p>
        </w:tc>
        <w:tc>
          <w:tcPr>
            <w:tcW w:w="2551" w:type="dxa"/>
            <w:gridSpan w:val="3"/>
            <w:tcBorders>
              <w:left w:val="single" w:color="auto" w:sz="4" w:space="0"/>
              <w:bottom w:val="single" w:color="auto" w:sz="12" w:space="0"/>
              <w:right w:val="single" w:color="auto" w:sz="4" w:space="0"/>
            </w:tcBorders>
            <w:vAlign w:val="center"/>
          </w:tcPr>
          <w:p>
            <w:pPr>
              <w:jc w:val="center"/>
              <w:rPr>
                <w:b/>
                <w:bCs/>
                <w:sz w:val="24"/>
                <w:szCs w:val="24"/>
              </w:rPr>
            </w:pPr>
            <w:r>
              <w:rPr>
                <w:b/>
                <w:bCs/>
                <w:sz w:val="24"/>
                <w:szCs w:val="24"/>
              </w:rPr>
              <w:t>7度</w:t>
            </w:r>
          </w:p>
        </w:tc>
        <w:tc>
          <w:tcPr>
            <w:tcW w:w="2268" w:type="dxa"/>
            <w:gridSpan w:val="3"/>
            <w:tcBorders>
              <w:left w:val="single" w:color="auto" w:sz="4" w:space="0"/>
              <w:bottom w:val="single" w:color="auto" w:sz="12" w:space="0"/>
              <w:right w:val="single" w:color="auto" w:sz="12" w:space="0"/>
            </w:tcBorders>
          </w:tcPr>
          <w:p>
            <w:pPr>
              <w:jc w:val="center"/>
              <w:rPr>
                <w:b/>
                <w:bCs/>
                <w:sz w:val="24"/>
                <w:szCs w:val="24"/>
              </w:rPr>
            </w:pPr>
            <w:r>
              <w:rPr>
                <w:b/>
                <w:bCs/>
                <w:sz w:val="24"/>
                <w:szCs w:val="24"/>
              </w:rPr>
              <w:t>8度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767" w:type="dxa"/>
            <w:vMerge w:val="restart"/>
            <w:tcBorders>
              <w:top w:val="single" w:color="auto" w:sz="12" w:space="0"/>
              <w:left w:val="single" w:color="auto" w:sz="12" w:space="0"/>
            </w:tcBorders>
            <w:vAlign w:val="center"/>
          </w:tcPr>
          <w:p>
            <w:pPr>
              <w:spacing w:line="240" w:lineRule="auto"/>
              <w:jc w:val="center"/>
              <w:rPr>
                <w:b/>
                <w:bCs/>
                <w:sz w:val="24"/>
                <w:szCs w:val="24"/>
              </w:rPr>
            </w:pPr>
            <w:r>
              <w:rPr>
                <w:b/>
                <w:bCs/>
                <w:sz w:val="24"/>
                <w:szCs w:val="24"/>
              </w:rPr>
              <w:t>叠合剪力墙</w:t>
            </w:r>
          </w:p>
        </w:tc>
        <w:tc>
          <w:tcPr>
            <w:tcW w:w="1501" w:type="dxa"/>
            <w:tcBorders>
              <w:top w:val="single" w:color="auto" w:sz="12" w:space="0"/>
              <w:right w:val="single" w:color="auto" w:sz="4" w:space="0"/>
            </w:tcBorders>
            <w:vAlign w:val="center"/>
          </w:tcPr>
          <w:p>
            <w:pPr>
              <w:spacing w:line="240" w:lineRule="auto"/>
              <w:jc w:val="center"/>
              <w:rPr>
                <w:b/>
                <w:bCs/>
                <w:sz w:val="24"/>
                <w:szCs w:val="24"/>
              </w:rPr>
            </w:pPr>
            <w:r>
              <w:rPr>
                <w:b/>
                <w:bCs/>
                <w:sz w:val="24"/>
                <w:szCs w:val="24"/>
              </w:rPr>
              <w:t>高度（</w:t>
            </w:r>
            <m:oMath>
              <m:r>
                <m:rPr>
                  <m:sty m:val="b"/>
                </m:rPr>
                <w:rPr>
                  <w:rFonts w:ascii="Cambria Math" w:hAnsi="Cambria Math"/>
                  <w:sz w:val="24"/>
                  <w:szCs w:val="24"/>
                </w:rPr>
                <m:t>m</m:t>
              </m:r>
            </m:oMath>
            <w:r>
              <w:rPr>
                <w:b/>
                <w:bCs/>
                <w:sz w:val="24"/>
                <w:szCs w:val="24"/>
              </w:rPr>
              <w:t>）</w:t>
            </w:r>
          </w:p>
        </w:tc>
        <w:tc>
          <w:tcPr>
            <w:tcW w:w="709" w:type="dxa"/>
            <w:tcBorders>
              <w:top w:val="single" w:color="auto" w:sz="12" w:space="0"/>
              <w:right w:val="single" w:color="auto" w:sz="4" w:space="0"/>
            </w:tcBorders>
            <w:vAlign w:val="center"/>
          </w:tcPr>
          <w:p>
            <w:pPr>
              <w:spacing w:line="240" w:lineRule="auto"/>
              <w:jc w:val="center"/>
              <w:rPr>
                <w:rFonts w:eastAsia="等线 Light"/>
                <w:b/>
                <w:bCs/>
                <w:sz w:val="24"/>
                <w:szCs w:val="24"/>
              </w:rPr>
            </w:pPr>
            <w:r>
              <w:rPr>
                <w:b/>
                <w:bCs/>
                <w:sz w:val="24"/>
                <w:szCs w:val="24"/>
              </w:rPr>
              <w:t>≤70</w:t>
            </w:r>
          </w:p>
        </w:tc>
        <w:tc>
          <w:tcPr>
            <w:tcW w:w="851" w:type="dxa"/>
            <w:tcBorders>
              <w:top w:val="single" w:color="auto" w:sz="12" w:space="0"/>
              <w:right w:val="single" w:color="auto" w:sz="4" w:space="0"/>
            </w:tcBorders>
            <w:vAlign w:val="center"/>
          </w:tcPr>
          <w:p>
            <w:pPr>
              <w:spacing w:line="240" w:lineRule="auto"/>
              <w:jc w:val="center"/>
              <w:rPr>
                <w:rFonts w:eastAsia="等线 Light"/>
                <w:b/>
                <w:bCs/>
                <w:sz w:val="24"/>
                <w:szCs w:val="24"/>
              </w:rPr>
            </w:pPr>
            <w:r>
              <w:rPr>
                <w:b/>
                <w:bCs/>
                <w:sz w:val="24"/>
                <w:szCs w:val="24"/>
              </w:rPr>
              <w:t>＞70</w:t>
            </w:r>
          </w:p>
        </w:tc>
        <w:tc>
          <w:tcPr>
            <w:tcW w:w="708" w:type="dxa"/>
            <w:tcBorders>
              <w:top w:val="single" w:color="auto" w:sz="12" w:space="0"/>
              <w:left w:val="single" w:color="auto" w:sz="4" w:space="0"/>
            </w:tcBorders>
            <w:vAlign w:val="center"/>
          </w:tcPr>
          <w:p>
            <w:pPr>
              <w:spacing w:line="240" w:lineRule="auto"/>
              <w:jc w:val="center"/>
              <w:rPr>
                <w:b/>
                <w:bCs/>
                <w:sz w:val="24"/>
                <w:szCs w:val="24"/>
              </w:rPr>
            </w:pPr>
            <w:r>
              <w:rPr>
                <w:b/>
                <w:bCs/>
                <w:sz w:val="24"/>
                <w:szCs w:val="24"/>
              </w:rPr>
              <w:t>≤24</w:t>
            </w:r>
          </w:p>
        </w:tc>
        <w:tc>
          <w:tcPr>
            <w:tcW w:w="993" w:type="dxa"/>
            <w:tcBorders>
              <w:top w:val="single" w:color="auto" w:sz="12" w:space="0"/>
            </w:tcBorders>
            <w:vAlign w:val="center"/>
          </w:tcPr>
          <w:p>
            <w:pPr>
              <w:spacing w:line="240" w:lineRule="auto"/>
              <w:jc w:val="center"/>
              <w:rPr>
                <w:b/>
                <w:bCs/>
                <w:sz w:val="24"/>
                <w:szCs w:val="24"/>
              </w:rPr>
            </w:pPr>
            <w:r>
              <w:rPr>
                <w:b/>
                <w:bCs/>
                <w:sz w:val="24"/>
                <w:szCs w:val="24"/>
              </w:rPr>
              <w:t>＞24且≤70</w:t>
            </w:r>
          </w:p>
        </w:tc>
        <w:tc>
          <w:tcPr>
            <w:tcW w:w="850" w:type="dxa"/>
            <w:tcBorders>
              <w:top w:val="single" w:color="auto" w:sz="12" w:space="0"/>
            </w:tcBorders>
            <w:vAlign w:val="center"/>
          </w:tcPr>
          <w:p>
            <w:pPr>
              <w:spacing w:line="240" w:lineRule="auto"/>
              <w:jc w:val="center"/>
              <w:rPr>
                <w:b/>
                <w:bCs/>
                <w:sz w:val="24"/>
                <w:szCs w:val="24"/>
              </w:rPr>
            </w:pPr>
            <w:r>
              <w:rPr>
                <w:b/>
                <w:bCs/>
                <w:sz w:val="24"/>
                <w:szCs w:val="24"/>
              </w:rPr>
              <w:t>＞70</w:t>
            </w:r>
          </w:p>
        </w:tc>
        <w:tc>
          <w:tcPr>
            <w:tcW w:w="664" w:type="dxa"/>
            <w:tcBorders>
              <w:top w:val="single" w:color="auto" w:sz="12" w:space="0"/>
              <w:left w:val="single" w:color="auto" w:sz="4" w:space="0"/>
            </w:tcBorders>
            <w:vAlign w:val="center"/>
          </w:tcPr>
          <w:p>
            <w:pPr>
              <w:spacing w:line="240" w:lineRule="auto"/>
              <w:jc w:val="center"/>
              <w:rPr>
                <w:b/>
                <w:bCs/>
                <w:sz w:val="24"/>
                <w:szCs w:val="24"/>
              </w:rPr>
            </w:pPr>
            <w:r>
              <w:rPr>
                <w:b/>
                <w:bCs/>
                <w:sz w:val="24"/>
                <w:szCs w:val="24"/>
              </w:rPr>
              <w:t>≤24</w:t>
            </w:r>
          </w:p>
        </w:tc>
        <w:tc>
          <w:tcPr>
            <w:tcW w:w="895" w:type="dxa"/>
            <w:tcBorders>
              <w:top w:val="single" w:color="auto" w:sz="12" w:space="0"/>
            </w:tcBorders>
            <w:vAlign w:val="center"/>
          </w:tcPr>
          <w:p>
            <w:pPr>
              <w:spacing w:line="240" w:lineRule="auto"/>
              <w:jc w:val="center"/>
              <w:rPr>
                <w:b/>
                <w:bCs/>
                <w:sz w:val="24"/>
                <w:szCs w:val="24"/>
              </w:rPr>
            </w:pPr>
            <w:r>
              <w:rPr>
                <w:b/>
                <w:bCs/>
                <w:sz w:val="24"/>
                <w:szCs w:val="24"/>
              </w:rPr>
              <w:t>＞24且≤70</w:t>
            </w:r>
          </w:p>
        </w:tc>
        <w:tc>
          <w:tcPr>
            <w:tcW w:w="709" w:type="dxa"/>
            <w:tcBorders>
              <w:top w:val="single" w:color="auto" w:sz="12" w:space="0"/>
              <w:right w:val="single" w:color="auto" w:sz="12" w:space="0"/>
            </w:tcBorders>
            <w:vAlign w:val="center"/>
          </w:tcPr>
          <w:p>
            <w:pPr>
              <w:spacing w:line="240" w:lineRule="auto"/>
              <w:jc w:val="center"/>
              <w:rPr>
                <w:b/>
                <w:bCs/>
                <w:sz w:val="24"/>
                <w:szCs w:val="24"/>
              </w:rPr>
            </w:pPr>
            <w:r>
              <w:rPr>
                <w:b/>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trPr>
        <w:tc>
          <w:tcPr>
            <w:tcW w:w="767" w:type="dxa"/>
            <w:vMerge w:val="continue"/>
            <w:tcBorders>
              <w:left w:val="single" w:color="auto" w:sz="12" w:space="0"/>
            </w:tcBorders>
            <w:vAlign w:val="center"/>
          </w:tcPr>
          <w:p>
            <w:pPr>
              <w:spacing w:line="240" w:lineRule="auto"/>
              <w:jc w:val="center"/>
              <w:rPr>
                <w:b/>
                <w:bCs/>
                <w:sz w:val="24"/>
                <w:szCs w:val="24"/>
              </w:rPr>
            </w:pPr>
          </w:p>
        </w:tc>
        <w:tc>
          <w:tcPr>
            <w:tcW w:w="1501" w:type="dxa"/>
            <w:tcBorders>
              <w:right w:val="single" w:color="auto" w:sz="4" w:space="0"/>
            </w:tcBorders>
            <w:vAlign w:val="center"/>
          </w:tcPr>
          <w:p>
            <w:pPr>
              <w:spacing w:line="240" w:lineRule="auto"/>
              <w:jc w:val="center"/>
              <w:rPr>
                <w:b/>
                <w:bCs/>
                <w:sz w:val="24"/>
                <w:szCs w:val="24"/>
              </w:rPr>
            </w:pPr>
            <w:r>
              <w:rPr>
                <w:b/>
                <w:bCs/>
                <w:sz w:val="24"/>
                <w:szCs w:val="24"/>
              </w:rPr>
              <w:t>剪力墙</w:t>
            </w:r>
          </w:p>
        </w:tc>
        <w:tc>
          <w:tcPr>
            <w:tcW w:w="709" w:type="dxa"/>
            <w:tcBorders>
              <w:right w:val="single" w:color="auto" w:sz="4" w:space="0"/>
            </w:tcBorders>
            <w:vAlign w:val="center"/>
          </w:tcPr>
          <w:p>
            <w:pPr>
              <w:spacing w:line="240" w:lineRule="auto"/>
              <w:jc w:val="center"/>
              <w:rPr>
                <w:b/>
                <w:bCs/>
                <w:sz w:val="24"/>
                <w:szCs w:val="24"/>
              </w:rPr>
            </w:pPr>
            <w:r>
              <w:rPr>
                <w:b/>
                <w:bCs/>
                <w:sz w:val="24"/>
                <w:szCs w:val="24"/>
              </w:rPr>
              <w:t>四</w:t>
            </w:r>
          </w:p>
        </w:tc>
        <w:tc>
          <w:tcPr>
            <w:tcW w:w="851" w:type="dxa"/>
            <w:tcBorders>
              <w:right w:val="single" w:color="auto" w:sz="4" w:space="0"/>
            </w:tcBorders>
            <w:vAlign w:val="center"/>
          </w:tcPr>
          <w:p>
            <w:pPr>
              <w:spacing w:line="240" w:lineRule="auto"/>
              <w:jc w:val="center"/>
              <w:rPr>
                <w:b/>
                <w:bCs/>
                <w:sz w:val="24"/>
                <w:szCs w:val="24"/>
              </w:rPr>
            </w:pPr>
            <w:r>
              <w:rPr>
                <w:b/>
                <w:bCs/>
                <w:sz w:val="24"/>
                <w:szCs w:val="24"/>
              </w:rPr>
              <w:t>三</w:t>
            </w:r>
          </w:p>
        </w:tc>
        <w:tc>
          <w:tcPr>
            <w:tcW w:w="708" w:type="dxa"/>
            <w:tcBorders>
              <w:left w:val="single" w:color="auto" w:sz="4" w:space="0"/>
            </w:tcBorders>
            <w:vAlign w:val="center"/>
          </w:tcPr>
          <w:p>
            <w:pPr>
              <w:spacing w:line="240" w:lineRule="auto"/>
              <w:jc w:val="center"/>
              <w:rPr>
                <w:b/>
                <w:bCs/>
                <w:sz w:val="24"/>
                <w:szCs w:val="24"/>
              </w:rPr>
            </w:pPr>
            <w:r>
              <w:rPr>
                <w:b/>
                <w:bCs/>
                <w:sz w:val="24"/>
                <w:szCs w:val="24"/>
              </w:rPr>
              <w:t>四</w:t>
            </w:r>
          </w:p>
        </w:tc>
        <w:tc>
          <w:tcPr>
            <w:tcW w:w="993" w:type="dxa"/>
            <w:vAlign w:val="center"/>
          </w:tcPr>
          <w:p>
            <w:pPr>
              <w:spacing w:line="240" w:lineRule="auto"/>
              <w:jc w:val="center"/>
              <w:rPr>
                <w:b/>
                <w:bCs/>
                <w:sz w:val="24"/>
                <w:szCs w:val="24"/>
              </w:rPr>
            </w:pPr>
            <w:r>
              <w:rPr>
                <w:b/>
                <w:bCs/>
                <w:sz w:val="24"/>
                <w:szCs w:val="24"/>
              </w:rPr>
              <w:t>三</w:t>
            </w:r>
          </w:p>
        </w:tc>
        <w:tc>
          <w:tcPr>
            <w:tcW w:w="850" w:type="dxa"/>
            <w:vAlign w:val="center"/>
          </w:tcPr>
          <w:p>
            <w:pPr>
              <w:spacing w:line="240" w:lineRule="auto"/>
              <w:jc w:val="center"/>
              <w:rPr>
                <w:b/>
                <w:bCs/>
                <w:sz w:val="24"/>
                <w:szCs w:val="24"/>
              </w:rPr>
            </w:pPr>
            <w:r>
              <w:rPr>
                <w:b/>
                <w:bCs/>
                <w:sz w:val="24"/>
                <w:szCs w:val="24"/>
              </w:rPr>
              <w:t>二</w:t>
            </w:r>
          </w:p>
        </w:tc>
        <w:tc>
          <w:tcPr>
            <w:tcW w:w="664" w:type="dxa"/>
            <w:tcBorders>
              <w:left w:val="single" w:color="auto" w:sz="4" w:space="0"/>
              <w:bottom w:val="single" w:color="auto" w:sz="4" w:space="0"/>
            </w:tcBorders>
            <w:vAlign w:val="center"/>
          </w:tcPr>
          <w:p>
            <w:pPr>
              <w:spacing w:line="240" w:lineRule="auto"/>
              <w:jc w:val="center"/>
              <w:rPr>
                <w:b/>
                <w:bCs/>
                <w:sz w:val="24"/>
                <w:szCs w:val="24"/>
              </w:rPr>
            </w:pPr>
            <w:r>
              <w:rPr>
                <w:b/>
                <w:bCs/>
                <w:sz w:val="24"/>
                <w:szCs w:val="24"/>
              </w:rPr>
              <w:t>三</w:t>
            </w:r>
          </w:p>
        </w:tc>
        <w:tc>
          <w:tcPr>
            <w:tcW w:w="895" w:type="dxa"/>
            <w:tcBorders>
              <w:bottom w:val="single" w:color="auto" w:sz="4" w:space="0"/>
            </w:tcBorders>
            <w:vAlign w:val="center"/>
          </w:tcPr>
          <w:p>
            <w:pPr>
              <w:spacing w:line="240" w:lineRule="auto"/>
              <w:jc w:val="center"/>
              <w:rPr>
                <w:b/>
                <w:bCs/>
                <w:sz w:val="24"/>
                <w:szCs w:val="24"/>
              </w:rPr>
            </w:pPr>
            <w:r>
              <w:rPr>
                <w:b/>
                <w:bCs/>
                <w:sz w:val="24"/>
                <w:szCs w:val="24"/>
              </w:rPr>
              <w:t>二</w:t>
            </w:r>
          </w:p>
        </w:tc>
        <w:tc>
          <w:tcPr>
            <w:tcW w:w="709" w:type="dxa"/>
            <w:tcBorders>
              <w:bottom w:val="single" w:color="auto" w:sz="4" w:space="0"/>
              <w:right w:val="single" w:color="auto" w:sz="12" w:space="0"/>
            </w:tcBorders>
          </w:tcPr>
          <w:p>
            <w:pPr>
              <w:spacing w:line="240" w:lineRule="auto"/>
              <w:jc w:val="center"/>
              <w:rPr>
                <w:b/>
                <w:bCs/>
                <w:sz w:val="24"/>
                <w:szCs w:val="24"/>
              </w:rPr>
            </w:pPr>
            <w:r>
              <w:rPr>
                <w:b/>
                <w:bCs/>
                <w:sz w:val="24"/>
                <w:szCs w:val="24"/>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Merge w:val="restart"/>
            <w:tcBorders>
              <w:left w:val="single" w:color="auto" w:sz="12" w:space="0"/>
            </w:tcBorders>
            <w:vAlign w:val="center"/>
          </w:tcPr>
          <w:p>
            <w:pPr>
              <w:spacing w:line="240" w:lineRule="auto"/>
              <w:jc w:val="center"/>
              <w:rPr>
                <w:b/>
                <w:bCs/>
                <w:sz w:val="24"/>
                <w:szCs w:val="24"/>
              </w:rPr>
            </w:pPr>
            <w:r>
              <w:rPr>
                <w:b/>
                <w:bCs/>
                <w:sz w:val="24"/>
                <w:szCs w:val="24"/>
              </w:rPr>
              <w:t>部分框支剪力墙</w:t>
            </w:r>
          </w:p>
        </w:tc>
        <w:tc>
          <w:tcPr>
            <w:tcW w:w="1501" w:type="dxa"/>
            <w:tcBorders>
              <w:bottom w:val="single" w:color="auto" w:sz="4" w:space="0"/>
              <w:right w:val="single" w:color="auto" w:sz="4" w:space="0"/>
            </w:tcBorders>
            <w:vAlign w:val="center"/>
          </w:tcPr>
          <w:p>
            <w:pPr>
              <w:spacing w:line="240" w:lineRule="auto"/>
              <w:jc w:val="center"/>
              <w:rPr>
                <w:b/>
                <w:bCs/>
                <w:sz w:val="24"/>
                <w:szCs w:val="24"/>
              </w:rPr>
            </w:pPr>
            <w:r>
              <w:rPr>
                <w:b/>
                <w:bCs/>
                <w:sz w:val="24"/>
                <w:szCs w:val="24"/>
              </w:rPr>
              <w:t>高度（</w:t>
            </w:r>
            <m:oMath>
              <m:r>
                <m:rPr>
                  <m:sty m:val="b"/>
                </m:rPr>
                <w:rPr>
                  <w:rFonts w:ascii="Cambria Math" w:hAnsi="Cambria Math"/>
                  <w:sz w:val="24"/>
                  <w:szCs w:val="24"/>
                </w:rPr>
                <m:t>m</m:t>
              </m:r>
            </m:oMath>
            <w:r>
              <w:rPr>
                <w:b/>
                <w:bCs/>
                <w:sz w:val="24"/>
                <w:szCs w:val="24"/>
              </w:rPr>
              <w:t>）</w:t>
            </w:r>
          </w:p>
        </w:tc>
        <w:tc>
          <w:tcPr>
            <w:tcW w:w="709" w:type="dxa"/>
            <w:tcBorders>
              <w:bottom w:val="single" w:color="auto" w:sz="4" w:space="0"/>
              <w:right w:val="single" w:color="auto" w:sz="4" w:space="0"/>
            </w:tcBorders>
            <w:vAlign w:val="center"/>
          </w:tcPr>
          <w:p>
            <w:pPr>
              <w:spacing w:line="240" w:lineRule="auto"/>
              <w:jc w:val="center"/>
              <w:rPr>
                <w:b/>
                <w:bCs/>
                <w:sz w:val="24"/>
                <w:szCs w:val="24"/>
              </w:rPr>
            </w:pPr>
            <w:r>
              <w:rPr>
                <w:b/>
                <w:bCs/>
                <w:sz w:val="24"/>
                <w:szCs w:val="24"/>
              </w:rPr>
              <w:t>≤70</w:t>
            </w:r>
          </w:p>
        </w:tc>
        <w:tc>
          <w:tcPr>
            <w:tcW w:w="851" w:type="dxa"/>
            <w:tcBorders>
              <w:bottom w:val="single" w:color="auto" w:sz="4" w:space="0"/>
              <w:right w:val="single" w:color="auto" w:sz="4" w:space="0"/>
            </w:tcBorders>
            <w:vAlign w:val="center"/>
          </w:tcPr>
          <w:p>
            <w:pPr>
              <w:spacing w:line="240" w:lineRule="auto"/>
              <w:jc w:val="center"/>
              <w:rPr>
                <w:b/>
                <w:bCs/>
                <w:sz w:val="24"/>
                <w:szCs w:val="24"/>
              </w:rPr>
            </w:pPr>
            <w:r>
              <w:rPr>
                <w:b/>
                <w:bCs/>
                <w:sz w:val="24"/>
                <w:szCs w:val="24"/>
              </w:rPr>
              <w:t>＞70</w:t>
            </w:r>
          </w:p>
        </w:tc>
        <w:tc>
          <w:tcPr>
            <w:tcW w:w="708" w:type="dxa"/>
            <w:tcBorders>
              <w:left w:val="single" w:color="auto" w:sz="4" w:space="0"/>
              <w:bottom w:val="single" w:color="auto" w:sz="4" w:space="0"/>
            </w:tcBorders>
            <w:vAlign w:val="center"/>
          </w:tcPr>
          <w:p>
            <w:pPr>
              <w:spacing w:line="240" w:lineRule="auto"/>
              <w:jc w:val="center"/>
              <w:rPr>
                <w:b/>
                <w:bCs/>
                <w:sz w:val="24"/>
                <w:szCs w:val="24"/>
              </w:rPr>
            </w:pPr>
            <m:oMath>
              <m:r>
                <m:rPr>
                  <m:sty m:val="bi"/>
                </m:rPr>
                <w:rPr>
                  <w:rFonts w:ascii="Cambria Math" w:hAnsi="Cambria Math" w:eastAsia="MS Gothic"/>
                  <w:sz w:val="24"/>
                  <w:szCs w:val="24"/>
                </w:rPr>
                <m:t>≤</m:t>
              </m:r>
            </m:oMath>
            <w:r>
              <w:rPr>
                <w:b/>
                <w:bCs/>
                <w:sz w:val="24"/>
                <w:szCs w:val="24"/>
              </w:rPr>
              <w:t>24</w:t>
            </w:r>
          </w:p>
        </w:tc>
        <w:tc>
          <w:tcPr>
            <w:tcW w:w="993" w:type="dxa"/>
            <w:tcBorders>
              <w:bottom w:val="single" w:color="auto" w:sz="4" w:space="0"/>
            </w:tcBorders>
            <w:vAlign w:val="center"/>
          </w:tcPr>
          <w:p>
            <w:pPr>
              <w:spacing w:line="240" w:lineRule="auto"/>
              <w:jc w:val="center"/>
              <w:rPr>
                <w:b/>
                <w:bCs/>
                <w:sz w:val="24"/>
                <w:szCs w:val="24"/>
              </w:rPr>
            </w:pPr>
            <w:r>
              <w:rPr>
                <w:b/>
                <w:bCs/>
                <w:sz w:val="24"/>
                <w:szCs w:val="24"/>
              </w:rPr>
              <w:t>＞24且≤60</w:t>
            </w:r>
          </w:p>
        </w:tc>
        <w:tc>
          <w:tcPr>
            <w:tcW w:w="850" w:type="dxa"/>
            <w:tcBorders>
              <w:bottom w:val="single" w:color="auto" w:sz="4" w:space="0"/>
              <w:tr2bl w:val="nil"/>
            </w:tcBorders>
            <w:vAlign w:val="center"/>
          </w:tcPr>
          <w:p>
            <w:pPr>
              <w:spacing w:line="240" w:lineRule="auto"/>
              <w:jc w:val="center"/>
              <w:rPr>
                <w:b/>
                <w:bCs/>
                <w:sz w:val="24"/>
                <w:szCs w:val="24"/>
              </w:rPr>
            </w:pPr>
            <w:r>
              <w:rPr>
                <w:b/>
                <w:bCs/>
                <w:sz w:val="24"/>
                <w:szCs w:val="24"/>
              </w:rPr>
              <w:t>＞60</w:t>
            </w:r>
          </w:p>
        </w:tc>
        <w:tc>
          <w:tcPr>
            <w:tcW w:w="664" w:type="dxa"/>
            <w:tcBorders>
              <w:left w:val="single" w:color="auto" w:sz="4" w:space="0"/>
              <w:bottom w:val="single" w:color="auto" w:sz="4" w:space="0"/>
              <w:tr2bl w:val="nil"/>
            </w:tcBorders>
            <w:vAlign w:val="center"/>
          </w:tcPr>
          <w:p>
            <w:pPr>
              <w:spacing w:line="240" w:lineRule="auto"/>
              <w:jc w:val="center"/>
              <w:rPr>
                <w:b/>
                <w:bCs/>
                <w:sz w:val="24"/>
                <w:szCs w:val="24"/>
              </w:rPr>
            </w:pPr>
            <m:oMath>
              <m:r>
                <m:rPr>
                  <m:sty m:val="bi"/>
                </m:rPr>
                <w:rPr>
                  <w:rFonts w:ascii="Cambria Math" w:hAnsi="Cambria Math" w:eastAsia="MS Gothic"/>
                  <w:sz w:val="24"/>
                  <w:szCs w:val="24"/>
                </w:rPr>
                <m:t>≤</m:t>
              </m:r>
            </m:oMath>
            <w:r>
              <w:rPr>
                <w:b/>
                <w:bCs/>
                <w:sz w:val="24"/>
                <w:szCs w:val="24"/>
              </w:rPr>
              <w:t>24</w:t>
            </w:r>
          </w:p>
        </w:tc>
        <w:tc>
          <w:tcPr>
            <w:tcW w:w="895" w:type="dxa"/>
            <w:tcBorders>
              <w:bottom w:val="single" w:color="auto" w:sz="4" w:space="0"/>
              <w:tr2bl w:val="nil"/>
            </w:tcBorders>
            <w:vAlign w:val="center"/>
          </w:tcPr>
          <w:p>
            <w:pPr>
              <w:spacing w:line="240" w:lineRule="auto"/>
              <w:jc w:val="center"/>
              <w:rPr>
                <w:b/>
                <w:bCs/>
                <w:sz w:val="24"/>
                <w:szCs w:val="24"/>
              </w:rPr>
            </w:pPr>
            <w:r>
              <w:rPr>
                <w:b/>
                <w:bCs/>
                <w:sz w:val="24"/>
                <w:szCs w:val="24"/>
              </w:rPr>
              <w:t>＞24且≤50</w:t>
            </w:r>
          </w:p>
        </w:tc>
        <w:tc>
          <w:tcPr>
            <w:tcW w:w="709" w:type="dxa"/>
            <w:vMerge w:val="restart"/>
            <w:tcBorders>
              <w:bottom w:val="single" w:color="auto" w:sz="12" w:space="0"/>
              <w:right w:val="single" w:color="auto" w:sz="12" w:space="0"/>
              <w:tr2bl w:val="single" w:color="auto" w:sz="4" w:space="0"/>
            </w:tcBorders>
          </w:tcPr>
          <w:p>
            <w:pPr>
              <w:spacing w:line="240" w:lineRule="auto"/>
              <w:jc w:val="center"/>
              <w:rPr>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67" w:type="dxa"/>
            <w:vMerge w:val="continue"/>
            <w:tcBorders>
              <w:left w:val="single" w:color="auto" w:sz="12" w:space="0"/>
            </w:tcBorders>
            <w:vAlign w:val="center"/>
          </w:tcPr>
          <w:p>
            <w:pPr>
              <w:spacing w:line="240" w:lineRule="auto"/>
              <w:rPr>
                <w:b/>
                <w:bCs/>
                <w:sz w:val="24"/>
                <w:szCs w:val="24"/>
              </w:rPr>
            </w:pPr>
          </w:p>
        </w:tc>
        <w:tc>
          <w:tcPr>
            <w:tcW w:w="1501" w:type="dxa"/>
            <w:tcBorders>
              <w:top w:val="single" w:color="auto" w:sz="4" w:space="0"/>
              <w:bottom w:val="single" w:color="auto" w:sz="4" w:space="0"/>
              <w:right w:val="single" w:color="auto" w:sz="4" w:space="0"/>
            </w:tcBorders>
            <w:vAlign w:val="center"/>
          </w:tcPr>
          <w:p>
            <w:pPr>
              <w:spacing w:line="240" w:lineRule="auto"/>
              <w:jc w:val="center"/>
              <w:rPr>
                <w:b/>
                <w:bCs/>
                <w:sz w:val="24"/>
                <w:szCs w:val="24"/>
              </w:rPr>
            </w:pPr>
            <w:r>
              <w:rPr>
                <w:b/>
                <w:bCs/>
                <w:sz w:val="24"/>
                <w:szCs w:val="24"/>
              </w:rPr>
              <w:t>现浇框支框架</w:t>
            </w:r>
          </w:p>
        </w:tc>
        <w:tc>
          <w:tcPr>
            <w:tcW w:w="709" w:type="dxa"/>
            <w:tcBorders>
              <w:top w:val="single" w:color="auto" w:sz="4" w:space="0"/>
              <w:bottom w:val="single" w:color="auto" w:sz="4" w:space="0"/>
              <w:right w:val="single" w:color="auto" w:sz="4" w:space="0"/>
            </w:tcBorders>
            <w:vAlign w:val="center"/>
          </w:tcPr>
          <w:p>
            <w:pPr>
              <w:jc w:val="center"/>
              <w:rPr>
                <w:b/>
                <w:bCs/>
                <w:sz w:val="24"/>
                <w:szCs w:val="24"/>
              </w:rPr>
            </w:pPr>
            <w:r>
              <w:rPr>
                <w:b/>
                <w:bCs/>
                <w:sz w:val="24"/>
                <w:szCs w:val="24"/>
              </w:rPr>
              <w:t>二</w:t>
            </w:r>
          </w:p>
        </w:tc>
        <w:tc>
          <w:tcPr>
            <w:tcW w:w="851" w:type="dxa"/>
            <w:tcBorders>
              <w:top w:val="single" w:color="auto" w:sz="4" w:space="0"/>
              <w:bottom w:val="single" w:color="auto" w:sz="4" w:space="0"/>
              <w:right w:val="single" w:color="auto" w:sz="4" w:space="0"/>
            </w:tcBorders>
            <w:vAlign w:val="center"/>
          </w:tcPr>
          <w:p>
            <w:pPr>
              <w:jc w:val="center"/>
              <w:rPr>
                <w:b/>
                <w:bCs/>
                <w:sz w:val="24"/>
                <w:szCs w:val="24"/>
              </w:rPr>
            </w:pPr>
            <w:r>
              <w:rPr>
                <w:b/>
                <w:bCs/>
                <w:sz w:val="24"/>
                <w:szCs w:val="24"/>
              </w:rPr>
              <w:t>二</w:t>
            </w:r>
          </w:p>
        </w:tc>
        <w:tc>
          <w:tcPr>
            <w:tcW w:w="708" w:type="dxa"/>
            <w:tcBorders>
              <w:top w:val="single" w:color="auto" w:sz="4" w:space="0"/>
              <w:left w:val="single" w:color="auto" w:sz="4" w:space="0"/>
              <w:bottom w:val="single" w:color="auto" w:sz="4" w:space="0"/>
            </w:tcBorders>
            <w:vAlign w:val="center"/>
          </w:tcPr>
          <w:p>
            <w:pPr>
              <w:jc w:val="center"/>
              <w:rPr>
                <w:b/>
                <w:bCs/>
                <w:sz w:val="24"/>
                <w:szCs w:val="24"/>
              </w:rPr>
            </w:pPr>
            <w:r>
              <w:rPr>
                <w:b/>
                <w:bCs/>
                <w:sz w:val="24"/>
                <w:szCs w:val="24"/>
              </w:rPr>
              <w:t>二</w:t>
            </w:r>
          </w:p>
        </w:tc>
        <w:tc>
          <w:tcPr>
            <w:tcW w:w="993" w:type="dxa"/>
            <w:tcBorders>
              <w:top w:val="single" w:color="auto" w:sz="4" w:space="0"/>
              <w:left w:val="single" w:color="auto" w:sz="4" w:space="0"/>
              <w:bottom w:val="single" w:color="auto" w:sz="4" w:space="0"/>
            </w:tcBorders>
            <w:vAlign w:val="center"/>
          </w:tcPr>
          <w:p>
            <w:pPr>
              <w:jc w:val="center"/>
              <w:rPr>
                <w:b/>
                <w:bCs/>
                <w:sz w:val="24"/>
                <w:szCs w:val="24"/>
              </w:rPr>
            </w:pPr>
            <w:r>
              <w:rPr>
                <w:b/>
                <w:bCs/>
                <w:sz w:val="24"/>
                <w:szCs w:val="24"/>
              </w:rPr>
              <w:t>二</w:t>
            </w:r>
          </w:p>
        </w:tc>
        <w:tc>
          <w:tcPr>
            <w:tcW w:w="850" w:type="dxa"/>
            <w:tcBorders>
              <w:top w:val="single" w:color="auto" w:sz="4" w:space="0"/>
              <w:bottom w:val="single" w:color="auto" w:sz="4" w:space="0"/>
              <w:tr2bl w:val="nil"/>
            </w:tcBorders>
            <w:vAlign w:val="center"/>
          </w:tcPr>
          <w:p>
            <w:pPr>
              <w:jc w:val="center"/>
              <w:rPr>
                <w:b/>
                <w:bCs/>
                <w:sz w:val="24"/>
                <w:szCs w:val="24"/>
              </w:rPr>
            </w:pPr>
            <w:r>
              <w:rPr>
                <w:b/>
                <w:bCs/>
                <w:sz w:val="24"/>
                <w:szCs w:val="24"/>
              </w:rPr>
              <w:t>一</w:t>
            </w:r>
          </w:p>
        </w:tc>
        <w:tc>
          <w:tcPr>
            <w:tcW w:w="664" w:type="dxa"/>
            <w:tcBorders>
              <w:top w:val="single" w:color="auto" w:sz="4" w:space="0"/>
              <w:left w:val="single" w:color="auto" w:sz="4" w:space="0"/>
              <w:bottom w:val="single" w:color="auto" w:sz="4" w:space="0"/>
            </w:tcBorders>
            <w:vAlign w:val="center"/>
          </w:tcPr>
          <w:p>
            <w:pPr>
              <w:jc w:val="center"/>
              <w:rPr>
                <w:b/>
                <w:bCs/>
                <w:sz w:val="24"/>
                <w:szCs w:val="24"/>
              </w:rPr>
            </w:pPr>
            <w:r>
              <w:rPr>
                <w:b/>
                <w:bCs/>
                <w:sz w:val="24"/>
                <w:szCs w:val="24"/>
              </w:rPr>
              <w:t>一</w:t>
            </w:r>
          </w:p>
        </w:tc>
        <w:tc>
          <w:tcPr>
            <w:tcW w:w="895" w:type="dxa"/>
            <w:tcBorders>
              <w:top w:val="single" w:color="auto" w:sz="4" w:space="0"/>
              <w:left w:val="single" w:color="auto" w:sz="4" w:space="0"/>
              <w:bottom w:val="single" w:color="auto" w:sz="4" w:space="0"/>
            </w:tcBorders>
            <w:vAlign w:val="center"/>
          </w:tcPr>
          <w:p>
            <w:pPr>
              <w:jc w:val="center"/>
              <w:rPr>
                <w:b/>
                <w:bCs/>
                <w:sz w:val="24"/>
                <w:szCs w:val="24"/>
              </w:rPr>
            </w:pPr>
            <w:r>
              <w:rPr>
                <w:b/>
                <w:bCs/>
                <w:sz w:val="24"/>
                <w:szCs w:val="24"/>
              </w:rPr>
              <w:t>一</w:t>
            </w:r>
          </w:p>
        </w:tc>
        <w:tc>
          <w:tcPr>
            <w:tcW w:w="709" w:type="dxa"/>
            <w:vMerge w:val="continue"/>
            <w:tcBorders>
              <w:bottom w:val="single" w:color="auto" w:sz="12" w:space="0"/>
              <w:right w:val="single" w:color="auto" w:sz="12" w:space="0"/>
              <w:tr2bl w:val="single" w:color="auto" w:sz="4" w:space="0"/>
            </w:tcBorders>
            <w:vAlign w:val="center"/>
          </w:tcPr>
          <w:p>
            <w:pPr>
              <w:jc w:val="center"/>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767" w:type="dxa"/>
            <w:vMerge w:val="continue"/>
            <w:tcBorders>
              <w:left w:val="single" w:color="auto" w:sz="12" w:space="0"/>
            </w:tcBorders>
            <w:vAlign w:val="center"/>
          </w:tcPr>
          <w:p>
            <w:pPr>
              <w:spacing w:line="240" w:lineRule="auto"/>
              <w:rPr>
                <w:b/>
                <w:bCs/>
                <w:sz w:val="24"/>
                <w:szCs w:val="24"/>
              </w:rPr>
            </w:pPr>
          </w:p>
        </w:tc>
        <w:tc>
          <w:tcPr>
            <w:tcW w:w="1501" w:type="dxa"/>
            <w:tcBorders>
              <w:top w:val="single" w:color="auto" w:sz="4" w:space="0"/>
              <w:bottom w:val="single" w:color="auto" w:sz="4" w:space="0"/>
              <w:right w:val="single" w:color="auto" w:sz="4" w:space="0"/>
            </w:tcBorders>
            <w:vAlign w:val="center"/>
          </w:tcPr>
          <w:p>
            <w:pPr>
              <w:spacing w:line="240" w:lineRule="auto"/>
              <w:jc w:val="center"/>
              <w:rPr>
                <w:b/>
                <w:bCs/>
                <w:sz w:val="24"/>
                <w:szCs w:val="24"/>
              </w:rPr>
            </w:pPr>
            <w:r>
              <w:rPr>
                <w:b/>
                <w:bCs/>
                <w:sz w:val="24"/>
                <w:szCs w:val="24"/>
              </w:rPr>
              <w:t>底部加强部位剪力墙</w:t>
            </w:r>
          </w:p>
        </w:tc>
        <w:tc>
          <w:tcPr>
            <w:tcW w:w="709" w:type="dxa"/>
            <w:tcBorders>
              <w:top w:val="single" w:color="auto" w:sz="4" w:space="0"/>
              <w:bottom w:val="single" w:color="auto" w:sz="4" w:space="0"/>
              <w:right w:val="single" w:color="auto" w:sz="4" w:space="0"/>
            </w:tcBorders>
            <w:vAlign w:val="center"/>
          </w:tcPr>
          <w:p>
            <w:pPr>
              <w:jc w:val="center"/>
              <w:rPr>
                <w:b/>
                <w:bCs/>
                <w:sz w:val="24"/>
                <w:szCs w:val="24"/>
              </w:rPr>
            </w:pPr>
            <w:r>
              <w:rPr>
                <w:b/>
                <w:bCs/>
                <w:sz w:val="24"/>
                <w:szCs w:val="24"/>
              </w:rPr>
              <w:t>三</w:t>
            </w:r>
          </w:p>
        </w:tc>
        <w:tc>
          <w:tcPr>
            <w:tcW w:w="851" w:type="dxa"/>
            <w:tcBorders>
              <w:top w:val="single" w:color="auto" w:sz="4" w:space="0"/>
              <w:bottom w:val="single" w:color="auto" w:sz="4" w:space="0"/>
              <w:right w:val="single" w:color="auto" w:sz="4" w:space="0"/>
            </w:tcBorders>
            <w:vAlign w:val="center"/>
          </w:tcPr>
          <w:p>
            <w:pPr>
              <w:jc w:val="center"/>
              <w:rPr>
                <w:b/>
                <w:bCs/>
                <w:sz w:val="24"/>
                <w:szCs w:val="24"/>
              </w:rPr>
            </w:pPr>
            <w:r>
              <w:rPr>
                <w:b/>
                <w:bCs/>
                <w:sz w:val="24"/>
                <w:szCs w:val="24"/>
              </w:rPr>
              <w:t>二</w:t>
            </w:r>
          </w:p>
        </w:tc>
        <w:tc>
          <w:tcPr>
            <w:tcW w:w="708" w:type="dxa"/>
            <w:tcBorders>
              <w:top w:val="single" w:color="auto" w:sz="4" w:space="0"/>
              <w:left w:val="single" w:color="auto" w:sz="4" w:space="0"/>
              <w:bottom w:val="single" w:color="auto" w:sz="4" w:space="0"/>
            </w:tcBorders>
            <w:vAlign w:val="center"/>
          </w:tcPr>
          <w:p>
            <w:pPr>
              <w:jc w:val="center"/>
              <w:rPr>
                <w:b/>
                <w:bCs/>
                <w:sz w:val="24"/>
                <w:szCs w:val="24"/>
              </w:rPr>
            </w:pPr>
            <w:r>
              <w:rPr>
                <w:b/>
                <w:bCs/>
                <w:sz w:val="24"/>
                <w:szCs w:val="24"/>
              </w:rPr>
              <w:t>三</w:t>
            </w:r>
          </w:p>
        </w:tc>
        <w:tc>
          <w:tcPr>
            <w:tcW w:w="993" w:type="dxa"/>
            <w:tcBorders>
              <w:top w:val="single" w:color="auto" w:sz="4" w:space="0"/>
              <w:bottom w:val="single" w:color="auto" w:sz="4" w:space="0"/>
            </w:tcBorders>
            <w:vAlign w:val="center"/>
          </w:tcPr>
          <w:p>
            <w:pPr>
              <w:jc w:val="center"/>
              <w:rPr>
                <w:b/>
                <w:bCs/>
                <w:sz w:val="24"/>
                <w:szCs w:val="24"/>
              </w:rPr>
            </w:pPr>
            <w:r>
              <w:rPr>
                <w:b/>
                <w:bCs/>
                <w:sz w:val="24"/>
                <w:szCs w:val="24"/>
              </w:rPr>
              <w:t>二</w:t>
            </w:r>
          </w:p>
        </w:tc>
        <w:tc>
          <w:tcPr>
            <w:tcW w:w="850" w:type="dxa"/>
            <w:tcBorders>
              <w:top w:val="single" w:color="auto" w:sz="4" w:space="0"/>
              <w:bottom w:val="single" w:color="auto" w:sz="4" w:space="0"/>
              <w:tr2bl w:val="nil"/>
            </w:tcBorders>
            <w:vAlign w:val="center"/>
          </w:tcPr>
          <w:p>
            <w:pPr>
              <w:jc w:val="center"/>
              <w:rPr>
                <w:b/>
                <w:bCs/>
                <w:sz w:val="24"/>
                <w:szCs w:val="24"/>
              </w:rPr>
            </w:pPr>
            <w:r>
              <w:rPr>
                <w:b/>
                <w:bCs/>
                <w:sz w:val="24"/>
                <w:szCs w:val="24"/>
              </w:rPr>
              <w:t>一</w:t>
            </w:r>
          </w:p>
        </w:tc>
        <w:tc>
          <w:tcPr>
            <w:tcW w:w="664" w:type="dxa"/>
            <w:tcBorders>
              <w:top w:val="single" w:color="auto" w:sz="4" w:space="0"/>
              <w:left w:val="single" w:color="auto" w:sz="4" w:space="0"/>
              <w:bottom w:val="single" w:color="auto" w:sz="4" w:space="0"/>
            </w:tcBorders>
            <w:vAlign w:val="center"/>
          </w:tcPr>
          <w:p>
            <w:pPr>
              <w:jc w:val="center"/>
              <w:rPr>
                <w:b/>
                <w:bCs/>
                <w:sz w:val="24"/>
                <w:szCs w:val="24"/>
              </w:rPr>
            </w:pPr>
            <w:r>
              <w:rPr>
                <w:b/>
                <w:bCs/>
                <w:sz w:val="24"/>
                <w:szCs w:val="24"/>
              </w:rPr>
              <w:t>二</w:t>
            </w:r>
          </w:p>
        </w:tc>
        <w:tc>
          <w:tcPr>
            <w:tcW w:w="895" w:type="dxa"/>
            <w:tcBorders>
              <w:top w:val="single" w:color="auto" w:sz="4" w:space="0"/>
              <w:bottom w:val="single" w:color="auto" w:sz="4" w:space="0"/>
            </w:tcBorders>
            <w:vAlign w:val="center"/>
          </w:tcPr>
          <w:p>
            <w:pPr>
              <w:jc w:val="center"/>
              <w:rPr>
                <w:b/>
                <w:bCs/>
                <w:sz w:val="24"/>
                <w:szCs w:val="24"/>
              </w:rPr>
            </w:pPr>
            <w:r>
              <w:rPr>
                <w:b/>
                <w:bCs/>
                <w:sz w:val="24"/>
                <w:szCs w:val="24"/>
              </w:rPr>
              <w:t>一</w:t>
            </w:r>
          </w:p>
        </w:tc>
        <w:tc>
          <w:tcPr>
            <w:tcW w:w="709" w:type="dxa"/>
            <w:vMerge w:val="continue"/>
            <w:tcBorders>
              <w:bottom w:val="single" w:color="auto" w:sz="12" w:space="0"/>
              <w:right w:val="single" w:color="auto" w:sz="12" w:space="0"/>
              <w:tr2bl w:val="single" w:color="auto" w:sz="4" w:space="0"/>
            </w:tcBorders>
            <w:vAlign w:val="center"/>
          </w:tcPr>
          <w:p>
            <w:pPr>
              <w:jc w:val="center"/>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767" w:type="dxa"/>
            <w:vMerge w:val="continue"/>
            <w:tcBorders>
              <w:left w:val="single" w:color="auto" w:sz="12" w:space="0"/>
              <w:bottom w:val="single" w:color="auto" w:sz="12" w:space="0"/>
            </w:tcBorders>
            <w:vAlign w:val="center"/>
          </w:tcPr>
          <w:p>
            <w:pPr>
              <w:spacing w:line="240" w:lineRule="auto"/>
              <w:rPr>
                <w:b/>
                <w:bCs/>
                <w:sz w:val="24"/>
                <w:szCs w:val="24"/>
              </w:rPr>
            </w:pPr>
          </w:p>
        </w:tc>
        <w:tc>
          <w:tcPr>
            <w:tcW w:w="1501" w:type="dxa"/>
            <w:tcBorders>
              <w:top w:val="single" w:color="auto" w:sz="4" w:space="0"/>
              <w:bottom w:val="single" w:color="auto" w:sz="12" w:space="0"/>
              <w:right w:val="single" w:color="auto" w:sz="4" w:space="0"/>
            </w:tcBorders>
            <w:vAlign w:val="center"/>
          </w:tcPr>
          <w:p>
            <w:pPr>
              <w:spacing w:line="240" w:lineRule="auto"/>
              <w:jc w:val="center"/>
              <w:rPr>
                <w:b/>
                <w:bCs/>
                <w:sz w:val="24"/>
                <w:szCs w:val="24"/>
              </w:rPr>
            </w:pPr>
            <w:r>
              <w:rPr>
                <w:b/>
                <w:bCs/>
                <w:sz w:val="24"/>
                <w:szCs w:val="24"/>
              </w:rPr>
              <w:t>其他区域    剪力墙</w:t>
            </w:r>
          </w:p>
        </w:tc>
        <w:tc>
          <w:tcPr>
            <w:tcW w:w="709" w:type="dxa"/>
            <w:tcBorders>
              <w:top w:val="single" w:color="auto" w:sz="4" w:space="0"/>
              <w:bottom w:val="single" w:color="auto" w:sz="12" w:space="0"/>
              <w:right w:val="single" w:color="auto" w:sz="4" w:space="0"/>
            </w:tcBorders>
            <w:vAlign w:val="center"/>
          </w:tcPr>
          <w:p>
            <w:pPr>
              <w:jc w:val="center"/>
              <w:rPr>
                <w:b/>
                <w:bCs/>
                <w:sz w:val="24"/>
                <w:szCs w:val="24"/>
              </w:rPr>
            </w:pPr>
            <w:r>
              <w:rPr>
                <w:b/>
                <w:bCs/>
                <w:sz w:val="24"/>
                <w:szCs w:val="24"/>
              </w:rPr>
              <w:t>四</w:t>
            </w:r>
          </w:p>
        </w:tc>
        <w:tc>
          <w:tcPr>
            <w:tcW w:w="851" w:type="dxa"/>
            <w:tcBorders>
              <w:top w:val="single" w:color="auto" w:sz="4" w:space="0"/>
              <w:bottom w:val="single" w:color="auto" w:sz="12" w:space="0"/>
              <w:right w:val="single" w:color="auto" w:sz="4" w:space="0"/>
            </w:tcBorders>
            <w:vAlign w:val="center"/>
          </w:tcPr>
          <w:p>
            <w:pPr>
              <w:jc w:val="center"/>
              <w:rPr>
                <w:b/>
                <w:bCs/>
                <w:sz w:val="24"/>
                <w:szCs w:val="24"/>
              </w:rPr>
            </w:pPr>
            <w:r>
              <w:rPr>
                <w:b/>
                <w:bCs/>
                <w:sz w:val="24"/>
                <w:szCs w:val="24"/>
              </w:rPr>
              <w:t>三</w:t>
            </w:r>
          </w:p>
        </w:tc>
        <w:tc>
          <w:tcPr>
            <w:tcW w:w="708" w:type="dxa"/>
            <w:tcBorders>
              <w:top w:val="single" w:color="auto" w:sz="4" w:space="0"/>
              <w:left w:val="single" w:color="auto" w:sz="4" w:space="0"/>
              <w:bottom w:val="single" w:color="auto" w:sz="12" w:space="0"/>
            </w:tcBorders>
            <w:vAlign w:val="center"/>
          </w:tcPr>
          <w:p>
            <w:pPr>
              <w:jc w:val="center"/>
              <w:rPr>
                <w:b/>
                <w:bCs/>
                <w:sz w:val="24"/>
                <w:szCs w:val="24"/>
              </w:rPr>
            </w:pPr>
            <w:r>
              <w:rPr>
                <w:b/>
                <w:bCs/>
                <w:sz w:val="24"/>
                <w:szCs w:val="24"/>
              </w:rPr>
              <w:t>四</w:t>
            </w:r>
          </w:p>
        </w:tc>
        <w:tc>
          <w:tcPr>
            <w:tcW w:w="993" w:type="dxa"/>
            <w:tcBorders>
              <w:top w:val="single" w:color="auto" w:sz="4" w:space="0"/>
              <w:bottom w:val="single" w:color="auto" w:sz="12" w:space="0"/>
            </w:tcBorders>
            <w:vAlign w:val="center"/>
          </w:tcPr>
          <w:p>
            <w:pPr>
              <w:jc w:val="center"/>
              <w:rPr>
                <w:b/>
                <w:bCs/>
                <w:sz w:val="24"/>
                <w:szCs w:val="24"/>
              </w:rPr>
            </w:pPr>
            <w:r>
              <w:rPr>
                <w:b/>
                <w:bCs/>
                <w:sz w:val="24"/>
                <w:szCs w:val="24"/>
              </w:rPr>
              <w:t>三</w:t>
            </w:r>
          </w:p>
        </w:tc>
        <w:tc>
          <w:tcPr>
            <w:tcW w:w="850" w:type="dxa"/>
            <w:tcBorders>
              <w:top w:val="single" w:color="auto" w:sz="4" w:space="0"/>
              <w:bottom w:val="single" w:color="auto" w:sz="12" w:space="0"/>
              <w:tr2bl w:val="nil"/>
            </w:tcBorders>
            <w:vAlign w:val="center"/>
          </w:tcPr>
          <w:p>
            <w:pPr>
              <w:jc w:val="center"/>
              <w:rPr>
                <w:b/>
                <w:bCs/>
                <w:sz w:val="24"/>
                <w:szCs w:val="24"/>
              </w:rPr>
            </w:pPr>
            <w:r>
              <w:rPr>
                <w:b/>
                <w:bCs/>
                <w:sz w:val="24"/>
                <w:szCs w:val="24"/>
              </w:rPr>
              <w:t>二</w:t>
            </w:r>
          </w:p>
        </w:tc>
        <w:tc>
          <w:tcPr>
            <w:tcW w:w="664" w:type="dxa"/>
            <w:tcBorders>
              <w:top w:val="single" w:color="auto" w:sz="4" w:space="0"/>
              <w:left w:val="single" w:color="auto" w:sz="4" w:space="0"/>
              <w:bottom w:val="single" w:color="auto" w:sz="12" w:space="0"/>
            </w:tcBorders>
            <w:vAlign w:val="center"/>
          </w:tcPr>
          <w:p>
            <w:pPr>
              <w:jc w:val="center"/>
              <w:rPr>
                <w:b/>
                <w:bCs/>
                <w:sz w:val="24"/>
                <w:szCs w:val="24"/>
              </w:rPr>
            </w:pPr>
            <w:r>
              <w:rPr>
                <w:b/>
                <w:bCs/>
                <w:sz w:val="24"/>
                <w:szCs w:val="24"/>
              </w:rPr>
              <w:t>三</w:t>
            </w:r>
          </w:p>
        </w:tc>
        <w:tc>
          <w:tcPr>
            <w:tcW w:w="895" w:type="dxa"/>
            <w:tcBorders>
              <w:top w:val="single" w:color="auto" w:sz="4" w:space="0"/>
              <w:bottom w:val="single" w:color="auto" w:sz="12" w:space="0"/>
            </w:tcBorders>
            <w:vAlign w:val="center"/>
          </w:tcPr>
          <w:p>
            <w:pPr>
              <w:jc w:val="center"/>
              <w:rPr>
                <w:b/>
                <w:bCs/>
                <w:sz w:val="24"/>
                <w:szCs w:val="24"/>
              </w:rPr>
            </w:pPr>
            <w:r>
              <w:rPr>
                <w:b/>
                <w:bCs/>
                <w:sz w:val="24"/>
                <w:szCs w:val="24"/>
              </w:rPr>
              <w:t>二</w:t>
            </w:r>
          </w:p>
        </w:tc>
        <w:tc>
          <w:tcPr>
            <w:tcW w:w="709" w:type="dxa"/>
            <w:vMerge w:val="continue"/>
            <w:tcBorders>
              <w:bottom w:val="single" w:color="auto" w:sz="12" w:space="0"/>
              <w:right w:val="single" w:color="auto" w:sz="12" w:space="0"/>
              <w:tr2bl w:val="single" w:color="auto" w:sz="4" w:space="0"/>
            </w:tcBorders>
            <w:vAlign w:val="center"/>
          </w:tcPr>
          <w:p>
            <w:pPr>
              <w:jc w:val="center"/>
              <w:rPr>
                <w:b/>
                <w:bCs/>
                <w:sz w:val="18"/>
                <w:szCs w:val="18"/>
              </w:rPr>
            </w:pPr>
          </w:p>
        </w:tc>
      </w:tr>
    </w:tbl>
    <w:p>
      <w:pPr>
        <w:pStyle w:val="47"/>
        <w:widowControl/>
        <w:spacing w:line="240" w:lineRule="auto"/>
        <w:ind w:firstLine="0"/>
        <w:rPr>
          <w:sz w:val="21"/>
          <w:szCs w:val="21"/>
        </w:rPr>
      </w:pPr>
      <w:r>
        <w:rPr>
          <w:sz w:val="21"/>
          <w:szCs w:val="21"/>
        </w:rPr>
        <w:t>注：</w:t>
      </w:r>
    </w:p>
    <w:p>
      <w:pPr>
        <w:pStyle w:val="47"/>
        <w:widowControl/>
        <w:numPr>
          <w:ilvl w:val="0"/>
          <w:numId w:val="13"/>
        </w:numPr>
        <w:spacing w:line="240" w:lineRule="auto"/>
        <w:ind w:left="709"/>
        <w:rPr>
          <w:sz w:val="21"/>
          <w:szCs w:val="21"/>
        </w:rPr>
      </w:pPr>
      <w:r>
        <w:rPr>
          <w:sz w:val="21"/>
          <w:szCs w:val="21"/>
        </w:rPr>
        <w:t>接近或等于高度分界时，应结合房屋不规则程度及场地、地基条件适当确定抗震等级。</w:t>
      </w:r>
    </w:p>
    <w:p>
      <w:pPr>
        <w:pStyle w:val="47"/>
        <w:widowControl/>
        <w:numPr>
          <w:ilvl w:val="0"/>
          <w:numId w:val="13"/>
        </w:numPr>
        <w:spacing w:line="240" w:lineRule="auto"/>
        <w:ind w:left="709"/>
        <w:rPr>
          <w:sz w:val="21"/>
          <w:szCs w:val="21"/>
        </w:rPr>
      </w:pPr>
      <w:r>
        <w:rPr>
          <w:rFonts w:hint="eastAsia"/>
          <w:sz w:val="21"/>
          <w:szCs w:val="21"/>
        </w:rPr>
        <w:t>本规程“特一级和一、二、三、四级”即“抗震等级为特一级和一、二、三、四级”的简称。</w:t>
      </w:r>
    </w:p>
    <w:p>
      <w:pPr>
        <w:pStyle w:val="47"/>
        <w:widowControl/>
        <w:ind w:firstLine="0"/>
        <w:rPr>
          <w:rFonts w:eastAsia="仿宋"/>
          <w:i/>
          <w:spacing w:val="10"/>
          <w:szCs w:val="24"/>
        </w:rPr>
      </w:pPr>
      <w:r>
        <w:rPr>
          <w:rFonts w:eastAsia="仿宋"/>
          <w:i/>
          <w:spacing w:val="10"/>
          <w:szCs w:val="24"/>
        </w:rPr>
        <w:t>【条文说明】5.1.3本条为强制性条文。参照广东省《装配式混凝土建筑结构技术规程》DBJ 15-107规定的装配整体式剪力墙结构抗震等级进行控制。</w:t>
      </w:r>
    </w:p>
    <w:p>
      <w:r>
        <w:rPr>
          <w:b/>
          <w:bCs/>
        </w:rPr>
        <w:t xml:space="preserve">5.1.4 </w:t>
      </w:r>
      <w:r>
        <w:t>乙类建筑应按本地区抗震设防烈度提高一度的要求加强其抗震措施，当建筑场地为I类时应允许仍按本地区抗震设防烈度的要求采取抗震构造措施；丙类建筑应按本地区抗震设防烈度确定其抗震措施，当建筑场地为I类时，除6度外，应允许按本地区抗震设防烈度降低一度的要求采取抗震构造措施。</w:t>
      </w:r>
    </w:p>
    <w:p>
      <w:pPr>
        <w:rPr>
          <w:rFonts w:eastAsia="仿宋"/>
          <w:i/>
          <w:spacing w:val="10"/>
          <w:szCs w:val="24"/>
        </w:rPr>
      </w:pPr>
      <w:r>
        <w:rPr>
          <w:rFonts w:eastAsia="仿宋"/>
          <w:i/>
          <w:spacing w:val="10"/>
          <w:szCs w:val="24"/>
        </w:rPr>
        <w:t>【条文说明】5.1.4 抗震设计要求参照现行国家标准《建筑抗震设计规范》GB 50011和现行行业标准《高层建筑混凝土结构技术规程》JGJ 3中的规定提出要求。</w:t>
      </w:r>
    </w:p>
    <w:p>
      <w:r>
        <w:rPr>
          <w:b/>
          <w:bCs/>
        </w:rPr>
        <w:t xml:space="preserve">5.1.5 </w:t>
      </w:r>
      <w:r>
        <w:t>当建筑场地为Ⅲ、Ⅳ 类时，对设计基本地震加速度为 0.15g的地区，宜按抗震设防烈度8度 (0.20g)时各类建筑的要求采取抗震构造措施。</w:t>
      </w:r>
    </w:p>
    <w:p>
      <w:pPr>
        <w:rPr>
          <w:rFonts w:eastAsia="仿宋"/>
          <w:i/>
          <w:spacing w:val="10"/>
          <w:szCs w:val="24"/>
        </w:rPr>
      </w:pPr>
      <w:r>
        <w:rPr>
          <w:rFonts w:eastAsia="仿宋"/>
          <w:i/>
          <w:spacing w:val="10"/>
          <w:szCs w:val="24"/>
        </w:rPr>
        <w:t>【条文说明】5.1.5广东省存在基本地震加速度为 0.15g的地区，参照现行行业标准《高层建筑混凝土结构技术规程》JGJ 3中的规定提出相应要求。</w:t>
      </w:r>
    </w:p>
    <w:p>
      <w:r>
        <w:rPr>
          <w:b/>
          <w:bCs/>
        </w:rPr>
        <w:t xml:space="preserve">5.1.6 </w:t>
      </w:r>
      <w:r>
        <w:t>抗震设计的叠合剪力墙结构，当其房屋高度、高宽比、规则性等超过本规程的规定时，可按现行国家标准《建筑抗震设计规范》GB 50011、行业标准《高层建筑混凝土结构技术规程》JGJ 3的有关规定进行结构抗震性能化设计。</w:t>
      </w:r>
    </w:p>
    <w:p>
      <w:pPr>
        <w:rPr>
          <w:rFonts w:eastAsia="仿宋"/>
          <w:i/>
          <w:spacing w:val="10"/>
          <w:szCs w:val="24"/>
        </w:rPr>
      </w:pPr>
      <w:r>
        <w:rPr>
          <w:rFonts w:eastAsia="仿宋"/>
          <w:i/>
          <w:spacing w:val="10"/>
          <w:szCs w:val="24"/>
        </w:rPr>
        <w:t>【条文说明】5.1.6 符合《广东省超限高层建筑工程抗震设防专项审查实施细则》中的超限建筑应进行专项超限审查。</w:t>
      </w:r>
    </w:p>
    <w:p>
      <w:r>
        <w:rPr>
          <w:b/>
          <w:bCs/>
        </w:rPr>
        <w:t xml:space="preserve">5.1.7 </w:t>
      </w:r>
      <w:r>
        <w:t>叠合剪力墙结构应符合下列规定：</w:t>
      </w:r>
    </w:p>
    <w:p>
      <w:pPr>
        <w:pStyle w:val="47"/>
        <w:numPr>
          <w:ilvl w:val="0"/>
          <w:numId w:val="14"/>
        </w:numPr>
        <w:ind w:left="420" w:firstLine="5" w:firstLineChars="2"/>
      </w:pPr>
      <w:r>
        <w:rPr>
          <w:rFonts w:hint="eastAsia"/>
        </w:rPr>
        <w:t xml:space="preserve"> </w:t>
      </w:r>
      <w:r>
        <w:t>错层、连体、竖向体型收进等</w:t>
      </w:r>
      <w:r>
        <w:rPr>
          <w:rFonts w:hint="eastAsia"/>
        </w:rPr>
        <w:t>受力</w:t>
      </w:r>
      <w:r>
        <w:t>复杂</w:t>
      </w:r>
      <w:r>
        <w:rPr>
          <w:rFonts w:hint="eastAsia"/>
        </w:rPr>
        <w:t>相关部位</w:t>
      </w:r>
      <w:r>
        <w:t>不</w:t>
      </w:r>
      <w:r>
        <w:rPr>
          <w:rFonts w:hint="eastAsia"/>
        </w:rPr>
        <w:t>应</w:t>
      </w:r>
      <w:r>
        <w:t>采用叠合剪力墙；</w:t>
      </w:r>
    </w:p>
    <w:p>
      <w:pPr>
        <w:pStyle w:val="47"/>
        <w:numPr>
          <w:ilvl w:val="0"/>
          <w:numId w:val="14"/>
        </w:numPr>
        <w:ind w:left="420" w:firstLine="5" w:firstLineChars="2"/>
      </w:pPr>
      <w:r>
        <w:t xml:space="preserve"> 高层叠合剪力墙结构中，全截面受拉剪力墙不宜采用叠合剪力墙；</w:t>
      </w:r>
    </w:p>
    <w:p>
      <w:pPr>
        <w:pStyle w:val="47"/>
        <w:numPr>
          <w:ilvl w:val="0"/>
          <w:numId w:val="14"/>
        </w:numPr>
        <w:ind w:left="420" w:firstLine="5" w:firstLineChars="2"/>
      </w:pPr>
      <w:r>
        <w:rPr>
          <w:rFonts w:hint="eastAsia"/>
        </w:rPr>
        <w:t xml:space="preserve"> </w:t>
      </w:r>
      <w:r>
        <w:t>叠合剪力墙宜</w:t>
      </w:r>
      <w:r>
        <w:rPr>
          <w:rFonts w:hint="eastAsia"/>
        </w:rPr>
        <w:t>设置</w:t>
      </w:r>
      <w:r>
        <w:t>翼墙，</w:t>
      </w:r>
      <w:r>
        <w:rPr>
          <w:rFonts w:hint="eastAsia"/>
        </w:rPr>
        <w:t>且</w:t>
      </w:r>
      <w:r>
        <w:t>翼墙总长度不宜小于其厚度的3倍；</w:t>
      </w:r>
    </w:p>
    <w:p>
      <w:pPr>
        <w:pStyle w:val="47"/>
        <w:numPr>
          <w:ilvl w:val="0"/>
          <w:numId w:val="14"/>
        </w:numPr>
        <w:ind w:left="420" w:firstLine="5" w:firstLineChars="2"/>
      </w:pPr>
      <w:r>
        <w:t xml:space="preserve"> 叠合剪力墙的边缘构件宜整体现浇；</w:t>
      </w:r>
    </w:p>
    <w:p>
      <w:pPr>
        <w:pStyle w:val="47"/>
        <w:numPr>
          <w:ilvl w:val="0"/>
          <w:numId w:val="14"/>
        </w:numPr>
        <w:ind w:left="420" w:firstLine="5" w:firstLineChars="2"/>
      </w:pPr>
      <w:r>
        <w:t xml:space="preserve"> 嵌固层、结构转换层、平面复杂或开洞较大的楼层应采用现浇混凝土楼盖；</w:t>
      </w:r>
    </w:p>
    <w:p>
      <w:pPr>
        <w:pStyle w:val="47"/>
        <w:numPr>
          <w:ilvl w:val="0"/>
          <w:numId w:val="14"/>
        </w:numPr>
        <w:ind w:left="420" w:firstLine="5" w:firstLineChars="2"/>
      </w:pPr>
      <w:r>
        <w:t xml:space="preserve"> 屋面采用叠合楼盖时现浇混凝土层厚度不应小于80mm，且现浇层应采用双向</w:t>
      </w:r>
      <w:r>
        <w:rPr>
          <w:rFonts w:hint="eastAsia"/>
        </w:rPr>
        <w:t>通长</w:t>
      </w:r>
      <w:r>
        <w:t>配筋</w:t>
      </w:r>
      <w:r>
        <w:rPr>
          <w:rFonts w:hint="eastAsia"/>
        </w:rPr>
        <w:t>。</w:t>
      </w:r>
    </w:p>
    <w:p>
      <w:pPr>
        <w:rPr>
          <w:rFonts w:eastAsia="仿宋"/>
          <w:i/>
          <w:spacing w:val="10"/>
          <w:szCs w:val="24"/>
        </w:rPr>
      </w:pPr>
      <w:r>
        <w:rPr>
          <w:rFonts w:eastAsia="仿宋"/>
          <w:i/>
          <w:spacing w:val="10"/>
          <w:szCs w:val="24"/>
        </w:rPr>
        <w:t>【条文说明】5.1.7 由于本规范提高了叠合剪力墙的建筑适用高度，为保证结构的整体性和安全性，本条对于结构的现浇部位、墙体形式、楼盖体系等均进行了相关要求，确保结构安全。叠合剪力墙的边缘构件宜整体现浇</w:t>
      </w:r>
      <w:r>
        <w:rPr>
          <w:rFonts w:hint="eastAsia" w:eastAsia="仿宋"/>
          <w:i/>
          <w:spacing w:val="10"/>
          <w:szCs w:val="24"/>
        </w:rPr>
        <w:t>，局部位置洞口尺寸较小时，洞口处边缘构件可一体预制。屋面层楼板采用窄缝或密拼时，</w:t>
      </w:r>
      <w:r>
        <w:rPr>
          <w:rFonts w:eastAsia="仿宋"/>
          <w:i/>
          <w:spacing w:val="10"/>
          <w:szCs w:val="24"/>
        </w:rPr>
        <w:t>现浇层应采用双层双向配筋</w:t>
      </w:r>
      <w:r>
        <w:rPr>
          <w:rFonts w:hint="eastAsia" w:eastAsia="仿宋"/>
          <w:i/>
          <w:spacing w:val="10"/>
          <w:szCs w:val="24"/>
        </w:rPr>
        <w:t>。</w:t>
      </w:r>
    </w:p>
    <w:p>
      <w:pPr>
        <w:rPr>
          <w:bCs/>
          <w:szCs w:val="24"/>
        </w:rPr>
      </w:pPr>
      <w:r>
        <w:rPr>
          <w:b/>
          <w:bCs/>
        </w:rPr>
        <w:t>5.1.8</w:t>
      </w:r>
      <w:r>
        <w:rPr>
          <w:bCs/>
          <w:szCs w:val="24"/>
        </w:rPr>
        <w:t>高层装配整体式叠合剪力墙结构体系的底部加强部位剪力墙宜采用现浇混凝土，当采用叠合剪力墙时底部加强部位剪力墙的抗震等级应提高一级且叠合剪力墙根部的竖向连接钢筋面积</w:t>
      </w:r>
      <w:r>
        <w:t>宜乘以不小于1.1的增大系数</w:t>
      </w:r>
      <w:r>
        <w:rPr>
          <w:bCs/>
          <w:szCs w:val="24"/>
        </w:rPr>
        <w:t>。</w:t>
      </w:r>
    </w:p>
    <w:p>
      <w:pPr>
        <w:rPr>
          <w:rFonts w:eastAsia="仿宋"/>
          <w:i/>
          <w:spacing w:val="10"/>
          <w:szCs w:val="24"/>
        </w:rPr>
      </w:pPr>
      <w:r>
        <w:rPr>
          <w:rFonts w:eastAsia="仿宋"/>
          <w:i/>
          <w:spacing w:val="10"/>
          <w:szCs w:val="24"/>
        </w:rPr>
        <w:t>【条文说明】5.1.8 高层剪力墙结构底部加强区域对整体结构的抗震性能影响较大，建议采用现浇混凝土，但是由于本规程规定的适用高度为非超高层建筑，底部加强区域采用叠合剪力墙对于施工功效及质量控制有非常大的优势，因此如果采用叠合剪力墙则要求适当提高设计标准以保证结构安全。对于部分框支叠合剪力墙结构的底部加强部位如采用叠合剪力墙时，应进行专项的分析和论证，</w:t>
      </w:r>
      <w:r>
        <w:rPr>
          <w:rFonts w:eastAsia="仿宋"/>
          <w:spacing w:val="10"/>
          <w:szCs w:val="24"/>
        </w:rPr>
        <w:t>重点提高连接接头性能、优化结构布置和构造措施，提高关键构件和部位的承载力，尤其是剪力墙水平接缝的承载能力，需对大震下剪力墙底部加强部位的塑形发展进行控制，必要时进行试验验证</w:t>
      </w:r>
      <w:r>
        <w:rPr>
          <w:rFonts w:eastAsia="仿宋"/>
          <w:i/>
          <w:spacing w:val="10"/>
          <w:szCs w:val="24"/>
        </w:rPr>
        <w:t>，并在施工管理上应严格控制构件加工质量和现场施工质量。</w:t>
      </w:r>
    </w:p>
    <w:p>
      <w:r>
        <w:rPr>
          <w:b/>
          <w:bCs/>
        </w:rPr>
        <w:t>5.1.9</w:t>
      </w:r>
      <w:r>
        <w:rPr>
          <w:bCs/>
          <w:szCs w:val="24"/>
        </w:rPr>
        <w:t xml:space="preserve"> 部分框支叠合剪力墙结构体系</w:t>
      </w:r>
      <w:r>
        <w:t>应符合下列规定：</w:t>
      </w:r>
    </w:p>
    <w:p>
      <w:pPr>
        <w:pStyle w:val="47"/>
        <w:numPr>
          <w:ilvl w:val="0"/>
          <w:numId w:val="15"/>
        </w:numPr>
        <w:ind w:left="0" w:firstLine="576" w:firstLineChars="200"/>
      </w:pPr>
      <w:r>
        <w:t>在地面以上设置转换层的位置</w:t>
      </w:r>
      <w:r>
        <w:rPr>
          <w:rFonts w:hint="eastAsia"/>
        </w:rPr>
        <w:t>，</w:t>
      </w:r>
      <w:r>
        <w:t>8度时不宜超过2层</w:t>
      </w:r>
      <w:r>
        <w:rPr>
          <w:rFonts w:hint="eastAsia"/>
        </w:rPr>
        <w:t>，</w:t>
      </w:r>
      <w:r>
        <w:t>7度时不宜超过4层、6度时可适当提高；</w:t>
      </w:r>
    </w:p>
    <w:p>
      <w:pPr>
        <w:pStyle w:val="47"/>
        <w:numPr>
          <w:ilvl w:val="0"/>
          <w:numId w:val="15"/>
        </w:numPr>
        <w:ind w:left="0" w:firstLine="576" w:firstLineChars="200"/>
      </w:pPr>
      <w:r>
        <w:t>当转换层的位置设置在3层及3层以上时，其框支柱、剪力墙底部加强部位的抗震等级应按本规程表5.1.3的规定提高一级采用，己为特一级时可不提高；</w:t>
      </w:r>
    </w:p>
    <w:p>
      <w:pPr>
        <w:pStyle w:val="47"/>
        <w:numPr>
          <w:ilvl w:val="0"/>
          <w:numId w:val="15"/>
        </w:numPr>
        <w:ind w:left="0" w:firstLine="576" w:firstLineChars="200"/>
      </w:pPr>
      <w:r>
        <w:t>转换层及以下的剪力墙和框支框架、剪力墙底部加强部位应采用现浇结构。</w:t>
      </w:r>
    </w:p>
    <w:p>
      <w:pPr>
        <w:rPr>
          <w:rFonts w:eastAsia="仿宋"/>
          <w:i/>
          <w:spacing w:val="10"/>
          <w:szCs w:val="24"/>
        </w:rPr>
      </w:pPr>
      <w:r>
        <w:rPr>
          <w:rFonts w:eastAsia="仿宋"/>
          <w:i/>
          <w:spacing w:val="10"/>
          <w:szCs w:val="24"/>
        </w:rPr>
        <w:t>【条文说明】5.1.9 考虑到叠合剪力墙的应用案例还不够充分，转换层位置在参考《高层建筑混凝土结构技术规程》 JGJ3基础上进行了降低1层的控制。部分框支剪力墙结构的框支层受力较大，且在地震作用下容易破坏，为加强整体性，框支层及相邻层应采用现浇混凝土。转换构件是保证结构抗震性能的关键受力部位，且截面大、配筋多、点构造复杂，也不适合采用预制。</w:t>
      </w:r>
    </w:p>
    <w:p>
      <w:pPr>
        <w:rPr>
          <w:bCs/>
          <w:szCs w:val="24"/>
        </w:rPr>
      </w:pPr>
      <w:r>
        <w:rPr>
          <w:b/>
          <w:bCs/>
        </w:rPr>
        <w:t xml:space="preserve">5.1.10 </w:t>
      </w:r>
      <w:r>
        <w:rPr>
          <w:bCs/>
          <w:szCs w:val="24"/>
        </w:rPr>
        <w:t>叠合墙连接节点及接缝处后浇混凝土强度等级不应低于被连接预制构件混凝土的强度等级。</w:t>
      </w:r>
    </w:p>
    <w:p>
      <w:pPr>
        <w:rPr>
          <w:bCs/>
          <w:szCs w:val="24"/>
        </w:rPr>
      </w:pPr>
      <w:r>
        <w:rPr>
          <w:rFonts w:eastAsia="仿宋"/>
          <w:i/>
          <w:spacing w:val="10"/>
          <w:szCs w:val="24"/>
        </w:rPr>
        <w:t>【条文说明】5.1.</w:t>
      </w:r>
      <w:r>
        <w:rPr>
          <w:rFonts w:hint="eastAsia" w:eastAsia="仿宋"/>
          <w:i/>
          <w:spacing w:val="10"/>
          <w:szCs w:val="24"/>
        </w:rPr>
        <w:t>10</w:t>
      </w:r>
      <w:r>
        <w:rPr>
          <w:rFonts w:eastAsia="仿宋"/>
          <w:i/>
          <w:spacing w:val="10"/>
          <w:szCs w:val="24"/>
        </w:rPr>
        <w:t>叠合墙连接节点及接缝处后浇混凝土</w:t>
      </w:r>
      <w:r>
        <w:rPr>
          <w:rFonts w:hint="eastAsia" w:eastAsia="仿宋"/>
          <w:i/>
          <w:spacing w:val="10"/>
          <w:szCs w:val="24"/>
        </w:rPr>
        <w:t>应采用可靠手段减少混凝土自身收缩。</w:t>
      </w:r>
    </w:p>
    <w:p>
      <w:r>
        <w:rPr>
          <w:b/>
          <w:bCs/>
        </w:rPr>
        <w:t xml:space="preserve">5.1.11 </w:t>
      </w:r>
      <w:r>
        <w:t>夹心保温叠合剪墙内、外叶板间应通过保温</w:t>
      </w:r>
      <w:r>
        <w:rPr>
          <w:rFonts w:hint="eastAsia"/>
        </w:rPr>
        <w:t>拉结</w:t>
      </w:r>
      <w:r>
        <w:t>件进行可靠连接，保温</w:t>
      </w:r>
      <w:r>
        <w:rPr>
          <w:rFonts w:hint="eastAsia"/>
        </w:rPr>
        <w:t>拉结</w:t>
      </w:r>
      <w:r>
        <w:t>件的力学性能及</w:t>
      </w:r>
      <w:r>
        <w:rPr>
          <w:rFonts w:hint="eastAsia"/>
        </w:rPr>
        <w:t>拉结</w:t>
      </w:r>
      <w:r>
        <w:t>件与混凝土共同工作的能力应满足设计要求，并满足国家现行有关标准的规定。保温</w:t>
      </w:r>
      <w:r>
        <w:rPr>
          <w:rFonts w:hint="eastAsia"/>
        </w:rPr>
        <w:t>拉结</w:t>
      </w:r>
      <w:r>
        <w:t>件的布置均应根据产品性能进行专项设计，并提供</w:t>
      </w:r>
      <w:r>
        <w:rPr>
          <w:rFonts w:hint="eastAsia"/>
        </w:rPr>
        <w:t>拉结</w:t>
      </w:r>
      <w:r>
        <w:t>件的受力及变形计算分析，以及夹心墙板热工性能计算分析。</w:t>
      </w:r>
    </w:p>
    <w:p>
      <w:pPr>
        <w:pStyle w:val="47"/>
        <w:widowControl/>
        <w:ind w:firstLine="0"/>
        <w:rPr>
          <w:rFonts w:eastAsia="仿宋"/>
          <w:i/>
          <w:spacing w:val="10"/>
          <w:szCs w:val="21"/>
        </w:rPr>
      </w:pPr>
      <w:r>
        <w:rPr>
          <w:rFonts w:eastAsia="仿宋"/>
          <w:i/>
          <w:spacing w:val="10"/>
          <w:szCs w:val="21"/>
        </w:rPr>
        <w:t>【条文说明】5.1.11 夹心保温外墙中内、外叶墙板的连接非常重要。按照内、外叶墙板共同受力的程度，夹心墙板可以划分为非组合受力夹心墙、组合受力夹心墙、部分组合受力夹心墙。非组合受力夹心墙的受力设计分析简单明了，且外叶板可以按照无裂缝混凝土设计，对于国内普遍的高层建筑设计，《装配式混凝土结构技术规程》JGJ1-2014和本规程均推荐非组合受力夹心墙。组合受力夹心墙的内、外叶板受力分配非常复杂，外叶板混凝土在受力状态下可能开裂，必须采取有效措施来保证墙板的耐久性，如外叶板采用纤维混凝土、施加先张法预应力、采用弹性防水涂料等，一般仅适用于单层建筑或非承重的外墙挂板。部分组合受力夹心墙内、外叶墙板之间的组合受力程度必须通过试验分析确定，因此难以应用于工程实践。</w:t>
      </w:r>
    </w:p>
    <w:p>
      <w:pPr>
        <w:pStyle w:val="47"/>
        <w:widowControl/>
        <w:ind w:firstLine="600" w:firstLineChars="200"/>
        <w:rPr>
          <w:rFonts w:eastAsia="仿宋"/>
          <w:i/>
          <w:spacing w:val="10"/>
          <w:szCs w:val="24"/>
        </w:rPr>
      </w:pPr>
      <w:r>
        <w:rPr>
          <w:rFonts w:hint="eastAsia" w:eastAsia="仿宋"/>
          <w:i/>
          <w:spacing w:val="10"/>
          <w:szCs w:val="21"/>
        </w:rPr>
        <w:t>拉结</w:t>
      </w:r>
      <w:r>
        <w:rPr>
          <w:rFonts w:eastAsia="仿宋"/>
          <w:i/>
          <w:spacing w:val="10"/>
          <w:szCs w:val="21"/>
        </w:rPr>
        <w:t>件的物理力学性能和混凝土共同工作的能力均与产品结构有关，不同厂家和型号的产品性能存在较大差异，夹心墙板中的连接件受力和变形也于连接数量、布置方式有很大关系，且对生产、运输、吊装、防涨模等有非常重要的影响，因此必须进行专项设计。在专项设计时，应结合产品的性能检测报告提供的技术参数，对连接件在临时工况和长期使用工况下的受力状态进行计算分析，并应保证在温度变形作用下，对外叶墙混凝土中的拉应力进行分析。</w:t>
      </w:r>
    </w:p>
    <w:p>
      <w:pPr>
        <w:pStyle w:val="3"/>
      </w:pPr>
      <w:bookmarkStart w:id="63" w:name="_Toc45574533"/>
      <w:bookmarkStart w:id="64" w:name="_Toc45313928"/>
      <w:r>
        <w:t>结构布置</w:t>
      </w:r>
      <w:bookmarkEnd w:id="63"/>
      <w:bookmarkEnd w:id="64"/>
    </w:p>
    <w:p>
      <w:pPr>
        <w:rPr>
          <w:rFonts w:eastAsia="仿宋"/>
          <w:spacing w:val="10"/>
        </w:rPr>
      </w:pPr>
      <w:r>
        <w:rPr>
          <w:b/>
          <w:bCs/>
        </w:rPr>
        <w:t xml:space="preserve">5.2.1 </w:t>
      </w:r>
      <w:r>
        <w:t>叠合剪力墙结构平面形状宜简单、规则、对称，质量和刚度分布宜均匀，竖向布置应连续、均匀，应避免结构的侧向刚度和承载力沿竖向突变，并应符合广东省《装配式混凝土建筑结构技术规程》DBJ 15-107的有关规定。</w:t>
      </w:r>
    </w:p>
    <w:p>
      <w:r>
        <w:rPr>
          <w:b/>
          <w:bCs/>
        </w:rPr>
        <w:t xml:space="preserve">5.2.2 </w:t>
      </w:r>
      <w:r>
        <w:t>楼面梁不宜与叠合剪力墙在剪力墙平面外单侧连接，当楼面梁与叠合剪力墙在平面外单侧连接不能避免时，宜采用铰接或在梁与剪力墙相交处设置暗柱或扶壁柱。</w:t>
      </w:r>
    </w:p>
    <w:p>
      <w:pPr>
        <w:pStyle w:val="47"/>
        <w:ind w:firstLine="0"/>
        <w:rPr>
          <w:rFonts w:eastAsia="仿宋"/>
          <w:i/>
          <w:spacing w:val="10"/>
          <w:szCs w:val="24"/>
        </w:rPr>
      </w:pPr>
      <w:r>
        <w:rPr>
          <w:rFonts w:eastAsia="仿宋"/>
          <w:i/>
          <w:spacing w:val="10"/>
          <w:szCs w:val="24"/>
        </w:rPr>
        <w:t>【条文说明】5.2.2 当梁高大于2倍墙厚时，梁端弯矩对墙平面外安全不利，此时应采取措施减小梁端部弯矩对叠合剪力墙的不利影响。</w:t>
      </w:r>
    </w:p>
    <w:p>
      <w:pPr>
        <w:rPr>
          <w:rFonts w:eastAsia="仿宋"/>
          <w:i/>
          <w:spacing w:val="10"/>
          <w:szCs w:val="24"/>
        </w:rPr>
      </w:pPr>
      <w:r>
        <w:rPr>
          <w:rFonts w:eastAsia="仿宋"/>
          <w:i/>
          <w:spacing w:val="10"/>
          <w:szCs w:val="24"/>
        </w:rPr>
        <w:t>当剪力墙平面外仅单侧有梁，且梁荷载较大或跨度不小于3m时，宜设置扶壁柱或暗柱来承受梁端弯矩，梁端可以根据实际情况进行调幅。调幅梁的端顶部和底部纵向钢筋配筋率不应少于最小配筋率且满足钢筋锚固要求，暗柱受弯承载力尚不宜小于梁端截面受弯承载力的1.1倍，大于1.1倍时宜设置扶壁柱。当不能设置扶壁柱时，应在梁与叠合剪力墙相交处设置现浇暗柱或叠合暗柱，并宜按计算确定暗柱配筋。</w:t>
      </w:r>
    </w:p>
    <w:p>
      <w:r>
        <w:rPr>
          <w:b/>
          <w:bCs/>
        </w:rPr>
        <w:t xml:space="preserve">5.2.3 </w:t>
      </w:r>
      <w:r>
        <w:t>叠合剪力墙结构应符合下列规定：</w:t>
      </w:r>
    </w:p>
    <w:p>
      <w:pPr>
        <w:pStyle w:val="47"/>
        <w:numPr>
          <w:ilvl w:val="0"/>
          <w:numId w:val="16"/>
        </w:numPr>
        <w:ind w:left="0" w:firstLine="576" w:firstLineChars="200"/>
      </w:pPr>
      <w:r>
        <w:t>宜双向布置剪力墙，两个方向的侧向刚度不宜相差过大；</w:t>
      </w:r>
    </w:p>
    <w:p>
      <w:pPr>
        <w:pStyle w:val="47"/>
        <w:numPr>
          <w:ilvl w:val="0"/>
          <w:numId w:val="16"/>
        </w:numPr>
        <w:ind w:left="0" w:firstLine="576" w:firstLineChars="200"/>
      </w:pPr>
      <w:r>
        <w:t>宜自下而上连续布置，避免刚度突变；</w:t>
      </w:r>
    </w:p>
    <w:p>
      <w:pPr>
        <w:pStyle w:val="47"/>
        <w:numPr>
          <w:ilvl w:val="0"/>
          <w:numId w:val="16"/>
        </w:numPr>
        <w:ind w:left="0" w:firstLine="576" w:firstLineChars="200"/>
      </w:pPr>
      <w:r>
        <w:t>门窗洞口宜上下对齐，成列布置，形成明确的墙肢和连梁；</w:t>
      </w:r>
    </w:p>
    <w:p>
      <w:pPr>
        <w:pStyle w:val="47"/>
        <w:numPr>
          <w:ilvl w:val="0"/>
          <w:numId w:val="16"/>
        </w:numPr>
        <w:ind w:left="0" w:firstLine="576" w:firstLineChars="200"/>
      </w:pPr>
      <w:r>
        <w:t>叠合剪力墙结构体系底部加强部位的高度可取结构总高度1</w:t>
      </w:r>
      <m:oMath>
        <m:r>
          <m:rPr>
            <m:sty m:val="p"/>
          </m:rPr>
          <w:rPr>
            <w:rFonts w:ascii="Cambria Math" w:hAnsi="Cambria Math"/>
          </w:rPr>
          <m:t>/</m:t>
        </m:r>
      </m:oMath>
      <w:r>
        <w:t>10和底部两层的较大值；部分框支叠合剪力墙结构体系其底部剪力墙加强部位的高度应从地下室</w:t>
      </w:r>
      <w:r>
        <w:rPr>
          <w:rFonts w:hint="eastAsia"/>
        </w:rPr>
        <w:t>顶板</w:t>
      </w:r>
      <w:r>
        <w:t>算起，宜取至转换层以上两层且不宜小于房屋高度的1/10；</w:t>
      </w:r>
    </w:p>
    <w:p>
      <w:pPr>
        <w:pStyle w:val="47"/>
        <w:numPr>
          <w:ilvl w:val="0"/>
          <w:numId w:val="16"/>
        </w:numPr>
        <w:ind w:left="0" w:firstLine="576" w:firstLineChars="200"/>
      </w:pPr>
      <w:r>
        <w:t>叠合剪力墙墙段长度不宜大于8</w:t>
      </w:r>
      <m:oMath>
        <m:r>
          <m:rPr>
            <m:sty m:val="p"/>
          </m:rPr>
          <w:rPr>
            <w:rFonts w:ascii="Cambria Math" w:hAnsi="Cambria Math"/>
          </w:rPr>
          <m:t>m</m:t>
        </m:r>
      </m:oMath>
      <w:r>
        <w:t>，各墙段的高度与长度之比不宜小于3。</w:t>
      </w:r>
    </w:p>
    <w:p>
      <w:pPr>
        <w:rPr>
          <w:rFonts w:eastAsia="仿宋"/>
          <w:i/>
          <w:spacing w:val="10"/>
          <w:szCs w:val="24"/>
        </w:rPr>
      </w:pPr>
      <w:r>
        <w:rPr>
          <w:rFonts w:eastAsia="仿宋"/>
          <w:i/>
          <w:spacing w:val="10"/>
          <w:szCs w:val="24"/>
        </w:rPr>
        <w:t>【条文说明】5.2.3 剪力墙的抗侧刚度较大，墙体布置不连续易造成结构刚度突变。剪力墙洞口的布置方式会明显影响剪力墙的力学性能，洞口成列、成排布置能形成明确的墙肢和连梁，应力分布比较规则。洞口错开时剪力墙的应力分布复杂，计算、构造都比较复杂和困难，不建议采用。</w:t>
      </w:r>
    </w:p>
    <w:p>
      <w:pPr>
        <w:rPr>
          <w:bCs/>
          <w:szCs w:val="24"/>
        </w:rPr>
      </w:pPr>
      <w:r>
        <w:rPr>
          <w:b/>
          <w:bCs/>
        </w:rPr>
        <w:t xml:space="preserve">5.2.4 </w:t>
      </w:r>
      <w:r>
        <w:rPr>
          <w:bCs/>
          <w:szCs w:val="24"/>
        </w:rPr>
        <w:t>叠合剪力墙结构采用较多短肢剪力墙时，应符合下列规定：</w:t>
      </w:r>
    </w:p>
    <w:p>
      <w:pPr>
        <w:pStyle w:val="47"/>
        <w:numPr>
          <w:ilvl w:val="0"/>
          <w:numId w:val="17"/>
        </w:numPr>
        <w:ind w:left="0" w:firstLine="576" w:firstLineChars="200"/>
        <w:rPr>
          <w:bCs/>
          <w:szCs w:val="24"/>
        </w:rPr>
      </w:pPr>
      <w:r>
        <w:rPr>
          <w:bCs/>
          <w:szCs w:val="24"/>
        </w:rPr>
        <w:t>在规定</w:t>
      </w:r>
      <w:r>
        <w:t>水平</w:t>
      </w:r>
      <w:r>
        <w:rPr>
          <w:bCs/>
          <w:szCs w:val="24"/>
        </w:rPr>
        <w:t>地震力作用下，短肢剪力墙承担的底部倾覆力矩不宜大于结构底部总倾覆力矩的50%。</w:t>
      </w:r>
    </w:p>
    <w:p>
      <w:pPr>
        <w:pStyle w:val="47"/>
        <w:numPr>
          <w:ilvl w:val="0"/>
          <w:numId w:val="17"/>
        </w:numPr>
        <w:ind w:left="0" w:firstLine="576" w:firstLineChars="200"/>
        <w:rPr>
          <w:bCs/>
          <w:szCs w:val="24"/>
        </w:rPr>
      </w:pPr>
      <w:r>
        <w:rPr>
          <w:bCs/>
          <w:szCs w:val="24"/>
        </w:rPr>
        <w:t>建筑</w:t>
      </w:r>
      <w:r>
        <w:t>适用</w:t>
      </w:r>
      <w:r>
        <w:rPr>
          <w:bCs/>
          <w:szCs w:val="24"/>
        </w:rPr>
        <w:t>高度应比本规程第5.1.1条规定的最大适用高度降低20m。</w:t>
      </w:r>
    </w:p>
    <w:p>
      <w:pPr>
        <w:rPr>
          <w:rFonts w:eastAsia="仿宋"/>
          <w:i/>
          <w:spacing w:val="10"/>
          <w:szCs w:val="24"/>
        </w:rPr>
      </w:pPr>
      <w:r>
        <w:rPr>
          <w:rFonts w:eastAsia="仿宋"/>
          <w:i/>
          <w:spacing w:val="10"/>
          <w:szCs w:val="24"/>
        </w:rPr>
        <w:t>【条文说明】5.2.4 短肢剪力墙是指截面厚度不大于300mm，各肢截面高度与厚度之比最大值大于4但不大于8的剪力墙。由于短肢剪力墙抗震性能较差，地震区应用经验不多，为安全起见，在高层结构中短肢剪力墙布置不宜过多。短肢剪力墙承担的倾覆力矩不小于结构底部总倾覆力矩的30％时，称为具有较多短肢剪力墙的剪力墙结构。</w:t>
      </w:r>
    </w:p>
    <w:p>
      <w:pPr>
        <w:pStyle w:val="3"/>
      </w:pPr>
      <w:bookmarkStart w:id="65" w:name="_Toc38652816"/>
      <w:bookmarkStart w:id="66" w:name="_Toc45313929"/>
      <w:bookmarkStart w:id="67" w:name="_Toc45574534"/>
      <w:bookmarkStart w:id="68" w:name="_Toc518395642"/>
      <w:bookmarkStart w:id="69" w:name="_Toc532309548"/>
      <w:bookmarkStart w:id="70" w:name="_Toc528327993"/>
      <w:bookmarkStart w:id="71" w:name="_Toc532542991"/>
      <w:r>
        <w:t>结构分析</w:t>
      </w:r>
      <w:bookmarkEnd w:id="65"/>
      <w:bookmarkEnd w:id="66"/>
      <w:bookmarkEnd w:id="67"/>
    </w:p>
    <w:p>
      <w:r>
        <w:rPr>
          <w:b/>
          <w:bCs/>
        </w:rPr>
        <w:t xml:space="preserve">5.3.1 </w:t>
      </w:r>
      <w:r>
        <w:t>在各种设计状况下，叠合剪力墙结构可</w:t>
      </w:r>
      <w:r>
        <w:rPr>
          <w:spacing w:val="0"/>
        </w:rPr>
        <w:t>采用</w:t>
      </w:r>
      <w:r>
        <w:t>与现浇混凝土结构相同的方法进行结构分析。抗震设计时，叠合剪力墙墙肢的水平地震作用弯矩、剪力宜乘以不小于1.1的增大系数。</w:t>
      </w:r>
    </w:p>
    <w:p>
      <w:pPr>
        <w:rPr>
          <w:rFonts w:eastAsia="仿宋"/>
          <w:i/>
          <w:spacing w:val="10"/>
          <w:szCs w:val="21"/>
        </w:rPr>
      </w:pPr>
      <w:r>
        <w:rPr>
          <w:rFonts w:eastAsia="仿宋"/>
          <w:i/>
          <w:spacing w:val="10"/>
          <w:szCs w:val="21"/>
        </w:rPr>
        <w:t>【条文说明】5.3.1 叠合剪力墙接缝位置的连接钢筋采用安全可靠的连接方式，且接缝处新旧混凝土之间采用粗造面等满足本规程要求的构造措施时，结构的整体性能与现浇结构等效，设计中可以采用与现浇混凝土结构相同的方法进行结构分析，并根据本规程的相关规定对计算结果进行适当的调整。</w:t>
      </w:r>
    </w:p>
    <w:p>
      <w:pPr>
        <w:ind w:firstLine="600" w:firstLineChars="200"/>
        <w:rPr>
          <w:rFonts w:eastAsia="仿宋"/>
          <w:i/>
          <w:spacing w:val="10"/>
          <w:szCs w:val="21"/>
        </w:rPr>
      </w:pPr>
      <w:r>
        <w:rPr>
          <w:rFonts w:eastAsia="仿宋"/>
          <w:i/>
          <w:spacing w:val="10"/>
          <w:szCs w:val="21"/>
        </w:rPr>
        <w:t>为保证整体结构及局部结构的安全，本规程按照</w:t>
      </w:r>
      <w:r>
        <w:rPr>
          <w:rFonts w:hint="eastAsia" w:eastAsia="仿宋"/>
          <w:i/>
          <w:spacing w:val="10"/>
          <w:szCs w:val="21"/>
        </w:rPr>
        <w:t>加强</w:t>
      </w:r>
      <w:r>
        <w:rPr>
          <w:rFonts w:eastAsia="仿宋"/>
          <w:i/>
          <w:spacing w:val="10"/>
          <w:szCs w:val="21"/>
        </w:rPr>
        <w:t>削弱</w:t>
      </w:r>
      <w:r>
        <w:rPr>
          <w:rFonts w:hint="eastAsia" w:eastAsia="仿宋"/>
          <w:i/>
          <w:spacing w:val="10"/>
          <w:szCs w:val="21"/>
        </w:rPr>
        <w:t>构件</w:t>
      </w:r>
      <w:r>
        <w:rPr>
          <w:rFonts w:eastAsia="仿宋"/>
          <w:i/>
          <w:spacing w:val="10"/>
          <w:szCs w:val="21"/>
        </w:rPr>
        <w:t>的理念，将抗震设计时叠合剪力墙的水平地震作用下的弯矩和剪力进行了适当放大。</w:t>
      </w:r>
    </w:p>
    <w:p>
      <w:r>
        <w:rPr>
          <w:b/>
          <w:bCs/>
        </w:rPr>
        <w:t xml:space="preserve">5.3.2 </w:t>
      </w:r>
      <w:r>
        <w:t>叠合剪力墙结构承载能力极限状态及正常使用极限状态的作用效应分析可采用弹性方法。</w:t>
      </w:r>
    </w:p>
    <w:p>
      <w:r>
        <w:rPr>
          <w:b/>
          <w:bCs/>
        </w:rPr>
        <w:t xml:space="preserve">5.3.3 </w:t>
      </w:r>
      <w:r>
        <w:t>叠合剪力墙结构中构件及节点的承载力抗震调整系数</w:t>
      </w:r>
      <m:oMath>
        <m:sSub>
          <m:sSubPr>
            <m:ctrlPr>
              <w:rPr>
                <w:rFonts w:ascii="Cambria Math" w:hAnsi="Cambria Math"/>
                <w:spacing w:val="0"/>
                <w:position w:val="1"/>
              </w:rPr>
            </m:ctrlPr>
          </m:sSubPr>
          <m:e>
            <m:r>
              <w:rPr>
                <w:rFonts w:ascii="Cambria Math" w:hAnsi="Cambria Math"/>
                <w:spacing w:val="0"/>
                <w:position w:val="1"/>
              </w:rPr>
              <m:t>γ</m:t>
            </m:r>
            <m:ctrlPr>
              <w:rPr>
                <w:rFonts w:ascii="Cambria Math" w:hAnsi="Cambria Math"/>
                <w:spacing w:val="0"/>
                <w:position w:val="1"/>
              </w:rPr>
            </m:ctrlPr>
          </m:e>
          <m:sub>
            <m:r>
              <m:rPr>
                <m:sty m:val="p"/>
              </m:rPr>
              <w:rPr>
                <w:rFonts w:ascii="Cambria Math" w:hAnsi="Cambria Math"/>
                <w:spacing w:val="0"/>
                <w:position w:val="1"/>
              </w:rPr>
              <m:t>RE</m:t>
            </m:r>
            <m:ctrlPr>
              <w:rPr>
                <w:rFonts w:ascii="Cambria Math" w:hAnsi="Cambria Math"/>
                <w:spacing w:val="0"/>
                <w:position w:val="1"/>
              </w:rPr>
            </m:ctrlPr>
          </m:sub>
        </m:sSub>
      </m:oMath>
      <w:r>
        <w:rPr>
          <w:spacing w:val="0"/>
          <w:position w:val="1"/>
        </w:rPr>
        <w:t>、作用与作用组合、楼层层间最大位移与层高之比的限值、层间弹塑性位移角限制、</w:t>
      </w:r>
      <w:r>
        <w:t>叠合楼盖刚度假定以及楼面梁刚度增大系数</w:t>
      </w:r>
      <w:r>
        <w:rPr>
          <w:spacing w:val="0"/>
          <w:position w:val="1"/>
        </w:rPr>
        <w:t>等均</w:t>
      </w:r>
      <w:r>
        <w:t>应满足现行广东省标准《装配式混凝土建筑结构技术规程》DBJ 15-107的相关要求。</w:t>
      </w:r>
    </w:p>
    <w:bookmarkEnd w:id="68"/>
    <w:bookmarkEnd w:id="69"/>
    <w:bookmarkEnd w:id="70"/>
    <w:bookmarkEnd w:id="71"/>
    <w:p>
      <w:r>
        <w:rPr>
          <w:b/>
          <w:bCs/>
        </w:rPr>
        <w:t xml:space="preserve">5.3.4 </w:t>
      </w:r>
      <w:r>
        <w:t>塔楼以外的地下室墙体可采用叠合墙，其连接构造及计算分析应满足本规程的相关规定。当地下室外墙采用双面叠合墙时，外墙还应符合下列规定：</w:t>
      </w:r>
    </w:p>
    <w:p>
      <w:pPr>
        <w:pStyle w:val="47"/>
        <w:numPr>
          <w:ilvl w:val="0"/>
          <w:numId w:val="18"/>
        </w:numPr>
        <w:ind w:left="0" w:firstLine="576" w:firstLineChars="200"/>
      </w:pPr>
      <w:r>
        <w:t>叠合墙空腔厚度不应小于200mm；</w:t>
      </w:r>
    </w:p>
    <w:p>
      <w:pPr>
        <w:pStyle w:val="47"/>
        <w:numPr>
          <w:ilvl w:val="0"/>
          <w:numId w:val="18"/>
        </w:numPr>
        <w:ind w:left="0" w:firstLine="576" w:firstLineChars="200"/>
      </w:pPr>
      <w:r>
        <w:rPr>
          <w:rFonts w:hint="eastAsia"/>
        </w:rPr>
        <w:t>接</w:t>
      </w:r>
      <w:r>
        <w:t>缝处竖向钢筋伸入叠合墙空腔内的锚固长度不宜小于1.6</w:t>
      </w:r>
      <w:r>
        <w:rPr>
          <w:i/>
          <w:szCs w:val="21"/>
        </w:rPr>
        <w:t>l</w:t>
      </w:r>
      <w:r>
        <w:rPr>
          <w:szCs w:val="21"/>
          <w:vertAlign w:val="subscript"/>
        </w:rPr>
        <w:t>a</w:t>
      </w:r>
      <w:r>
        <w:t>；竖向连接钢筋直径和间距应按墙体平面外受弯构件计算确定，并满足</w:t>
      </w:r>
      <w:r>
        <w:rPr>
          <w:rFonts w:hint="eastAsia"/>
          <w:szCs w:val="24"/>
        </w:rPr>
        <w:t>现行相关标准的</w:t>
      </w:r>
      <w:r>
        <w:t xml:space="preserve">要求； </w:t>
      </w:r>
    </w:p>
    <w:p>
      <w:pPr>
        <w:pStyle w:val="47"/>
        <w:numPr>
          <w:ilvl w:val="0"/>
          <w:numId w:val="18"/>
        </w:numPr>
        <w:ind w:left="0" w:firstLine="576" w:firstLineChars="200"/>
      </w:pPr>
      <w:r>
        <w:t>双面叠合墙下端接缝截面处进行平面外抗弯验算时，钢筋保护层厚度取连接钢筋的保护层厚度；</w:t>
      </w:r>
    </w:p>
    <w:p>
      <w:pPr>
        <w:pStyle w:val="47"/>
        <w:numPr>
          <w:ilvl w:val="0"/>
          <w:numId w:val="18"/>
        </w:numPr>
        <w:ind w:left="0" w:firstLine="576" w:firstLineChars="200"/>
      </w:pPr>
      <w:r>
        <w:t>预制和后浇混凝土的抗渗等级</w:t>
      </w:r>
      <w:r>
        <w:rPr>
          <w:rFonts w:hint="eastAsia"/>
        </w:rPr>
        <w:t>、钢筋保护层厚度</w:t>
      </w:r>
      <w:r>
        <w:t>及</w:t>
      </w:r>
      <w:r>
        <w:rPr>
          <w:rFonts w:hint="eastAsia"/>
        </w:rPr>
        <w:t>其他</w:t>
      </w:r>
      <w:r>
        <w:t>构造措施均应满足国家现行标准的相关规定。</w:t>
      </w:r>
    </w:p>
    <w:p>
      <w:pPr>
        <w:pStyle w:val="47"/>
        <w:widowControl/>
        <w:ind w:firstLine="0"/>
        <w:rPr>
          <w:rFonts w:eastAsia="仿宋"/>
          <w:i/>
          <w:spacing w:val="10"/>
          <w:szCs w:val="24"/>
        </w:rPr>
      </w:pPr>
      <w:r>
        <w:rPr>
          <w:rFonts w:eastAsia="仿宋"/>
          <w:i/>
          <w:spacing w:val="10"/>
          <w:szCs w:val="24"/>
        </w:rPr>
        <w:t>【条文说明】5.3.4 地下室墙体为非塔楼主体结构竖向承重墙时，如为增加刚度设置的隔墙、人防墙等也可以采用双面叠合墙，但是其构造及计算均需满足本规程及现行相关规范的要求。为了使墙体平面外弯矩等内力在拼缝处得有效传递，竖向连接钢筋应根据其考虑接缝处平面外抗弯验算，并考虑有效墙截面损失情况。地下室外墙采用双面叠合墙时其受力特点和要求不同于内部墙体，所以另外增加了计算与构造要求，如条款和图5.3.4所示。</w:t>
      </w:r>
    </w:p>
    <w:p>
      <w:pPr>
        <w:pStyle w:val="54"/>
      </w:pPr>
      <w:r>
        <w:drawing>
          <wp:inline distT="0" distB="0" distL="0" distR="0">
            <wp:extent cx="2032635" cy="3056890"/>
            <wp:effectExtent l="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45083" cy="3075617"/>
                    </a:xfrm>
                    <a:prstGeom prst="rect">
                      <a:avLst/>
                    </a:prstGeom>
                    <a:noFill/>
                    <a:ln>
                      <a:noFill/>
                    </a:ln>
                  </pic:spPr>
                </pic:pic>
              </a:graphicData>
            </a:graphic>
          </wp:inline>
        </w:drawing>
      </w:r>
    </w:p>
    <w:p>
      <w:pPr>
        <w:pStyle w:val="54"/>
      </w:pPr>
      <w:r>
        <w:t>图5.3.4 地下室叠合外墙构造示意</w:t>
      </w:r>
    </w:p>
    <w:p>
      <w:pPr>
        <w:jc w:val="center"/>
        <w:rPr>
          <w:rFonts w:eastAsia="仿宋"/>
          <w:spacing w:val="10"/>
          <w:sz w:val="24"/>
          <w:szCs w:val="20"/>
        </w:rPr>
      </w:pPr>
      <w:r>
        <w:rPr>
          <w:rFonts w:eastAsia="仿宋"/>
          <w:spacing w:val="10"/>
          <w:sz w:val="24"/>
          <w:szCs w:val="20"/>
        </w:rPr>
        <w:t>1—叠合墙；2—竖向连接钢筋；3—止水钢板；4—基础或地下室楼板；</w:t>
      </w:r>
    </w:p>
    <w:p>
      <w:pPr>
        <w:jc w:val="center"/>
        <w:rPr>
          <w:rFonts w:eastAsia="仿宋"/>
          <w:spacing w:val="10"/>
          <w:sz w:val="24"/>
          <w:szCs w:val="20"/>
        </w:rPr>
      </w:pPr>
      <w:r>
        <w:rPr>
          <w:rFonts w:eastAsia="仿宋"/>
          <w:spacing w:val="10"/>
          <w:sz w:val="24"/>
          <w:szCs w:val="20"/>
        </w:rPr>
        <w:t>Δ—水平缝高度</w:t>
      </w:r>
    </w:p>
    <w:p>
      <w:pPr>
        <w:pStyle w:val="2"/>
        <w:pageBreakBefore/>
        <w:spacing w:before="312" w:after="312"/>
        <w:ind w:left="425" w:hanging="431"/>
      </w:pPr>
      <w:bookmarkStart w:id="72" w:name="_Toc45574535"/>
      <w:bookmarkStart w:id="73" w:name="_Toc45313930"/>
      <w:r>
        <w:t>叠合剪力墙设计</w:t>
      </w:r>
      <w:bookmarkEnd w:id="72"/>
      <w:bookmarkEnd w:id="73"/>
    </w:p>
    <w:p>
      <w:pPr>
        <w:pStyle w:val="3"/>
      </w:pPr>
      <w:bookmarkStart w:id="74" w:name="_Toc45313931"/>
      <w:bookmarkStart w:id="75" w:name="_Toc45574536"/>
      <w:r>
        <w:t>一般规定</w:t>
      </w:r>
      <w:bookmarkEnd w:id="74"/>
      <w:bookmarkEnd w:id="75"/>
    </w:p>
    <w:p>
      <w:bookmarkStart w:id="76" w:name="_Hlk37766816"/>
      <w:bookmarkStart w:id="77" w:name="_Toc532542997"/>
      <w:r>
        <w:rPr>
          <w:b/>
          <w:bCs/>
        </w:rPr>
        <w:t>6.1.1</w:t>
      </w:r>
      <w:r>
        <w:t>叠合剪力墙应符合下列要求：</w:t>
      </w:r>
    </w:p>
    <w:p>
      <w:pPr>
        <w:pStyle w:val="47"/>
        <w:numPr>
          <w:ilvl w:val="0"/>
          <w:numId w:val="19"/>
        </w:numPr>
        <w:ind w:left="0" w:firstLine="576" w:firstLineChars="200"/>
        <w:rPr>
          <w:bCs/>
          <w:szCs w:val="32"/>
        </w:rPr>
      </w:pPr>
      <w:r>
        <w:rPr>
          <w:bCs/>
          <w:szCs w:val="32"/>
        </w:rPr>
        <w:t>墙厚应</w:t>
      </w:r>
      <w:r>
        <w:t>符合</w:t>
      </w:r>
      <w:r>
        <w:rPr>
          <w:bCs/>
          <w:szCs w:val="32"/>
        </w:rPr>
        <w:t>现行行业标准《高层建筑混凝土结构技术规程》JGJ 3</w:t>
      </w:r>
      <w:r>
        <w:t>中墙体稳定验算的有关规定；</w:t>
      </w:r>
    </w:p>
    <w:p>
      <w:pPr>
        <w:pStyle w:val="47"/>
        <w:numPr>
          <w:ilvl w:val="0"/>
          <w:numId w:val="19"/>
        </w:numPr>
        <w:ind w:left="0" w:firstLine="576" w:firstLineChars="200"/>
        <w:rPr>
          <w:bCs/>
          <w:szCs w:val="32"/>
        </w:rPr>
      </w:pPr>
      <w:r>
        <w:t>叠合剪力墙的计算厚度</w:t>
      </w:r>
      <w:r>
        <w:rPr>
          <w:i/>
          <w:iCs/>
        </w:rPr>
        <w:t>b</w:t>
      </w:r>
      <w:r>
        <w:rPr>
          <w:iCs/>
          <w:vertAlign w:val="subscript"/>
        </w:rPr>
        <w:t>w</w:t>
      </w:r>
      <w:r>
        <w:t>取叠合剪力墙全截面有效结构厚度：双面叠合剪力墙厚度取叶板厚度</w:t>
      </w:r>
      <w:r>
        <w:rPr>
          <w:bCs/>
          <w:i/>
          <w:iCs/>
          <w:szCs w:val="28"/>
        </w:rPr>
        <w:t>t</w:t>
      </w:r>
      <w:r>
        <w:rPr>
          <w:bCs/>
          <w:iCs/>
          <w:szCs w:val="28"/>
          <w:vertAlign w:val="subscript"/>
        </w:rPr>
        <w:t>1</w:t>
      </w:r>
      <w:r>
        <w:t>、</w:t>
      </w:r>
      <w:r>
        <w:rPr>
          <w:bCs/>
          <w:i/>
          <w:iCs/>
          <w:szCs w:val="28"/>
        </w:rPr>
        <w:t>t</w:t>
      </w:r>
      <w:r>
        <w:rPr>
          <w:bCs/>
          <w:iCs/>
          <w:szCs w:val="28"/>
          <w:vertAlign w:val="subscript"/>
        </w:rPr>
        <w:t>2</w:t>
      </w:r>
      <w:r>
        <w:t>与后浇混凝土厚度</w:t>
      </w:r>
      <w:r>
        <w:rPr>
          <w:bCs/>
          <w:i/>
          <w:iCs/>
          <w:szCs w:val="28"/>
        </w:rPr>
        <w:t>t</w:t>
      </w:r>
      <w:r>
        <w:rPr>
          <w:bCs/>
          <w:i/>
          <w:iCs/>
          <w:szCs w:val="28"/>
          <w:vertAlign w:val="subscript"/>
        </w:rPr>
        <w:t>0</w:t>
      </w:r>
      <w:r>
        <w:t>之和；单面</w:t>
      </w:r>
      <w:r>
        <w:rPr>
          <w:rFonts w:hint="eastAsia"/>
        </w:rPr>
        <w:t>叠合剪力墙</w:t>
      </w:r>
      <w:r>
        <w:t>、夹心保温叠合剪力墙的计算厚度取叶板厚度</w:t>
      </w:r>
      <w:r>
        <w:rPr>
          <w:bCs/>
          <w:i/>
          <w:iCs/>
          <w:szCs w:val="28"/>
        </w:rPr>
        <w:t>t</w:t>
      </w:r>
      <w:r>
        <w:rPr>
          <w:bCs/>
          <w:i/>
          <w:iCs/>
          <w:szCs w:val="28"/>
          <w:vertAlign w:val="subscript"/>
        </w:rPr>
        <w:t>1</w:t>
      </w:r>
      <w:r>
        <w:t>与后浇混凝土厚度</w:t>
      </w:r>
      <w:r>
        <w:rPr>
          <w:bCs/>
          <w:i/>
          <w:iCs/>
          <w:szCs w:val="28"/>
        </w:rPr>
        <w:t>t</w:t>
      </w:r>
      <w:r>
        <w:rPr>
          <w:bCs/>
          <w:iCs/>
          <w:szCs w:val="28"/>
          <w:vertAlign w:val="subscript"/>
        </w:rPr>
        <w:t>0</w:t>
      </w:r>
      <w:r>
        <w:t>之和</w:t>
      </w:r>
      <w:r>
        <w:rPr>
          <w:bCs/>
          <w:szCs w:val="32"/>
        </w:rPr>
        <w:t>（图</w:t>
      </w:r>
      <w:r>
        <w:t>6.1.1</w:t>
      </w:r>
      <w:r>
        <w:rPr>
          <w:bCs/>
          <w:szCs w:val="32"/>
        </w:rPr>
        <w:t>）</w:t>
      </w:r>
      <w:r>
        <w:t>。</w:t>
      </w:r>
    </w:p>
    <w:p>
      <w:pPr>
        <w:pStyle w:val="47"/>
        <w:numPr>
          <w:ilvl w:val="0"/>
          <w:numId w:val="19"/>
        </w:numPr>
        <w:ind w:left="0" w:firstLine="576" w:firstLineChars="200"/>
        <w:rPr>
          <w:bCs/>
          <w:szCs w:val="32"/>
        </w:rPr>
      </w:pPr>
      <w:r>
        <w:rPr>
          <w:bCs/>
          <w:szCs w:val="32"/>
        </w:rPr>
        <w:t>墙肢</w:t>
      </w:r>
      <w:r>
        <w:t>厚度</w:t>
      </w:r>
      <w:r>
        <w:rPr>
          <w:b/>
          <w:bCs/>
          <w:i/>
          <w:kern w:val="0"/>
          <w:sz w:val="24"/>
          <w:szCs w:val="24"/>
        </w:rPr>
        <w:t>b</w:t>
      </w:r>
      <w:r>
        <w:rPr>
          <w:b/>
          <w:bCs/>
          <w:kern w:val="0"/>
          <w:sz w:val="24"/>
          <w:szCs w:val="24"/>
          <w:vertAlign w:val="subscript"/>
        </w:rPr>
        <w:t>w</w:t>
      </w:r>
      <w:r>
        <w:rPr>
          <w:bCs/>
          <w:szCs w:val="32"/>
        </w:rPr>
        <w:t>不宜小于200mm，叶板厚度不宜小于50mm（图</w:t>
      </w:r>
      <w:r>
        <w:t>6.1.1</w:t>
      </w:r>
      <w:r>
        <w:rPr>
          <w:bCs/>
          <w:szCs w:val="32"/>
        </w:rPr>
        <w:t>）。</w:t>
      </w:r>
    </w:p>
    <w:p>
      <w:pPr>
        <w:pStyle w:val="47"/>
        <w:numPr>
          <w:ilvl w:val="0"/>
          <w:numId w:val="19"/>
        </w:numPr>
        <w:ind w:left="0" w:firstLine="576" w:firstLineChars="200"/>
        <w:rPr>
          <w:bCs/>
          <w:szCs w:val="32"/>
        </w:rPr>
      </w:pPr>
      <w:r>
        <w:rPr>
          <w:bCs/>
          <w:szCs w:val="32"/>
        </w:rPr>
        <w:t>叠合</w:t>
      </w:r>
      <w:r>
        <w:t>剪力</w:t>
      </w:r>
      <w:r>
        <w:rPr>
          <w:bCs/>
          <w:szCs w:val="32"/>
        </w:rPr>
        <w:t>墙后浇混凝土厚度</w:t>
      </w:r>
      <w:r>
        <w:rPr>
          <w:bCs/>
          <w:i/>
          <w:iCs/>
          <w:szCs w:val="28"/>
        </w:rPr>
        <w:t>t</w:t>
      </w:r>
      <w:r>
        <w:rPr>
          <w:bCs/>
          <w:iCs/>
          <w:szCs w:val="28"/>
          <w:vertAlign w:val="subscript"/>
        </w:rPr>
        <w:t>0</w:t>
      </w:r>
      <w:r>
        <w:rPr>
          <w:bCs/>
          <w:szCs w:val="32"/>
        </w:rPr>
        <w:t>不应小于100mm（图</w:t>
      </w:r>
      <w:r>
        <w:t>6.1.1</w:t>
      </w:r>
      <w:r>
        <w:rPr>
          <w:bCs/>
          <w:szCs w:val="32"/>
        </w:rPr>
        <w:t>）。</w:t>
      </w:r>
    </w:p>
    <w:p>
      <w:pPr>
        <w:pStyle w:val="47"/>
        <w:numPr>
          <w:ilvl w:val="0"/>
          <w:numId w:val="19"/>
        </w:numPr>
        <w:ind w:left="0" w:firstLine="576" w:firstLineChars="200"/>
        <w:rPr>
          <w:bCs/>
          <w:szCs w:val="32"/>
        </w:rPr>
      </w:pPr>
      <w:r>
        <w:rPr>
          <w:bCs/>
          <w:szCs w:val="32"/>
        </w:rPr>
        <w:t>预制</w:t>
      </w:r>
      <w:r>
        <w:rPr>
          <w:rFonts w:hint="eastAsia"/>
          <w:bCs/>
          <w:szCs w:val="32"/>
        </w:rPr>
        <w:t>叶</w:t>
      </w:r>
      <w:r>
        <w:rPr>
          <w:bCs/>
          <w:szCs w:val="32"/>
        </w:rPr>
        <w:t>板中</w:t>
      </w:r>
      <w:r>
        <w:rPr>
          <w:rFonts w:hint="eastAsia"/>
          <w:bCs/>
          <w:szCs w:val="32"/>
        </w:rPr>
        <w:t>最外侧</w:t>
      </w:r>
      <w:r>
        <w:rPr>
          <w:bCs/>
          <w:szCs w:val="32"/>
        </w:rPr>
        <w:t>钢筋的混凝土保护层厚度应符合现行国家标准《混凝土结构</w:t>
      </w:r>
      <w:r>
        <w:t>设计规范》GB 50010的规定，夹心保温叠合墙靠保温层一侧</w:t>
      </w:r>
      <w:r>
        <w:rPr>
          <w:rFonts w:hint="eastAsia"/>
        </w:rPr>
        <w:t>钢筋</w:t>
      </w:r>
      <w:r>
        <w:t>的混凝土保护层厚度不应小于15mm。</w:t>
      </w:r>
    </w:p>
    <w:tbl>
      <w:tblPr>
        <w:tblStyle w:val="30"/>
        <w:tblW w:w="8505" w:type="dxa"/>
        <w:tblInd w:w="0" w:type="dxa"/>
        <w:tblLayout w:type="fixed"/>
        <w:tblCellMar>
          <w:top w:w="0" w:type="dxa"/>
          <w:left w:w="108" w:type="dxa"/>
          <w:bottom w:w="0" w:type="dxa"/>
          <w:right w:w="108" w:type="dxa"/>
        </w:tblCellMar>
      </w:tblPr>
      <w:tblGrid>
        <w:gridCol w:w="4242"/>
        <w:gridCol w:w="4263"/>
      </w:tblGrid>
      <w:tr>
        <w:tblPrEx>
          <w:tblCellMar>
            <w:top w:w="0" w:type="dxa"/>
            <w:left w:w="108" w:type="dxa"/>
            <w:bottom w:w="0" w:type="dxa"/>
            <w:right w:w="108" w:type="dxa"/>
          </w:tblCellMar>
        </w:tblPrEx>
        <w:tc>
          <w:tcPr>
            <w:tcW w:w="4242" w:type="dxa"/>
            <w:vAlign w:val="center"/>
          </w:tcPr>
          <w:p>
            <w:pPr>
              <w:pStyle w:val="51"/>
              <w:ind w:right="876"/>
              <w:rPr>
                <w:kern w:val="0"/>
              </w:rPr>
            </w:pPr>
          </w:p>
          <w:p>
            <w:pPr>
              <w:pStyle w:val="51"/>
              <w:ind w:right="876"/>
              <w:rPr>
                <w:kern w:val="0"/>
              </w:rPr>
            </w:pPr>
            <w:r>
              <w:rPr>
                <w:kern w:val="0"/>
              </w:rPr>
              <w:drawing>
                <wp:inline distT="0" distB="0" distL="0" distR="0">
                  <wp:extent cx="2553335" cy="772160"/>
                  <wp:effectExtent l="0" t="0" r="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53335" cy="772160"/>
                          </a:xfrm>
                          <a:prstGeom prst="rect">
                            <a:avLst/>
                          </a:prstGeom>
                          <a:noFill/>
                          <a:ln>
                            <a:noFill/>
                          </a:ln>
                        </pic:spPr>
                      </pic:pic>
                    </a:graphicData>
                  </a:graphic>
                </wp:inline>
              </w:drawing>
            </w:r>
          </w:p>
          <w:p>
            <w:pPr>
              <w:pStyle w:val="51"/>
              <w:ind w:right="876"/>
              <w:rPr>
                <w:kern w:val="0"/>
              </w:rPr>
            </w:pPr>
          </w:p>
        </w:tc>
        <w:tc>
          <w:tcPr>
            <w:tcW w:w="4263" w:type="dxa"/>
            <w:vAlign w:val="center"/>
          </w:tcPr>
          <w:p>
            <w:pPr>
              <w:pStyle w:val="51"/>
            </w:pPr>
            <w:r>
              <w:drawing>
                <wp:inline distT="0" distB="0" distL="0" distR="0">
                  <wp:extent cx="2534920" cy="1002665"/>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54359" cy="1010451"/>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0" w:hRule="atLeast"/>
        </w:trPr>
        <w:tc>
          <w:tcPr>
            <w:tcW w:w="4242" w:type="dxa"/>
            <w:vAlign w:val="center"/>
          </w:tcPr>
          <w:p>
            <w:pPr>
              <w:pStyle w:val="51"/>
              <w:rPr>
                <w:sz w:val="24"/>
                <w:szCs w:val="24"/>
              </w:rPr>
            </w:pPr>
            <w:r>
              <w:rPr>
                <w:sz w:val="24"/>
                <w:szCs w:val="24"/>
              </w:rPr>
              <w:t>（</w:t>
            </w:r>
            <w:r>
              <w:rPr>
                <w:rFonts w:hint="eastAsia"/>
                <w:sz w:val="24"/>
                <w:szCs w:val="24"/>
              </w:rPr>
              <w:t>a</w:t>
            </w:r>
            <w:r>
              <w:rPr>
                <w:sz w:val="24"/>
                <w:szCs w:val="24"/>
              </w:rPr>
              <w:t>）双面叠合剪力墙</w:t>
            </w:r>
          </w:p>
        </w:tc>
        <w:tc>
          <w:tcPr>
            <w:tcW w:w="4263" w:type="dxa"/>
            <w:vAlign w:val="center"/>
          </w:tcPr>
          <w:p>
            <w:pPr>
              <w:pStyle w:val="51"/>
              <w:rPr>
                <w:sz w:val="24"/>
                <w:szCs w:val="24"/>
              </w:rPr>
            </w:pPr>
            <w:r>
              <w:rPr>
                <w:sz w:val="24"/>
                <w:szCs w:val="24"/>
              </w:rPr>
              <w:t>（b）夹心保温叠合</w:t>
            </w:r>
            <w:r>
              <w:rPr>
                <w:rFonts w:hint="eastAsia"/>
                <w:sz w:val="24"/>
                <w:szCs w:val="24"/>
              </w:rPr>
              <w:t>剪力</w:t>
            </w:r>
            <w:r>
              <w:rPr>
                <w:sz w:val="24"/>
                <w:szCs w:val="24"/>
              </w:rPr>
              <w:t>墙</w:t>
            </w:r>
          </w:p>
        </w:tc>
      </w:tr>
      <w:tr>
        <w:tblPrEx>
          <w:tblCellMar>
            <w:top w:w="0" w:type="dxa"/>
            <w:left w:w="108" w:type="dxa"/>
            <w:bottom w:w="0" w:type="dxa"/>
            <w:right w:w="108" w:type="dxa"/>
          </w:tblCellMar>
        </w:tblPrEx>
        <w:trPr>
          <w:trHeight w:val="1701" w:hRule="atLeast"/>
        </w:trPr>
        <w:tc>
          <w:tcPr>
            <w:tcW w:w="8505" w:type="dxa"/>
            <w:gridSpan w:val="2"/>
            <w:vAlign w:val="bottom"/>
          </w:tcPr>
          <w:p>
            <w:pPr>
              <w:pStyle w:val="51"/>
              <w:rPr>
                <w:sz w:val="24"/>
                <w:szCs w:val="24"/>
              </w:rPr>
            </w:pPr>
            <w:r>
              <w:rPr>
                <w:sz w:val="24"/>
                <w:szCs w:val="24"/>
              </w:rPr>
              <w:drawing>
                <wp:inline distT="0" distB="0" distL="0" distR="0">
                  <wp:extent cx="2487295" cy="701040"/>
                  <wp:effectExtent l="0" t="0" r="825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77307" cy="726367"/>
                          </a:xfrm>
                          <a:prstGeom prst="rect">
                            <a:avLst/>
                          </a:prstGeom>
                          <a:noFill/>
                          <a:ln>
                            <a:noFill/>
                          </a:ln>
                        </pic:spPr>
                      </pic:pic>
                    </a:graphicData>
                  </a:graphic>
                </wp:inline>
              </w:drawing>
            </w:r>
          </w:p>
          <w:p>
            <w:pPr>
              <w:pStyle w:val="51"/>
              <w:rPr>
                <w:sz w:val="24"/>
                <w:szCs w:val="24"/>
              </w:rPr>
            </w:pPr>
            <w:r>
              <w:rPr>
                <w:sz w:val="24"/>
                <w:szCs w:val="24"/>
              </w:rPr>
              <w:t>（c）单面叠合剪力墙</w:t>
            </w:r>
          </w:p>
        </w:tc>
      </w:tr>
      <w:tr>
        <w:tblPrEx>
          <w:tblCellMar>
            <w:top w:w="0" w:type="dxa"/>
            <w:left w:w="108" w:type="dxa"/>
            <w:bottom w:w="0" w:type="dxa"/>
            <w:right w:w="108" w:type="dxa"/>
          </w:tblCellMar>
        </w:tblPrEx>
        <w:tc>
          <w:tcPr>
            <w:tcW w:w="8505" w:type="dxa"/>
            <w:gridSpan w:val="2"/>
            <w:vAlign w:val="center"/>
          </w:tcPr>
          <w:p>
            <w:pPr>
              <w:pStyle w:val="51"/>
              <w:rPr>
                <w:bCs/>
                <w:sz w:val="24"/>
                <w:szCs w:val="24"/>
              </w:rPr>
            </w:pPr>
            <w:r>
              <w:rPr>
                <w:bCs/>
                <w:sz w:val="24"/>
                <w:szCs w:val="24"/>
              </w:rPr>
              <w:t>图</w:t>
            </w:r>
            <w:r>
              <w:rPr>
                <w:sz w:val="24"/>
                <w:szCs w:val="24"/>
              </w:rPr>
              <w:t xml:space="preserve">6.1.1 </w:t>
            </w:r>
            <w:r>
              <w:rPr>
                <w:bCs/>
                <w:sz w:val="24"/>
                <w:szCs w:val="24"/>
              </w:rPr>
              <w:t>叠合剪力墙构造</w:t>
            </w:r>
          </w:p>
          <w:p>
            <w:pPr>
              <w:pStyle w:val="51"/>
              <w:ind w:left="720"/>
              <w:jc w:val="left"/>
              <w:rPr>
                <w:b w:val="0"/>
                <w:bCs/>
                <w:sz w:val="24"/>
                <w:szCs w:val="24"/>
              </w:rPr>
            </w:pPr>
            <w:r>
              <w:rPr>
                <w:rFonts w:hint="eastAsia"/>
                <w:b w:val="0"/>
                <w:bCs/>
                <w:kern w:val="0"/>
                <w:sz w:val="24"/>
                <w:szCs w:val="24"/>
              </w:rPr>
              <w:t>1</w:t>
            </w:r>
            <w:r>
              <w:rPr>
                <w:b w:val="0"/>
                <w:bCs/>
                <w:sz w:val="24"/>
                <w:szCs w:val="24"/>
              </w:rPr>
              <w:t>—</w:t>
            </w:r>
            <w:r>
              <w:rPr>
                <w:b w:val="0"/>
                <w:bCs/>
                <w:kern w:val="0"/>
                <w:sz w:val="24"/>
                <w:szCs w:val="24"/>
              </w:rPr>
              <w:t>预制叶板；2</w:t>
            </w:r>
            <w:r>
              <w:rPr>
                <w:b w:val="0"/>
                <w:bCs/>
                <w:sz w:val="24"/>
                <w:szCs w:val="24"/>
              </w:rPr>
              <w:t>—</w:t>
            </w:r>
            <w:r>
              <w:rPr>
                <w:b w:val="0"/>
                <w:bCs/>
                <w:kern w:val="0"/>
                <w:sz w:val="24"/>
                <w:szCs w:val="24"/>
              </w:rPr>
              <w:t>现浇部分；3</w:t>
            </w:r>
            <w:r>
              <w:rPr>
                <w:b w:val="0"/>
                <w:bCs/>
                <w:sz w:val="24"/>
                <w:szCs w:val="24"/>
              </w:rPr>
              <w:t>—</w:t>
            </w:r>
            <w:r>
              <w:rPr>
                <w:b w:val="0"/>
                <w:bCs/>
                <w:kern w:val="0"/>
                <w:sz w:val="24"/>
                <w:szCs w:val="24"/>
              </w:rPr>
              <w:t>钢筋桁架；</w:t>
            </w:r>
          </w:p>
          <w:p>
            <w:pPr>
              <w:pStyle w:val="51"/>
              <w:ind w:left="720"/>
              <w:jc w:val="left"/>
              <w:rPr>
                <w:b w:val="0"/>
                <w:bCs/>
                <w:sz w:val="24"/>
                <w:szCs w:val="24"/>
              </w:rPr>
            </w:pPr>
            <w:r>
              <w:rPr>
                <w:b w:val="0"/>
                <w:bCs/>
                <w:sz w:val="24"/>
                <w:szCs w:val="24"/>
              </w:rPr>
              <w:t>4—保温层</w:t>
            </w:r>
            <w:r>
              <w:rPr>
                <w:rFonts w:hint="eastAsia"/>
                <w:b w:val="0"/>
                <w:bCs/>
                <w:sz w:val="24"/>
                <w:szCs w:val="24"/>
              </w:rPr>
              <w:t>叠合墙外叶板</w:t>
            </w:r>
            <w:r>
              <w:rPr>
                <w:b w:val="0"/>
                <w:bCs/>
                <w:sz w:val="24"/>
                <w:szCs w:val="24"/>
              </w:rPr>
              <w:t>；5—保温层；6—保温连接件；</w:t>
            </w:r>
          </w:p>
          <w:p>
            <w:pPr>
              <w:pStyle w:val="51"/>
              <w:ind w:left="720"/>
              <w:jc w:val="left"/>
              <w:rPr>
                <w:b w:val="0"/>
                <w:bCs/>
                <w:kern w:val="0"/>
                <w:sz w:val="24"/>
                <w:szCs w:val="24"/>
              </w:rPr>
            </w:pPr>
            <w:r>
              <w:rPr>
                <w:b w:val="0"/>
                <w:bCs/>
                <w:i/>
                <w:kern w:val="0"/>
                <w:sz w:val="24"/>
                <w:szCs w:val="24"/>
              </w:rPr>
              <w:t>t</w:t>
            </w:r>
            <w:r>
              <w:rPr>
                <w:b w:val="0"/>
                <w:bCs/>
                <w:kern w:val="0"/>
                <w:sz w:val="24"/>
                <w:szCs w:val="24"/>
                <w:vertAlign w:val="subscript"/>
              </w:rPr>
              <w:t>0</w:t>
            </w:r>
            <w:r>
              <w:rPr>
                <w:b w:val="0"/>
                <w:bCs/>
                <w:sz w:val="24"/>
                <w:szCs w:val="24"/>
              </w:rPr>
              <w:t>—</w:t>
            </w:r>
            <w:r>
              <w:rPr>
                <w:b w:val="0"/>
                <w:bCs/>
                <w:kern w:val="0"/>
                <w:sz w:val="24"/>
                <w:szCs w:val="24"/>
              </w:rPr>
              <w:t>后浇混凝土厚度；</w:t>
            </w:r>
            <w:r>
              <w:rPr>
                <w:b w:val="0"/>
                <w:bCs/>
                <w:i/>
                <w:kern w:val="0"/>
                <w:sz w:val="24"/>
                <w:szCs w:val="24"/>
              </w:rPr>
              <w:t>t</w:t>
            </w:r>
            <w:r>
              <w:rPr>
                <w:b w:val="0"/>
                <w:bCs/>
                <w:kern w:val="0"/>
                <w:sz w:val="24"/>
                <w:szCs w:val="24"/>
                <w:vertAlign w:val="subscript"/>
              </w:rPr>
              <w:t>1</w:t>
            </w:r>
            <w:r>
              <w:rPr>
                <w:b w:val="0"/>
                <w:bCs/>
                <w:sz w:val="24"/>
                <w:szCs w:val="24"/>
              </w:rPr>
              <w:t>—单侧</w:t>
            </w:r>
            <w:r>
              <w:rPr>
                <w:b w:val="0"/>
                <w:bCs/>
                <w:kern w:val="0"/>
                <w:sz w:val="24"/>
                <w:szCs w:val="24"/>
              </w:rPr>
              <w:t>叶板厚度；</w:t>
            </w:r>
            <w:r>
              <w:rPr>
                <w:b w:val="0"/>
                <w:bCs/>
                <w:i/>
                <w:kern w:val="0"/>
                <w:sz w:val="24"/>
                <w:szCs w:val="24"/>
              </w:rPr>
              <w:t>t</w:t>
            </w:r>
            <w:r>
              <w:rPr>
                <w:b w:val="0"/>
                <w:bCs/>
                <w:kern w:val="0"/>
                <w:sz w:val="24"/>
                <w:szCs w:val="24"/>
                <w:vertAlign w:val="subscript"/>
              </w:rPr>
              <w:t>2</w:t>
            </w:r>
            <w:r>
              <w:rPr>
                <w:b w:val="0"/>
                <w:bCs/>
                <w:sz w:val="24"/>
                <w:szCs w:val="24"/>
              </w:rPr>
              <w:t>—</w:t>
            </w:r>
            <w:r>
              <w:rPr>
                <w:b w:val="0"/>
                <w:bCs/>
                <w:kern w:val="0"/>
                <w:sz w:val="24"/>
                <w:szCs w:val="24"/>
              </w:rPr>
              <w:t>另一侧叶板厚度；</w:t>
            </w:r>
          </w:p>
          <w:p>
            <w:pPr>
              <w:pStyle w:val="51"/>
              <w:ind w:left="720"/>
              <w:jc w:val="left"/>
              <w:rPr>
                <w:b w:val="0"/>
                <w:bCs/>
                <w:sz w:val="24"/>
                <w:szCs w:val="24"/>
              </w:rPr>
            </w:pPr>
            <w:r>
              <w:rPr>
                <w:b w:val="0"/>
                <w:bCs/>
                <w:i/>
                <w:sz w:val="24"/>
                <w:szCs w:val="24"/>
              </w:rPr>
              <w:t>t</w:t>
            </w:r>
            <w:r>
              <w:rPr>
                <w:b w:val="0"/>
                <w:bCs/>
                <w:sz w:val="24"/>
                <w:szCs w:val="24"/>
                <w:vertAlign w:val="subscript"/>
              </w:rPr>
              <w:t>3</w:t>
            </w:r>
            <w:r>
              <w:rPr>
                <w:b w:val="0"/>
                <w:bCs/>
                <w:sz w:val="24"/>
                <w:szCs w:val="24"/>
              </w:rPr>
              <w:t>—外叶板厚度；</w:t>
            </w:r>
            <w:r>
              <w:rPr>
                <w:b w:val="0"/>
                <w:bCs/>
                <w:i/>
                <w:sz w:val="24"/>
                <w:szCs w:val="24"/>
              </w:rPr>
              <w:t>t</w:t>
            </w:r>
            <w:r>
              <w:rPr>
                <w:b w:val="0"/>
                <w:bCs/>
                <w:sz w:val="24"/>
                <w:szCs w:val="24"/>
                <w:vertAlign w:val="subscript"/>
              </w:rPr>
              <w:t>4</w:t>
            </w:r>
            <w:r>
              <w:rPr>
                <w:b w:val="0"/>
                <w:bCs/>
                <w:sz w:val="24"/>
                <w:szCs w:val="24"/>
              </w:rPr>
              <w:t>—保温层厚度；</w:t>
            </w:r>
            <w:r>
              <w:rPr>
                <w:b w:val="0"/>
                <w:bCs/>
                <w:i/>
                <w:kern w:val="0"/>
                <w:sz w:val="24"/>
                <w:szCs w:val="24"/>
              </w:rPr>
              <w:t>b</w:t>
            </w:r>
            <w:r>
              <w:rPr>
                <w:b w:val="0"/>
                <w:bCs/>
                <w:kern w:val="0"/>
                <w:sz w:val="24"/>
                <w:szCs w:val="24"/>
                <w:vertAlign w:val="subscript"/>
              </w:rPr>
              <w:t>w</w:t>
            </w:r>
            <w:r>
              <w:rPr>
                <w:b w:val="0"/>
                <w:bCs/>
                <w:sz w:val="24"/>
                <w:szCs w:val="24"/>
              </w:rPr>
              <w:t>—</w:t>
            </w:r>
            <w:r>
              <w:rPr>
                <w:b w:val="0"/>
                <w:bCs/>
                <w:kern w:val="0"/>
                <w:sz w:val="24"/>
                <w:szCs w:val="24"/>
              </w:rPr>
              <w:t>叠合墙体计算厚度</w:t>
            </w:r>
          </w:p>
        </w:tc>
      </w:tr>
    </w:tbl>
    <w:p>
      <w:pPr>
        <w:pStyle w:val="47"/>
        <w:widowControl/>
        <w:ind w:firstLine="0"/>
        <w:rPr>
          <w:rFonts w:eastAsia="仿宋"/>
          <w:i/>
          <w:spacing w:val="10"/>
          <w:szCs w:val="24"/>
        </w:rPr>
      </w:pPr>
      <w:r>
        <w:rPr>
          <w:rFonts w:eastAsia="仿宋"/>
          <w:i/>
          <w:spacing w:val="10"/>
          <w:szCs w:val="24"/>
        </w:rPr>
        <w:t>【条文说明】6.1.1 现浇厚度净距小于100mm时，施工困难，混凝土浇筑质量</w:t>
      </w:r>
      <w:r>
        <w:rPr>
          <w:rFonts w:hint="eastAsia" w:eastAsia="仿宋"/>
          <w:i/>
          <w:spacing w:val="10"/>
          <w:szCs w:val="24"/>
        </w:rPr>
        <w:t>不易</w:t>
      </w:r>
      <w:r>
        <w:rPr>
          <w:rFonts w:eastAsia="仿宋"/>
          <w:i/>
          <w:spacing w:val="10"/>
          <w:szCs w:val="24"/>
        </w:rPr>
        <w:t>保证。预制墙板的叶板</w:t>
      </w:r>
      <w:r>
        <w:rPr>
          <w:rFonts w:hint="eastAsia" w:eastAsia="仿宋"/>
          <w:i/>
          <w:spacing w:val="10"/>
          <w:szCs w:val="24"/>
        </w:rPr>
        <w:t>的厚度可根据墙板高度选择，但不宜小于50mm</w:t>
      </w:r>
      <w:r>
        <w:rPr>
          <w:rFonts w:eastAsia="仿宋"/>
          <w:i/>
          <w:spacing w:val="10"/>
          <w:szCs w:val="24"/>
        </w:rPr>
        <w:t>，</w:t>
      </w:r>
      <w:r>
        <w:rPr>
          <w:rFonts w:hint="eastAsia" w:eastAsia="仿宋"/>
          <w:i/>
          <w:spacing w:val="10"/>
          <w:szCs w:val="24"/>
        </w:rPr>
        <w:t>厚度太小时</w:t>
      </w:r>
      <w:r>
        <w:rPr>
          <w:rFonts w:eastAsia="仿宋"/>
          <w:i/>
          <w:spacing w:val="10"/>
          <w:szCs w:val="24"/>
        </w:rPr>
        <w:t>其承载能力较低，制作、运输及施工过程中容易造成损坏。叠合剪力墙结构中现浇剪力墙的设计应符合现行相关规范、标准的要求。</w:t>
      </w:r>
      <w:r>
        <w:rPr>
          <w:rFonts w:eastAsia="仿宋"/>
          <w:i/>
          <w:spacing w:val="10"/>
          <w:szCs w:val="21"/>
        </w:rPr>
        <w:t>单面叠合墙由于未能体现两侧免支模的特点，施工比较复杂，一般用于比较特殊的需求部位，其计算和构造可以参照夹心保温叠合墙板，无特殊要求时本规程中将不在单独表述单面叠合剪力墙的相关内容。</w:t>
      </w:r>
    </w:p>
    <w:p>
      <w:pPr>
        <w:pStyle w:val="47"/>
        <w:ind w:firstLine="0"/>
        <w:jc w:val="left"/>
        <w:rPr>
          <w:bCs/>
          <w:szCs w:val="32"/>
        </w:rPr>
      </w:pPr>
      <w:r>
        <w:rPr>
          <w:b/>
          <w:bCs/>
        </w:rPr>
        <w:t xml:space="preserve">6.1.2 </w:t>
      </w:r>
      <w:r>
        <w:rPr>
          <w:rFonts w:hint="eastAsia"/>
        </w:rPr>
        <w:t>双面叠合墙和单面叠合墙</w:t>
      </w:r>
      <w:r>
        <w:t>钢筋桁架应满足构件制作、运输、吊装和现浇混凝土施工的要求，并符合下列规定：</w:t>
      </w:r>
    </w:p>
    <w:p>
      <w:pPr>
        <w:pStyle w:val="47"/>
        <w:numPr>
          <w:ilvl w:val="0"/>
          <w:numId w:val="20"/>
        </w:numPr>
        <w:ind w:left="0" w:firstLine="576" w:firstLineChars="200"/>
        <w:rPr>
          <w:bCs/>
          <w:szCs w:val="32"/>
        </w:rPr>
      </w:pPr>
      <w:r>
        <w:rPr>
          <w:bCs/>
          <w:szCs w:val="32"/>
        </w:rPr>
        <w:t>钢筋</w:t>
      </w:r>
      <w:r>
        <w:t>桁架</w:t>
      </w:r>
      <w:r>
        <w:rPr>
          <w:bCs/>
          <w:szCs w:val="32"/>
        </w:rPr>
        <w:t>应竖向设置，每一片叠合墙板应设置不少于2榀钢筋桁架；</w:t>
      </w:r>
    </w:p>
    <w:p>
      <w:pPr>
        <w:pStyle w:val="47"/>
        <w:numPr>
          <w:ilvl w:val="0"/>
          <w:numId w:val="20"/>
        </w:numPr>
        <w:ind w:left="0" w:firstLine="576" w:firstLineChars="200"/>
        <w:rPr>
          <w:bCs/>
          <w:szCs w:val="32"/>
        </w:rPr>
      </w:pPr>
      <w:r>
        <w:rPr>
          <w:bCs/>
          <w:szCs w:val="32"/>
        </w:rPr>
        <w:t>钢筋桁架距叠合墙叶板边的水平距离不宜大于150mm；钢筋桁架之间的中心间距不应大于400mm，且不宜大于竖向分布钢筋间距的2倍</w:t>
      </w:r>
      <w:r>
        <w:rPr>
          <w:rFonts w:eastAsia="仿宋"/>
          <w:spacing w:val="10"/>
          <w:szCs w:val="24"/>
        </w:rPr>
        <w:t>（图6.1.2）</w:t>
      </w:r>
      <w:r>
        <w:rPr>
          <w:bCs/>
          <w:szCs w:val="32"/>
        </w:rPr>
        <w:t>；</w:t>
      </w:r>
    </w:p>
    <w:p>
      <w:pPr>
        <w:pStyle w:val="47"/>
        <w:numPr>
          <w:ilvl w:val="0"/>
          <w:numId w:val="20"/>
        </w:numPr>
        <w:ind w:left="0" w:firstLine="576" w:firstLineChars="200"/>
        <w:rPr>
          <w:bCs/>
          <w:szCs w:val="32"/>
        </w:rPr>
      </w:pPr>
      <w:r>
        <w:rPr>
          <w:bCs/>
          <w:szCs w:val="32"/>
        </w:rPr>
        <w:t>钢筋</w:t>
      </w:r>
      <w:r>
        <w:t>桁架</w:t>
      </w:r>
      <w:r>
        <w:rPr>
          <w:bCs/>
          <w:szCs w:val="32"/>
        </w:rPr>
        <w:t>上、下弦钢筋中心至叶板内侧的距离不应小于15mm</w:t>
      </w:r>
      <w:r>
        <w:rPr>
          <w:rFonts w:eastAsia="仿宋"/>
          <w:spacing w:val="10"/>
          <w:szCs w:val="24"/>
        </w:rPr>
        <w:t>（图6.1.2）</w:t>
      </w:r>
      <w:r>
        <w:rPr>
          <w:bCs/>
          <w:szCs w:val="32"/>
        </w:rPr>
        <w:t>。</w:t>
      </w:r>
    </w:p>
    <w:p>
      <w:pPr>
        <w:pStyle w:val="47"/>
        <w:numPr>
          <w:ilvl w:val="0"/>
          <w:numId w:val="20"/>
        </w:numPr>
        <w:ind w:left="0" w:firstLine="576" w:firstLineChars="200"/>
        <w:rPr>
          <w:bCs/>
          <w:szCs w:val="32"/>
        </w:rPr>
      </w:pPr>
      <w:r>
        <w:rPr>
          <w:rFonts w:hint="eastAsia"/>
          <w:bCs/>
          <w:szCs w:val="32"/>
        </w:rPr>
        <w:t>单面叠合墙钢筋桁架的截面高度应能保证预制墙板安装就位后上弦钢筋内表面至预制墙板表面的最小距离不小于20mm，且当上弦钢筋兼作吊钩使用时，安全系数应符合现行国家标准《混凝土结构工程施工规范》G</w:t>
      </w:r>
      <w:r>
        <w:rPr>
          <w:bCs/>
          <w:szCs w:val="32"/>
        </w:rPr>
        <w:t>B50666</w:t>
      </w:r>
      <w:r>
        <w:rPr>
          <w:rFonts w:hint="eastAsia"/>
          <w:bCs/>
          <w:szCs w:val="32"/>
        </w:rPr>
        <w:t>的规定。</w:t>
      </w:r>
    </w:p>
    <w:p>
      <w:pPr>
        <w:jc w:val="center"/>
        <w:rPr>
          <w:b/>
          <w:bCs/>
        </w:rPr>
      </w:pPr>
      <w:r>
        <w:rPr>
          <w:b/>
          <w:bCs/>
        </w:rPr>
        <w:drawing>
          <wp:inline distT="0" distB="0" distL="0" distR="0">
            <wp:extent cx="3325495" cy="909320"/>
            <wp:effectExtent l="0" t="0" r="825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25906" cy="909759"/>
                    </a:xfrm>
                    <a:prstGeom prst="rect">
                      <a:avLst/>
                    </a:prstGeom>
                    <a:noFill/>
                    <a:ln>
                      <a:noFill/>
                    </a:ln>
                  </pic:spPr>
                </pic:pic>
              </a:graphicData>
            </a:graphic>
          </wp:inline>
        </w:drawing>
      </w:r>
    </w:p>
    <w:p>
      <w:pPr>
        <w:pStyle w:val="51"/>
        <w:rPr>
          <w:sz w:val="24"/>
          <w:szCs w:val="24"/>
        </w:rPr>
      </w:pPr>
      <w:r>
        <w:rPr>
          <w:sz w:val="24"/>
          <w:szCs w:val="24"/>
        </w:rPr>
        <w:t xml:space="preserve">图6.1.2 </w:t>
      </w:r>
      <w:r>
        <w:rPr>
          <w:rFonts w:hint="eastAsia"/>
          <w:sz w:val="24"/>
          <w:szCs w:val="24"/>
        </w:rPr>
        <w:t>双面</w:t>
      </w:r>
      <w:r>
        <w:rPr>
          <w:sz w:val="24"/>
          <w:szCs w:val="24"/>
        </w:rPr>
        <w:t>叠合剪力墙中钢筋桁架的布置要求</w:t>
      </w:r>
    </w:p>
    <w:p>
      <w:pPr>
        <w:pStyle w:val="51"/>
        <w:numPr>
          <w:ilvl w:val="0"/>
          <w:numId w:val="21"/>
        </w:numPr>
        <w:rPr>
          <w:b w:val="0"/>
          <w:bCs/>
          <w:sz w:val="24"/>
          <w:szCs w:val="24"/>
        </w:rPr>
      </w:pPr>
      <w:r>
        <w:rPr>
          <w:b w:val="0"/>
          <w:bCs/>
          <w:sz w:val="24"/>
          <w:szCs w:val="24"/>
        </w:rPr>
        <w:t>预制部分；2—现浇部分；3—钢筋桁架</w:t>
      </w:r>
    </w:p>
    <w:p>
      <w:pPr>
        <w:pStyle w:val="47"/>
        <w:widowControl/>
        <w:ind w:firstLine="0"/>
        <w:rPr>
          <w:rFonts w:eastAsia="仿宋"/>
          <w:i/>
          <w:spacing w:val="10"/>
          <w:szCs w:val="24"/>
        </w:rPr>
      </w:pPr>
      <w:r>
        <w:rPr>
          <w:rFonts w:eastAsia="仿宋"/>
          <w:i/>
          <w:spacing w:val="10"/>
          <w:szCs w:val="24"/>
        </w:rPr>
        <w:t>【条文说明】6.1.2 双面叠合剪力墙中两侧叶板通过钢筋桁架连接形成整体，增强了预制构件的刚度，避免运输和安装期间墙板产生较大变形和开裂，同时现场在空腔内浇筑混凝土时，钢筋桁架应能抵抗施工荷载以及混凝土的侧压力产生的作用。</w:t>
      </w:r>
    </w:p>
    <w:p>
      <w:pPr>
        <w:pStyle w:val="47"/>
        <w:widowControl/>
        <w:ind w:firstLine="0"/>
        <w:rPr>
          <w:rFonts w:eastAsia="仿宋"/>
          <w:i/>
          <w:spacing w:val="10"/>
          <w:szCs w:val="24"/>
        </w:rPr>
      </w:pPr>
      <w:r>
        <w:rPr>
          <w:rFonts w:eastAsia="仿宋"/>
          <w:i/>
          <w:spacing w:val="10"/>
          <w:szCs w:val="24"/>
        </w:rPr>
        <w:tab/>
      </w:r>
      <w:r>
        <w:rPr>
          <w:rFonts w:eastAsia="仿宋"/>
          <w:i/>
          <w:spacing w:val="10"/>
          <w:szCs w:val="24"/>
        </w:rPr>
        <w:t>夹心保温叠合墙板中的保温连接件设计应能抵抗施工荷载以及混凝土的侧压力产生的作用。单面叠合剪力墙与另外一侧的模板应可靠固定，确保混凝土浇筑时不出现涨模或爆模现象。</w:t>
      </w:r>
    </w:p>
    <w:p>
      <w:pPr>
        <w:pStyle w:val="47"/>
        <w:widowControl/>
        <w:ind w:firstLine="0"/>
      </w:pPr>
      <w:r>
        <w:rPr>
          <w:b/>
          <w:bCs/>
        </w:rPr>
        <w:t xml:space="preserve">6.1.3 </w:t>
      </w:r>
      <w:r>
        <w:t>叠合剪力墙两端及洞口两侧应设置边缘构件，边缘构件内的配筋和及构造要求应符合现行国家标准《建筑抗震设计规范》GB 50011的有关规定。</w:t>
      </w:r>
    </w:p>
    <w:p>
      <w:r>
        <w:rPr>
          <w:b/>
          <w:bCs/>
        </w:rPr>
        <w:t xml:space="preserve">6.1.4 </w:t>
      </w:r>
      <w:r>
        <w:t>叠合剪力墙宜采用矩形板，带门窗洞口的叠合剪力墙洞口至板边距离不应小于200mm，洞口不</w:t>
      </w:r>
      <w:r>
        <w:rPr>
          <w:rFonts w:hint="eastAsia"/>
        </w:rPr>
        <w:t>应</w:t>
      </w:r>
      <w:r>
        <w:t>跨板块布置。</w:t>
      </w:r>
    </w:p>
    <w:p>
      <w:pPr>
        <w:rPr>
          <w:rFonts w:eastAsia="仿宋"/>
          <w:i/>
          <w:spacing w:val="10"/>
          <w:szCs w:val="24"/>
        </w:rPr>
      </w:pPr>
      <w:r>
        <w:rPr>
          <w:rFonts w:eastAsia="仿宋"/>
          <w:i/>
          <w:spacing w:val="10"/>
          <w:szCs w:val="24"/>
        </w:rPr>
        <w:t>【条文说明】6.1.4 根据叠合剪力墙的制作特点，考虑存放、吊装、运输及安装因素，对预制剪力墙板形状及洞口边预制宽度进行适当控制。</w:t>
      </w:r>
    </w:p>
    <w:bookmarkEnd w:id="76"/>
    <w:p>
      <w:r>
        <w:rPr>
          <w:b/>
          <w:bCs/>
        </w:rPr>
        <w:t>6.1.5</w:t>
      </w:r>
      <w:r>
        <w:t>叠合剪力墙结构宜采用预制混凝土叠合梁（图</w:t>
      </w:r>
      <w:r>
        <w:rPr>
          <w:rFonts w:hint="eastAsia"/>
        </w:rPr>
        <w:t>6.1.5</w:t>
      </w:r>
      <w:r>
        <w:t>）或现浇梁。楼层梁的计算分析、配筋及构造应符合国家现行标准《混凝土结构设计规范》GB 50010、《高层建筑混凝土结构技术规程》JGJ 3以及《装配式混凝土结构技术规程》JGJ 1等的有关规定。</w:t>
      </w:r>
    </w:p>
    <w:p>
      <w:pPr>
        <w:rPr>
          <w:rFonts w:eastAsia="仿宋"/>
          <w:i/>
          <w:spacing w:val="10"/>
          <w:szCs w:val="24"/>
        </w:rPr>
      </w:pPr>
      <w:r>
        <w:rPr>
          <w:rFonts w:eastAsia="仿宋"/>
          <w:i/>
          <w:spacing w:val="10"/>
          <w:szCs w:val="24"/>
        </w:rPr>
        <w:t>【条文说明】6.1.5 根据叠合剪力墙制作特点，连梁与叠合剪力墙一起预制时，连梁可采用如图</w:t>
      </w:r>
      <w:r>
        <w:rPr>
          <w:i/>
          <w:sz w:val="24"/>
          <w:szCs w:val="24"/>
        </w:rPr>
        <w:t>6.1.5中</w:t>
      </w:r>
      <w:r>
        <w:rPr>
          <w:rFonts w:eastAsia="仿宋"/>
          <w:i/>
          <w:spacing w:val="10"/>
          <w:szCs w:val="24"/>
        </w:rPr>
        <w:t>构造形式。连梁的纵向钢筋应与钢筋混凝土暗柱、边缘构件进行可靠连接，钢筋的</w:t>
      </w:r>
      <w:r>
        <w:rPr>
          <w:rFonts w:hint="eastAsia" w:eastAsia="仿宋"/>
          <w:i/>
          <w:spacing w:val="10"/>
          <w:szCs w:val="24"/>
        </w:rPr>
        <w:t>连接方式、</w:t>
      </w:r>
      <w:r>
        <w:rPr>
          <w:rFonts w:eastAsia="仿宋"/>
          <w:i/>
          <w:spacing w:val="10"/>
          <w:szCs w:val="24"/>
        </w:rPr>
        <w:t>锚固长度</w:t>
      </w:r>
      <w:r>
        <w:rPr>
          <w:rFonts w:hint="eastAsia" w:eastAsia="仿宋"/>
          <w:i/>
          <w:spacing w:val="10"/>
          <w:szCs w:val="24"/>
        </w:rPr>
        <w:t>、保护层厚度等</w:t>
      </w:r>
      <w:r>
        <w:rPr>
          <w:rFonts w:eastAsia="仿宋"/>
          <w:i/>
          <w:spacing w:val="10"/>
          <w:szCs w:val="24"/>
        </w:rPr>
        <w:t>要求应满足现行国家、行业标准的相关规定。</w:t>
      </w:r>
    </w:p>
    <w:tbl>
      <w:tblPr>
        <w:tblStyle w:val="30"/>
        <w:tblW w:w="7933" w:type="dxa"/>
        <w:jc w:val="center"/>
        <w:tblLayout w:type="fixed"/>
        <w:tblCellMar>
          <w:top w:w="0" w:type="dxa"/>
          <w:left w:w="108" w:type="dxa"/>
          <w:bottom w:w="0" w:type="dxa"/>
          <w:right w:w="108" w:type="dxa"/>
        </w:tblCellMar>
      </w:tblPr>
      <w:tblGrid>
        <w:gridCol w:w="2410"/>
        <w:gridCol w:w="2693"/>
        <w:gridCol w:w="2830"/>
      </w:tblGrid>
      <w:tr>
        <w:tblPrEx>
          <w:tblCellMar>
            <w:top w:w="0" w:type="dxa"/>
            <w:left w:w="108" w:type="dxa"/>
            <w:bottom w:w="0" w:type="dxa"/>
            <w:right w:w="108" w:type="dxa"/>
          </w:tblCellMar>
        </w:tblPrEx>
        <w:trPr>
          <w:trHeight w:val="2934" w:hRule="atLeast"/>
          <w:jc w:val="center"/>
        </w:trPr>
        <w:tc>
          <w:tcPr>
            <w:tcW w:w="2410" w:type="dxa"/>
            <w:vAlign w:val="center"/>
          </w:tcPr>
          <w:p>
            <w:pPr>
              <w:pStyle w:val="51"/>
            </w:pPr>
            <w:r>
              <w:rPr>
                <w:b w:val="0"/>
              </w:rPr>
              <w:t xml:space="preserve"> </w:t>
            </w:r>
            <w:r>
              <w:rPr>
                <w:b w:val="0"/>
              </w:rPr>
              <w:drawing>
                <wp:inline distT="0" distB="0" distL="0" distR="0">
                  <wp:extent cx="1027430" cy="1799590"/>
                  <wp:effectExtent l="0" t="0" r="1270" b="0"/>
                  <wp:docPr id="43027" name="图片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 name="图片 430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027442" cy="1800000"/>
                          </a:xfrm>
                          <a:prstGeom prst="rect">
                            <a:avLst/>
                          </a:prstGeom>
                          <a:noFill/>
                          <a:ln>
                            <a:noFill/>
                          </a:ln>
                        </pic:spPr>
                      </pic:pic>
                    </a:graphicData>
                  </a:graphic>
                </wp:inline>
              </w:drawing>
            </w:r>
          </w:p>
        </w:tc>
        <w:tc>
          <w:tcPr>
            <w:tcW w:w="2693" w:type="dxa"/>
            <w:vAlign w:val="center"/>
          </w:tcPr>
          <w:p>
            <w:pPr>
              <w:pStyle w:val="51"/>
            </w:pPr>
            <w:r>
              <w:drawing>
                <wp:inline distT="0" distB="0" distL="0" distR="0">
                  <wp:extent cx="1026160" cy="1799590"/>
                  <wp:effectExtent l="0" t="0" r="2540" b="0"/>
                  <wp:docPr id="43028" name="图片 4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8" name="图片 430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026495" cy="1800000"/>
                          </a:xfrm>
                          <a:prstGeom prst="rect">
                            <a:avLst/>
                          </a:prstGeom>
                          <a:noFill/>
                          <a:ln>
                            <a:noFill/>
                          </a:ln>
                        </pic:spPr>
                      </pic:pic>
                    </a:graphicData>
                  </a:graphic>
                </wp:inline>
              </w:drawing>
            </w:r>
          </w:p>
        </w:tc>
        <w:tc>
          <w:tcPr>
            <w:tcW w:w="2830" w:type="dxa"/>
            <w:vAlign w:val="center"/>
          </w:tcPr>
          <w:p>
            <w:pPr>
              <w:pStyle w:val="51"/>
            </w:pPr>
            <w:r>
              <w:rPr>
                <w:sz w:val="24"/>
                <w:szCs w:val="24"/>
              </w:rPr>
              <w:drawing>
                <wp:inline distT="0" distB="0" distL="0" distR="0">
                  <wp:extent cx="1050925" cy="1840230"/>
                  <wp:effectExtent l="0" t="0" r="0" b="7620"/>
                  <wp:docPr id="43008" name="图片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8" name="图片 430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064795" cy="1864621"/>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57" w:hRule="atLeast"/>
          <w:jc w:val="center"/>
        </w:trPr>
        <w:tc>
          <w:tcPr>
            <w:tcW w:w="2410" w:type="dxa"/>
            <w:vAlign w:val="center"/>
          </w:tcPr>
          <w:p>
            <w:pPr>
              <w:pStyle w:val="51"/>
              <w:rPr>
                <w:sz w:val="24"/>
                <w:szCs w:val="24"/>
              </w:rPr>
            </w:pPr>
            <w:r>
              <w:rPr>
                <w:sz w:val="24"/>
                <w:szCs w:val="24"/>
              </w:rPr>
              <w:t>（a）水平叠合</w:t>
            </w:r>
            <w:r>
              <w:rPr>
                <w:rFonts w:hint="eastAsia"/>
                <w:sz w:val="24"/>
                <w:szCs w:val="24"/>
              </w:rPr>
              <w:t>中</w:t>
            </w:r>
            <w:r>
              <w:rPr>
                <w:sz w:val="24"/>
                <w:szCs w:val="24"/>
              </w:rPr>
              <w:t>梁</w:t>
            </w:r>
          </w:p>
        </w:tc>
        <w:tc>
          <w:tcPr>
            <w:tcW w:w="2693" w:type="dxa"/>
            <w:vAlign w:val="center"/>
          </w:tcPr>
          <w:p>
            <w:pPr>
              <w:pStyle w:val="51"/>
              <w:rPr>
                <w:sz w:val="24"/>
                <w:szCs w:val="24"/>
              </w:rPr>
            </w:pPr>
            <w:r>
              <w:rPr>
                <w:sz w:val="24"/>
                <w:szCs w:val="24"/>
              </w:rPr>
              <w:t>(b) 水平叠合</w:t>
            </w:r>
            <w:r>
              <w:rPr>
                <w:rFonts w:hint="eastAsia"/>
                <w:sz w:val="24"/>
                <w:szCs w:val="24"/>
              </w:rPr>
              <w:t>边</w:t>
            </w:r>
            <w:r>
              <w:rPr>
                <w:sz w:val="24"/>
                <w:szCs w:val="24"/>
              </w:rPr>
              <w:t>梁</w:t>
            </w:r>
          </w:p>
        </w:tc>
        <w:tc>
          <w:tcPr>
            <w:tcW w:w="2830" w:type="dxa"/>
            <w:vAlign w:val="center"/>
          </w:tcPr>
          <w:p>
            <w:pPr>
              <w:pStyle w:val="51"/>
              <w:rPr>
                <w:sz w:val="24"/>
                <w:szCs w:val="24"/>
              </w:rPr>
            </w:pPr>
            <w:r>
              <w:rPr>
                <w:sz w:val="24"/>
                <w:szCs w:val="24"/>
              </w:rPr>
              <w:t>(c) 洞口处叠合梁</w:t>
            </w:r>
          </w:p>
        </w:tc>
      </w:tr>
      <w:tr>
        <w:tblPrEx>
          <w:tblCellMar>
            <w:top w:w="0" w:type="dxa"/>
            <w:left w:w="108" w:type="dxa"/>
            <w:bottom w:w="0" w:type="dxa"/>
            <w:right w:w="108" w:type="dxa"/>
          </w:tblCellMar>
        </w:tblPrEx>
        <w:trPr>
          <w:trHeight w:val="271" w:hRule="atLeast"/>
          <w:jc w:val="center"/>
        </w:trPr>
        <w:tc>
          <w:tcPr>
            <w:tcW w:w="7933" w:type="dxa"/>
            <w:gridSpan w:val="3"/>
            <w:vAlign w:val="center"/>
          </w:tcPr>
          <w:p>
            <w:pPr>
              <w:pStyle w:val="51"/>
              <w:rPr>
                <w:bCs/>
                <w:sz w:val="24"/>
                <w:szCs w:val="24"/>
              </w:rPr>
            </w:pPr>
            <w:r>
              <w:rPr>
                <w:bCs/>
                <w:sz w:val="24"/>
                <w:szCs w:val="24"/>
              </w:rPr>
              <w:t>图</w:t>
            </w:r>
            <w:r>
              <w:rPr>
                <w:sz w:val="24"/>
                <w:szCs w:val="24"/>
              </w:rPr>
              <w:t xml:space="preserve">6.1.5 </w:t>
            </w:r>
            <w:r>
              <w:rPr>
                <w:bCs/>
                <w:sz w:val="24"/>
                <w:szCs w:val="24"/>
              </w:rPr>
              <w:t>预制叠合连梁示意图</w:t>
            </w:r>
          </w:p>
          <w:p>
            <w:pPr>
              <w:pStyle w:val="51"/>
              <w:rPr>
                <w:b w:val="0"/>
                <w:bCs/>
                <w:sz w:val="24"/>
                <w:szCs w:val="24"/>
              </w:rPr>
            </w:pPr>
            <w:r>
              <w:rPr>
                <w:b w:val="0"/>
                <w:bCs/>
                <w:sz w:val="24"/>
                <w:szCs w:val="24"/>
              </w:rPr>
              <w:t>1—后浇部分；2—预制部分；3—连梁箍筋；4—连梁纵筋</w:t>
            </w:r>
          </w:p>
        </w:tc>
      </w:tr>
      <w:bookmarkEnd w:id="77"/>
    </w:tbl>
    <w:p>
      <w:r>
        <w:rPr>
          <w:b/>
          <w:bCs/>
        </w:rPr>
        <w:t xml:space="preserve">6.1.6 </w:t>
      </w:r>
      <w:r>
        <w:t>除本规程另有规定外，叠合剪力墙结构应符合国家现行标准《混凝土结构设计规范》GB50010、《建筑抗震设计规范》GB 50011、《高层建筑混凝土结构技术规程》JGJ 3以及广东省《高层建筑混凝土结构技术规程》DBJ 15-92的有关规定。</w:t>
      </w:r>
    </w:p>
    <w:p>
      <w:pPr>
        <w:pStyle w:val="3"/>
      </w:pPr>
      <w:bookmarkStart w:id="78" w:name="_Toc45574537"/>
      <w:bookmarkStart w:id="79" w:name="_Toc45313932"/>
      <w:r>
        <w:t>截面设计及构造</w:t>
      </w:r>
      <w:bookmarkEnd w:id="78"/>
      <w:bookmarkEnd w:id="79"/>
    </w:p>
    <w:p>
      <w:r>
        <w:rPr>
          <w:b/>
          <w:bCs/>
        </w:rPr>
        <w:t xml:space="preserve">6.2.1 </w:t>
      </w:r>
      <w:r>
        <w:t>在重力荷载代表值作用下，一级叠合剪力墙墙肢的轴压比不宜大于0.5，二、三级叠合剪力墙墙肢的轴压比不宜大于0.6。计算轴压比时，叠合剪力墙墙肢截面按全截面面积考虑。</w:t>
      </w:r>
    </w:p>
    <w:p>
      <w:pPr>
        <w:rPr>
          <w:i/>
        </w:rPr>
      </w:pPr>
      <w:r>
        <w:rPr>
          <w:rFonts w:eastAsia="仿宋"/>
          <w:i/>
          <w:spacing w:val="10"/>
          <w:szCs w:val="24"/>
        </w:rPr>
        <w:t>【条文说明】6.2.1 轴压比是影响剪力墙在地震作用下塑性变形能力的重要因素。清华大学及国内外研究单位的试验表明，相同条件的剪力墙，轴压比低的，其延性大，轴压比高的，其延性小；通过设置约束边缘构件，可以提高高轴压比剪力墙的塑性变形能力，但轴压比大于一定值后，即使设置约束边缘构件，在强震作用下，剪力墙仍可能因混凝土压溃而丧失承受重力荷载的能力。</w:t>
      </w:r>
      <w:r>
        <w:rPr>
          <w:rFonts w:hint="eastAsia" w:eastAsia="仿宋"/>
          <w:i/>
          <w:spacing w:val="10"/>
          <w:szCs w:val="24"/>
        </w:rPr>
        <w:t>通过对0.5和0.2的轴压比作用下，典型部位叠合剪力墙构件足尺模型的低周反复荷载试验研究结果表明：叠合剪力墙试件的正截面抗弯承载力、斜截面受剪承载力和接缝受剪承载力与现浇构件承载力接近。</w:t>
      </w:r>
    </w:p>
    <w:p>
      <w:r>
        <w:rPr>
          <w:b/>
          <w:bCs/>
        </w:rPr>
        <w:t xml:space="preserve">6.2.2 </w:t>
      </w:r>
      <w:r>
        <w:t>叠合剪力墙竖向、横向分布钢筋的配筋率，一、二、三级时 均不应小于0.25% ，四级和非抗震设计时均不应小于0.20%。部分框肢抗震墙结构的落地抗震墙底部加强部位，竖向和横向分布钢筋配筋率不应小于0.3%。</w:t>
      </w:r>
    </w:p>
    <w:p>
      <w:pPr>
        <w:pStyle w:val="47"/>
        <w:widowControl/>
        <w:ind w:firstLine="0"/>
        <w:rPr>
          <w:rFonts w:eastAsia="仿宋"/>
          <w:i/>
          <w:spacing w:val="10"/>
          <w:szCs w:val="24"/>
        </w:rPr>
      </w:pPr>
      <w:r>
        <w:rPr>
          <w:rFonts w:eastAsia="仿宋"/>
          <w:i/>
          <w:spacing w:val="10"/>
          <w:szCs w:val="24"/>
        </w:rPr>
        <w:t>【条文说明】6.2.2 本条参考《建筑抗震设计规范》GB50011要求设置，叠合墙墙板中钢筋桁架上、下弦钢筋的材料性能满足本规程规定时，上、下弦筋面积可计入剪力墙纵向钢筋受力筋面积。高度小于24且剪压比很小的四级抗震墙，其竖向分布筋的最小配筋率允许按照0.15%采用。</w:t>
      </w:r>
    </w:p>
    <w:p>
      <w:r>
        <w:rPr>
          <w:b/>
          <w:bCs/>
        </w:rPr>
        <w:t xml:space="preserve">6.2.3 </w:t>
      </w:r>
      <w:r>
        <w:t>叠合剪力墙的竖向和水平分布钢筋的间距均不宜大于 300mm，竖向和水平分布钢筋的直径不宜大于墙厚的 1/10且直径不应小于 8mm。</w:t>
      </w:r>
    </w:p>
    <w:p>
      <w:pPr>
        <w:pStyle w:val="47"/>
        <w:widowControl/>
        <w:ind w:firstLine="0"/>
        <w:rPr>
          <w:rFonts w:eastAsia="仿宋"/>
          <w:spacing w:val="10"/>
          <w:szCs w:val="24"/>
        </w:rPr>
      </w:pPr>
      <w:r>
        <w:t>【</w:t>
      </w:r>
      <w:r>
        <w:rPr>
          <w:rFonts w:eastAsia="仿宋"/>
          <w:spacing w:val="10"/>
          <w:szCs w:val="24"/>
        </w:rPr>
        <w:t xml:space="preserve">条文说明】6.2.3 </w:t>
      </w:r>
      <w:r>
        <w:rPr>
          <w:rFonts w:eastAsia="仿宋"/>
          <w:i/>
          <w:spacing w:val="10"/>
          <w:szCs w:val="24"/>
        </w:rPr>
        <w:t>本条参考《高层建筑混凝土结构技术规程》JGJ3要求设置</w:t>
      </w:r>
      <w:r>
        <w:rPr>
          <w:rFonts w:eastAsia="仿宋"/>
          <w:spacing w:val="10"/>
          <w:szCs w:val="24"/>
        </w:rPr>
        <w:t>。</w:t>
      </w:r>
    </w:p>
    <w:p>
      <w:r>
        <w:rPr>
          <w:b/>
          <w:bCs/>
        </w:rPr>
        <w:t xml:space="preserve">6.2.4 </w:t>
      </w:r>
      <w:r>
        <w:t>部分框支叠合剪力墙结构中，底部加强部位抗震墙体的水平和竖</w:t>
      </w:r>
      <w:r>
        <w:rPr>
          <w:rFonts w:hint="eastAsia"/>
        </w:rPr>
        <w:t>向</w:t>
      </w:r>
      <w:r>
        <w:t>分布钢筋的最小配筋率均不应小于0.3</w:t>
      </w:r>
      <m:oMath>
        <m:r>
          <m:rPr>
            <m:sty m:val="p"/>
          </m:rPr>
          <w:rPr>
            <w:rFonts w:ascii="Cambria Math" w:hAnsi="Cambria Math"/>
          </w:rPr>
          <m:t>%</m:t>
        </m:r>
      </m:oMath>
      <w:r>
        <w:t>，竖向和水平分布钢筋的间距不宜大于200</w:t>
      </w:r>
      <m:oMath>
        <m:r>
          <m:rPr>
            <m:sty m:val="p"/>
          </m:rPr>
          <w:rPr>
            <w:rFonts w:ascii="Cambria Math" w:hAnsi="Cambria Math"/>
          </w:rPr>
          <m:t>mm</m:t>
        </m:r>
      </m:oMath>
      <w:r>
        <w:t>。</w:t>
      </w:r>
    </w:p>
    <w:p>
      <w:pPr>
        <w:pStyle w:val="47"/>
        <w:widowControl/>
        <w:ind w:firstLine="0"/>
        <w:rPr>
          <w:rFonts w:eastAsia="仿宋"/>
          <w:i/>
          <w:spacing w:val="10"/>
          <w:szCs w:val="24"/>
        </w:rPr>
      </w:pPr>
      <w:r>
        <w:rPr>
          <w:rFonts w:eastAsia="仿宋"/>
          <w:i/>
          <w:spacing w:val="10"/>
          <w:szCs w:val="24"/>
        </w:rPr>
        <w:t>【条文说明】6.2.4 本条参考《高层建筑混凝土结构技术规程》JGJ3要求设置。</w:t>
      </w:r>
    </w:p>
    <w:p>
      <w:pPr>
        <w:pStyle w:val="47"/>
        <w:widowControl/>
        <w:ind w:firstLine="0"/>
      </w:pPr>
      <w:bookmarkStart w:id="80" w:name="_Toc518395643"/>
      <w:bookmarkStart w:id="81" w:name="_Toc532309549"/>
      <w:bookmarkStart w:id="82" w:name="_Toc532542992"/>
      <w:bookmarkStart w:id="83" w:name="_Toc528327994"/>
      <w:r>
        <w:rPr>
          <w:b/>
          <w:bCs/>
        </w:rPr>
        <w:t xml:space="preserve">6.2.5 </w:t>
      </w:r>
      <w:r>
        <w:t>叠合剪力墙结构边缘构件内的配筋和构造要求除应符合现行国家标准《建筑抗震设计规范》GB 50011和行业标准《高层建筑混凝土结构技术规程》JGJ 3的有关规定外，还应满足本规程6.2.6和6.2.7条相关要求。</w:t>
      </w:r>
    </w:p>
    <w:p>
      <w:pPr>
        <w:pStyle w:val="47"/>
        <w:widowControl/>
        <w:ind w:firstLine="0"/>
      </w:pPr>
      <w:r>
        <w:rPr>
          <w:b/>
          <w:bCs/>
        </w:rPr>
        <w:t xml:space="preserve">6.2.6 </w:t>
      </w:r>
      <w:r>
        <w:t>叠合剪力墙结构约束边缘构件设计应符合下列规定（图6.2.6）：</w:t>
      </w:r>
    </w:p>
    <w:p>
      <w:pPr>
        <w:pStyle w:val="47"/>
        <w:numPr>
          <w:ilvl w:val="0"/>
          <w:numId w:val="22"/>
        </w:numPr>
        <w:ind w:left="0" w:firstLine="576" w:firstLineChars="200"/>
      </w:pPr>
      <w:r>
        <w:t>叠合剪力墙结构约束边缘构件阴影区域应采用后浇混凝土；</w:t>
      </w:r>
    </w:p>
    <w:p>
      <w:pPr>
        <w:pStyle w:val="47"/>
        <w:numPr>
          <w:ilvl w:val="0"/>
          <w:numId w:val="22"/>
        </w:numPr>
        <w:ind w:left="0" w:firstLine="576" w:firstLineChars="200"/>
      </w:pPr>
      <w:r>
        <w:t>约束边缘构件阴影区域应在后浇段内设置封闭箍筋；</w:t>
      </w:r>
    </w:p>
    <w:p>
      <w:pPr>
        <w:pStyle w:val="47"/>
        <w:numPr>
          <w:ilvl w:val="0"/>
          <w:numId w:val="22"/>
        </w:numPr>
        <w:ind w:left="0" w:firstLine="576" w:firstLineChars="200"/>
      </w:pPr>
      <w:r>
        <w:t>约束边缘构件非阴影区域的拉筋可由叠合剪力墙内的钢筋桁架代替，钢筋桁架的面积、直径、间距应满足拉筋的相关规定，且不</w:t>
      </w:r>
      <w:r>
        <w:rPr>
          <w:rFonts w:hint="eastAsia"/>
        </w:rPr>
        <w:t>少</w:t>
      </w:r>
      <w:r>
        <w:t>于一榀钢筋桁架。</w:t>
      </w:r>
    </w:p>
    <w:tbl>
      <w:tblPr>
        <w:tblStyle w:val="30"/>
        <w:tblW w:w="8306" w:type="dxa"/>
        <w:jc w:val="center"/>
        <w:tblLayout w:type="autofit"/>
        <w:tblCellMar>
          <w:top w:w="0" w:type="dxa"/>
          <w:left w:w="108" w:type="dxa"/>
          <w:bottom w:w="0" w:type="dxa"/>
          <w:right w:w="108" w:type="dxa"/>
        </w:tblCellMar>
      </w:tblPr>
      <w:tblGrid>
        <w:gridCol w:w="3445"/>
        <w:gridCol w:w="4861"/>
      </w:tblGrid>
      <w:tr>
        <w:tblPrEx>
          <w:tblCellMar>
            <w:top w:w="0" w:type="dxa"/>
            <w:left w:w="108" w:type="dxa"/>
            <w:bottom w:w="0" w:type="dxa"/>
            <w:right w:w="108" w:type="dxa"/>
          </w:tblCellMar>
        </w:tblPrEx>
        <w:trPr>
          <w:jc w:val="center"/>
        </w:trPr>
        <w:tc>
          <w:tcPr>
            <w:tcW w:w="0" w:type="auto"/>
            <w:vAlign w:val="center"/>
          </w:tcPr>
          <w:p>
            <w:pPr>
              <w:pStyle w:val="51"/>
              <w:rPr>
                <w:szCs w:val="21"/>
              </w:rPr>
            </w:pPr>
            <w:r>
              <w:rPr>
                <w:szCs w:val="21"/>
              </w:rPr>
              <w:drawing>
                <wp:inline distT="0" distB="0" distL="0" distR="0">
                  <wp:extent cx="1965325" cy="17995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65789" cy="1800000"/>
                          </a:xfrm>
                          <a:prstGeom prst="rect">
                            <a:avLst/>
                          </a:prstGeom>
                          <a:noFill/>
                          <a:ln>
                            <a:noFill/>
                          </a:ln>
                        </pic:spPr>
                      </pic:pic>
                    </a:graphicData>
                  </a:graphic>
                </wp:inline>
              </w:drawing>
            </w:r>
          </w:p>
        </w:tc>
        <w:tc>
          <w:tcPr>
            <w:tcW w:w="0" w:type="auto"/>
            <w:vAlign w:val="center"/>
          </w:tcPr>
          <w:p>
            <w:pPr>
              <w:pStyle w:val="51"/>
              <w:rPr>
                <w:szCs w:val="21"/>
              </w:rPr>
            </w:pPr>
            <w:r>
              <w:rPr>
                <w:szCs w:val="21"/>
              </w:rPr>
              <w:drawing>
                <wp:inline distT="0" distB="0" distL="0" distR="0">
                  <wp:extent cx="2828925" cy="17995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829545" cy="18000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0" w:type="auto"/>
            <w:vAlign w:val="center"/>
          </w:tcPr>
          <w:p>
            <w:pPr>
              <w:pStyle w:val="51"/>
              <w:rPr>
                <w:szCs w:val="21"/>
              </w:rPr>
            </w:pPr>
            <w:r>
              <w:rPr>
                <w:szCs w:val="21"/>
              </w:rPr>
              <w:t>（a）转角墙（L形墙）</w:t>
            </w:r>
          </w:p>
        </w:tc>
        <w:tc>
          <w:tcPr>
            <w:tcW w:w="0" w:type="auto"/>
            <w:vAlign w:val="center"/>
          </w:tcPr>
          <w:p>
            <w:pPr>
              <w:pStyle w:val="51"/>
              <w:rPr>
                <w:szCs w:val="21"/>
              </w:rPr>
            </w:pPr>
            <w:r>
              <w:rPr>
                <w:szCs w:val="21"/>
              </w:rPr>
              <w:t>（b）有翼墙（T形墙）</w:t>
            </w:r>
          </w:p>
        </w:tc>
      </w:tr>
    </w:tbl>
    <w:p>
      <w:pPr>
        <w:pStyle w:val="47"/>
        <w:widowControl/>
        <w:ind w:firstLine="0"/>
        <w:jc w:val="center"/>
        <w:rPr>
          <w:rFonts w:eastAsia="仿宋"/>
          <w:i/>
          <w:spacing w:val="10"/>
          <w:szCs w:val="24"/>
        </w:rPr>
      </w:pPr>
      <w:r>
        <w:rPr>
          <w:rFonts w:eastAsia="仿宋"/>
          <w:i/>
          <w:spacing w:val="10"/>
          <w:szCs w:val="24"/>
        </w:rPr>
        <w:drawing>
          <wp:inline distT="0" distB="0" distL="0" distR="0">
            <wp:extent cx="1866900" cy="10795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67338" cy="1080000"/>
                    </a:xfrm>
                    <a:prstGeom prst="rect">
                      <a:avLst/>
                    </a:prstGeom>
                    <a:noFill/>
                    <a:ln>
                      <a:noFill/>
                    </a:ln>
                  </pic:spPr>
                </pic:pic>
              </a:graphicData>
            </a:graphic>
          </wp:inline>
        </w:drawing>
      </w:r>
    </w:p>
    <w:p>
      <w:pPr>
        <w:pStyle w:val="47"/>
        <w:widowControl/>
        <w:ind w:firstLine="0"/>
        <w:jc w:val="center"/>
        <w:rPr>
          <w:b/>
          <w:sz w:val="21"/>
          <w:szCs w:val="21"/>
        </w:rPr>
      </w:pPr>
      <w:r>
        <w:rPr>
          <w:b/>
          <w:sz w:val="21"/>
          <w:szCs w:val="21"/>
        </w:rPr>
        <w:t>（c）现浇暗柱（一形墙）</w:t>
      </w:r>
    </w:p>
    <w:p>
      <w:pPr>
        <w:pStyle w:val="47"/>
        <w:widowControl/>
        <w:ind w:firstLine="0"/>
        <w:jc w:val="center"/>
        <w:rPr>
          <w:b/>
          <w:sz w:val="24"/>
          <w:szCs w:val="24"/>
        </w:rPr>
      </w:pPr>
      <w:r>
        <w:rPr>
          <w:b/>
          <w:sz w:val="24"/>
          <w:szCs w:val="24"/>
        </w:rPr>
        <w:t>图6.2.6 叠合剪力墙约束边缘构件</w:t>
      </w:r>
    </w:p>
    <w:p>
      <w:pPr>
        <w:pStyle w:val="47"/>
        <w:widowControl/>
        <w:ind w:firstLine="0"/>
        <w:jc w:val="center"/>
        <w:rPr>
          <w:bCs/>
          <w:sz w:val="24"/>
          <w:szCs w:val="24"/>
        </w:rPr>
      </w:pPr>
      <w:r>
        <w:rPr>
          <w:b/>
          <w:bCs/>
          <w:i/>
          <w:sz w:val="24"/>
          <w:szCs w:val="24"/>
        </w:rPr>
        <w:t>l</w:t>
      </w:r>
      <w:r>
        <w:rPr>
          <w:b/>
          <w:bCs/>
          <w:sz w:val="24"/>
          <w:szCs w:val="24"/>
          <w:vertAlign w:val="subscript"/>
        </w:rPr>
        <w:t>c</w:t>
      </w:r>
      <w:r>
        <w:rPr>
          <w:bCs/>
          <w:sz w:val="24"/>
          <w:szCs w:val="24"/>
        </w:rPr>
        <w:t>—约束边缘构件沿墙肢的长度；1—后浇部分；2—叶板；3—后浇段</w:t>
      </w:r>
    </w:p>
    <w:p>
      <w:pPr>
        <w:pStyle w:val="47"/>
        <w:widowControl/>
        <w:ind w:firstLine="0"/>
      </w:pPr>
      <w:r>
        <w:rPr>
          <w:b/>
          <w:bCs/>
        </w:rPr>
        <w:t xml:space="preserve">6.2.7 </w:t>
      </w:r>
      <w:r>
        <w:t>叠合剪力墙结构构造边缘构件设计应符合下列规定（图6.2.7）：</w:t>
      </w:r>
    </w:p>
    <w:p>
      <w:pPr>
        <w:pStyle w:val="47"/>
        <w:numPr>
          <w:ilvl w:val="0"/>
          <w:numId w:val="23"/>
        </w:numPr>
        <w:ind w:left="709" w:hanging="283"/>
      </w:pPr>
      <w:r>
        <w:t>高层叠合剪力墙结构构造边缘构件区域应采用后浇混凝土；</w:t>
      </w:r>
    </w:p>
    <w:p>
      <w:pPr>
        <w:pStyle w:val="47"/>
        <w:numPr>
          <w:ilvl w:val="0"/>
          <w:numId w:val="23"/>
        </w:numPr>
        <w:ind w:left="709" w:hanging="283"/>
      </w:pPr>
      <w:r>
        <w:t>构造边缘构件应在后浇段内设置封闭箍筋；</w:t>
      </w:r>
    </w:p>
    <w:tbl>
      <w:tblPr>
        <w:tblStyle w:val="30"/>
        <w:tblW w:w="8614" w:type="dxa"/>
        <w:jc w:val="center"/>
        <w:tblLayout w:type="autofit"/>
        <w:tblCellMar>
          <w:top w:w="0" w:type="dxa"/>
          <w:left w:w="108" w:type="dxa"/>
          <w:bottom w:w="0" w:type="dxa"/>
          <w:right w:w="108" w:type="dxa"/>
        </w:tblCellMar>
      </w:tblPr>
      <w:tblGrid>
        <w:gridCol w:w="3766"/>
        <w:gridCol w:w="4848"/>
      </w:tblGrid>
      <w:tr>
        <w:tblPrEx>
          <w:tblCellMar>
            <w:top w:w="0" w:type="dxa"/>
            <w:left w:w="108" w:type="dxa"/>
            <w:bottom w:w="0" w:type="dxa"/>
            <w:right w:w="108" w:type="dxa"/>
          </w:tblCellMar>
        </w:tblPrEx>
        <w:trPr>
          <w:jc w:val="center"/>
        </w:trPr>
        <w:tc>
          <w:tcPr>
            <w:tcW w:w="3766" w:type="dxa"/>
            <w:vAlign w:val="center"/>
          </w:tcPr>
          <w:p>
            <w:pPr>
              <w:pStyle w:val="51"/>
              <w:rPr>
                <w:szCs w:val="21"/>
              </w:rPr>
            </w:pPr>
            <w:r>
              <w:rPr>
                <w:szCs w:val="21"/>
              </w:rPr>
              <w:drawing>
                <wp:inline distT="0" distB="0" distL="0" distR="0">
                  <wp:extent cx="1910715" cy="179959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911283" cy="1800000"/>
                          </a:xfrm>
                          <a:prstGeom prst="rect">
                            <a:avLst/>
                          </a:prstGeom>
                          <a:noFill/>
                          <a:ln>
                            <a:noFill/>
                          </a:ln>
                        </pic:spPr>
                      </pic:pic>
                    </a:graphicData>
                  </a:graphic>
                </wp:inline>
              </w:drawing>
            </w:r>
          </w:p>
        </w:tc>
        <w:tc>
          <w:tcPr>
            <w:tcW w:w="4848" w:type="dxa"/>
            <w:vAlign w:val="center"/>
          </w:tcPr>
          <w:p>
            <w:pPr>
              <w:pStyle w:val="51"/>
              <w:rPr>
                <w:szCs w:val="21"/>
              </w:rPr>
            </w:pPr>
            <w:r>
              <w:rPr>
                <w:szCs w:val="21"/>
              </w:rPr>
              <w:drawing>
                <wp:inline distT="0" distB="0" distL="0" distR="0">
                  <wp:extent cx="2764790" cy="1655445"/>
                  <wp:effectExtent l="0" t="0" r="0" b="1905"/>
                  <wp:docPr id="43009" name="图片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9" name="图片 430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765161" cy="16560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766" w:type="dxa"/>
            <w:vAlign w:val="center"/>
          </w:tcPr>
          <w:p>
            <w:pPr>
              <w:pStyle w:val="51"/>
              <w:rPr>
                <w:b w:val="0"/>
                <w:bCs/>
                <w:szCs w:val="21"/>
              </w:rPr>
            </w:pPr>
            <w:r>
              <w:rPr>
                <w:b w:val="0"/>
                <w:bCs/>
                <w:szCs w:val="21"/>
              </w:rPr>
              <w:t>（a）转角墙（L形墙）</w:t>
            </w:r>
          </w:p>
        </w:tc>
        <w:tc>
          <w:tcPr>
            <w:tcW w:w="4848" w:type="dxa"/>
            <w:vAlign w:val="center"/>
          </w:tcPr>
          <w:p>
            <w:pPr>
              <w:pStyle w:val="51"/>
              <w:rPr>
                <w:b w:val="0"/>
                <w:bCs/>
                <w:szCs w:val="21"/>
              </w:rPr>
            </w:pPr>
            <w:r>
              <w:rPr>
                <w:b w:val="0"/>
                <w:bCs/>
                <w:szCs w:val="21"/>
              </w:rPr>
              <w:t>（b）有翼墙（T形墙）</w:t>
            </w:r>
          </w:p>
        </w:tc>
      </w:tr>
      <w:tr>
        <w:tblPrEx>
          <w:tblCellMar>
            <w:top w:w="0" w:type="dxa"/>
            <w:left w:w="108" w:type="dxa"/>
            <w:bottom w:w="0" w:type="dxa"/>
            <w:right w:w="108" w:type="dxa"/>
          </w:tblCellMar>
        </w:tblPrEx>
        <w:trPr>
          <w:jc w:val="center"/>
        </w:trPr>
        <w:tc>
          <w:tcPr>
            <w:tcW w:w="8614" w:type="dxa"/>
            <w:gridSpan w:val="2"/>
            <w:vAlign w:val="center"/>
          </w:tcPr>
          <w:p>
            <w:pPr>
              <w:pStyle w:val="51"/>
              <w:rPr>
                <w:szCs w:val="21"/>
              </w:rPr>
            </w:pPr>
            <w:r>
              <w:rPr>
                <w:szCs w:val="21"/>
              </w:rPr>
              <w:drawing>
                <wp:inline distT="0" distB="0" distL="0" distR="0">
                  <wp:extent cx="1879600" cy="974090"/>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08812" cy="989568"/>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8614" w:type="dxa"/>
            <w:gridSpan w:val="2"/>
            <w:vAlign w:val="center"/>
          </w:tcPr>
          <w:p>
            <w:pPr>
              <w:pStyle w:val="51"/>
              <w:rPr>
                <w:b w:val="0"/>
                <w:bCs/>
                <w:szCs w:val="21"/>
              </w:rPr>
            </w:pPr>
            <w:r>
              <w:rPr>
                <w:b w:val="0"/>
                <w:bCs/>
                <w:szCs w:val="21"/>
              </w:rPr>
              <w:t>（c）现浇暗柱（一形墙）</w:t>
            </w:r>
          </w:p>
        </w:tc>
      </w:tr>
      <w:tr>
        <w:tblPrEx>
          <w:tblCellMar>
            <w:top w:w="0" w:type="dxa"/>
            <w:left w:w="108" w:type="dxa"/>
            <w:bottom w:w="0" w:type="dxa"/>
            <w:right w:w="108" w:type="dxa"/>
          </w:tblCellMar>
        </w:tblPrEx>
        <w:trPr>
          <w:jc w:val="center"/>
        </w:trPr>
        <w:tc>
          <w:tcPr>
            <w:tcW w:w="8614" w:type="dxa"/>
            <w:gridSpan w:val="2"/>
            <w:vAlign w:val="center"/>
          </w:tcPr>
          <w:p>
            <w:pPr>
              <w:pStyle w:val="51"/>
              <w:rPr>
                <w:sz w:val="24"/>
                <w:szCs w:val="24"/>
              </w:rPr>
            </w:pPr>
            <w:r>
              <w:rPr>
                <w:sz w:val="24"/>
                <w:szCs w:val="24"/>
              </w:rPr>
              <w:t>图6.2.7双面叠合剪力墙构造边缘构件</w:t>
            </w:r>
          </w:p>
          <w:p>
            <w:pPr>
              <w:pStyle w:val="51"/>
              <w:rPr>
                <w:b w:val="0"/>
                <w:bCs/>
                <w:sz w:val="18"/>
                <w:szCs w:val="18"/>
              </w:rPr>
            </w:pPr>
            <w:r>
              <w:rPr>
                <w:b w:val="0"/>
                <w:bCs/>
                <w:sz w:val="24"/>
                <w:szCs w:val="24"/>
              </w:rPr>
              <w:t>1—后浇部分；2—叶板；3—后浇段</w:t>
            </w:r>
          </w:p>
        </w:tc>
      </w:tr>
    </w:tbl>
    <w:p>
      <w:pPr>
        <w:pStyle w:val="47"/>
        <w:widowControl/>
        <w:ind w:firstLine="0"/>
        <w:rPr>
          <w:rFonts w:eastAsia="仿宋"/>
          <w:i/>
          <w:spacing w:val="10"/>
          <w:szCs w:val="24"/>
        </w:rPr>
      </w:pPr>
      <w:r>
        <w:rPr>
          <w:rFonts w:eastAsia="仿宋"/>
          <w:i/>
          <w:spacing w:val="10"/>
          <w:szCs w:val="24"/>
        </w:rPr>
        <w:t>【条文说明】6.2.6~6.2.7 为保证结构安全，约束边缘构件阴影区域和构造边缘区域均应采用后浇混凝土，约束边缘构件非阴影区域可以采用叠合形式。</w:t>
      </w:r>
      <w:r>
        <w:rPr>
          <w:rFonts w:hint="eastAsia" w:eastAsia="仿宋"/>
          <w:i/>
          <w:spacing w:val="10"/>
          <w:szCs w:val="24"/>
        </w:rPr>
        <w:t>桁架钢筋不满足边缘构件非阴影区拉筋要求时，需单独设置拉筋。</w:t>
      </w:r>
      <w:r>
        <w:rPr>
          <w:rFonts w:eastAsia="仿宋"/>
          <w:i/>
          <w:spacing w:val="10"/>
          <w:szCs w:val="24"/>
        </w:rPr>
        <w:t>叠合墙约束边缘构件lc范围内的格构钢筋的斜腹筋可计入体积配箍率。对于单面叠合剪力墙和夹心保温叠合剪力墙边缘构件可参考双面叠合剪力墙设置。</w:t>
      </w:r>
      <w:bookmarkStart w:id="84" w:name="_Ref532468908"/>
      <w:bookmarkStart w:id="85" w:name="_Toc532543001"/>
      <w:bookmarkStart w:id="86" w:name="_Toc528328003"/>
      <w:bookmarkStart w:id="87" w:name="_Toc532309558"/>
      <w:bookmarkStart w:id="88" w:name="_Toc518395652"/>
    </w:p>
    <w:p>
      <w:pPr>
        <w:pStyle w:val="47"/>
        <w:widowControl/>
        <w:ind w:firstLine="0"/>
      </w:pPr>
      <w:r>
        <w:rPr>
          <w:b/>
          <w:bCs/>
        </w:rPr>
        <w:t xml:space="preserve">6.2.8 </w:t>
      </w:r>
      <w:r>
        <w:rPr>
          <w:rFonts w:hint="eastAsia"/>
        </w:rPr>
        <w:t>双肢双面叠合剪力墙抗震设计时</w:t>
      </w:r>
      <w:r>
        <w:t>，其墙肢不宜出现</w:t>
      </w:r>
      <w:r>
        <w:rPr>
          <w:rFonts w:hint="eastAsia"/>
        </w:rPr>
        <w:t>小</w:t>
      </w:r>
      <w:r>
        <w:t>偏心受拉。当</w:t>
      </w:r>
      <w:r>
        <w:rPr>
          <w:rFonts w:hint="eastAsia"/>
        </w:rPr>
        <w:t>任一</w:t>
      </w:r>
      <w:r>
        <w:t>墙肢</w:t>
      </w:r>
      <w:r>
        <w:rPr>
          <w:rFonts w:hint="eastAsia"/>
        </w:rPr>
        <w:t>为偏心受拉时，另一墙肢的</w:t>
      </w:r>
      <w:r>
        <w:t>弯矩设计值及剪力设计值应乘以增大系数1.25。</w:t>
      </w:r>
    </w:p>
    <w:p>
      <w:pPr>
        <w:pStyle w:val="47"/>
        <w:widowControl/>
        <w:ind w:firstLine="0"/>
        <w:rPr>
          <w:b/>
          <w:bCs/>
          <w:sz w:val="24"/>
          <w:szCs w:val="24"/>
        </w:rPr>
      </w:pPr>
      <w:r>
        <w:rPr>
          <w:rFonts w:eastAsia="仿宋"/>
          <w:i/>
          <w:spacing w:val="10"/>
          <w:szCs w:val="24"/>
        </w:rPr>
        <w:t xml:space="preserve">【条文说明】6.2.8 </w:t>
      </w:r>
      <w:r>
        <w:rPr>
          <w:rFonts w:hint="eastAsia" w:eastAsia="仿宋"/>
          <w:i/>
          <w:spacing w:val="10"/>
          <w:szCs w:val="24"/>
        </w:rPr>
        <w:t>偏心受拉墙肢宜现浇。</w:t>
      </w:r>
      <w:r>
        <w:rPr>
          <w:rFonts w:eastAsia="仿宋"/>
          <w:i/>
          <w:spacing w:val="10"/>
          <w:szCs w:val="24"/>
        </w:rPr>
        <w:t>若叠合剪力墙中一个墙肢出现小偏心受拉，该墙肢可能会出现水平通缝而严重削弱抗剪能力，抗侧刚度也严重退化，由荷载产生的剪力将全部转移到另一个墙肢而导致另一个墙肢抗剪承载力不足。因此，应尽可能避免出现墙肢小偏心受拉的情况。当出现大偏心受拉时，墙肢极易出现裂缝，使其刚度退化，剪力将在墙肢中重新分配。此时，可将另一受压墙肢按弹性计算的剪力设计值乘以1.25增大系数后计算水平钢筋，以提高其受剪承载力。但是由于可能存在反复荷载，所以要求两个墙肢都要增大设计剪力。</w:t>
      </w:r>
      <w:bookmarkEnd w:id="84"/>
      <w:bookmarkEnd w:id="85"/>
      <w:bookmarkEnd w:id="86"/>
      <w:bookmarkEnd w:id="87"/>
      <w:bookmarkEnd w:id="88"/>
    </w:p>
    <w:bookmarkEnd w:id="80"/>
    <w:bookmarkEnd w:id="81"/>
    <w:bookmarkEnd w:id="82"/>
    <w:bookmarkEnd w:id="83"/>
    <w:p>
      <w:pPr>
        <w:pStyle w:val="3"/>
      </w:pPr>
      <w:bookmarkStart w:id="89" w:name="_Toc45313933"/>
      <w:bookmarkStart w:id="90" w:name="_Toc45574538"/>
      <w:r>
        <w:t>连接设计及构造</w:t>
      </w:r>
      <w:bookmarkEnd w:id="89"/>
      <w:bookmarkEnd w:id="90"/>
    </w:p>
    <w:p>
      <w:pPr>
        <w:pStyle w:val="47"/>
        <w:widowControl/>
        <w:ind w:firstLine="0"/>
      </w:pPr>
      <w:r>
        <w:rPr>
          <w:rFonts w:hint="eastAsia"/>
          <w:b/>
          <w:bCs/>
        </w:rPr>
        <w:t>6</w:t>
      </w:r>
      <w:r>
        <w:rPr>
          <w:b/>
          <w:bCs/>
        </w:rPr>
        <w:t xml:space="preserve">.3.1 </w:t>
      </w:r>
      <w:r>
        <w:t>在地震设计状况下，叠合剪力墙水平接缝处承载力设计值应按下式计算：</w:t>
      </w:r>
    </w:p>
    <w:p>
      <w:pPr>
        <w:jc w:val="center"/>
      </w:pPr>
      <w:r>
        <w:rPr>
          <w:i/>
          <w:iCs/>
        </w:rPr>
        <w:t>V</w:t>
      </w:r>
      <w:r>
        <w:rPr>
          <w:rFonts w:hint="eastAsia"/>
          <w:vertAlign w:val="subscript"/>
        </w:rPr>
        <w:t>u</w:t>
      </w:r>
      <w:r>
        <w:rPr>
          <w:vertAlign w:val="subscript"/>
        </w:rPr>
        <w:t>E</w:t>
      </w:r>
      <w:r>
        <w:rPr>
          <w:rFonts w:hint="eastAsia"/>
        </w:rPr>
        <w:t>≤</w:t>
      </w:r>
      <w:r>
        <w:t>0.6</w:t>
      </w:r>
      <w:r>
        <w:rPr>
          <w:rFonts w:hint="eastAsia"/>
          <w:i/>
          <w:iCs/>
        </w:rPr>
        <w:t>f</w:t>
      </w:r>
      <w:r>
        <w:rPr>
          <w:vertAlign w:val="subscript"/>
        </w:rPr>
        <w:t>y</w:t>
      </w:r>
      <w:r>
        <w:rPr>
          <w:i/>
          <w:iCs/>
        </w:rPr>
        <w:t>A</w:t>
      </w:r>
      <w:r>
        <w:rPr>
          <w:vertAlign w:val="subscript"/>
        </w:rPr>
        <w:t>sd</w:t>
      </w:r>
      <w:r>
        <w:t>+0.8</w:t>
      </w:r>
      <w:r>
        <w:rPr>
          <w:i/>
          <w:iCs/>
        </w:rPr>
        <w:t xml:space="preserve">N       </w:t>
      </w:r>
      <w:r>
        <w:t>（6.3.1）</w:t>
      </w:r>
    </w:p>
    <w:p>
      <w:pPr>
        <w:jc w:val="left"/>
      </w:pPr>
      <w:r>
        <w:t>式中</w:t>
      </w:r>
      <w:r>
        <w:rPr>
          <w:rFonts w:hint="eastAsia"/>
        </w:rPr>
        <w:t>:</w:t>
      </w:r>
    </w:p>
    <w:p>
      <w:pPr>
        <w:jc w:val="left"/>
      </w:pPr>
      <w:r>
        <w:rPr>
          <w:i/>
          <w:iCs/>
        </w:rPr>
        <w:t>V</w:t>
      </w:r>
      <w:r>
        <w:rPr>
          <w:rFonts w:hint="eastAsia"/>
          <w:vertAlign w:val="subscript"/>
        </w:rPr>
        <w:t>u</w:t>
      </w:r>
      <w:r>
        <w:rPr>
          <w:vertAlign w:val="subscript"/>
        </w:rPr>
        <w:t>E</w:t>
      </w:r>
      <w:r>
        <w:t>——叠合剪力墙水平接缝处抗剪承载力设计值；</w:t>
      </w:r>
    </w:p>
    <w:p>
      <w:pPr>
        <w:jc w:val="left"/>
      </w:pPr>
      <w:r>
        <w:rPr>
          <w:rFonts w:hint="eastAsia"/>
          <w:i/>
          <w:iCs/>
        </w:rPr>
        <w:t>f</w:t>
      </w:r>
      <w:r>
        <w:rPr>
          <w:vertAlign w:val="subscript"/>
        </w:rPr>
        <w:t>y</w:t>
      </w:r>
      <w:r>
        <w:t>——竖向钢筋抗拉强度设计值；</w:t>
      </w:r>
    </w:p>
    <w:p>
      <w:pPr>
        <w:jc w:val="left"/>
      </w:pPr>
      <w:r>
        <w:rPr>
          <w:i/>
          <w:iCs/>
        </w:rPr>
        <w:t>A</w:t>
      </w:r>
      <w:r>
        <w:rPr>
          <w:vertAlign w:val="subscript"/>
        </w:rPr>
        <w:t>sd</w:t>
      </w:r>
      <w:r>
        <w:t>——叠合剪力墙水平接缝处竖向连接钢筋和边缘构件中的竖向钢筋总面积；</w:t>
      </w:r>
    </w:p>
    <w:p>
      <w:pPr>
        <w:jc w:val="left"/>
      </w:pPr>
      <w:r>
        <w:rPr>
          <w:i/>
          <w:iCs/>
        </w:rPr>
        <w:t>N</w:t>
      </w:r>
      <w:r>
        <w:t>——与接缝处剪力设计值相对应的垂直于水平接缝的轴向力设计值，压力时取正，拉力时取负；当大于时0.6</w:t>
      </w:r>
      <w:r>
        <w:rPr>
          <w:rFonts w:hint="eastAsia"/>
          <w:i/>
          <w:iCs/>
        </w:rPr>
        <w:t>f</w:t>
      </w:r>
      <w:r>
        <w:rPr>
          <w:vertAlign w:val="subscript"/>
        </w:rPr>
        <w:t>c</w:t>
      </w:r>
      <w:r>
        <w:rPr>
          <w:i/>
          <w:iCs/>
        </w:rPr>
        <w:t>b</w:t>
      </w:r>
      <w:r>
        <w:rPr>
          <w:vertAlign w:val="subscript"/>
        </w:rPr>
        <w:t>w</w:t>
      </w:r>
      <w:r>
        <w:rPr>
          <w:i/>
          <w:iCs/>
        </w:rPr>
        <w:t>h</w:t>
      </w:r>
      <w:r>
        <w:rPr>
          <w:vertAlign w:val="subscript"/>
        </w:rPr>
        <w:t>w0</w:t>
      </w:r>
      <w:r>
        <w:t>，0.6</w:t>
      </w:r>
      <w:r>
        <w:rPr>
          <w:rFonts w:hint="eastAsia"/>
          <w:i/>
          <w:iCs/>
        </w:rPr>
        <w:t>f</w:t>
      </w:r>
      <w:r>
        <w:rPr>
          <w:vertAlign w:val="subscript"/>
        </w:rPr>
        <w:t>c</w:t>
      </w:r>
      <w:r>
        <w:rPr>
          <w:i/>
          <w:iCs/>
        </w:rPr>
        <w:t>b</w:t>
      </w:r>
      <w:r>
        <w:rPr>
          <w:vertAlign w:val="subscript"/>
        </w:rPr>
        <w:t>w</w:t>
      </w:r>
      <w:r>
        <w:rPr>
          <w:i/>
          <w:iCs/>
        </w:rPr>
        <w:t>h</w:t>
      </w:r>
      <w:r>
        <w:rPr>
          <w:vertAlign w:val="subscript"/>
        </w:rPr>
        <w:t>w0</w:t>
      </w:r>
      <w:r>
        <w:t>；此处</w:t>
      </w:r>
      <w:r>
        <w:rPr>
          <w:rFonts w:hint="eastAsia"/>
          <w:i/>
          <w:iCs/>
        </w:rPr>
        <w:t>f</w:t>
      </w:r>
      <w:r>
        <w:rPr>
          <w:vertAlign w:val="subscript"/>
        </w:rPr>
        <w:t>c</w:t>
      </w:r>
      <w:r>
        <w:t>为混凝土轴心抗拉强度设计值，</w:t>
      </w:r>
      <w:r>
        <w:rPr>
          <w:i/>
          <w:iCs/>
        </w:rPr>
        <w:t>b</w:t>
      </w:r>
      <w:r>
        <w:rPr>
          <w:vertAlign w:val="subscript"/>
        </w:rPr>
        <w:t>w</w:t>
      </w:r>
      <w:r>
        <w:t>为叠合剪力墙截面宽度，</w:t>
      </w:r>
      <w:r>
        <w:rPr>
          <w:i/>
          <w:iCs/>
        </w:rPr>
        <w:t>h</w:t>
      </w:r>
      <w:r>
        <w:rPr>
          <w:vertAlign w:val="subscript"/>
        </w:rPr>
        <w:t>w0</w:t>
      </w:r>
      <w:r>
        <w:t>为剪力墙截面有效高度。</w:t>
      </w:r>
    </w:p>
    <w:p>
      <w:pPr>
        <w:rPr>
          <w:b/>
          <w:bCs/>
        </w:rPr>
      </w:pPr>
      <w:r>
        <w:rPr>
          <w:rFonts w:eastAsia="仿宋"/>
          <w:i/>
          <w:spacing w:val="10"/>
          <w:szCs w:val="24"/>
        </w:rPr>
        <w:t>【条文说明】6.3.1 装配整体式叠合剪力墙结构中，叠合剪力墙的水平缝是影响结构受力性能的重要部位，接缝要实现强连接，避免在接缝处发生剪切破坏。水平缝承载力验算，照现行行业标准《高层建筑混凝土结构技术规程》JGJ 3中对抗震等级为一级的剪力墙，水平施工缝的抗滑移验算要求，仅考虑钢筋和轴力的共同作用，不考虑混凝土抗剪作用。计算中钢筋面积包括接缝中竖向连接钢筋面积和端部边缘构件纵向钢筋面积，当两者钢筋强度等级不同时，应分别计算。</w:t>
      </w:r>
    </w:p>
    <w:p>
      <w:pPr>
        <w:rPr>
          <w:b/>
          <w:bCs/>
        </w:rPr>
      </w:pPr>
      <w:r>
        <w:rPr>
          <w:b/>
          <w:bCs/>
        </w:rPr>
        <w:t xml:space="preserve">6.3.2 </w:t>
      </w:r>
      <w:r>
        <w:t>叠合剪力墙的水平缝（竖向连接）应在楼面标高处，竖缝（水平连接）应错开边缘构件（阴影区）范围，接缝处应设置可靠的接缝连接钢筋。</w:t>
      </w:r>
    </w:p>
    <w:p>
      <w:pPr>
        <w:rPr>
          <w:rFonts w:eastAsia="仿宋"/>
          <w:spacing w:val="10"/>
          <w:szCs w:val="24"/>
        </w:rPr>
      </w:pPr>
      <w:r>
        <w:rPr>
          <w:rFonts w:eastAsia="仿宋"/>
          <w:i/>
          <w:spacing w:val="10"/>
          <w:szCs w:val="24"/>
        </w:rPr>
        <w:t>【条文说明】6.3.2 接缝原则一是尽量避开受力最大区域，另外还需考虑现场的施工便捷性。接缝连接钢筋</w:t>
      </w:r>
      <w:r>
        <w:rPr>
          <w:rFonts w:hint="eastAsia" w:eastAsia="仿宋"/>
          <w:i/>
          <w:spacing w:val="10"/>
          <w:szCs w:val="24"/>
        </w:rPr>
        <w:t>宜采用焊接圆弧型封闭箍筋，其</w:t>
      </w:r>
      <w:r>
        <w:rPr>
          <w:rFonts w:eastAsia="仿宋"/>
          <w:i/>
          <w:spacing w:val="10"/>
          <w:szCs w:val="24"/>
        </w:rPr>
        <w:t>设计计算及构造应满足本规程相关规定的要求。叠合墙板的竖缝连接应满足6.2.6和6.2.7条以及6.3.4条的相关要求。</w:t>
      </w:r>
    </w:p>
    <w:p>
      <w:bookmarkStart w:id="91" w:name="_Toc521919158"/>
      <w:bookmarkStart w:id="92" w:name="_Toc532542993"/>
      <w:bookmarkStart w:id="93" w:name="_Toc532309550"/>
      <w:r>
        <w:rPr>
          <w:b/>
          <w:bCs/>
        </w:rPr>
        <w:t xml:space="preserve">6.3.3 </w:t>
      </w:r>
      <w:r>
        <w:t>叠合剪力墙水平缝高度不宜小于50mm，且不宜大于100mm；夹心保温叠合剪力墙外叶板的水平缝高度宜取20mm。</w:t>
      </w:r>
    </w:p>
    <w:p>
      <w:pPr>
        <w:spacing w:line="480" w:lineRule="exact"/>
        <w:rPr>
          <w:rFonts w:eastAsia="仿宋"/>
          <w:i/>
          <w:spacing w:val="10"/>
          <w:szCs w:val="24"/>
        </w:rPr>
      </w:pPr>
      <w:r>
        <w:rPr>
          <w:rFonts w:eastAsia="仿宋"/>
          <w:i/>
          <w:spacing w:val="10"/>
          <w:szCs w:val="24"/>
        </w:rPr>
        <w:t>【条文说明】6.3.3 基于装叠合剪力墙结构的构造，叠合剪力墙需在楼层处设置水平缝，为保证接缝处现浇混凝土浇筑密实，叠合剪力墙水平缝高度Δ1不宜小于50mm；同时，为保证上下墙内水平钢筋竖向间距不大于200mm且方便安装及封堵，叠合剪力墙水平缝高度Δ1不宜大于100mm（下部墙体预制板顶面钢筋中心到预制板顶面的距离为50mm，上部墙体预制板底面钢筋中心到预制板底面的距离为50mm），图</w:t>
      </w:r>
      <w:r>
        <w:rPr>
          <w:rFonts w:hint="eastAsia" w:eastAsia="仿宋"/>
          <w:i/>
          <w:spacing w:val="10"/>
          <w:szCs w:val="24"/>
        </w:rPr>
        <w:t>6.3.3</w:t>
      </w:r>
      <w:r>
        <w:rPr>
          <w:rFonts w:eastAsia="仿宋"/>
          <w:i/>
          <w:spacing w:val="10"/>
          <w:szCs w:val="24"/>
        </w:rPr>
        <w:t>（a）、（b）。而对于夹心保温叠合剪力墙外叶板和单面叠合剪力墙外墙的外叶板，为减小外墙外叶板的水平拼缝高度，便于背衬材料放置和密封胶施工，同时提高墙体的防水性能，综合工程实践经验，外叶板水平拼缝高度Δ2可适当减少，拼缝高度宜为20mm，内叶板拼缝高度Δ1宜为50~100mm，图6.3.3（c）、（d）。</w:t>
      </w:r>
    </w:p>
    <w:tbl>
      <w:tblPr>
        <w:tblStyle w:val="30"/>
        <w:tblW w:w="7996" w:type="dxa"/>
        <w:jc w:val="center"/>
        <w:tblLayout w:type="fixed"/>
        <w:tblCellMar>
          <w:top w:w="0" w:type="dxa"/>
          <w:left w:w="108" w:type="dxa"/>
          <w:bottom w:w="0" w:type="dxa"/>
          <w:right w:w="108" w:type="dxa"/>
        </w:tblCellMar>
      </w:tblPr>
      <w:tblGrid>
        <w:gridCol w:w="3937"/>
        <w:gridCol w:w="4059"/>
      </w:tblGrid>
      <w:tr>
        <w:tblPrEx>
          <w:tblCellMar>
            <w:top w:w="0" w:type="dxa"/>
            <w:left w:w="108" w:type="dxa"/>
            <w:bottom w:w="0" w:type="dxa"/>
            <w:right w:w="108" w:type="dxa"/>
          </w:tblCellMar>
        </w:tblPrEx>
        <w:trPr>
          <w:trHeight w:val="3224" w:hRule="atLeast"/>
          <w:jc w:val="center"/>
        </w:trPr>
        <w:tc>
          <w:tcPr>
            <w:tcW w:w="3937" w:type="dxa"/>
            <w:vAlign w:val="center"/>
          </w:tcPr>
          <w:p>
            <w:pPr>
              <w:pStyle w:val="51"/>
            </w:pPr>
            <w:r>
              <w:drawing>
                <wp:inline distT="0" distB="0" distL="0" distR="0">
                  <wp:extent cx="1295400" cy="221043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324582" cy="2260833"/>
                          </a:xfrm>
                          <a:prstGeom prst="rect">
                            <a:avLst/>
                          </a:prstGeom>
                          <a:noFill/>
                          <a:ln>
                            <a:noFill/>
                          </a:ln>
                        </pic:spPr>
                      </pic:pic>
                    </a:graphicData>
                  </a:graphic>
                </wp:inline>
              </w:drawing>
            </w:r>
          </w:p>
        </w:tc>
        <w:tc>
          <w:tcPr>
            <w:tcW w:w="4059" w:type="dxa"/>
            <w:vAlign w:val="center"/>
          </w:tcPr>
          <w:p>
            <w:pPr>
              <w:pStyle w:val="51"/>
            </w:pPr>
            <w:r>
              <w:drawing>
                <wp:inline distT="0" distB="0" distL="0" distR="0">
                  <wp:extent cx="1769110" cy="2316480"/>
                  <wp:effectExtent l="0" t="0" r="2540"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95980" cy="2351611"/>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937" w:type="dxa"/>
            <w:vAlign w:val="center"/>
          </w:tcPr>
          <w:p>
            <w:pPr>
              <w:pStyle w:val="51"/>
              <w:rPr>
                <w:sz w:val="24"/>
                <w:szCs w:val="24"/>
              </w:rPr>
            </w:pPr>
            <w:r>
              <w:rPr>
                <w:sz w:val="24"/>
                <w:szCs w:val="24"/>
              </w:rPr>
              <w:t>（a）双面叠合墙一侧有楼板水平接缝</w:t>
            </w:r>
          </w:p>
        </w:tc>
        <w:tc>
          <w:tcPr>
            <w:tcW w:w="4059" w:type="dxa"/>
            <w:vAlign w:val="center"/>
          </w:tcPr>
          <w:p>
            <w:pPr>
              <w:pStyle w:val="51"/>
              <w:rPr>
                <w:sz w:val="24"/>
                <w:szCs w:val="24"/>
              </w:rPr>
            </w:pPr>
            <w:r>
              <w:rPr>
                <w:sz w:val="24"/>
                <w:szCs w:val="24"/>
              </w:rPr>
              <w:t>（b）双面叠合墙两侧有楼板水平接缝</w:t>
            </w:r>
          </w:p>
        </w:tc>
      </w:tr>
      <w:tr>
        <w:tblPrEx>
          <w:tblCellMar>
            <w:top w:w="0" w:type="dxa"/>
            <w:left w:w="108" w:type="dxa"/>
            <w:bottom w:w="0" w:type="dxa"/>
            <w:right w:w="108" w:type="dxa"/>
          </w:tblCellMar>
        </w:tblPrEx>
        <w:trPr>
          <w:trHeight w:val="2922" w:hRule="atLeast"/>
          <w:jc w:val="center"/>
        </w:trPr>
        <w:tc>
          <w:tcPr>
            <w:tcW w:w="3937" w:type="dxa"/>
            <w:vAlign w:val="center"/>
          </w:tcPr>
          <w:p>
            <w:pPr>
              <w:pStyle w:val="51"/>
              <w:rPr>
                <w:b w:val="0"/>
                <w:bCs/>
              </w:rPr>
            </w:pPr>
            <w:r>
              <w:rPr>
                <w:b w:val="0"/>
                <w:bCs/>
              </w:rPr>
              <w:drawing>
                <wp:inline distT="0" distB="0" distL="0" distR="0">
                  <wp:extent cx="1195070" cy="2159635"/>
                  <wp:effectExtent l="0" t="0" r="5080" b="0"/>
                  <wp:docPr id="43010" name="图片 4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图片 43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195511" cy="2160000"/>
                          </a:xfrm>
                          <a:prstGeom prst="rect">
                            <a:avLst/>
                          </a:prstGeom>
                          <a:noFill/>
                          <a:ln>
                            <a:noFill/>
                          </a:ln>
                        </pic:spPr>
                      </pic:pic>
                    </a:graphicData>
                  </a:graphic>
                </wp:inline>
              </w:drawing>
            </w:r>
          </w:p>
        </w:tc>
        <w:tc>
          <w:tcPr>
            <w:tcW w:w="4059" w:type="dxa"/>
            <w:vAlign w:val="center"/>
          </w:tcPr>
          <w:p>
            <w:pPr>
              <w:pStyle w:val="51"/>
              <w:rPr>
                <w:b w:val="0"/>
                <w:bCs/>
              </w:rPr>
            </w:pPr>
            <w:r>
              <w:rPr>
                <w:b w:val="0"/>
                <w:bCs/>
              </w:rPr>
              <w:drawing>
                <wp:inline distT="0" distB="0" distL="0" distR="0">
                  <wp:extent cx="1181735" cy="2159635"/>
                  <wp:effectExtent l="0" t="0" r="0" b="0"/>
                  <wp:docPr id="43011" name="图片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图片 43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182201" cy="21600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937" w:type="dxa"/>
            <w:vAlign w:val="center"/>
          </w:tcPr>
          <w:p>
            <w:pPr>
              <w:pStyle w:val="51"/>
              <w:rPr>
                <w:sz w:val="24"/>
                <w:szCs w:val="24"/>
              </w:rPr>
            </w:pPr>
            <w:r>
              <w:rPr>
                <w:sz w:val="24"/>
                <w:szCs w:val="24"/>
              </w:rPr>
              <w:t>（c）夹心保温叠合墙水平接缝</w:t>
            </w:r>
          </w:p>
        </w:tc>
        <w:tc>
          <w:tcPr>
            <w:tcW w:w="4059" w:type="dxa"/>
            <w:vAlign w:val="center"/>
          </w:tcPr>
          <w:p>
            <w:pPr>
              <w:pStyle w:val="51"/>
              <w:rPr>
                <w:sz w:val="24"/>
                <w:szCs w:val="24"/>
              </w:rPr>
            </w:pPr>
            <w:r>
              <w:rPr>
                <w:sz w:val="24"/>
                <w:szCs w:val="24"/>
              </w:rPr>
              <w:t>（d）单面叠合墙外墙水平接缝</w:t>
            </w:r>
          </w:p>
        </w:tc>
      </w:tr>
      <w:tr>
        <w:tblPrEx>
          <w:tblCellMar>
            <w:top w:w="0" w:type="dxa"/>
            <w:left w:w="108" w:type="dxa"/>
            <w:bottom w:w="0" w:type="dxa"/>
            <w:right w:w="108" w:type="dxa"/>
          </w:tblCellMar>
        </w:tblPrEx>
        <w:trPr>
          <w:jc w:val="center"/>
        </w:trPr>
        <w:tc>
          <w:tcPr>
            <w:tcW w:w="7996" w:type="dxa"/>
            <w:gridSpan w:val="2"/>
            <w:vAlign w:val="center"/>
          </w:tcPr>
          <w:p>
            <w:pPr>
              <w:pStyle w:val="51"/>
              <w:rPr>
                <w:bCs/>
                <w:sz w:val="24"/>
                <w:szCs w:val="24"/>
              </w:rPr>
            </w:pPr>
            <w:r>
              <w:rPr>
                <w:bCs/>
                <w:sz w:val="24"/>
                <w:szCs w:val="24"/>
              </w:rPr>
              <w:t>图</w:t>
            </w:r>
            <w:r>
              <w:rPr>
                <w:sz w:val="24"/>
                <w:szCs w:val="24"/>
              </w:rPr>
              <w:t>6.3.3</w:t>
            </w:r>
            <w:r>
              <w:rPr>
                <w:bCs/>
                <w:sz w:val="24"/>
                <w:szCs w:val="24"/>
              </w:rPr>
              <w:t xml:space="preserve"> 叠合墙水平接缝图</w:t>
            </w:r>
          </w:p>
          <w:p>
            <w:pPr>
              <w:pStyle w:val="51"/>
              <w:rPr>
                <w:bCs/>
                <w:szCs w:val="18"/>
              </w:rPr>
            </w:pPr>
            <w:r>
              <w:rPr>
                <w:b w:val="0"/>
                <w:bCs/>
                <w:sz w:val="24"/>
                <w:szCs w:val="24"/>
              </w:rPr>
              <w:t>1—预制叠合板；2—</w:t>
            </w:r>
            <w:r>
              <w:rPr>
                <w:rFonts w:hint="eastAsia"/>
                <w:b w:val="0"/>
                <w:bCs/>
                <w:sz w:val="24"/>
                <w:szCs w:val="24"/>
              </w:rPr>
              <w:t>叠合墙叶板</w:t>
            </w:r>
            <w:r>
              <w:rPr>
                <w:b w:val="0"/>
                <w:bCs/>
                <w:sz w:val="24"/>
                <w:szCs w:val="24"/>
              </w:rPr>
              <w:t>；3—</w:t>
            </w:r>
            <w:r>
              <w:rPr>
                <w:rFonts w:hint="eastAsia"/>
                <w:b w:val="0"/>
                <w:bCs/>
                <w:sz w:val="24"/>
                <w:szCs w:val="24"/>
              </w:rPr>
              <w:t>夹心保温外叶板</w:t>
            </w:r>
            <w:r>
              <w:rPr>
                <w:b w:val="0"/>
                <w:bCs/>
                <w:sz w:val="24"/>
                <w:szCs w:val="24"/>
              </w:rPr>
              <w:t>；4—</w:t>
            </w:r>
            <w:r>
              <w:rPr>
                <w:rFonts w:hint="eastAsia"/>
                <w:b w:val="0"/>
                <w:bCs/>
                <w:sz w:val="24"/>
                <w:szCs w:val="24"/>
              </w:rPr>
              <w:t>保温层</w:t>
            </w:r>
            <w:r>
              <w:rPr>
                <w:b w:val="0"/>
                <w:bCs/>
                <w:sz w:val="24"/>
                <w:szCs w:val="24"/>
              </w:rPr>
              <w:t>；</w:t>
            </w:r>
            <w:r>
              <w:rPr>
                <w:rFonts w:hint="eastAsia"/>
                <w:b w:val="0"/>
                <w:bCs/>
                <w:sz w:val="24"/>
                <w:szCs w:val="24"/>
              </w:rPr>
              <w:t>5</w:t>
            </w:r>
            <w:r>
              <w:rPr>
                <w:b w:val="0"/>
                <w:bCs/>
                <w:sz w:val="24"/>
                <w:szCs w:val="24"/>
              </w:rPr>
              <w:t>—</w:t>
            </w:r>
            <w:r>
              <w:rPr>
                <w:rFonts w:hint="eastAsia"/>
                <w:b w:val="0"/>
                <w:bCs/>
                <w:sz w:val="24"/>
                <w:szCs w:val="24"/>
              </w:rPr>
              <w:t>单面剪力墙叶板</w:t>
            </w:r>
            <w:r>
              <w:rPr>
                <w:b w:val="0"/>
                <w:bCs/>
                <w:sz w:val="24"/>
                <w:szCs w:val="24"/>
              </w:rPr>
              <w:t>；</w:t>
            </w:r>
            <w:r>
              <w:rPr>
                <w:rFonts w:hint="eastAsia"/>
                <w:b w:val="0"/>
                <w:bCs/>
                <w:sz w:val="24"/>
                <w:szCs w:val="24"/>
              </w:rPr>
              <w:t>6</w:t>
            </w:r>
            <w:r>
              <w:rPr>
                <w:b w:val="0"/>
                <w:bCs/>
                <w:sz w:val="24"/>
                <w:szCs w:val="24"/>
              </w:rPr>
              <w:t>—</w:t>
            </w:r>
            <w:r>
              <w:rPr>
                <w:rFonts w:hint="eastAsia"/>
                <w:b w:val="0"/>
                <w:bCs/>
                <w:sz w:val="24"/>
                <w:szCs w:val="24"/>
              </w:rPr>
              <w:t>叠合墙现浇部分</w:t>
            </w:r>
            <w:r>
              <w:rPr>
                <w:b w:val="0"/>
                <w:bCs/>
                <w:sz w:val="24"/>
                <w:szCs w:val="24"/>
              </w:rPr>
              <w:t>；7—</w:t>
            </w:r>
            <w:r>
              <w:rPr>
                <w:rFonts w:hint="eastAsia"/>
                <w:b w:val="0"/>
                <w:bCs/>
                <w:sz w:val="24"/>
                <w:szCs w:val="24"/>
              </w:rPr>
              <w:t>叠合板现浇部分</w:t>
            </w:r>
          </w:p>
        </w:tc>
      </w:tr>
    </w:tbl>
    <w:p>
      <w:r>
        <w:rPr>
          <w:b/>
          <w:bCs/>
        </w:rPr>
        <w:t xml:space="preserve">6.3.4 </w:t>
      </w:r>
      <w:r>
        <w:t>叠合剪力墙水平缝处应设置竖向连接钢筋，连接钢筋面积应通过计算确定，并满足下列要求：</w:t>
      </w:r>
    </w:p>
    <w:p>
      <w:pPr>
        <w:pStyle w:val="47"/>
        <w:numPr>
          <w:ilvl w:val="0"/>
          <w:numId w:val="24"/>
        </w:numPr>
        <w:ind w:left="0" w:firstLine="576" w:firstLineChars="200"/>
      </w:pPr>
      <w:r>
        <w:t>竖向连接钢筋应采用封闭箍形式，其与叶板竖筋的搭接长度应不小于1.2</w:t>
      </w:r>
      <w:r>
        <w:rPr>
          <w:i/>
        </w:rPr>
        <w:t>l</w:t>
      </w:r>
      <w:r>
        <w:rPr>
          <w:vertAlign w:val="subscript"/>
        </w:rPr>
        <w:t>aE</w:t>
      </w:r>
      <w:r>
        <w:t>；</w:t>
      </w:r>
    </w:p>
    <w:p>
      <w:pPr>
        <w:pStyle w:val="47"/>
        <w:numPr>
          <w:ilvl w:val="0"/>
          <w:numId w:val="24"/>
        </w:numPr>
        <w:ind w:left="0" w:firstLine="576" w:firstLineChars="200"/>
      </w:pPr>
      <w:r>
        <w:t>在水平缝高度范围内、竖向连接钢筋外侧应设置2根直径不小于剪力墙水平钢筋直径的水平钢筋，水平钢筋和竖向连接钢筋应采用间距不大于200mm、直径不小于8mm的拉筋可靠拉结；</w:t>
      </w:r>
    </w:p>
    <w:p>
      <w:pPr>
        <w:pStyle w:val="47"/>
        <w:numPr>
          <w:ilvl w:val="0"/>
          <w:numId w:val="24"/>
        </w:numPr>
        <w:ind w:left="0" w:firstLine="576" w:firstLineChars="200"/>
      </w:pPr>
      <w:r>
        <w:t>竖向连接钢筋应在叶板内表面设置，竖向连接钢筋沿墙长方向的间距应不大于叠合剪力墙叶板中竖向钢筋的间距，且不应大于200mm；</w:t>
      </w:r>
    </w:p>
    <w:p>
      <w:pPr>
        <w:pStyle w:val="47"/>
        <w:numPr>
          <w:ilvl w:val="0"/>
          <w:numId w:val="24"/>
        </w:numPr>
        <w:ind w:left="0" w:firstLine="576" w:firstLineChars="200"/>
      </w:pPr>
      <w:r>
        <w:t>竖向连接钢筋的面积应不小于叠合剪力墙的预制板中竖向钢筋面积的1.1倍, 且连接钢筋的直径应不小于叠合剪力墙叶板中竖向钢筋的直径。</w:t>
      </w:r>
    </w:p>
    <w:tbl>
      <w:tblPr>
        <w:tblStyle w:val="30"/>
        <w:tblW w:w="8559" w:type="dxa"/>
        <w:jc w:val="center"/>
        <w:tblLayout w:type="autofit"/>
        <w:tblCellMar>
          <w:top w:w="0" w:type="dxa"/>
          <w:left w:w="108" w:type="dxa"/>
          <w:bottom w:w="0" w:type="dxa"/>
          <w:right w:w="108" w:type="dxa"/>
        </w:tblCellMar>
      </w:tblPr>
      <w:tblGrid>
        <w:gridCol w:w="1984"/>
        <w:gridCol w:w="6575"/>
      </w:tblGrid>
      <w:tr>
        <w:tblPrEx>
          <w:tblCellMar>
            <w:top w:w="0" w:type="dxa"/>
            <w:left w:w="108" w:type="dxa"/>
            <w:bottom w:w="0" w:type="dxa"/>
            <w:right w:w="108" w:type="dxa"/>
          </w:tblCellMar>
        </w:tblPrEx>
        <w:trPr>
          <w:jc w:val="center"/>
        </w:trPr>
        <w:tc>
          <w:tcPr>
            <w:tcW w:w="8559" w:type="dxa"/>
            <w:gridSpan w:val="2"/>
            <w:vAlign w:val="center"/>
          </w:tcPr>
          <w:p>
            <w:pPr>
              <w:pStyle w:val="51"/>
            </w:pPr>
            <w:r>
              <w:drawing>
                <wp:inline distT="0" distB="0" distL="0" distR="0">
                  <wp:extent cx="5124450" cy="2570480"/>
                  <wp:effectExtent l="0" t="0" r="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6"/>
                          <a:stretch>
                            <a:fillRect/>
                          </a:stretch>
                        </pic:blipFill>
                        <pic:spPr>
                          <a:xfrm>
                            <a:off x="0" y="0"/>
                            <a:ext cx="5130554" cy="2573925"/>
                          </a:xfrm>
                          <a:prstGeom prst="rect">
                            <a:avLst/>
                          </a:prstGeom>
                        </pic:spPr>
                      </pic:pic>
                    </a:graphicData>
                  </a:graphic>
                </wp:inline>
              </w:drawing>
            </w:r>
          </w:p>
        </w:tc>
      </w:tr>
      <w:tr>
        <w:tblPrEx>
          <w:tblCellMar>
            <w:top w:w="0" w:type="dxa"/>
            <w:left w:w="108" w:type="dxa"/>
            <w:bottom w:w="0" w:type="dxa"/>
            <w:right w:w="108" w:type="dxa"/>
          </w:tblCellMar>
        </w:tblPrEx>
        <w:trPr>
          <w:jc w:val="center"/>
        </w:trPr>
        <w:tc>
          <w:tcPr>
            <w:tcW w:w="1984" w:type="dxa"/>
            <w:vAlign w:val="center"/>
          </w:tcPr>
          <w:p>
            <w:pPr>
              <w:pStyle w:val="51"/>
              <w:rPr>
                <w:bCs/>
                <w:sz w:val="24"/>
                <w:szCs w:val="24"/>
              </w:rPr>
            </w:pPr>
            <w:r>
              <w:rPr>
                <w:bCs/>
                <w:sz w:val="24"/>
                <w:szCs w:val="24"/>
              </w:rPr>
              <w:t>（a）侧视图</w:t>
            </w:r>
          </w:p>
        </w:tc>
        <w:tc>
          <w:tcPr>
            <w:tcW w:w="6575" w:type="dxa"/>
            <w:vAlign w:val="center"/>
          </w:tcPr>
          <w:p>
            <w:pPr>
              <w:pStyle w:val="51"/>
              <w:rPr>
                <w:bCs/>
                <w:sz w:val="24"/>
                <w:szCs w:val="24"/>
              </w:rPr>
            </w:pPr>
            <w:r>
              <w:rPr>
                <w:bCs/>
                <w:sz w:val="24"/>
                <w:szCs w:val="24"/>
              </w:rPr>
              <w:t>（b）正视图</w:t>
            </w:r>
          </w:p>
        </w:tc>
      </w:tr>
      <w:tr>
        <w:trPr>
          <w:jc w:val="center"/>
        </w:trPr>
        <w:tc>
          <w:tcPr>
            <w:tcW w:w="8559" w:type="dxa"/>
            <w:gridSpan w:val="2"/>
            <w:vAlign w:val="center"/>
          </w:tcPr>
          <w:p>
            <w:pPr>
              <w:pStyle w:val="51"/>
              <w:rPr>
                <w:bCs/>
                <w:sz w:val="24"/>
                <w:szCs w:val="24"/>
              </w:rPr>
            </w:pPr>
            <w:r>
              <w:rPr>
                <w:bCs/>
                <w:sz w:val="24"/>
                <w:szCs w:val="24"/>
              </w:rPr>
              <w:t>图</w:t>
            </w:r>
            <w:r>
              <w:rPr>
                <w:sz w:val="24"/>
                <w:szCs w:val="24"/>
              </w:rPr>
              <w:t>6.3.4-1</w:t>
            </w:r>
            <w:r>
              <w:rPr>
                <w:bCs/>
                <w:sz w:val="24"/>
                <w:szCs w:val="24"/>
              </w:rPr>
              <w:t xml:space="preserve"> 双面叠合剪力墙竖向连接构造</w:t>
            </w:r>
          </w:p>
          <w:p>
            <w:pPr>
              <w:pStyle w:val="51"/>
              <w:rPr>
                <w:b w:val="0"/>
                <w:sz w:val="24"/>
                <w:szCs w:val="24"/>
              </w:rPr>
            </w:pPr>
            <w:r>
              <w:rPr>
                <w:b w:val="0"/>
                <w:sz w:val="24"/>
                <w:szCs w:val="24"/>
              </w:rPr>
              <w:t xml:space="preserve">1—下层叠合剪力墙；2—上层叠合剪力墙；3—竖向连接钢筋； </w:t>
            </w:r>
          </w:p>
          <w:p>
            <w:pPr>
              <w:pStyle w:val="51"/>
              <w:rPr>
                <w:b w:val="0"/>
                <w:sz w:val="24"/>
                <w:szCs w:val="24"/>
              </w:rPr>
            </w:pPr>
            <w:r>
              <w:rPr>
                <w:b w:val="0"/>
                <w:sz w:val="24"/>
                <w:szCs w:val="24"/>
              </w:rPr>
              <w:t>4—水平钢筋；5—水平拉筋；6—水平缝；</w:t>
            </w:r>
          </w:p>
          <w:p>
            <w:pPr>
              <w:pStyle w:val="51"/>
              <w:rPr>
                <w:b w:val="0"/>
                <w:sz w:val="24"/>
                <w:szCs w:val="24"/>
              </w:rPr>
            </w:pPr>
            <w:r>
              <w:drawing>
                <wp:inline distT="0" distB="0" distL="0" distR="0">
                  <wp:extent cx="1560830" cy="2496185"/>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7"/>
                          <a:stretch>
                            <a:fillRect/>
                          </a:stretch>
                        </pic:blipFill>
                        <pic:spPr>
                          <a:xfrm>
                            <a:off x="0" y="0"/>
                            <a:ext cx="1586393" cy="2537148"/>
                          </a:xfrm>
                          <a:prstGeom prst="rect">
                            <a:avLst/>
                          </a:prstGeom>
                        </pic:spPr>
                      </pic:pic>
                    </a:graphicData>
                  </a:graphic>
                </wp:inline>
              </w:drawing>
            </w:r>
          </w:p>
          <w:p>
            <w:pPr>
              <w:pStyle w:val="51"/>
              <w:rPr>
                <w:bCs/>
                <w:sz w:val="24"/>
                <w:szCs w:val="24"/>
              </w:rPr>
            </w:pPr>
            <w:r>
              <w:rPr>
                <w:bCs/>
                <w:sz w:val="24"/>
                <w:szCs w:val="24"/>
              </w:rPr>
              <w:t>图</w:t>
            </w:r>
            <w:r>
              <w:rPr>
                <w:rFonts w:hint="eastAsia"/>
                <w:bCs/>
                <w:sz w:val="24"/>
                <w:szCs w:val="24"/>
              </w:rPr>
              <w:t>6.3.4</w:t>
            </w:r>
            <w:r>
              <w:rPr>
                <w:sz w:val="24"/>
                <w:szCs w:val="24"/>
              </w:rPr>
              <w:t>-2</w:t>
            </w:r>
            <w:r>
              <w:rPr>
                <w:bCs/>
                <w:sz w:val="24"/>
                <w:szCs w:val="24"/>
              </w:rPr>
              <w:t xml:space="preserve"> 夹心保温叠合剪力墙竖向连接构造</w:t>
            </w:r>
          </w:p>
          <w:p>
            <w:pPr>
              <w:pStyle w:val="51"/>
              <w:rPr>
                <w:b w:val="0"/>
                <w:sz w:val="24"/>
                <w:szCs w:val="24"/>
              </w:rPr>
            </w:pPr>
            <w:r>
              <w:rPr>
                <w:b w:val="0"/>
                <w:sz w:val="24"/>
                <w:szCs w:val="24"/>
              </w:rPr>
              <w:t xml:space="preserve">1—下层叠合剪力墙；2—上层叠合剪力墙；3—竖向连接钢筋； </w:t>
            </w:r>
          </w:p>
          <w:p>
            <w:pPr>
              <w:pStyle w:val="51"/>
              <w:rPr>
                <w:b w:val="0"/>
                <w:sz w:val="24"/>
                <w:szCs w:val="24"/>
              </w:rPr>
            </w:pPr>
            <w:r>
              <w:rPr>
                <w:b w:val="0"/>
                <w:sz w:val="24"/>
                <w:szCs w:val="24"/>
              </w:rPr>
              <w:t>4—水平钢筋；5—水平拉筋；6—水平缝；7、保温层</w:t>
            </w:r>
          </w:p>
          <w:p>
            <w:pPr>
              <w:pStyle w:val="51"/>
              <w:rPr>
                <w:b w:val="0"/>
                <w:sz w:val="24"/>
                <w:szCs w:val="24"/>
              </w:rPr>
            </w:pPr>
            <w:r>
              <w:rPr>
                <w:b w:val="0"/>
                <w:sz w:val="24"/>
                <w:szCs w:val="24"/>
              </w:rPr>
              <w:t xml:space="preserve">Δ </w:t>
            </w:r>
            <w:r>
              <w:rPr>
                <w:b w:val="0"/>
                <w:sz w:val="24"/>
                <w:szCs w:val="24"/>
                <w:vertAlign w:val="subscript"/>
              </w:rPr>
              <w:t>1</w:t>
            </w:r>
            <w:r>
              <w:rPr>
                <w:b w:val="0"/>
                <w:sz w:val="24"/>
                <w:szCs w:val="24"/>
              </w:rPr>
              <w:t xml:space="preserve">—内叶板拼缝高度；Δ </w:t>
            </w:r>
            <w:r>
              <w:rPr>
                <w:b w:val="0"/>
                <w:sz w:val="24"/>
                <w:szCs w:val="24"/>
                <w:vertAlign w:val="subscript"/>
              </w:rPr>
              <w:t>2</w:t>
            </w:r>
            <w:r>
              <w:rPr>
                <w:b w:val="0"/>
                <w:sz w:val="24"/>
                <w:szCs w:val="24"/>
              </w:rPr>
              <w:t>—外叶板拼缝高度</w:t>
            </w:r>
          </w:p>
        </w:tc>
      </w:tr>
    </w:tbl>
    <w:p>
      <w:pPr>
        <w:spacing w:line="480" w:lineRule="exact"/>
        <w:rPr>
          <w:rFonts w:eastAsia="仿宋"/>
          <w:i/>
          <w:spacing w:val="10"/>
          <w:szCs w:val="24"/>
        </w:rPr>
      </w:pPr>
      <w:r>
        <w:rPr>
          <w:rFonts w:eastAsia="仿宋"/>
          <w:i/>
          <w:spacing w:val="10"/>
          <w:szCs w:val="24"/>
        </w:rPr>
        <w:t>【条文说明】6.3.4 通过同济大学进行的轴压比0.5和0.2的轴压力作用下，底部接缝处插筋采用100%搭接和50%搭接的剪力墙低周反复荷载试验，由试验报告结论可知：边缘构件预制叠合预制混凝土剪力墙具有较高的承载能力，其承载能力设计可以参照现浇剪力墙相关规定进行；此外还表明低、高轴压比下剪力墙墙身插筋搭接长度超过1.2</w:t>
      </w:r>
      <w:r>
        <w:rPr>
          <w:i/>
        </w:rPr>
        <w:t xml:space="preserve"> l</w:t>
      </w:r>
      <w:r>
        <w:rPr>
          <w:vertAlign w:val="subscript"/>
        </w:rPr>
        <w:t>aE</w:t>
      </w:r>
      <w:r>
        <w:rPr>
          <w:rFonts w:eastAsia="仿宋"/>
          <w:i/>
          <w:spacing w:val="10"/>
          <w:szCs w:val="24"/>
        </w:rPr>
        <w:t>时，搭接长度的增加对试件的正反向承载能力影响不大，且剪力墙的钢筋可在同一截面连接。另外根据接缝位置平面外弯矩计算分析，考虑有效截面损失情况的钢筋面积需要适当放大</w:t>
      </w:r>
      <w:r>
        <w:rPr>
          <w:rFonts w:hint="eastAsia" w:eastAsia="仿宋"/>
          <w:i/>
          <w:spacing w:val="10"/>
          <w:szCs w:val="24"/>
        </w:rPr>
        <w:t>，钢筋保护层厚度取竖向连接钢筋的保护层厚度</w:t>
      </w:r>
      <w:r>
        <w:rPr>
          <w:rFonts w:eastAsia="仿宋"/>
          <w:i/>
          <w:spacing w:val="10"/>
          <w:szCs w:val="24"/>
        </w:rPr>
        <w:t>。叠合剪力墙水平接缝处现浇接预制层竖向连接节点如图6.3.4-3(a) 所示、叠合剪力墙变截面层竖向连接节点如图6.3.4-3 (b) 所示。单面叠合剪力墙可参考夹心保温叠合剪力墙连接节点。</w:t>
      </w:r>
    </w:p>
    <w:p>
      <w:pPr>
        <w:spacing w:line="480" w:lineRule="exact"/>
        <w:rPr>
          <w:rFonts w:eastAsia="仿宋"/>
          <w:i/>
          <w:spacing w:val="10"/>
          <w:szCs w:val="24"/>
        </w:rPr>
      </w:pPr>
      <w:r>
        <w:rPr>
          <w:rFonts w:eastAsia="仿宋"/>
          <w:i/>
          <w:spacing w:val="10"/>
          <w:szCs w:val="24"/>
        </w:rPr>
        <w:t>为减少竖向连接钢筋对叠合墙的安装影响，连接钢筋在加工时可考虑与相邻预制板内表面的净距离控制在5mm以内，另外叠合板叶板的厚度在加工时应控制为负误差。</w:t>
      </w:r>
    </w:p>
    <w:tbl>
      <w:tblPr>
        <w:tblStyle w:val="30"/>
        <w:tblW w:w="0" w:type="auto"/>
        <w:tblInd w:w="0" w:type="dxa"/>
        <w:tblLayout w:type="autofit"/>
        <w:tblCellMar>
          <w:top w:w="0" w:type="dxa"/>
          <w:left w:w="108" w:type="dxa"/>
          <w:bottom w:w="0" w:type="dxa"/>
          <w:right w:w="108" w:type="dxa"/>
        </w:tblCellMar>
      </w:tblPr>
      <w:tblGrid>
        <w:gridCol w:w="4148"/>
        <w:gridCol w:w="4148"/>
      </w:tblGrid>
      <w:tr>
        <w:tblPrEx>
          <w:tblCellMar>
            <w:top w:w="0" w:type="dxa"/>
            <w:left w:w="108" w:type="dxa"/>
            <w:bottom w:w="0" w:type="dxa"/>
            <w:right w:w="108" w:type="dxa"/>
          </w:tblCellMar>
        </w:tblPrEx>
        <w:tc>
          <w:tcPr>
            <w:tcW w:w="4148" w:type="dxa"/>
            <w:vAlign w:val="center"/>
          </w:tcPr>
          <w:p>
            <w:pPr>
              <w:jc w:val="center"/>
              <w:rPr>
                <w:shd w:val="pct10" w:color="auto" w:fill="FFFFFF"/>
              </w:rPr>
            </w:pPr>
            <w:r>
              <w:drawing>
                <wp:inline distT="0" distB="0" distL="0" distR="0">
                  <wp:extent cx="1349375" cy="2159635"/>
                  <wp:effectExtent l="0" t="0" r="317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8"/>
                          <a:stretch>
                            <a:fillRect/>
                          </a:stretch>
                        </pic:blipFill>
                        <pic:spPr>
                          <a:xfrm>
                            <a:off x="0" y="0"/>
                            <a:ext cx="1349437" cy="2160000"/>
                          </a:xfrm>
                          <a:prstGeom prst="rect">
                            <a:avLst/>
                          </a:prstGeom>
                        </pic:spPr>
                      </pic:pic>
                    </a:graphicData>
                  </a:graphic>
                </wp:inline>
              </w:drawing>
            </w:r>
          </w:p>
        </w:tc>
        <w:tc>
          <w:tcPr>
            <w:tcW w:w="4148" w:type="dxa"/>
            <w:vAlign w:val="center"/>
          </w:tcPr>
          <w:p>
            <w:pPr>
              <w:jc w:val="center"/>
              <w:rPr>
                <w:b/>
                <w:sz w:val="24"/>
              </w:rPr>
            </w:pPr>
            <w:r>
              <w:drawing>
                <wp:inline distT="0" distB="0" distL="0" distR="0">
                  <wp:extent cx="1283335" cy="21596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1283967" cy="2160000"/>
                          </a:xfrm>
                          <a:prstGeom prst="rect">
                            <a:avLst/>
                          </a:prstGeom>
                        </pic:spPr>
                      </pic:pic>
                    </a:graphicData>
                  </a:graphic>
                </wp:inline>
              </w:drawing>
            </w:r>
          </w:p>
        </w:tc>
      </w:tr>
      <w:tr>
        <w:tblPrEx>
          <w:tblCellMar>
            <w:top w:w="0" w:type="dxa"/>
            <w:left w:w="108" w:type="dxa"/>
            <w:bottom w:w="0" w:type="dxa"/>
            <w:right w:w="108" w:type="dxa"/>
          </w:tblCellMar>
        </w:tblPrEx>
        <w:tc>
          <w:tcPr>
            <w:tcW w:w="4148" w:type="dxa"/>
          </w:tcPr>
          <w:p>
            <w:pPr>
              <w:pStyle w:val="51"/>
              <w:rPr>
                <w:sz w:val="24"/>
                <w:szCs w:val="24"/>
                <w:shd w:val="pct10" w:color="auto" w:fill="FFFFFF"/>
              </w:rPr>
            </w:pPr>
            <w:r>
              <w:rPr>
                <w:sz w:val="24"/>
                <w:szCs w:val="24"/>
              </w:rPr>
              <w:t>（a）现浇与叠合剪力墙（等厚）</w:t>
            </w:r>
          </w:p>
        </w:tc>
        <w:tc>
          <w:tcPr>
            <w:tcW w:w="4148" w:type="dxa"/>
          </w:tcPr>
          <w:p>
            <w:pPr>
              <w:pStyle w:val="51"/>
              <w:rPr>
                <w:sz w:val="24"/>
                <w:szCs w:val="24"/>
              </w:rPr>
            </w:pPr>
            <w:r>
              <w:rPr>
                <w:sz w:val="24"/>
                <w:szCs w:val="24"/>
              </w:rPr>
              <w:t>（b）叠合剪力墙（不等厚）</w:t>
            </w:r>
          </w:p>
        </w:tc>
      </w:tr>
      <w:tr>
        <w:tblPrEx>
          <w:tblCellMar>
            <w:top w:w="0" w:type="dxa"/>
            <w:left w:w="108" w:type="dxa"/>
            <w:bottom w:w="0" w:type="dxa"/>
            <w:right w:w="108" w:type="dxa"/>
          </w:tblCellMar>
        </w:tblPrEx>
        <w:tc>
          <w:tcPr>
            <w:tcW w:w="8296" w:type="dxa"/>
            <w:gridSpan w:val="2"/>
          </w:tcPr>
          <w:p>
            <w:pPr>
              <w:jc w:val="center"/>
              <w:rPr>
                <w:b/>
                <w:bCs/>
                <w:sz w:val="24"/>
                <w:szCs w:val="24"/>
              </w:rPr>
            </w:pPr>
            <w:r>
              <w:rPr>
                <w:b/>
                <w:bCs/>
                <w:sz w:val="24"/>
                <w:szCs w:val="24"/>
              </w:rPr>
              <w:t>图6.3.4-3双面叠合剪力墙典型竖向连接节点</w:t>
            </w:r>
          </w:p>
          <w:p>
            <w:pPr>
              <w:pStyle w:val="51"/>
              <w:rPr>
                <w:b w:val="0"/>
                <w:sz w:val="24"/>
                <w:szCs w:val="24"/>
              </w:rPr>
            </w:pPr>
            <w:r>
              <w:rPr>
                <w:b w:val="0"/>
                <w:sz w:val="24"/>
                <w:szCs w:val="24"/>
              </w:rPr>
              <w:t xml:space="preserve">1—叠合剪力墙； 2—竖向连接钢筋；3—水平钢筋；4—水平拉筋； </w:t>
            </w:r>
          </w:p>
        </w:tc>
      </w:tr>
    </w:tbl>
    <w:p>
      <w:pPr>
        <w:rPr>
          <w:rStyle w:val="37"/>
        </w:rPr>
      </w:pPr>
      <w:r>
        <w:rPr>
          <w:b/>
          <w:bCs/>
        </w:rPr>
        <w:t xml:space="preserve">6.3.5 </w:t>
      </w:r>
      <w:r>
        <w:rPr>
          <w:rStyle w:val="37"/>
        </w:rPr>
        <w:t>叠合剪力墙在平面内拼接时</w:t>
      </w:r>
      <w:r>
        <w:t>（图</w:t>
      </w:r>
      <w:r>
        <w:rPr>
          <w:rFonts w:hint="eastAsia"/>
        </w:rPr>
        <w:t>6.3.5</w:t>
      </w:r>
      <w:r>
        <w:t>）</w:t>
      </w:r>
      <w:r>
        <w:rPr>
          <w:rStyle w:val="37"/>
        </w:rPr>
        <w:t>，</w:t>
      </w:r>
      <w:r>
        <w:rPr>
          <w:rStyle w:val="37"/>
          <w:rFonts w:hint="eastAsia"/>
        </w:rPr>
        <w:t>宜</w:t>
      </w:r>
      <w:r>
        <w:rPr>
          <w:rStyle w:val="37"/>
        </w:rPr>
        <w:t>设置宽度不小于墙厚且不小于200mm的后浇段，并满足以下要求：</w:t>
      </w:r>
    </w:p>
    <w:p>
      <w:pPr>
        <w:pStyle w:val="47"/>
        <w:numPr>
          <w:ilvl w:val="0"/>
          <w:numId w:val="25"/>
        </w:numPr>
        <w:ind w:left="0" w:firstLine="576" w:firstLineChars="200"/>
      </w:pPr>
      <w:r>
        <w:rPr>
          <w:rStyle w:val="37"/>
        </w:rPr>
        <w:t>后浇段内应设置暗柱，暗柱中的竖向钢筋</w:t>
      </w:r>
      <w:r>
        <w:t>直径和配筋率均不应小于叶板中竖向分布筋且</w:t>
      </w:r>
      <w:r>
        <w:rPr>
          <w:rStyle w:val="37"/>
        </w:rPr>
        <w:t>不少于4根</w:t>
      </w:r>
      <w:r>
        <w:t>，箍筋直径不小于6mm、间距不大于200mm；</w:t>
      </w:r>
    </w:p>
    <w:p>
      <w:pPr>
        <w:pStyle w:val="47"/>
        <w:numPr>
          <w:ilvl w:val="0"/>
          <w:numId w:val="25"/>
        </w:numPr>
        <w:ind w:left="0" w:firstLine="576" w:firstLineChars="200"/>
      </w:pPr>
      <w:r>
        <w:t>两侧叠合墙体与后浇段之间应采用水平连接钢筋连接；</w:t>
      </w:r>
    </w:p>
    <w:p>
      <w:pPr>
        <w:pStyle w:val="47"/>
        <w:numPr>
          <w:ilvl w:val="0"/>
          <w:numId w:val="25"/>
        </w:numPr>
        <w:ind w:left="0" w:firstLine="576" w:firstLineChars="200"/>
      </w:pPr>
      <w:r>
        <w:t>水平连接钢筋在叠合剪力墙中的锚固长度不应小于1.2</w:t>
      </w:r>
      <w:r>
        <w:rPr>
          <w:i/>
        </w:rPr>
        <w:t>l</w:t>
      </w:r>
      <w:r>
        <w:rPr>
          <w:vertAlign w:val="subscript"/>
        </w:rPr>
        <w:t>aE</w:t>
      </w:r>
      <w:r>
        <w:t>；</w:t>
      </w:r>
    </w:p>
    <w:p>
      <w:pPr>
        <w:pStyle w:val="47"/>
        <w:numPr>
          <w:ilvl w:val="0"/>
          <w:numId w:val="25"/>
        </w:numPr>
        <w:ind w:left="0" w:firstLine="576" w:firstLineChars="200"/>
      </w:pPr>
      <w:r>
        <w:t>水平连接钢筋的间距不大于叠合剪力墙预制板中水平分布钢筋的间距，且不宜大于200mm；水平连接钢筋的直径不应小于叠合剪力墙预制板中水平分布钢筋的直径。</w:t>
      </w:r>
    </w:p>
    <w:tbl>
      <w:tblPr>
        <w:tblStyle w:val="30"/>
        <w:tblW w:w="8522" w:type="dxa"/>
        <w:tblInd w:w="0" w:type="dxa"/>
        <w:tblLayout w:type="fixed"/>
        <w:tblCellMar>
          <w:top w:w="0" w:type="dxa"/>
          <w:left w:w="108" w:type="dxa"/>
          <w:bottom w:w="0" w:type="dxa"/>
          <w:right w:w="108" w:type="dxa"/>
        </w:tblCellMar>
      </w:tblPr>
      <w:tblGrid>
        <w:gridCol w:w="8522"/>
      </w:tblGrid>
      <w:tr>
        <w:tc>
          <w:tcPr>
            <w:tcW w:w="8522" w:type="dxa"/>
          </w:tcPr>
          <w:p>
            <w:pPr>
              <w:pStyle w:val="51"/>
              <w:rPr>
                <w:szCs w:val="21"/>
              </w:rPr>
            </w:pPr>
            <w:r>
              <w:rPr>
                <w:szCs w:val="21"/>
              </w:rPr>
              <w:drawing>
                <wp:inline distT="0" distB="0" distL="0" distR="0">
                  <wp:extent cx="2984500" cy="1072515"/>
                  <wp:effectExtent l="0" t="0" r="6350" b="0"/>
                  <wp:docPr id="43018" name="图片 4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8" name="图片 430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042440" cy="109360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8522" w:type="dxa"/>
          </w:tcPr>
          <w:p>
            <w:pPr>
              <w:pStyle w:val="51"/>
              <w:rPr>
                <w:sz w:val="24"/>
                <w:szCs w:val="24"/>
              </w:rPr>
            </w:pPr>
            <w:r>
              <w:rPr>
                <w:sz w:val="24"/>
                <w:szCs w:val="24"/>
              </w:rPr>
              <w:t>（a）双面叠合剪力墙接长连接构造</w:t>
            </w:r>
          </w:p>
          <w:p>
            <w:pPr>
              <w:pStyle w:val="51"/>
              <w:rPr>
                <w:b w:val="0"/>
                <w:sz w:val="24"/>
                <w:szCs w:val="24"/>
              </w:rPr>
            </w:pPr>
            <w:r>
              <w:rPr>
                <w:b w:val="0"/>
                <w:sz w:val="24"/>
                <w:szCs w:val="24"/>
              </w:rPr>
              <w:t>1—预制部分；2—后浇部分；3—水平连接钢筋；4—后浇段</w:t>
            </w:r>
          </w:p>
        </w:tc>
      </w:tr>
      <w:tr>
        <w:tblPrEx>
          <w:tblCellMar>
            <w:top w:w="0" w:type="dxa"/>
            <w:left w:w="108" w:type="dxa"/>
            <w:bottom w:w="0" w:type="dxa"/>
            <w:right w:w="108" w:type="dxa"/>
          </w:tblCellMar>
        </w:tblPrEx>
        <w:tc>
          <w:tcPr>
            <w:tcW w:w="8522" w:type="dxa"/>
          </w:tcPr>
          <w:p>
            <w:pPr>
              <w:pStyle w:val="51"/>
              <w:rPr>
                <w:szCs w:val="21"/>
              </w:rPr>
            </w:pPr>
            <w:r>
              <w:rPr>
                <w:szCs w:val="21"/>
              </w:rPr>
              <w:drawing>
                <wp:inline distT="0" distB="0" distL="0" distR="0">
                  <wp:extent cx="3018790" cy="1269365"/>
                  <wp:effectExtent l="0" t="0" r="0" b="6985"/>
                  <wp:docPr id="43025" name="图片 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 name="图片 430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070969" cy="1291657"/>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8522" w:type="dxa"/>
          </w:tcPr>
          <w:p>
            <w:pPr>
              <w:pStyle w:val="51"/>
              <w:rPr>
                <w:bCs/>
                <w:szCs w:val="21"/>
              </w:rPr>
            </w:pPr>
            <w:r>
              <w:rPr>
                <w:bCs/>
                <w:szCs w:val="18"/>
              </w:rPr>
              <w:t>（b）夹心保温叠合剪力墙</w:t>
            </w:r>
            <w:r>
              <w:rPr>
                <w:bCs/>
                <w:szCs w:val="21"/>
              </w:rPr>
              <w:t>接长连接构造</w:t>
            </w:r>
          </w:p>
          <w:p>
            <w:pPr>
              <w:pStyle w:val="51"/>
              <w:rPr>
                <w:bCs/>
                <w:sz w:val="24"/>
                <w:szCs w:val="24"/>
              </w:rPr>
            </w:pPr>
            <w:r>
              <w:rPr>
                <w:bCs/>
                <w:sz w:val="24"/>
                <w:szCs w:val="24"/>
              </w:rPr>
              <w:t>图</w:t>
            </w:r>
            <w:r>
              <w:rPr>
                <w:sz w:val="24"/>
                <w:szCs w:val="24"/>
              </w:rPr>
              <w:t>6.3.5</w:t>
            </w:r>
            <w:r>
              <w:rPr>
                <w:bCs/>
                <w:sz w:val="24"/>
                <w:szCs w:val="24"/>
              </w:rPr>
              <w:t xml:space="preserve"> 叠合剪力墙接长连接构造</w:t>
            </w:r>
          </w:p>
          <w:p>
            <w:pPr>
              <w:pStyle w:val="51"/>
              <w:rPr>
                <w:b w:val="0"/>
                <w:sz w:val="24"/>
                <w:szCs w:val="24"/>
              </w:rPr>
            </w:pPr>
            <w:r>
              <w:rPr>
                <w:b w:val="0"/>
                <w:sz w:val="24"/>
                <w:szCs w:val="24"/>
              </w:rPr>
              <w:t>1—预制部分；2—后浇部分；3—水平连接钢筋；4—外叶板；5—保温层；</w:t>
            </w:r>
          </w:p>
          <w:p>
            <w:pPr>
              <w:pStyle w:val="51"/>
              <w:rPr>
                <w:b w:val="0"/>
                <w:szCs w:val="18"/>
              </w:rPr>
            </w:pPr>
            <w:r>
              <w:rPr>
                <w:b w:val="0"/>
                <w:sz w:val="24"/>
                <w:szCs w:val="24"/>
              </w:rPr>
              <w:t>6—后浇段</w:t>
            </w:r>
          </w:p>
        </w:tc>
      </w:tr>
    </w:tbl>
    <w:p>
      <w:pPr>
        <w:rPr>
          <w:rFonts w:eastAsia="仿宋"/>
          <w:i/>
          <w:spacing w:val="10"/>
          <w:szCs w:val="24"/>
        </w:rPr>
      </w:pPr>
      <w:r>
        <w:rPr>
          <w:rFonts w:eastAsia="仿宋"/>
          <w:i/>
          <w:spacing w:val="10"/>
          <w:szCs w:val="24"/>
        </w:rPr>
        <w:t>【条文说明】6.3.5 当较长墙肢确需在墙肢中部连接时，为保证墙体水平连接质量，需设置宽度不小于墙肢厚度且不小于200mm的现浇混凝土墙段，现浇墙段内应配置竖向分布钢筋和水平连接钢筋。</w:t>
      </w:r>
      <w:bookmarkEnd w:id="91"/>
      <w:bookmarkEnd w:id="92"/>
      <w:bookmarkEnd w:id="93"/>
      <w:bookmarkStart w:id="94" w:name="_Toc532309551"/>
      <w:bookmarkStart w:id="95" w:name="_Toc518395645"/>
      <w:bookmarkStart w:id="96" w:name="_Toc521919159"/>
      <w:bookmarkStart w:id="97" w:name="_Toc532542994"/>
      <w:r>
        <w:rPr>
          <w:rFonts w:eastAsia="仿宋"/>
          <w:i/>
          <w:spacing w:val="10"/>
          <w:szCs w:val="24"/>
        </w:rPr>
        <w:t>水平连接钢筋宜在一侧墙体吊装完成后即可安装，并推到墙体空腔内部，在另一侧墙体吊装完成后拉出已放置连接筋到另一侧墙体空腔，并可靠绑扎。单面叠合剪力墙可参考夹心保温叠合剪力墙连接节点。</w:t>
      </w:r>
      <w:bookmarkEnd w:id="94"/>
      <w:bookmarkEnd w:id="95"/>
      <w:bookmarkEnd w:id="96"/>
      <w:bookmarkEnd w:id="97"/>
      <w:bookmarkStart w:id="98" w:name="_Toc38289898"/>
    </w:p>
    <w:p>
      <w:pPr>
        <w:pStyle w:val="47"/>
        <w:widowControl/>
        <w:ind w:firstLine="0"/>
      </w:pPr>
      <w:r>
        <w:rPr>
          <w:b/>
          <w:bCs/>
        </w:rPr>
        <w:t xml:space="preserve">6.3.6 </w:t>
      </w:r>
      <w:r>
        <w:rPr>
          <w:rStyle w:val="37"/>
        </w:rPr>
        <w:t>叠合剪力墙在端部、</w:t>
      </w:r>
      <w:r>
        <w:t>转角、纵横墙交接部分</w:t>
      </w:r>
      <w:r>
        <w:rPr>
          <w:rStyle w:val="37"/>
        </w:rPr>
        <w:t>，应在叠合墙空腔内设置水平连接</w:t>
      </w:r>
      <w:r>
        <w:t>钢</w:t>
      </w:r>
      <w:r>
        <w:rPr>
          <w:rStyle w:val="37"/>
        </w:rPr>
        <w:t>筋与现浇边缘构件可靠连接，并</w:t>
      </w:r>
      <w:r>
        <w:t>应符合下列规定（图6.3.6）：</w:t>
      </w:r>
    </w:p>
    <w:p>
      <w:pPr>
        <w:pStyle w:val="47"/>
        <w:numPr>
          <w:ilvl w:val="0"/>
          <w:numId w:val="26"/>
        </w:numPr>
        <w:ind w:left="0" w:firstLine="576" w:firstLineChars="200"/>
      </w:pPr>
      <w:r>
        <w:t>水平连接钢筋应在叶板内表面设置，且应采用封闭箍形式，其与叠合墙叶板水平筋的搭接长度应不小于1.2</w:t>
      </w:r>
      <w:r>
        <w:rPr>
          <w:i/>
        </w:rPr>
        <w:t xml:space="preserve"> l</w:t>
      </w:r>
      <w:r>
        <w:rPr>
          <w:vertAlign w:val="subscript"/>
        </w:rPr>
        <w:t>aE</w:t>
      </w:r>
      <w:r>
        <w:t>，并在边缘构件内全长设置；</w:t>
      </w:r>
    </w:p>
    <w:p>
      <w:pPr>
        <w:pStyle w:val="47"/>
        <w:numPr>
          <w:ilvl w:val="0"/>
          <w:numId w:val="26"/>
        </w:numPr>
        <w:ind w:left="0" w:firstLine="576" w:firstLineChars="200"/>
      </w:pPr>
      <w:r>
        <w:t>水平连接钢筋的面积应不小于叠合剪力墙预制板中相应水平分布钢筋的面积，且水平连接钢筋间距不应大于200mm。</w:t>
      </w:r>
    </w:p>
    <w:tbl>
      <w:tblPr>
        <w:tblStyle w:val="30"/>
        <w:tblW w:w="8614" w:type="dxa"/>
        <w:jc w:val="center"/>
        <w:tblLayout w:type="autofit"/>
        <w:tblCellMar>
          <w:top w:w="0" w:type="dxa"/>
          <w:left w:w="108" w:type="dxa"/>
          <w:bottom w:w="0" w:type="dxa"/>
          <w:right w:w="108" w:type="dxa"/>
        </w:tblCellMar>
      </w:tblPr>
      <w:tblGrid>
        <w:gridCol w:w="3766"/>
        <w:gridCol w:w="4848"/>
      </w:tblGrid>
      <w:tr>
        <w:tblPrEx>
          <w:tblCellMar>
            <w:top w:w="0" w:type="dxa"/>
            <w:left w:w="108" w:type="dxa"/>
            <w:bottom w:w="0" w:type="dxa"/>
            <w:right w:w="108" w:type="dxa"/>
          </w:tblCellMar>
        </w:tblPrEx>
        <w:trPr>
          <w:jc w:val="center"/>
        </w:trPr>
        <w:tc>
          <w:tcPr>
            <w:tcW w:w="3766" w:type="dxa"/>
            <w:vAlign w:val="center"/>
          </w:tcPr>
          <w:p>
            <w:pPr>
              <w:pStyle w:val="51"/>
              <w:rPr>
                <w:szCs w:val="21"/>
              </w:rPr>
            </w:pPr>
            <w:r>
              <w:rPr>
                <w:szCs w:val="21"/>
              </w:rPr>
              <w:drawing>
                <wp:inline distT="0" distB="0" distL="0" distR="0">
                  <wp:extent cx="1767205" cy="1799590"/>
                  <wp:effectExtent l="0" t="0" r="4445" b="0"/>
                  <wp:docPr id="43012" name="图片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图片 430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767773" cy="1800000"/>
                          </a:xfrm>
                          <a:prstGeom prst="rect">
                            <a:avLst/>
                          </a:prstGeom>
                          <a:noFill/>
                          <a:ln>
                            <a:noFill/>
                          </a:ln>
                        </pic:spPr>
                      </pic:pic>
                    </a:graphicData>
                  </a:graphic>
                </wp:inline>
              </w:drawing>
            </w:r>
          </w:p>
        </w:tc>
        <w:tc>
          <w:tcPr>
            <w:tcW w:w="4848" w:type="dxa"/>
            <w:vAlign w:val="center"/>
          </w:tcPr>
          <w:p>
            <w:pPr>
              <w:pStyle w:val="51"/>
              <w:rPr>
                <w:szCs w:val="21"/>
              </w:rPr>
            </w:pPr>
            <w:r>
              <w:rPr>
                <w:szCs w:val="21"/>
              </w:rPr>
              <w:drawing>
                <wp:inline distT="0" distB="0" distL="0" distR="0">
                  <wp:extent cx="2510155" cy="1799590"/>
                  <wp:effectExtent l="0" t="0" r="4445" b="0"/>
                  <wp:docPr id="43013" name="图片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图片 430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510160" cy="180000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3766" w:type="dxa"/>
            <w:vAlign w:val="center"/>
          </w:tcPr>
          <w:p>
            <w:pPr>
              <w:pStyle w:val="51"/>
              <w:rPr>
                <w:b w:val="0"/>
                <w:bCs/>
                <w:szCs w:val="21"/>
              </w:rPr>
            </w:pPr>
            <w:r>
              <w:rPr>
                <w:b w:val="0"/>
                <w:bCs/>
                <w:szCs w:val="21"/>
              </w:rPr>
              <w:t>（a）转角墙（L形墙）</w:t>
            </w:r>
          </w:p>
        </w:tc>
        <w:tc>
          <w:tcPr>
            <w:tcW w:w="4848" w:type="dxa"/>
            <w:vAlign w:val="center"/>
          </w:tcPr>
          <w:p>
            <w:pPr>
              <w:pStyle w:val="51"/>
              <w:rPr>
                <w:b w:val="0"/>
                <w:bCs/>
                <w:szCs w:val="21"/>
              </w:rPr>
            </w:pPr>
            <w:r>
              <w:rPr>
                <w:b w:val="0"/>
                <w:bCs/>
                <w:szCs w:val="21"/>
              </w:rPr>
              <w:t>（b）有翼墙（T形墙）</w:t>
            </w:r>
          </w:p>
        </w:tc>
      </w:tr>
      <w:tr>
        <w:tblPrEx>
          <w:tblCellMar>
            <w:top w:w="0" w:type="dxa"/>
            <w:left w:w="108" w:type="dxa"/>
            <w:bottom w:w="0" w:type="dxa"/>
            <w:right w:w="108" w:type="dxa"/>
          </w:tblCellMar>
        </w:tblPrEx>
        <w:trPr>
          <w:jc w:val="center"/>
        </w:trPr>
        <w:tc>
          <w:tcPr>
            <w:tcW w:w="8614" w:type="dxa"/>
            <w:gridSpan w:val="2"/>
            <w:vAlign w:val="center"/>
          </w:tcPr>
          <w:p>
            <w:pPr>
              <w:pStyle w:val="51"/>
              <w:rPr>
                <w:szCs w:val="21"/>
              </w:rPr>
            </w:pPr>
            <w:r>
              <w:rPr>
                <w:szCs w:val="21"/>
              </w:rPr>
              <w:drawing>
                <wp:inline distT="0" distB="0" distL="0" distR="0">
                  <wp:extent cx="1781175" cy="1022985"/>
                  <wp:effectExtent l="0" t="0" r="0" b="5715"/>
                  <wp:docPr id="43014" name="图片 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图片 430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794134" cy="1030684"/>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8614" w:type="dxa"/>
            <w:gridSpan w:val="2"/>
            <w:vAlign w:val="center"/>
          </w:tcPr>
          <w:p>
            <w:pPr>
              <w:pStyle w:val="51"/>
              <w:rPr>
                <w:b w:val="0"/>
                <w:bCs/>
                <w:szCs w:val="21"/>
              </w:rPr>
            </w:pPr>
            <w:r>
              <w:rPr>
                <w:b w:val="0"/>
                <w:bCs/>
                <w:szCs w:val="21"/>
              </w:rPr>
              <w:t>（c）现浇暗柱（一形墙）</w:t>
            </w:r>
          </w:p>
        </w:tc>
      </w:tr>
      <w:tr>
        <w:tblPrEx>
          <w:tblCellMar>
            <w:top w:w="0" w:type="dxa"/>
            <w:left w:w="108" w:type="dxa"/>
            <w:bottom w:w="0" w:type="dxa"/>
            <w:right w:w="108" w:type="dxa"/>
          </w:tblCellMar>
        </w:tblPrEx>
        <w:trPr>
          <w:jc w:val="center"/>
        </w:trPr>
        <w:tc>
          <w:tcPr>
            <w:tcW w:w="8614" w:type="dxa"/>
            <w:gridSpan w:val="2"/>
            <w:vAlign w:val="center"/>
          </w:tcPr>
          <w:p>
            <w:pPr>
              <w:pStyle w:val="51"/>
              <w:rPr>
                <w:sz w:val="24"/>
                <w:szCs w:val="24"/>
              </w:rPr>
            </w:pPr>
            <w:r>
              <w:rPr>
                <w:sz w:val="24"/>
                <w:szCs w:val="24"/>
              </w:rPr>
              <w:t>图6.3.6叠合剪力墙水平连接构造</w:t>
            </w:r>
          </w:p>
          <w:p>
            <w:pPr>
              <w:pStyle w:val="51"/>
              <w:rPr>
                <w:b w:val="0"/>
                <w:bCs/>
                <w:sz w:val="18"/>
                <w:szCs w:val="18"/>
              </w:rPr>
            </w:pPr>
            <w:r>
              <w:rPr>
                <w:b w:val="0"/>
                <w:sz w:val="24"/>
                <w:szCs w:val="24"/>
              </w:rPr>
              <w:t>1—预制部分；2—后浇部分；3—水平连接钢筋；4—边缘构件</w:t>
            </w:r>
          </w:p>
        </w:tc>
      </w:tr>
    </w:tbl>
    <w:p>
      <w:r>
        <w:rPr>
          <w:b/>
          <w:bCs/>
        </w:rPr>
        <w:t>6.3.7</w:t>
      </w:r>
      <w:r>
        <w:t xml:space="preserve"> </w:t>
      </w:r>
      <w:r>
        <w:rPr>
          <w:rStyle w:val="37"/>
        </w:rPr>
        <w:t>叠合剪力墙</w:t>
      </w:r>
      <w:r>
        <w:t>顶层应设置附加连接钢筋与屋面板可靠连接，并应符合下列规定：</w:t>
      </w:r>
    </w:p>
    <w:p>
      <w:pPr>
        <w:pStyle w:val="47"/>
        <w:numPr>
          <w:ilvl w:val="0"/>
          <w:numId w:val="27"/>
        </w:numPr>
        <w:ind w:left="0" w:firstLine="576" w:firstLineChars="200"/>
      </w:pPr>
      <w:r>
        <w:t>叠合墙顶部附加连接钢筋直径和间距不应小于叠合墙叶板中竖向分布钢筋的直径和间距。</w:t>
      </w:r>
    </w:p>
    <w:p>
      <w:pPr>
        <w:pStyle w:val="47"/>
        <w:numPr>
          <w:ilvl w:val="0"/>
          <w:numId w:val="27"/>
        </w:numPr>
        <w:ind w:left="0" w:firstLine="576" w:firstLineChars="200"/>
      </w:pPr>
      <w:bookmarkStart w:id="99" w:name="_Toc530314187"/>
      <w:r>
        <w:t>附加连接钢筋应伸到楼板顶部并向屋面板内弯折不小于15d的水平段；</w:t>
      </w:r>
    </w:p>
    <w:p>
      <w:pPr>
        <w:pStyle w:val="47"/>
        <w:numPr>
          <w:ilvl w:val="0"/>
          <w:numId w:val="27"/>
        </w:numPr>
        <w:ind w:left="0" w:firstLine="576" w:firstLineChars="200"/>
      </w:pPr>
      <w:r>
        <w:t>附加连接钢筋伸入叠合墙板空腔中的长度不应小于1.2</w:t>
      </w:r>
      <w:r>
        <w:rPr>
          <w:i/>
          <w:iCs/>
        </w:rPr>
        <w:t>l</w:t>
      </w:r>
      <w:r>
        <w:rPr>
          <w:iCs/>
          <w:vertAlign w:val="subscript"/>
        </w:rPr>
        <w:t>aE</w:t>
      </w:r>
      <w:bookmarkEnd w:id="99"/>
      <w:r>
        <w:t>，并紧靠叶板设置，在夹心保温叠合墙板中附加连接钢筋与保温板之间应有不小于15mm的保护层间距；</w:t>
      </w:r>
    </w:p>
    <w:p>
      <w:pPr>
        <w:pStyle w:val="47"/>
        <w:numPr>
          <w:ilvl w:val="0"/>
          <w:numId w:val="27"/>
        </w:numPr>
        <w:ind w:left="0" w:firstLine="576" w:firstLineChars="200"/>
      </w:pPr>
      <w:bookmarkStart w:id="100" w:name="_Toc530314186"/>
      <w:r>
        <w:t>楼盖构件受力钢筋锚入叠合剪力墙的构造应满足广东省《装配式混凝土建筑结构技术规程》DBJ 15-107的有关规定；</w:t>
      </w:r>
      <w:bookmarkEnd w:id="100"/>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8"/>
        <w:gridCol w:w="4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jc w:val="center"/>
            </w:pPr>
            <w:r>
              <w:drawing>
                <wp:inline distT="0" distB="0" distL="0" distR="0">
                  <wp:extent cx="2136775" cy="1799590"/>
                  <wp:effectExtent l="0" t="0" r="0" b="0"/>
                  <wp:docPr id="43026" name="图片 4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6" name="图片 430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136902" cy="1800000"/>
                          </a:xfrm>
                          <a:prstGeom prst="rect">
                            <a:avLst/>
                          </a:prstGeom>
                          <a:noFill/>
                          <a:ln>
                            <a:noFill/>
                          </a:ln>
                        </pic:spPr>
                      </pic:pic>
                    </a:graphicData>
                  </a:graphic>
                </wp:inline>
              </w:drawing>
            </w:r>
          </w:p>
        </w:tc>
        <w:tc>
          <w:tcPr>
            <w:tcW w:w="4148" w:type="dxa"/>
            <w:vAlign w:val="center"/>
          </w:tcPr>
          <w:p>
            <w:pPr>
              <w:jc w:val="center"/>
            </w:pPr>
            <w:r>
              <w:drawing>
                <wp:inline distT="0" distB="0" distL="0" distR="0">
                  <wp:extent cx="2505075" cy="1799590"/>
                  <wp:effectExtent l="0" t="0" r="0" b="0"/>
                  <wp:docPr id="43031" name="图片 4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1" name="图片 430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505179"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jc w:val="center"/>
            </w:pPr>
            <w:r>
              <w:rPr>
                <w:b/>
                <w:sz w:val="24"/>
                <w:szCs w:val="24"/>
              </w:rPr>
              <w:t>（a）双面叠合墙板边节点</w:t>
            </w:r>
          </w:p>
        </w:tc>
        <w:tc>
          <w:tcPr>
            <w:tcW w:w="4148" w:type="dxa"/>
            <w:vAlign w:val="center"/>
          </w:tcPr>
          <w:p>
            <w:pPr>
              <w:jc w:val="center"/>
            </w:pPr>
            <w:r>
              <w:rPr>
                <w:b/>
                <w:sz w:val="24"/>
                <w:szCs w:val="24"/>
              </w:rPr>
              <w:t>（b）双面叠合墙板中节点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jc w:val="center"/>
              <w:rPr>
                <w:b/>
                <w:sz w:val="24"/>
                <w:szCs w:val="24"/>
              </w:rPr>
            </w:pPr>
            <w:r>
              <w:rPr>
                <w:b/>
                <w:sz w:val="24"/>
                <w:szCs w:val="24"/>
              </w:rPr>
              <w:drawing>
                <wp:inline distT="0" distB="0" distL="0" distR="0">
                  <wp:extent cx="2011680" cy="1799590"/>
                  <wp:effectExtent l="0" t="0" r="7620" b="0"/>
                  <wp:docPr id="43032" name="图片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2" name="图片 430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11896" cy="1800000"/>
                          </a:xfrm>
                          <a:prstGeom prst="rect">
                            <a:avLst/>
                          </a:prstGeom>
                          <a:noFill/>
                          <a:ln>
                            <a:noFill/>
                          </a:ln>
                        </pic:spPr>
                      </pic:pic>
                    </a:graphicData>
                  </a:graphic>
                </wp:inline>
              </w:drawing>
            </w:r>
          </w:p>
        </w:tc>
        <w:tc>
          <w:tcPr>
            <w:tcW w:w="4148" w:type="dxa"/>
            <w:vAlign w:val="center"/>
          </w:tcPr>
          <w:p>
            <w:pPr>
              <w:jc w:val="center"/>
              <w:rPr>
                <w:b/>
                <w:sz w:val="24"/>
                <w:szCs w:val="24"/>
              </w:rPr>
            </w:pPr>
            <w:r>
              <w:rPr>
                <w:b/>
                <w:sz w:val="24"/>
                <w:szCs w:val="24"/>
              </w:rPr>
              <w:drawing>
                <wp:inline distT="0" distB="0" distL="0" distR="0">
                  <wp:extent cx="2216785" cy="17995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217207" cy="180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vAlign w:val="center"/>
          </w:tcPr>
          <w:p>
            <w:pPr>
              <w:jc w:val="center"/>
              <w:rPr>
                <w:b/>
                <w:sz w:val="24"/>
                <w:szCs w:val="24"/>
              </w:rPr>
            </w:pPr>
            <w:r>
              <w:rPr>
                <w:b/>
                <w:sz w:val="24"/>
                <w:szCs w:val="24"/>
              </w:rPr>
              <w:t>（c）单面叠合墙板边节点</w:t>
            </w:r>
          </w:p>
        </w:tc>
        <w:tc>
          <w:tcPr>
            <w:tcW w:w="4148" w:type="dxa"/>
            <w:vAlign w:val="center"/>
          </w:tcPr>
          <w:p>
            <w:pPr>
              <w:ind w:firstLine="248" w:firstLineChars="100"/>
              <w:rPr>
                <w:b/>
                <w:sz w:val="24"/>
                <w:szCs w:val="24"/>
              </w:rPr>
            </w:pPr>
            <w:r>
              <w:rPr>
                <w:b/>
                <w:sz w:val="24"/>
                <w:szCs w:val="24"/>
              </w:rPr>
              <w:t>（d）夹心保温叠合墙板边节点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gridSpan w:val="2"/>
            <w:vAlign w:val="center"/>
          </w:tcPr>
          <w:p>
            <w:pPr>
              <w:jc w:val="center"/>
              <w:rPr>
                <w:b/>
                <w:sz w:val="24"/>
                <w:szCs w:val="24"/>
              </w:rPr>
            </w:pPr>
            <w:r>
              <w:rPr>
                <w:b/>
                <w:sz w:val="24"/>
                <w:szCs w:val="24"/>
              </w:rPr>
              <w:t>图</w:t>
            </w:r>
            <w:r>
              <w:rPr>
                <w:rFonts w:hint="eastAsia"/>
                <w:b/>
                <w:sz w:val="24"/>
                <w:szCs w:val="24"/>
              </w:rPr>
              <w:t>6.3.7</w:t>
            </w:r>
            <w:r>
              <w:rPr>
                <w:b/>
                <w:sz w:val="24"/>
                <w:szCs w:val="24"/>
              </w:rPr>
              <w:t>叠合墙板顶层支座构造示意图</w:t>
            </w:r>
          </w:p>
          <w:p>
            <w:pPr>
              <w:jc w:val="center"/>
              <w:rPr>
                <w:sz w:val="24"/>
                <w:szCs w:val="21"/>
              </w:rPr>
            </w:pPr>
            <w:r>
              <w:rPr>
                <w:sz w:val="24"/>
                <w:szCs w:val="21"/>
              </w:rPr>
              <w:t>1—双面叠合墙板；2—夹心保温叠合墙板；3—单面叠合墙板；</w:t>
            </w:r>
          </w:p>
          <w:p>
            <w:pPr>
              <w:jc w:val="center"/>
              <w:rPr>
                <w:sz w:val="24"/>
                <w:szCs w:val="24"/>
              </w:rPr>
            </w:pPr>
            <w:r>
              <w:rPr>
                <w:sz w:val="24"/>
                <w:szCs w:val="21"/>
              </w:rPr>
              <w:t>4—屋面板；5—附加连接钢筋；</w:t>
            </w:r>
            <w:r>
              <w:rPr>
                <w:sz w:val="24"/>
                <w:szCs w:val="24"/>
              </w:rPr>
              <w:t xml:space="preserve"> 6</w:t>
            </w:r>
            <w:r>
              <w:rPr>
                <w:sz w:val="24"/>
                <w:szCs w:val="21"/>
              </w:rPr>
              <w:t>—保温层</w:t>
            </w:r>
          </w:p>
        </w:tc>
      </w:tr>
    </w:tbl>
    <w:p>
      <w:pPr>
        <w:autoSpaceDE w:val="0"/>
        <w:autoSpaceDN w:val="0"/>
        <w:adjustRightInd w:val="0"/>
        <w:jc w:val="left"/>
        <w:rPr>
          <w:rFonts w:eastAsia="仿宋"/>
          <w:i/>
          <w:spacing w:val="10"/>
          <w:szCs w:val="24"/>
        </w:rPr>
      </w:pPr>
      <w:r>
        <w:rPr>
          <w:rFonts w:eastAsia="仿宋"/>
          <w:i/>
          <w:spacing w:val="10"/>
          <w:szCs w:val="24"/>
        </w:rPr>
        <w:t>【条文说明】6.3.</w:t>
      </w:r>
      <w:r>
        <w:rPr>
          <w:rFonts w:hint="eastAsia" w:eastAsia="仿宋"/>
          <w:i/>
          <w:spacing w:val="10"/>
          <w:szCs w:val="24"/>
        </w:rPr>
        <w:t>7</w:t>
      </w:r>
      <w:r>
        <w:rPr>
          <w:rFonts w:eastAsia="仿宋"/>
          <w:i/>
          <w:spacing w:val="10"/>
          <w:szCs w:val="24"/>
        </w:rPr>
        <w:t xml:space="preserve"> 由于叠合墙叶板无伸出钢筋，所以叠合墙顶部应与屋面层连接时需要设置附加连接钢筋，确保楼板和剪力墙的弯矩可靠传递。屋面板可采用叠合板或现浇板，其锚固要求均应满足本规程楼盖设计章节的相关内容。附加钢筋尽量紧贴叶板设置，但是与保温板相邻时也应满足钢筋保护层要求。</w:t>
      </w:r>
    </w:p>
    <w:bookmarkEnd w:id="98"/>
    <w:p>
      <w:pPr>
        <w:pStyle w:val="2"/>
        <w:pageBreakBefore/>
        <w:spacing w:before="312" w:after="312"/>
        <w:ind w:left="425" w:hanging="431"/>
      </w:pPr>
      <w:bookmarkStart w:id="101" w:name="_Toc45313934"/>
      <w:bookmarkStart w:id="102" w:name="_Toc45574539"/>
      <w:r>
        <w:t>楼盖设计</w:t>
      </w:r>
      <w:bookmarkEnd w:id="101"/>
      <w:bookmarkEnd w:id="102"/>
    </w:p>
    <w:p>
      <w:pPr>
        <w:pStyle w:val="3"/>
      </w:pPr>
      <w:bookmarkStart w:id="103" w:name="_Toc45313935"/>
      <w:bookmarkStart w:id="104" w:name="_Toc45574540"/>
      <w:r>
        <w:t>一般规定</w:t>
      </w:r>
      <w:bookmarkEnd w:id="103"/>
      <w:bookmarkEnd w:id="104"/>
    </w:p>
    <w:p>
      <w:bookmarkStart w:id="105" w:name="_Toc518395654"/>
      <w:bookmarkStart w:id="106" w:name="_Toc532309560"/>
      <w:bookmarkStart w:id="107" w:name="_Toc532543003"/>
      <w:bookmarkStart w:id="108" w:name="_Toc528328005"/>
      <w:r>
        <w:rPr>
          <w:b/>
          <w:bCs/>
        </w:rPr>
        <w:t xml:space="preserve">7.1.1 </w:t>
      </w:r>
      <w:r>
        <w:t>叠合剪力墙结构的楼盖宜采用钢筋桁架叠合楼盖，楼盖设计应</w:t>
      </w:r>
      <w:r>
        <w:rPr>
          <w:rFonts w:hint="eastAsia"/>
        </w:rPr>
        <w:t>符合</w:t>
      </w:r>
      <w:r>
        <w:t>现行国家标准《混凝土结构设计规范》GB 50010的相关</w:t>
      </w:r>
      <w:r>
        <w:rPr>
          <w:rFonts w:hint="eastAsia"/>
        </w:rPr>
        <w:t>规定</w:t>
      </w:r>
      <w:r>
        <w:t>。</w:t>
      </w:r>
    </w:p>
    <w:p>
      <w:pPr>
        <w:autoSpaceDE w:val="0"/>
        <w:autoSpaceDN w:val="0"/>
        <w:adjustRightInd w:val="0"/>
        <w:jc w:val="left"/>
        <w:rPr>
          <w:rFonts w:eastAsia="仿宋"/>
          <w:i/>
          <w:spacing w:val="10"/>
          <w:szCs w:val="24"/>
        </w:rPr>
      </w:pPr>
      <w:r>
        <w:rPr>
          <w:rFonts w:eastAsia="仿宋"/>
          <w:i/>
          <w:spacing w:val="10"/>
          <w:szCs w:val="24"/>
        </w:rPr>
        <w:t>【条文说明】7.1.1 叠合楼板有各种形式，包括钢筋桁架叠合楼板、预应力叠合楼板、带肋叠合楼板（或PK板）、箱式叠合楼板等。由于叠合剪力墙结构更适用于居住建筑，因此其楼板跨度均基本在5m以内，而且经过大量项目实践，钢筋桁架叠合楼板的应用也比较多，因此本章中主要推荐采用钢筋桁架叠合楼板的设计方法，其他形式叠合楼板的设计方法可参考国家现行相关规范、标准等。</w:t>
      </w:r>
    </w:p>
    <w:p>
      <w:r>
        <w:rPr>
          <w:b/>
          <w:bCs/>
        </w:rPr>
        <w:t xml:space="preserve">7.1.2 </w:t>
      </w:r>
      <w:r>
        <w:t>叠合剪力墙结构楼盖应受力明确、结构可靠、满足承载力和耐久性等要求。楼盖和竖向抗侧力构件之间的连接构造和性能，应与所采用的结构整体计算模型一致。</w:t>
      </w:r>
    </w:p>
    <w:p>
      <w:r>
        <w:rPr>
          <w:b/>
          <w:bCs/>
        </w:rPr>
        <w:t>7.1.3</w:t>
      </w:r>
      <w:r>
        <w:t>叠合剪力墙结构的楼面梁采用叠合梁时，梁端竖向接缝的受剪承载力及相关构造均应符合现行广东省《装配式混凝土建筑结构技术规程》DBJ 15-107的相关规定。</w:t>
      </w:r>
    </w:p>
    <w:p>
      <w:pPr>
        <w:pStyle w:val="47"/>
        <w:widowControl/>
        <w:ind w:firstLine="0"/>
        <w:rPr>
          <w:rFonts w:eastAsia="仿宋"/>
          <w:i/>
          <w:spacing w:val="10"/>
          <w:szCs w:val="24"/>
        </w:rPr>
      </w:pPr>
      <w:r>
        <w:rPr>
          <w:rFonts w:eastAsia="仿宋"/>
          <w:i/>
          <w:spacing w:val="10"/>
          <w:szCs w:val="24"/>
        </w:rPr>
        <w:t>【条文说明】7.1.2~7.1.3 叠合剪力墙结构的楼盖结构设计关键在于预制构件之间、预制构件与后浇混凝土之间的连接可靠性，叠合梁的计算分析和叠合剪力墙体系关系也无直接关系，因此除本标准特殊注明外，楼盖的计算分析、构造节点均应满足广东省《装配式混凝土建筑结构技术规程》DBJ 15-107的相关规定。</w:t>
      </w:r>
    </w:p>
    <w:bookmarkEnd w:id="105"/>
    <w:bookmarkEnd w:id="106"/>
    <w:bookmarkEnd w:id="107"/>
    <w:bookmarkEnd w:id="108"/>
    <w:p>
      <w:pPr>
        <w:pStyle w:val="3"/>
      </w:pPr>
      <w:bookmarkStart w:id="109" w:name="_Toc45313936"/>
      <w:bookmarkStart w:id="110" w:name="_Toc45574541"/>
      <w:r>
        <w:t>楼板设计</w:t>
      </w:r>
      <w:bookmarkStart w:id="111" w:name="_Toc528328006"/>
      <w:bookmarkStart w:id="112" w:name="_Toc518395655"/>
      <w:bookmarkStart w:id="113" w:name="_Toc532309561"/>
      <w:bookmarkStart w:id="114" w:name="_Toc532543004"/>
      <w:r>
        <w:t>及构造</w:t>
      </w:r>
      <w:bookmarkEnd w:id="109"/>
      <w:bookmarkEnd w:id="110"/>
    </w:p>
    <w:p>
      <w:r>
        <w:rPr>
          <w:b/>
          <w:bCs/>
        </w:rPr>
        <w:t xml:space="preserve">7.2.1 </w:t>
      </w:r>
      <w:r>
        <w:t>钢筋桁架叠合板应按现行国家标准《混凝土结构设计规范》GB 50010进行设计，并应符合下列规定：</w:t>
      </w:r>
    </w:p>
    <w:p>
      <w:pPr>
        <w:pStyle w:val="47"/>
        <w:numPr>
          <w:ilvl w:val="0"/>
          <w:numId w:val="28"/>
        </w:numPr>
        <w:ind w:left="0" w:firstLine="576" w:firstLineChars="200"/>
      </w:pPr>
      <w:r>
        <w:t>普通钢筋桁架叠合板的预制板厚度不</w:t>
      </w:r>
      <w:r>
        <w:rPr>
          <w:rFonts w:hint="eastAsia"/>
        </w:rPr>
        <w:t>应</w:t>
      </w:r>
      <w:r>
        <w:t>小于</w:t>
      </w:r>
      <w:r>
        <w:rPr>
          <w:rFonts w:hint="eastAsia"/>
        </w:rPr>
        <w:t>5</w:t>
      </w:r>
      <w:r>
        <w:t>0mm，后浇混凝土叠合层厚度不宜小于80mm且不应小于70mm；</w:t>
      </w:r>
    </w:p>
    <w:p>
      <w:pPr>
        <w:pStyle w:val="47"/>
        <w:numPr>
          <w:ilvl w:val="0"/>
          <w:numId w:val="28"/>
        </w:numPr>
        <w:ind w:left="0" w:firstLine="576" w:firstLineChars="200"/>
      </w:pPr>
      <w:r>
        <w:t>钢筋桁架叠合板的预制板与后浇混凝土之间的结合面应设置凹凸深度不小于4mm的粗糙面</w:t>
      </w:r>
      <w:r>
        <w:rPr>
          <w:rFonts w:hint="eastAsia"/>
        </w:rPr>
        <w:t>；</w:t>
      </w:r>
    </w:p>
    <w:p>
      <w:pPr>
        <w:pStyle w:val="47"/>
        <w:numPr>
          <w:ilvl w:val="0"/>
          <w:numId w:val="28"/>
        </w:numPr>
        <w:ind w:left="0" w:firstLine="576" w:firstLineChars="200"/>
      </w:pPr>
      <w:r>
        <w:t>当屋面板采用钢筋桁架叠合板时，楼板的后浇混凝土厚度不应小于80mm，且后浇层内应配置双向通长配筋，钢筋直径不宜小于8mm、间距不应大于200mm；</w:t>
      </w:r>
    </w:p>
    <w:p>
      <w:pPr>
        <w:pStyle w:val="47"/>
        <w:numPr>
          <w:ilvl w:val="0"/>
          <w:numId w:val="28"/>
        </w:numPr>
        <w:ind w:left="0" w:firstLine="576" w:firstLineChars="200"/>
      </w:pPr>
      <w:r>
        <w:t>钢筋桁架叠合板拼缝位置，预制板边上部应设置不小于</w:t>
      </w:r>
      <w:r>
        <w:rPr>
          <w:rFonts w:hint="eastAsia"/>
        </w:rPr>
        <w:t>2</w:t>
      </w:r>
      <w:r>
        <w:t>0x</w:t>
      </w:r>
      <w:r>
        <w:rPr>
          <w:rFonts w:hint="eastAsia"/>
        </w:rPr>
        <w:t>2</w:t>
      </w:r>
      <w:r>
        <w:t>0mm的倒角。</w:t>
      </w:r>
    </w:p>
    <w:p>
      <w:pPr>
        <w:rPr>
          <w:rFonts w:eastAsia="仿宋"/>
          <w:i/>
          <w:spacing w:val="10"/>
          <w:szCs w:val="24"/>
        </w:rPr>
      </w:pPr>
      <w:r>
        <w:rPr>
          <w:rFonts w:eastAsia="仿宋"/>
          <w:i/>
          <w:spacing w:val="10"/>
          <w:szCs w:val="24"/>
        </w:rPr>
        <w:t>【条文说明】7.2.1 普通钢筋桁架叠合板的预制厚度</w:t>
      </w:r>
      <w:r>
        <w:rPr>
          <w:rFonts w:hint="eastAsia" w:eastAsia="仿宋"/>
          <w:i/>
          <w:spacing w:val="10"/>
          <w:szCs w:val="24"/>
        </w:rPr>
        <w:t>一般为6</w:t>
      </w:r>
      <w:r>
        <w:rPr>
          <w:rFonts w:eastAsia="仿宋"/>
          <w:i/>
          <w:spacing w:val="10"/>
          <w:szCs w:val="24"/>
        </w:rPr>
        <w:t>0mm，主要是考虑降低构件在脱模、运输、吊装等因素出现裂缝的风险，如果混凝土中增加了高强纤维、预应力等抗裂措施，则预制板厚最小厚度可以</w:t>
      </w:r>
      <w:r>
        <w:rPr>
          <w:rFonts w:hint="eastAsia" w:eastAsia="仿宋"/>
          <w:i/>
          <w:spacing w:val="10"/>
          <w:szCs w:val="24"/>
        </w:rPr>
        <w:t>不小于</w:t>
      </w:r>
      <w:r>
        <w:rPr>
          <w:rFonts w:eastAsia="仿宋"/>
          <w:i/>
          <w:spacing w:val="10"/>
          <w:szCs w:val="24"/>
        </w:rPr>
        <w:t>35mm；预制板厚度的设计需要综合考虑脱模、吊装、运输、施工等因素。后浇层最小厚度70mm的规定主要是考虑了楼板混凝土浇筑后整体性质量要求，而80mm 的规定主要是考虑管线预埋、面筋铺设、施工误差等因素。对于预制板边上部设置倒角的要求主要是考虑尽量加大拼缝位置后浇层厚度从而减少裂缝出现几率，以及保证拼缝位置附加钢筋的保护层厚度。</w:t>
      </w:r>
    </w:p>
    <w:p>
      <w:r>
        <w:rPr>
          <w:b/>
          <w:bCs/>
        </w:rPr>
        <w:t xml:space="preserve">7.2.2 </w:t>
      </w:r>
      <w:r>
        <w:t>钢筋桁架叠合板中的钢筋桁架应满足下列要求：</w:t>
      </w:r>
    </w:p>
    <w:p>
      <w:pPr>
        <w:pStyle w:val="47"/>
        <w:numPr>
          <w:ilvl w:val="0"/>
          <w:numId w:val="29"/>
        </w:numPr>
        <w:ind w:left="0" w:firstLine="576" w:firstLineChars="200"/>
      </w:pPr>
      <w:r>
        <w:t>宜沿预制板的长方向布置，当叠合板存在</w:t>
      </w:r>
      <w:r>
        <w:rPr>
          <w:rFonts w:hint="eastAsia"/>
        </w:rPr>
        <w:t>非宽缝连接</w:t>
      </w:r>
      <w:r>
        <w:t>时应平行拼缝布置；</w:t>
      </w:r>
    </w:p>
    <w:p>
      <w:pPr>
        <w:pStyle w:val="47"/>
        <w:numPr>
          <w:ilvl w:val="0"/>
          <w:numId w:val="29"/>
        </w:numPr>
        <w:ind w:left="0" w:firstLine="576" w:firstLineChars="200"/>
      </w:pPr>
      <w:r>
        <w:t>钢筋桁架上弦筋中线距预制板边不应大于300mm，间距不宜大于600mm；</w:t>
      </w:r>
    </w:p>
    <w:p>
      <w:pPr>
        <w:pStyle w:val="47"/>
        <w:numPr>
          <w:ilvl w:val="0"/>
          <w:numId w:val="29"/>
        </w:numPr>
        <w:ind w:left="0" w:firstLine="576" w:firstLineChars="200"/>
      </w:pPr>
      <w:r>
        <w:t>叠合板之间</w:t>
      </w:r>
      <w:r>
        <w:rPr>
          <w:rFonts w:hint="eastAsia"/>
        </w:rPr>
        <w:t>非宽缝连接</w:t>
      </w:r>
      <w:r>
        <w:t>时，接缝位置的钢筋桁架距预制板边不应大于200mm且不应大于叠合板总厚度；</w:t>
      </w:r>
    </w:p>
    <w:p>
      <w:pPr>
        <w:pStyle w:val="47"/>
        <w:numPr>
          <w:ilvl w:val="0"/>
          <w:numId w:val="29"/>
        </w:numPr>
        <w:ind w:left="0" w:firstLine="576" w:firstLineChars="200"/>
        <w:rPr>
          <w:rFonts w:eastAsia="仿宋"/>
          <w:i/>
          <w:spacing w:val="10"/>
          <w:szCs w:val="24"/>
        </w:rPr>
      </w:pPr>
      <w:r>
        <w:t>上、下弦钢筋混凝土保护层厚度不应小于15mm。</w:t>
      </w:r>
    </w:p>
    <w:p>
      <w:r>
        <w:rPr>
          <w:b/>
          <w:bCs/>
        </w:rPr>
        <w:t xml:space="preserve">7.2.3 </w:t>
      </w:r>
      <w:r>
        <w:t>钢筋桁架叠合板计算分析可采用与现浇板相同的方法进行模拟，钢筋桁架上、下弦钢筋可计入楼板设计配筋面积。</w:t>
      </w:r>
    </w:p>
    <w:p>
      <w:pPr>
        <w:rPr>
          <w:rFonts w:eastAsia="仿宋"/>
          <w:i/>
          <w:spacing w:val="10"/>
          <w:szCs w:val="24"/>
        </w:rPr>
      </w:pPr>
      <w:r>
        <w:rPr>
          <w:rFonts w:eastAsia="仿宋"/>
          <w:i/>
          <w:spacing w:val="10"/>
          <w:szCs w:val="24"/>
        </w:rPr>
        <w:t>【条文说明】7.2.3 桁架叠合板中钢筋桁架的上、下弦筋均可计入楼板的配筋面积，但上弦筋应设置满足设计要求的附加钢筋伸入板端支座，附加钢筋应按照与同向受力钢筋受拉承载力相等原则布置，且搭接长度应满足现行国家标准《混凝土结构设计规范》GB 50010的有关规定，且不小于1.4l</w:t>
      </w:r>
      <w:r>
        <w:rPr>
          <w:rFonts w:eastAsia="仿宋"/>
          <w:spacing w:val="10"/>
          <w:szCs w:val="24"/>
          <w:vertAlign w:val="subscript"/>
        </w:rPr>
        <w:t>a</w:t>
      </w:r>
      <w:r>
        <w:rPr>
          <w:rFonts w:eastAsia="仿宋"/>
          <w:i/>
          <w:spacing w:val="10"/>
          <w:szCs w:val="24"/>
        </w:rPr>
        <w:t>。施工阶段在验算预制板的承载力及变形时，可考虑钢筋桁架的作用，减小预制板下的临时支撑。</w:t>
      </w:r>
    </w:p>
    <w:p>
      <w:pPr>
        <w:pStyle w:val="17"/>
        <w:spacing w:line="360" w:lineRule="auto"/>
        <w:rPr>
          <w:rFonts w:hAnsi="Times New Roman" w:eastAsia="仿宋"/>
          <w:spacing w:val="10"/>
          <w:kern w:val="2"/>
          <w:sz w:val="28"/>
          <w:szCs w:val="24"/>
        </w:rPr>
      </w:pPr>
    </w:p>
    <w:p>
      <w:pPr>
        <w:pStyle w:val="17"/>
        <w:spacing w:line="360" w:lineRule="auto"/>
        <w:jc w:val="center"/>
        <w:rPr>
          <w:rFonts w:hAnsi="Times New Roman" w:eastAsia="仿宋"/>
          <w:spacing w:val="10"/>
          <w:kern w:val="2"/>
          <w:sz w:val="28"/>
          <w:szCs w:val="24"/>
        </w:rPr>
      </w:pPr>
      <w:r>
        <w:rPr>
          <w:rFonts w:hAnsi="Times New Roman" w:eastAsia="华文仿宋"/>
          <w:szCs w:val="24"/>
        </w:rPr>
        <mc:AlternateContent>
          <mc:Choice Requires="wps">
            <w:drawing>
              <wp:anchor distT="0" distB="0" distL="114300" distR="114300" simplePos="0" relativeHeight="251825152" behindDoc="0" locked="0" layoutInCell="1" allowOverlap="1">
                <wp:simplePos x="0" y="0"/>
                <wp:positionH relativeFrom="column">
                  <wp:posOffset>2100580</wp:posOffset>
                </wp:positionH>
                <wp:positionV relativeFrom="paragraph">
                  <wp:posOffset>777875</wp:posOffset>
                </wp:positionV>
                <wp:extent cx="1087755" cy="36195"/>
                <wp:effectExtent l="0" t="0" r="17145" b="21590"/>
                <wp:wrapNone/>
                <wp:docPr id="35" name="矩形 35"/>
                <wp:cNvGraphicFramePr/>
                <a:graphic xmlns:a="http://schemas.openxmlformats.org/drawingml/2006/main">
                  <a:graphicData uri="http://schemas.microsoft.com/office/word/2010/wordprocessingShape">
                    <wps:wsp>
                      <wps:cNvSpPr/>
                      <wps:spPr>
                        <a:xfrm>
                          <a:off x="0" y="0"/>
                          <a:ext cx="1087762" cy="36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4pt;margin-top:61.25pt;height:2.85pt;width:85.65pt;z-index:251825152;v-text-anchor:middle;mso-width-relative:page;mso-height-relative:page;" filled="f" stroked="t" coordsize="21600,21600" o:gfxdata="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bZmjLYAAAACwEA&#10;AA8AAAAAAAAAAQAgAAAAIgAAAGRycy9kb3ducmV2LnhtbFBLAQIUABQAAAAIAIdO4kAQf8dwUwIA&#10;AIgEAAAOAAAAAAAAAAEAIAAAACcBAABkcnMvZTJvRG9jLnhtbFBLBQYAAAAABgAGAFkBAADsBQAA&#10;AAA=&#10;">
                <v:fill on="f" focussize="0,0"/>
                <v:stroke weight="0.25pt" color="#000000 [3213]" miterlimit="8" joinstyle="miter"/>
                <v:imagedata o:title=""/>
                <o:lock v:ext="edit" aspectratio="f"/>
                <v:textbox>
                  <w:txbxContent>
                    <w:p>
                      <w:pPr>
                        <w:jc w:val="center"/>
                      </w:pPr>
                    </w:p>
                  </w:txbxContent>
                </v:textbox>
              </v:rect>
            </w:pict>
          </mc:Fallback>
        </mc:AlternateContent>
      </w:r>
      <w:r>
        <w:rPr>
          <w:rFonts w:hAnsi="Times New Roman" w:eastAsia="华文仿宋"/>
          <w:szCs w:val="24"/>
        </w:rPr>
        <w:drawing>
          <wp:inline distT="0" distB="0" distL="0" distR="0">
            <wp:extent cx="2159000" cy="1676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159000" cy="1676400"/>
                    </a:xfrm>
                    <a:prstGeom prst="rect">
                      <a:avLst/>
                    </a:prstGeom>
                    <a:noFill/>
                    <a:ln>
                      <a:noFill/>
                    </a:ln>
                  </pic:spPr>
                </pic:pic>
              </a:graphicData>
            </a:graphic>
          </wp:inline>
        </w:drawing>
      </w:r>
    </w:p>
    <w:p>
      <w:pPr>
        <w:adjustRightInd w:val="0"/>
        <w:snapToGrid w:val="0"/>
        <w:jc w:val="center"/>
        <w:rPr>
          <w:b/>
          <w:bCs/>
          <w:sz w:val="24"/>
          <w:szCs w:val="24"/>
        </w:rPr>
      </w:pPr>
      <w:r>
        <w:rPr>
          <w:b/>
          <w:bCs/>
          <w:sz w:val="24"/>
          <w:szCs w:val="24"/>
        </w:rPr>
        <w:t>图</w:t>
      </w:r>
      <w:r>
        <w:rPr>
          <w:rFonts w:hint="eastAsia"/>
          <w:b/>
          <w:bCs/>
          <w:sz w:val="24"/>
          <w:szCs w:val="24"/>
        </w:rPr>
        <w:t>7.2.3</w:t>
      </w:r>
      <w:r>
        <w:rPr>
          <w:b/>
          <w:bCs/>
          <w:sz w:val="24"/>
          <w:szCs w:val="24"/>
        </w:rPr>
        <w:t xml:space="preserve"> 纵筋外伸的板端支座构造示意</w:t>
      </w:r>
    </w:p>
    <w:p>
      <w:pPr>
        <w:adjustRightInd w:val="0"/>
        <w:snapToGrid w:val="0"/>
        <w:jc w:val="center"/>
        <w:rPr>
          <w:sz w:val="24"/>
          <w:szCs w:val="24"/>
        </w:rPr>
      </w:pPr>
      <w:r>
        <w:rPr>
          <w:sz w:val="24"/>
          <w:szCs w:val="24"/>
        </w:rPr>
        <w:t>1—支承梁或墙；2—预制板；3—上弦钢筋；4—附加钢筋；5—支承构件中线</w:t>
      </w:r>
    </w:p>
    <w:p>
      <w:pPr>
        <w:rPr>
          <w:rFonts w:eastAsia="仿宋"/>
          <w:spacing w:val="10"/>
        </w:rPr>
      </w:pPr>
      <w:r>
        <w:rPr>
          <w:b/>
          <w:bCs/>
        </w:rPr>
        <w:t xml:space="preserve">7.2.4 </w:t>
      </w:r>
      <w:r>
        <w:t>钢筋桁架叠合板的裂缝宽度、挠度应符合现行国家标准《混凝土结构设计规范》GB 50010的有关规定。</w:t>
      </w:r>
    </w:p>
    <w:p>
      <w:pPr>
        <w:rPr>
          <w:rFonts w:eastAsia="仿宋"/>
          <w:i/>
          <w:spacing w:val="10"/>
          <w:szCs w:val="24"/>
        </w:rPr>
      </w:pPr>
      <w:r>
        <w:rPr>
          <w:rFonts w:eastAsia="仿宋"/>
          <w:i/>
          <w:spacing w:val="10"/>
          <w:szCs w:val="24"/>
        </w:rPr>
        <w:t>【条文说明】7.2.4验算裂缝宽度及挠度时应不计入钢筋桁架的腹杆钢筋对桁架叠合板刚度的有利影响。</w:t>
      </w:r>
    </w:p>
    <w:p>
      <w:pPr>
        <w:pStyle w:val="3"/>
      </w:pPr>
      <w:bookmarkStart w:id="115" w:name="_Toc45313937"/>
      <w:bookmarkStart w:id="116" w:name="_Toc45574542"/>
      <w:r>
        <w:t>板缝节点设计及构造</w:t>
      </w:r>
      <w:bookmarkEnd w:id="115"/>
      <w:bookmarkEnd w:id="116"/>
    </w:p>
    <w:p>
      <w:r>
        <w:rPr>
          <w:b/>
          <w:bCs/>
        </w:rPr>
        <w:t>7.3.1</w:t>
      </w:r>
      <w:r>
        <w:t>钢筋桁架叠合板可根据</w:t>
      </w:r>
      <w:r>
        <w:rPr>
          <w:rFonts w:hint="eastAsia"/>
        </w:rPr>
        <w:t>叠合后整体</w:t>
      </w:r>
      <w:r>
        <w:t>板块的长宽比情况按照单向板或双向板设计，钢筋桁架预制板的板侧接缝可采用密缝、窄缝以及宽缝（图7.3.1）。</w:t>
      </w:r>
    </w:p>
    <w:tbl>
      <w:tblPr>
        <w:tblStyle w:val="31"/>
        <w:tblW w:w="878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8"/>
        <w:gridCol w:w="1985"/>
        <w:gridCol w:w="2126"/>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6" w:hRule="atLeast"/>
          <w:jc w:val="center"/>
        </w:trPr>
        <w:tc>
          <w:tcPr>
            <w:tcW w:w="2268" w:type="dxa"/>
            <w:vAlign w:val="center"/>
          </w:tcPr>
          <w:p>
            <w:pPr>
              <w:adjustRightInd w:val="0"/>
              <w:snapToGrid w:val="0"/>
              <w:jc w:val="center"/>
              <w:rPr>
                <w:szCs w:val="21"/>
              </w:rPr>
            </w:pPr>
            <w:r>
              <w:drawing>
                <wp:inline distT="0" distB="0" distL="0" distR="0">
                  <wp:extent cx="1098550" cy="1174115"/>
                  <wp:effectExtent l="0" t="0" r="635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1110535" cy="1186844"/>
                          </a:xfrm>
                          <a:prstGeom prst="rect">
                            <a:avLst/>
                          </a:prstGeom>
                        </pic:spPr>
                      </pic:pic>
                    </a:graphicData>
                  </a:graphic>
                </wp:inline>
              </w:drawing>
            </w:r>
          </w:p>
        </w:tc>
        <w:tc>
          <w:tcPr>
            <w:tcW w:w="1985" w:type="dxa"/>
            <w:vAlign w:val="center"/>
          </w:tcPr>
          <w:p>
            <w:pPr>
              <w:adjustRightInd w:val="0"/>
              <w:snapToGrid w:val="0"/>
              <w:jc w:val="center"/>
              <w:rPr>
                <w:szCs w:val="21"/>
              </w:rPr>
            </w:pPr>
            <w:r>
              <w:drawing>
                <wp:inline distT="0" distB="0" distL="0" distR="0">
                  <wp:extent cx="1169670" cy="10547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1"/>
                          <a:stretch>
                            <a:fillRect/>
                          </a:stretch>
                        </pic:blipFill>
                        <pic:spPr>
                          <a:xfrm>
                            <a:off x="0" y="0"/>
                            <a:ext cx="1187958" cy="1071111"/>
                          </a:xfrm>
                          <a:prstGeom prst="rect">
                            <a:avLst/>
                          </a:prstGeom>
                        </pic:spPr>
                      </pic:pic>
                    </a:graphicData>
                  </a:graphic>
                </wp:inline>
              </w:drawing>
            </w:r>
          </w:p>
        </w:tc>
        <w:tc>
          <w:tcPr>
            <w:tcW w:w="2126" w:type="dxa"/>
            <w:vAlign w:val="center"/>
          </w:tcPr>
          <w:p>
            <w:pPr>
              <w:adjustRightInd w:val="0"/>
              <w:snapToGrid w:val="0"/>
              <w:jc w:val="center"/>
              <w:rPr>
                <w:szCs w:val="21"/>
              </w:rPr>
            </w:pPr>
            <w:r>
              <w:drawing>
                <wp:inline distT="0" distB="0" distL="0" distR="0">
                  <wp:extent cx="1162050" cy="10477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2"/>
                          <a:stretch>
                            <a:fillRect/>
                          </a:stretch>
                        </pic:blipFill>
                        <pic:spPr>
                          <a:xfrm>
                            <a:off x="0" y="0"/>
                            <a:ext cx="1173536" cy="1058025"/>
                          </a:xfrm>
                          <a:prstGeom prst="rect">
                            <a:avLst/>
                          </a:prstGeom>
                        </pic:spPr>
                      </pic:pic>
                    </a:graphicData>
                  </a:graphic>
                </wp:inline>
              </w:drawing>
            </w:r>
          </w:p>
        </w:tc>
        <w:tc>
          <w:tcPr>
            <w:tcW w:w="2410" w:type="dxa"/>
            <w:vAlign w:val="center"/>
          </w:tcPr>
          <w:p>
            <w:pPr>
              <w:adjustRightInd w:val="0"/>
              <w:snapToGrid w:val="0"/>
              <w:jc w:val="center"/>
              <w:rPr>
                <w:szCs w:val="21"/>
              </w:rPr>
            </w:pPr>
            <w:r>
              <w:drawing>
                <wp:inline distT="0" distB="0" distL="0" distR="0">
                  <wp:extent cx="1130935" cy="1020445"/>
                  <wp:effectExtent l="0" t="0" r="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3"/>
                          <a:stretch>
                            <a:fillRect/>
                          </a:stretch>
                        </pic:blipFill>
                        <pic:spPr>
                          <a:xfrm>
                            <a:off x="0" y="0"/>
                            <a:ext cx="1138708" cy="10276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68" w:type="dxa"/>
          </w:tcPr>
          <w:p>
            <w:pPr>
              <w:adjustRightInd w:val="0"/>
              <w:snapToGrid w:val="0"/>
              <w:jc w:val="center"/>
              <w:rPr>
                <w:sz w:val="20"/>
                <w:szCs w:val="20"/>
              </w:rPr>
            </w:pPr>
            <w:r>
              <w:rPr>
                <w:sz w:val="20"/>
                <w:szCs w:val="20"/>
              </w:rPr>
              <w:t>（a）单向叠合板</w:t>
            </w:r>
          </w:p>
        </w:tc>
        <w:tc>
          <w:tcPr>
            <w:tcW w:w="4111" w:type="dxa"/>
            <w:gridSpan w:val="2"/>
          </w:tcPr>
          <w:p>
            <w:pPr>
              <w:adjustRightInd w:val="0"/>
              <w:snapToGrid w:val="0"/>
              <w:jc w:val="center"/>
              <w:rPr>
                <w:sz w:val="20"/>
                <w:szCs w:val="20"/>
              </w:rPr>
            </w:pPr>
            <w:r>
              <w:rPr>
                <w:sz w:val="20"/>
                <w:szCs w:val="20"/>
              </w:rPr>
              <w:t>（b）双向叠合板</w:t>
            </w:r>
          </w:p>
        </w:tc>
        <w:tc>
          <w:tcPr>
            <w:tcW w:w="2410" w:type="dxa"/>
          </w:tcPr>
          <w:p>
            <w:pPr>
              <w:adjustRightInd w:val="0"/>
              <w:snapToGrid w:val="0"/>
              <w:jc w:val="center"/>
              <w:rPr>
                <w:sz w:val="20"/>
                <w:szCs w:val="20"/>
              </w:rPr>
            </w:pPr>
            <w:r>
              <w:rPr>
                <w:sz w:val="20"/>
                <w:szCs w:val="20"/>
              </w:rPr>
              <w:t>（c）无接缝双向叠合板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89" w:type="dxa"/>
            <w:gridSpan w:val="4"/>
          </w:tcPr>
          <w:p>
            <w:pPr>
              <w:adjustRightInd w:val="0"/>
              <w:snapToGrid w:val="0"/>
              <w:jc w:val="center"/>
              <w:rPr>
                <w:b/>
                <w:bCs/>
                <w:sz w:val="24"/>
                <w:szCs w:val="24"/>
              </w:rPr>
            </w:pPr>
            <w:r>
              <w:rPr>
                <w:b/>
                <w:bCs/>
                <w:sz w:val="24"/>
                <w:szCs w:val="24"/>
              </w:rPr>
              <w:t>图</w:t>
            </w:r>
            <w:r>
              <w:rPr>
                <w:rFonts w:hint="eastAsia"/>
                <w:b/>
                <w:bCs/>
                <w:sz w:val="24"/>
                <w:szCs w:val="24"/>
              </w:rPr>
              <w:t>7.3.1</w:t>
            </w:r>
            <w:r>
              <w:rPr>
                <w:b/>
                <w:bCs/>
                <w:sz w:val="24"/>
                <w:szCs w:val="24"/>
              </w:rPr>
              <w:t>钢筋桁架预制板布置形式</w:t>
            </w:r>
          </w:p>
          <w:p>
            <w:pPr>
              <w:adjustRightInd w:val="0"/>
              <w:snapToGrid w:val="0"/>
              <w:jc w:val="center"/>
              <w:rPr>
                <w:sz w:val="24"/>
                <w:szCs w:val="24"/>
              </w:rPr>
            </w:pPr>
            <w:r>
              <w:rPr>
                <w:sz w:val="24"/>
                <w:szCs w:val="24"/>
              </w:rPr>
              <w:t>1—</w:t>
            </w:r>
            <w:r>
              <w:rPr>
                <w:rFonts w:hint="eastAsia"/>
                <w:sz w:val="24"/>
                <w:szCs w:val="24"/>
              </w:rPr>
              <w:t>预制板</w:t>
            </w:r>
            <w:r>
              <w:rPr>
                <w:sz w:val="24"/>
                <w:szCs w:val="24"/>
              </w:rPr>
              <w:t>；2—梁或墙；3—密缝；4—</w:t>
            </w:r>
            <w:r>
              <w:rPr>
                <w:rFonts w:hint="eastAsia"/>
                <w:sz w:val="24"/>
                <w:szCs w:val="24"/>
              </w:rPr>
              <w:t>窄缝或宽缝</w:t>
            </w:r>
          </w:p>
        </w:tc>
      </w:tr>
    </w:tbl>
    <w:p>
      <w:pPr>
        <w:pStyle w:val="47"/>
        <w:widowControl/>
        <w:ind w:firstLine="0"/>
        <w:rPr>
          <w:rFonts w:eastAsia="仿宋"/>
          <w:i/>
          <w:spacing w:val="10"/>
          <w:szCs w:val="24"/>
        </w:rPr>
      </w:pPr>
      <w:r>
        <w:rPr>
          <w:rFonts w:eastAsia="仿宋"/>
          <w:i/>
          <w:spacing w:val="10"/>
          <w:szCs w:val="24"/>
        </w:rPr>
        <w:t>【条文说明】7.3.1 有拼缝叠合板的极限承载力与拼缝方式、拼缝位置均有非常大的关系，其整体受力性能在按板缝划分的单向板和整体双向板之间，其还与板跨、后浇层与预制板的厚度比例、接缝钢筋数量、钢筋桁架设置等因素有较大关系，板缝接缝边界主要传递剪力，</w:t>
      </w:r>
      <w:r>
        <w:rPr>
          <w:rFonts w:hint="eastAsia" w:eastAsia="仿宋"/>
          <w:i/>
          <w:spacing w:val="10"/>
          <w:szCs w:val="24"/>
        </w:rPr>
        <w:t>未经抗弯配筋加强的</w:t>
      </w:r>
      <w:r>
        <w:rPr>
          <w:rFonts w:eastAsia="仿宋"/>
          <w:i/>
          <w:spacing w:val="10"/>
          <w:szCs w:val="24"/>
        </w:rPr>
        <w:t>密缝和窄缝弯矩传递能力不如宽缝。</w:t>
      </w:r>
      <w:r>
        <w:rPr>
          <w:rFonts w:hint="eastAsia" w:eastAsia="仿宋"/>
          <w:i/>
          <w:spacing w:val="10"/>
          <w:szCs w:val="24"/>
        </w:rPr>
        <w:t>密缝设计宽度为0mm，窄缝宽度一般为30~50mm，宽缝宽度一般不小于200mm。</w:t>
      </w:r>
      <w:r>
        <w:rPr>
          <w:rFonts w:eastAsia="仿宋"/>
          <w:i/>
          <w:spacing w:val="10"/>
          <w:szCs w:val="24"/>
        </w:rPr>
        <w:t xml:space="preserve"> </w:t>
      </w:r>
    </w:p>
    <w:p>
      <w:r>
        <w:rPr>
          <w:b/>
          <w:bCs/>
        </w:rPr>
        <w:t xml:space="preserve">7.3.2 </w:t>
      </w:r>
      <w:r>
        <w:t>钢筋桁架预制板之间采用宽缝后浇带连接时，缝宽不应小于200mm，并应符合下列规定：</w:t>
      </w:r>
    </w:p>
    <w:p>
      <w:pPr>
        <w:pStyle w:val="47"/>
        <w:numPr>
          <w:ilvl w:val="0"/>
          <w:numId w:val="30"/>
        </w:numPr>
        <w:ind w:left="0" w:firstLine="576" w:firstLineChars="200"/>
      </w:pPr>
      <w:r>
        <w:rPr>
          <w:rFonts w:hint="eastAsia"/>
        </w:rPr>
        <w:t>后浇带</w:t>
      </w:r>
      <w:r>
        <w:t>平行板缝</w:t>
      </w:r>
      <w:r>
        <w:rPr>
          <w:rFonts w:hint="eastAsia"/>
        </w:rPr>
        <w:t>的</w:t>
      </w:r>
      <w:r>
        <w:t>受力钢筋配筋率不应</w:t>
      </w:r>
      <w:r>
        <w:rPr>
          <w:rFonts w:hint="eastAsia"/>
        </w:rPr>
        <w:t>小</w:t>
      </w:r>
      <w:r>
        <w:t>于板缝两侧预制板相应方向板底配筋率的较大值；</w:t>
      </w:r>
    </w:p>
    <w:p>
      <w:pPr>
        <w:pStyle w:val="47"/>
        <w:numPr>
          <w:ilvl w:val="0"/>
          <w:numId w:val="30"/>
        </w:numPr>
        <w:ind w:left="0" w:firstLine="576" w:firstLineChars="200"/>
      </w:pPr>
      <w:r>
        <w:t>后浇带两侧板底伸出受力钢筋应在后浇带中搭接连接，并满足以下要求；</w:t>
      </w:r>
    </w:p>
    <w:p>
      <w:pPr>
        <w:pStyle w:val="47"/>
        <w:numPr>
          <w:ilvl w:val="0"/>
          <w:numId w:val="31"/>
        </w:numPr>
      </w:pPr>
      <w:r>
        <w:t>板底外伸钢筋的搭接长度</w:t>
      </w:r>
      <w:r>
        <w:rPr>
          <w:i/>
        </w:rPr>
        <w:t>l</w:t>
      </w:r>
      <w:r>
        <w:rPr>
          <w:vertAlign w:val="subscript"/>
        </w:rPr>
        <w:t>l</w:t>
      </w:r>
      <w:r>
        <w:t>和端部弯钩构造应符合现行国家标准《混凝土结构设计规范》GB 50010的有关规定；</w:t>
      </w:r>
    </w:p>
    <w:p>
      <w:pPr>
        <w:pStyle w:val="47"/>
        <w:numPr>
          <w:ilvl w:val="0"/>
          <w:numId w:val="31"/>
        </w:numPr>
      </w:pPr>
      <w:r>
        <w:t>钢筋桁架预制板板底外伸钢筋为直线形（图7.3.2a）时，接缝处的直线段钢筋搭接长度不应小于</w:t>
      </w:r>
      <w:r>
        <w:rPr>
          <w:i/>
        </w:rPr>
        <w:t>l</w:t>
      </w:r>
      <w:r>
        <w:rPr>
          <w:vertAlign w:val="subscript"/>
        </w:rPr>
        <w:t>l</w:t>
      </w:r>
      <w:r>
        <w:t>；外伸钢筋采用端部带90</w:t>
      </w:r>
      <w:r>
        <w:rPr>
          <w:vertAlign w:val="superscript"/>
        </w:rPr>
        <w:t>o</w:t>
      </w:r>
      <w:r>
        <w:t>（图7.3.2b）或135</w:t>
      </w:r>
      <w:r>
        <w:rPr>
          <w:vertAlign w:val="superscript"/>
        </w:rPr>
        <w:t>o</w:t>
      </w:r>
      <w:r>
        <w:t>（图7.3.2c）弯钩时，接缝处直线段钢筋搭接长度可取为钢筋的锚固长度</w:t>
      </w:r>
      <w:r>
        <w:rPr>
          <w:i/>
          <w:iCs/>
        </w:rPr>
        <w:t>l</w:t>
      </w:r>
      <w:r>
        <w:rPr>
          <w:iCs/>
          <w:vertAlign w:val="subscript"/>
        </w:rPr>
        <w:t>a</w:t>
      </w:r>
      <w:r>
        <w:t>，且在确定</w:t>
      </w:r>
      <w:r>
        <w:rPr>
          <w:i/>
          <w:iCs/>
        </w:rPr>
        <w:t>l</w:t>
      </w:r>
      <w:r>
        <w:rPr>
          <w:iCs/>
          <w:vertAlign w:val="subscript"/>
        </w:rPr>
        <w:t>a</w:t>
      </w:r>
      <w:r>
        <w:t>时，不应计入锚固区保护层和实际配筋面积大于设计计算面积相应的两项修正系数；</w:t>
      </w:r>
    </w:p>
    <w:p>
      <w:pPr>
        <w:pStyle w:val="47"/>
        <w:numPr>
          <w:ilvl w:val="0"/>
          <w:numId w:val="31"/>
        </w:numPr>
      </w:pPr>
      <w:r>
        <w:t>后浇带宽度应计入钢筋下料长度和构件安装误差等因素，每侧预留的</w:t>
      </w:r>
      <w:r>
        <w:rPr>
          <w:rFonts w:hint="eastAsia"/>
        </w:rPr>
        <w:t>调节缝隙</w:t>
      </w:r>
      <w:r>
        <w:t>不应小于10mm；</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vAlign w:val="center"/>
          </w:tcPr>
          <w:p>
            <w:pPr>
              <w:pStyle w:val="56"/>
              <w:jc w:val="center"/>
            </w:pPr>
            <w:r>
              <w:drawing>
                <wp:inline distT="0" distB="0" distL="0" distR="0">
                  <wp:extent cx="2519680" cy="983615"/>
                  <wp:effectExtent l="0" t="0" r="0" b="6985"/>
                  <wp:docPr id="43023" name="图片 4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3" name="图片 430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520000" cy="98404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vAlign w:val="center"/>
          </w:tcPr>
          <w:p>
            <w:pPr>
              <w:jc w:val="center"/>
              <w:rPr>
                <w:b/>
                <w:sz w:val="24"/>
                <w:szCs w:val="24"/>
              </w:rPr>
            </w:pPr>
            <w:r>
              <w:rPr>
                <w:b/>
                <w:sz w:val="24"/>
                <w:szCs w:val="24"/>
              </w:rPr>
              <w:t>（a）板底外伸钢筋直线搭接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vAlign w:val="center"/>
          </w:tcPr>
          <w:p>
            <w:pPr>
              <w:jc w:val="center"/>
            </w:pPr>
            <w:r>
              <w:drawing>
                <wp:inline distT="0" distB="0" distL="0" distR="0">
                  <wp:extent cx="2519680" cy="983615"/>
                  <wp:effectExtent l="0" t="0" r="0" b="6985"/>
                  <wp:docPr id="43024" name="图片 4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4" name="图片 430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520000" cy="984044"/>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vAlign w:val="center"/>
          </w:tcPr>
          <w:p>
            <w:pPr>
              <w:jc w:val="center"/>
              <w:rPr>
                <w:b/>
                <w:sz w:val="24"/>
                <w:szCs w:val="24"/>
              </w:rPr>
            </w:pPr>
            <w:r>
              <w:rPr>
                <w:b/>
                <w:sz w:val="24"/>
                <w:szCs w:val="24"/>
              </w:rPr>
              <w:t>（b）板底外伸钢筋末端带90°弯钩搭接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vAlign w:val="center"/>
          </w:tcPr>
          <w:p>
            <w:pPr>
              <w:jc w:val="center"/>
              <w:rPr>
                <w:b/>
                <w:sz w:val="24"/>
                <w:szCs w:val="24"/>
              </w:rPr>
            </w:pPr>
            <w:r>
              <w:rPr>
                <w:b/>
                <w:sz w:val="24"/>
                <w:szCs w:val="24"/>
              </w:rPr>
              <w:drawing>
                <wp:inline distT="0" distB="0" distL="0" distR="0">
                  <wp:extent cx="2519680" cy="980440"/>
                  <wp:effectExtent l="0" t="0" r="0" b="0"/>
                  <wp:docPr id="43030" name="图片 4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 name="图片 430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520000" cy="9806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vAlign w:val="center"/>
          </w:tcPr>
          <w:p>
            <w:pPr>
              <w:jc w:val="center"/>
              <w:rPr>
                <w:b/>
                <w:sz w:val="24"/>
                <w:szCs w:val="24"/>
              </w:rPr>
            </w:pPr>
            <w:r>
              <w:rPr>
                <w:b/>
                <w:sz w:val="24"/>
                <w:szCs w:val="24"/>
              </w:rPr>
              <w:t>（c）板底外伸钢筋末端带135°弯钩搭接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vAlign w:val="center"/>
          </w:tcPr>
          <w:p>
            <w:pPr>
              <w:jc w:val="center"/>
              <w:rPr>
                <w:b/>
                <w:sz w:val="24"/>
                <w:szCs w:val="24"/>
              </w:rPr>
            </w:pPr>
            <w:r>
              <w:rPr>
                <w:b/>
                <w:sz w:val="24"/>
                <w:szCs w:val="24"/>
              </w:rPr>
              <w:t>图</w:t>
            </w:r>
            <w:r>
              <w:rPr>
                <w:rFonts w:hint="eastAsia"/>
                <w:b/>
                <w:sz w:val="24"/>
                <w:szCs w:val="24"/>
              </w:rPr>
              <w:t>7.3.2</w:t>
            </w:r>
            <w:r>
              <w:rPr>
                <w:b/>
                <w:sz w:val="24"/>
                <w:szCs w:val="24"/>
              </w:rPr>
              <w:t>叠合板宽缝后浇带接缝构造示意</w:t>
            </w:r>
          </w:p>
          <w:p>
            <w:pPr>
              <w:pStyle w:val="47"/>
              <w:widowControl/>
              <w:ind w:firstLine="0"/>
              <w:rPr>
                <w:b/>
                <w:i/>
                <w:sz w:val="24"/>
                <w:szCs w:val="24"/>
              </w:rPr>
            </w:pPr>
            <w:r>
              <w:rPr>
                <w:rFonts w:eastAsia="仿宋"/>
                <w:i/>
                <w:spacing w:val="10"/>
                <w:szCs w:val="24"/>
              </w:rPr>
              <w:t>【条文说明】7.3.2宽缝连接的钢筋桁架叠合楼板，其破坏特征基本同整体现浇楼板，且由于钢筋桁架因素，其挠度还小于常规整体现浇楼板，因此其导荷方式和配筋计算均可以参照整体现浇板设计。</w:t>
            </w:r>
          </w:p>
        </w:tc>
      </w:tr>
    </w:tbl>
    <w:p>
      <w:r>
        <w:rPr>
          <w:b/>
          <w:bCs/>
        </w:rPr>
        <w:t xml:space="preserve">7.3.3 </w:t>
      </w:r>
      <w:r>
        <w:t>钢筋桁架叠合板按照双向板设计并采用密缝或窄缝连接时（图</w:t>
      </w:r>
      <w:r>
        <w:rPr>
          <w:rFonts w:hint="eastAsia"/>
        </w:rPr>
        <w:t>7.3.3</w:t>
      </w:r>
      <w:r>
        <w:t>），应符合下列规定：</w:t>
      </w:r>
    </w:p>
    <w:p>
      <w:pPr>
        <w:pStyle w:val="47"/>
        <w:numPr>
          <w:ilvl w:val="0"/>
          <w:numId w:val="32"/>
        </w:numPr>
        <w:ind w:left="0" w:firstLine="576" w:firstLineChars="200"/>
      </w:pPr>
      <w:r>
        <w:t>后浇混凝土叠合层厚度不宜小于</w:t>
      </w:r>
      <w:r>
        <w:rPr>
          <w:rFonts w:hint="eastAsia"/>
        </w:rPr>
        <w:t>接缝处</w:t>
      </w:r>
      <w:r>
        <w:t>预制板厚度的1.5倍，且不</w:t>
      </w:r>
      <w:r>
        <w:rPr>
          <w:rFonts w:hint="eastAsia"/>
        </w:rPr>
        <w:t>应</w:t>
      </w:r>
      <w:r>
        <w:t>小于75mm；</w:t>
      </w:r>
    </w:p>
    <w:p>
      <w:pPr>
        <w:pStyle w:val="47"/>
        <w:numPr>
          <w:ilvl w:val="0"/>
          <w:numId w:val="32"/>
        </w:numPr>
        <w:ind w:left="0" w:firstLine="576" w:firstLineChars="200"/>
      </w:pPr>
      <w:r>
        <w:t>接缝处应设置垂直于接缝的搭接钢筋，搭接钢筋应</w:t>
      </w:r>
      <w:r>
        <w:rPr>
          <w:rFonts w:hint="eastAsia"/>
        </w:rPr>
        <w:t>按7.3.5条要求</w:t>
      </w:r>
      <w:r>
        <w:t>计算确定且钢筋直径不应小于8mm，间距不应大于200mm；</w:t>
      </w:r>
    </w:p>
    <w:p>
      <w:pPr>
        <w:pStyle w:val="47"/>
        <w:numPr>
          <w:ilvl w:val="0"/>
          <w:numId w:val="32"/>
        </w:numPr>
        <w:ind w:left="0" w:firstLine="576" w:firstLineChars="200"/>
      </w:pPr>
      <w:r>
        <w:t>接缝处搭接钢筋与预制板内相应方向受力钢筋的搭接长度不应小于</w:t>
      </w:r>
      <w:r>
        <w:rPr>
          <w:i/>
          <w:iCs/>
        </w:rPr>
        <w:t>l</w:t>
      </w:r>
      <w:r>
        <w:rPr>
          <w:iCs/>
          <w:vertAlign w:val="subscript"/>
        </w:rPr>
        <w:t>l</w:t>
      </w:r>
      <w:r>
        <w:t xml:space="preserve"> ；</w:t>
      </w:r>
    </w:p>
    <w:p>
      <w:pPr>
        <w:pStyle w:val="47"/>
        <w:numPr>
          <w:ilvl w:val="0"/>
          <w:numId w:val="32"/>
        </w:numPr>
        <w:ind w:left="0" w:firstLine="576" w:firstLineChars="200"/>
      </w:pPr>
      <w:r>
        <w:t>垂直于搭接钢筋的方向应布置分布钢筋，在搭接范围内不宜少于3根，且钢筋直径不宜小于6mm，间距不宜大于250mm；</w:t>
      </w:r>
    </w:p>
    <w:p>
      <w:pPr>
        <w:pStyle w:val="47"/>
        <w:numPr>
          <w:ilvl w:val="0"/>
          <w:numId w:val="32"/>
        </w:numPr>
        <w:ind w:left="0" w:firstLine="576" w:firstLineChars="200"/>
      </w:pPr>
      <w:r>
        <w:t>接缝处的钢筋桁架应平行于接缝布置，靠近接缝的钢筋桁架上弦钢筋到预制板接缝边的距离不应大于200mm且不应大于叠合板总板厚度。</w:t>
      </w:r>
    </w:p>
    <w:p>
      <w:pPr>
        <w:pStyle w:val="47"/>
        <w:numPr>
          <w:ilvl w:val="0"/>
          <w:numId w:val="32"/>
        </w:numPr>
        <w:ind w:left="0" w:firstLine="576" w:firstLineChars="200"/>
      </w:pPr>
      <w:r>
        <w:t>窄缝设计宽度不应小于30mm，且不宜大于50mm；窄缝内应设置垂直于缝的U型构造钢筋，直径不小于4mm、间距不大于200mm，并沿拼缝设置1根直径不小于8mm的通长钢筋。</w:t>
      </w: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770" w:hRule="atLeast"/>
          <w:jc w:val="center"/>
        </w:trPr>
        <w:tc>
          <w:tcPr>
            <w:tcW w:w="8296" w:type="dxa"/>
            <w:vAlign w:val="center"/>
          </w:tcPr>
          <w:p>
            <w:pPr>
              <w:adjustRightInd w:val="0"/>
              <w:snapToGrid w:val="0"/>
              <w:jc w:val="center"/>
              <w:rPr>
                <w:sz w:val="18"/>
                <w:szCs w:val="21"/>
              </w:rPr>
            </w:pPr>
            <w:r>
              <w:rPr>
                <w:sz w:val="18"/>
                <w:szCs w:val="21"/>
              </w:rPr>
              <w:drawing>
                <wp:inline distT="0" distB="0" distL="0" distR="0">
                  <wp:extent cx="2434590" cy="1304925"/>
                  <wp:effectExtent l="0" t="0" r="3810" b="9525"/>
                  <wp:docPr id="43112" name="图片 4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2" name="图片 43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468508" cy="132336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93" w:hRule="atLeast"/>
          <w:jc w:val="center"/>
        </w:trPr>
        <w:tc>
          <w:tcPr>
            <w:tcW w:w="8296" w:type="dxa"/>
            <w:vAlign w:val="center"/>
          </w:tcPr>
          <w:p>
            <w:pPr>
              <w:adjustRightInd w:val="0"/>
              <w:snapToGrid w:val="0"/>
              <w:jc w:val="center"/>
              <w:rPr>
                <w:b/>
                <w:bCs/>
                <w:sz w:val="24"/>
                <w:szCs w:val="32"/>
              </w:rPr>
            </w:pPr>
            <w:r>
              <w:rPr>
                <w:b/>
                <w:bCs/>
                <w:sz w:val="24"/>
                <w:szCs w:val="32"/>
              </w:rPr>
              <w:t>（</w:t>
            </w:r>
            <w:r>
              <w:rPr>
                <w:rFonts w:hint="eastAsia"/>
                <w:b/>
                <w:bCs/>
                <w:sz w:val="24"/>
                <w:szCs w:val="32"/>
              </w:rPr>
              <w:t>a</w:t>
            </w:r>
            <w:r>
              <w:rPr>
                <w:b/>
                <w:bCs/>
                <w:sz w:val="24"/>
                <w:szCs w:val="32"/>
              </w:rPr>
              <w:t>）双向叠合板密缝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880" w:hRule="atLeast"/>
          <w:jc w:val="center"/>
        </w:trPr>
        <w:tc>
          <w:tcPr>
            <w:tcW w:w="8296" w:type="dxa"/>
            <w:vAlign w:val="center"/>
          </w:tcPr>
          <w:p>
            <w:pPr>
              <w:adjustRightInd w:val="0"/>
              <w:snapToGrid w:val="0"/>
              <w:jc w:val="center"/>
              <w:rPr>
                <w:sz w:val="18"/>
                <w:szCs w:val="21"/>
              </w:rPr>
            </w:pPr>
            <w:r>
              <w:rPr>
                <w:sz w:val="18"/>
                <w:szCs w:val="21"/>
              </w:rPr>
              <w:drawing>
                <wp:inline distT="0" distB="0" distL="0" distR="0">
                  <wp:extent cx="2353945" cy="1023620"/>
                  <wp:effectExtent l="0" t="0" r="8255"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378280" cy="1034316"/>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jc w:val="center"/>
        </w:trPr>
        <w:tc>
          <w:tcPr>
            <w:tcW w:w="8296" w:type="dxa"/>
            <w:vAlign w:val="center"/>
          </w:tcPr>
          <w:p>
            <w:pPr>
              <w:adjustRightInd w:val="0"/>
              <w:snapToGrid w:val="0"/>
              <w:jc w:val="center"/>
              <w:rPr>
                <w:b/>
                <w:bCs/>
                <w:sz w:val="24"/>
                <w:szCs w:val="32"/>
              </w:rPr>
            </w:pPr>
            <w:r>
              <w:rPr>
                <w:b/>
                <w:bCs/>
                <w:sz w:val="24"/>
                <w:szCs w:val="32"/>
              </w:rPr>
              <w:t>（b）双向叠合板窄缝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adjustRightInd w:val="0"/>
              <w:snapToGrid w:val="0"/>
              <w:jc w:val="center"/>
              <w:rPr>
                <w:b/>
                <w:bCs/>
                <w:sz w:val="24"/>
                <w:szCs w:val="32"/>
              </w:rPr>
            </w:pPr>
            <w:r>
              <w:rPr>
                <w:b/>
                <w:bCs/>
                <w:sz w:val="24"/>
                <w:szCs w:val="32"/>
              </w:rPr>
              <w:t>图</w:t>
            </w:r>
            <w:r>
              <w:rPr>
                <w:b/>
                <w:bCs/>
                <w:sz w:val="24"/>
                <w:szCs w:val="24"/>
              </w:rPr>
              <w:t xml:space="preserve">7.3.3 </w:t>
            </w:r>
            <w:r>
              <w:rPr>
                <w:b/>
                <w:bCs/>
                <w:sz w:val="24"/>
                <w:szCs w:val="32"/>
              </w:rPr>
              <w:t>叠合板接缝大样</w:t>
            </w:r>
          </w:p>
          <w:p>
            <w:pPr>
              <w:adjustRightInd w:val="0"/>
              <w:snapToGrid w:val="0"/>
              <w:jc w:val="center"/>
              <w:rPr>
                <w:sz w:val="24"/>
                <w:szCs w:val="32"/>
              </w:rPr>
            </w:pPr>
            <w:r>
              <w:rPr>
                <w:sz w:val="24"/>
                <w:szCs w:val="32"/>
              </w:rPr>
              <w:t>1—叠合板；2—现浇面层；3—钢筋桁架；4—接缝处搭接钢筋；</w:t>
            </w:r>
          </w:p>
          <w:p>
            <w:pPr>
              <w:adjustRightInd w:val="0"/>
              <w:snapToGrid w:val="0"/>
              <w:jc w:val="center"/>
              <w:rPr>
                <w:sz w:val="24"/>
                <w:szCs w:val="32"/>
              </w:rPr>
            </w:pPr>
            <w:r>
              <w:rPr>
                <w:sz w:val="24"/>
                <w:szCs w:val="32"/>
              </w:rPr>
              <w:t>5—附加构造钢筋；6—接缝处底部附加通长钢筋；7—U型构造钢筋</w:t>
            </w:r>
          </w:p>
          <w:p>
            <w:pPr>
              <w:pStyle w:val="47"/>
              <w:widowControl/>
              <w:ind w:firstLine="0"/>
              <w:rPr>
                <w:rFonts w:eastAsia="仿宋"/>
                <w:i/>
                <w:spacing w:val="10"/>
                <w:szCs w:val="24"/>
              </w:rPr>
            </w:pPr>
            <w:r>
              <w:rPr>
                <w:rFonts w:eastAsia="仿宋"/>
                <w:i/>
                <w:spacing w:val="10"/>
                <w:szCs w:val="24"/>
              </w:rPr>
              <w:t>【条文说明】7.3.3后浇混凝土叠合层厚度要求对于叠合板的受力方式影响较大，后浇层厚度占比越大则其破坏模式越接近整体现浇板。另外当楼板内预埋管线，在管线交叉位置现浇层厚度少于80mm时很难保证楼板面筋的保护层厚度。在双向板设计构造的破坏性实验情况下，密缝和窄缝的板底开裂特征前期类似于双向板、后期类似于单向板，其整体承载力高于单向板</w:t>
            </w:r>
            <w:r>
              <w:rPr>
                <w:rFonts w:hint="eastAsia" w:eastAsia="仿宋"/>
                <w:i/>
                <w:spacing w:val="10"/>
                <w:szCs w:val="24"/>
              </w:rPr>
              <w:t>，</w:t>
            </w:r>
            <w:r>
              <w:rPr>
                <w:rFonts w:eastAsia="仿宋"/>
                <w:i/>
                <w:spacing w:val="10"/>
                <w:szCs w:val="24"/>
              </w:rPr>
              <w:t>挠度小于</w:t>
            </w:r>
            <w:r>
              <w:rPr>
                <w:rFonts w:hint="eastAsia" w:eastAsia="仿宋"/>
                <w:i/>
                <w:spacing w:val="10"/>
                <w:szCs w:val="24"/>
              </w:rPr>
              <w:t>纯</w:t>
            </w:r>
            <w:r>
              <w:rPr>
                <w:rFonts w:eastAsia="仿宋"/>
                <w:i/>
                <w:spacing w:val="10"/>
                <w:szCs w:val="24"/>
              </w:rPr>
              <w:t>单向板</w:t>
            </w:r>
            <w:r>
              <w:rPr>
                <w:rFonts w:hint="eastAsia" w:eastAsia="仿宋"/>
                <w:i/>
                <w:spacing w:val="10"/>
                <w:szCs w:val="24"/>
              </w:rPr>
              <w:t>设计</w:t>
            </w:r>
            <w:r>
              <w:rPr>
                <w:rFonts w:eastAsia="仿宋"/>
                <w:i/>
                <w:spacing w:val="10"/>
                <w:szCs w:val="24"/>
              </w:rPr>
              <w:t>和</w:t>
            </w:r>
            <w:r>
              <w:rPr>
                <w:rFonts w:hint="eastAsia" w:eastAsia="仿宋"/>
                <w:i/>
                <w:spacing w:val="10"/>
                <w:szCs w:val="24"/>
              </w:rPr>
              <w:t>普通现浇</w:t>
            </w:r>
            <w:r>
              <w:rPr>
                <w:rFonts w:eastAsia="仿宋"/>
                <w:i/>
                <w:spacing w:val="10"/>
                <w:szCs w:val="24"/>
              </w:rPr>
              <w:t>双向板，叠合板中钢筋桁架对楼板挠度控制的贡献较大。根据近几年实际项目应用双向板设计的窄缝效果来看，在正常适用荷载作用下，板缝处基本未发现开裂情况，其效果优于密缝。为保证接缝处附加钢筋的受力效应，其附加钢筋的直径一般情况不宜大于14mm。</w:t>
            </w:r>
            <w:r>
              <w:rPr>
                <w:rFonts w:hint="eastAsia" w:eastAsia="仿宋"/>
                <w:i/>
                <w:spacing w:val="10"/>
                <w:szCs w:val="24"/>
              </w:rPr>
              <w:t>接缝位置预制板设置倒角时，接缝处</w:t>
            </w:r>
            <w:r>
              <w:rPr>
                <w:rFonts w:eastAsia="仿宋"/>
                <w:i/>
                <w:spacing w:val="10"/>
                <w:szCs w:val="24"/>
              </w:rPr>
              <w:t>预制板厚度</w:t>
            </w:r>
            <w:r>
              <w:rPr>
                <w:rFonts w:hint="eastAsia" w:eastAsia="仿宋"/>
                <w:i/>
                <w:spacing w:val="10"/>
                <w:szCs w:val="24"/>
              </w:rPr>
              <w:t>可按扣除倒角高度的板厚计算。</w:t>
            </w:r>
          </w:p>
          <w:p>
            <w:pPr>
              <w:pStyle w:val="47"/>
              <w:widowControl/>
              <w:ind w:firstLine="0"/>
              <w:rPr>
                <w:sz w:val="24"/>
                <w:szCs w:val="32"/>
              </w:rPr>
            </w:pPr>
            <w:r>
              <w:rPr>
                <w:rFonts w:eastAsia="仿宋"/>
                <w:i/>
                <w:spacing w:val="10"/>
                <w:szCs w:val="24"/>
              </w:rPr>
              <w:t>满足本条及本规程相关规定时，钢筋桁架叠合板的密缝和窄缝均可以参照整体现浇双向板板设计。</w:t>
            </w:r>
          </w:p>
          <w:p>
            <w:r>
              <w:rPr>
                <w:b/>
                <w:bCs/>
              </w:rPr>
              <w:t xml:space="preserve">7.3.4 </w:t>
            </w:r>
            <w:r>
              <w:t>钢筋桁架叠合板按照单向板设计时宜采用密缝连接（图7.3.4），并应符合下列规定：</w:t>
            </w:r>
          </w:p>
          <w:p>
            <w:pPr>
              <w:pStyle w:val="47"/>
              <w:numPr>
                <w:ilvl w:val="0"/>
                <w:numId w:val="33"/>
              </w:numPr>
              <w:ind w:left="0" w:firstLine="576" w:firstLineChars="200"/>
            </w:pPr>
            <w:r>
              <w:t>接缝处应设置垂直于接缝的搭接钢筋，搭接钢筋截面面积不宜小于桁架预制板中该方向钢筋面积，钢筋直径不宜小于</w:t>
            </w:r>
            <w:r>
              <w:rPr>
                <w:rFonts w:hint="eastAsia"/>
              </w:rPr>
              <w:t>6</w:t>
            </w:r>
            <w:r>
              <w:t>mm，间距不宜大于250mm；接缝处搭接钢筋与预制板底板相应方向受力钢筋搭接长度不应小于15</w:t>
            </w:r>
            <w:r>
              <w:rPr>
                <w:i/>
                <w:iCs/>
              </w:rPr>
              <w:t>d</w:t>
            </w:r>
            <w:r>
              <w:t>；</w:t>
            </w:r>
          </w:p>
          <w:p>
            <w:pPr>
              <w:pStyle w:val="47"/>
              <w:numPr>
                <w:ilvl w:val="0"/>
                <w:numId w:val="33"/>
              </w:numPr>
              <w:ind w:left="0" w:firstLine="576" w:firstLineChars="200"/>
            </w:pPr>
            <w:r>
              <w:t>垂直于搭接钢筋的方向应布置横向分布钢筋，在搭接范围内不宜少于3根，且钢筋直径不宜小于6mm，间距不宜大于250mm；</w:t>
            </w:r>
          </w:p>
          <w:tbl>
            <w:tblPr>
              <w:tblStyle w:val="31"/>
              <w:tblW w:w="82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0" w:hRule="atLeast"/>
                <w:jc w:val="center"/>
              </w:trPr>
              <w:tc>
                <w:tcPr>
                  <w:tcW w:w="8296" w:type="dxa"/>
                  <w:vAlign w:val="center"/>
                </w:tcPr>
                <w:p>
                  <w:pPr>
                    <w:adjustRightInd w:val="0"/>
                    <w:snapToGrid w:val="0"/>
                    <w:jc w:val="center"/>
                    <w:rPr>
                      <w:sz w:val="18"/>
                      <w:szCs w:val="21"/>
                    </w:rPr>
                  </w:pPr>
                  <w:r>
                    <w:rPr>
                      <w:szCs w:val="21"/>
                    </w:rPr>
                    <w:t xml:space="preserve"> </w:t>
                  </w:r>
                  <w:r>
                    <w:drawing>
                      <wp:inline distT="0" distB="0" distL="0" distR="0">
                        <wp:extent cx="3991610" cy="10541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270052" cy="1127808"/>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96" w:type="dxa"/>
                </w:tcPr>
                <w:p>
                  <w:pPr>
                    <w:adjustRightInd w:val="0"/>
                    <w:snapToGrid w:val="0"/>
                    <w:jc w:val="center"/>
                    <w:rPr>
                      <w:b/>
                      <w:bCs/>
                      <w:sz w:val="24"/>
                      <w:szCs w:val="32"/>
                    </w:rPr>
                  </w:pPr>
                  <w:r>
                    <w:rPr>
                      <w:b/>
                      <w:bCs/>
                      <w:sz w:val="24"/>
                      <w:szCs w:val="32"/>
                    </w:rPr>
                    <w:t>图</w:t>
                  </w:r>
                  <w:r>
                    <w:rPr>
                      <w:b/>
                      <w:bCs/>
                      <w:sz w:val="24"/>
                      <w:szCs w:val="24"/>
                    </w:rPr>
                    <w:t>7.3.4</w:t>
                  </w:r>
                  <w:r>
                    <w:rPr>
                      <w:b/>
                      <w:bCs/>
                      <w:sz w:val="24"/>
                      <w:szCs w:val="32"/>
                    </w:rPr>
                    <w:t xml:space="preserve"> 单向叠合板密缝大样</w:t>
                  </w:r>
                </w:p>
                <w:p>
                  <w:pPr>
                    <w:adjustRightInd w:val="0"/>
                    <w:snapToGrid w:val="0"/>
                    <w:jc w:val="center"/>
                    <w:rPr>
                      <w:sz w:val="24"/>
                      <w:szCs w:val="32"/>
                    </w:rPr>
                  </w:pPr>
                  <w:r>
                    <w:rPr>
                      <w:sz w:val="24"/>
                      <w:szCs w:val="32"/>
                    </w:rPr>
                    <w:t>1—后浇混凝土叠合层；2—预制板；3—</w:t>
                  </w:r>
                  <w:r>
                    <w:rPr>
                      <w:rFonts w:hint="eastAsia"/>
                      <w:sz w:val="24"/>
                      <w:szCs w:val="32"/>
                    </w:rPr>
                    <w:t>搭接</w:t>
                  </w:r>
                  <w:r>
                    <w:rPr>
                      <w:sz w:val="24"/>
                      <w:szCs w:val="32"/>
                    </w:rPr>
                    <w:t>钢筋；4—后浇层内钢筋</w:t>
                  </w:r>
                </w:p>
                <w:p>
                  <w:pPr>
                    <w:pStyle w:val="47"/>
                    <w:widowControl/>
                    <w:ind w:firstLine="0"/>
                    <w:rPr>
                      <w:b/>
                      <w:bCs/>
                      <w:sz w:val="24"/>
                      <w:szCs w:val="32"/>
                    </w:rPr>
                  </w:pPr>
                  <w:r>
                    <w:rPr>
                      <w:rFonts w:eastAsia="仿宋"/>
                      <w:i/>
                      <w:spacing w:val="10"/>
                      <w:szCs w:val="24"/>
                    </w:rPr>
                    <w:t>【条文说明】7.3.4在单向板设计构造下，宜采用密缝，其板底开裂特征类似于整体现浇单向板, 其整体承载力高于单向板，其挠度小于单向板但大于双向板。密缝和窄缝连接设计需根据计算假定确定，当按照单向板进行设计，接缝钢筋按构造要求确定，主要目的是保证接缝处不发生剪切破坏，且控制接缝处裂缝的开展；</w:t>
                  </w:r>
                </w:p>
              </w:tc>
            </w:tr>
          </w:tbl>
          <w:p>
            <w:pPr>
              <w:adjustRightInd w:val="0"/>
              <w:snapToGrid w:val="0"/>
              <w:rPr>
                <w:b/>
                <w:bCs/>
                <w:sz w:val="24"/>
                <w:szCs w:val="32"/>
              </w:rPr>
            </w:pPr>
          </w:p>
        </w:tc>
      </w:tr>
    </w:tbl>
    <w:p>
      <w:r>
        <w:rPr>
          <w:b/>
          <w:bCs/>
        </w:rPr>
        <w:t xml:space="preserve">7.3.5 </w:t>
      </w:r>
      <w:r>
        <w:t>钢筋桁架叠合板采用密缝和窄缝连接且按照双向板设计时，垂直拼缝的附加钢筋面积应按照拼缝位置正截面受弯承载力及叠合后浇层混凝土厚度计算。</w:t>
      </w:r>
    </w:p>
    <w:p>
      <w:pPr>
        <w:rPr>
          <w:rFonts w:eastAsia="仿宋"/>
          <w:i/>
          <w:spacing w:val="10"/>
          <w:szCs w:val="24"/>
        </w:rPr>
      </w:pPr>
      <w:r>
        <w:rPr>
          <w:rFonts w:eastAsia="仿宋"/>
          <w:i/>
          <w:spacing w:val="10"/>
          <w:szCs w:val="24"/>
        </w:rPr>
        <w:t>【条文说明】7.3.5 在密拼和窄缝构造中，垂直拼缝的附加钢筋一般是放置在预制板表面，而本规程规定拼缝位置的预制板边上部应设置不小于</w:t>
      </w:r>
      <w:r>
        <w:rPr>
          <w:rFonts w:hint="eastAsia" w:eastAsia="仿宋"/>
          <w:i/>
          <w:spacing w:val="10"/>
          <w:szCs w:val="24"/>
        </w:rPr>
        <w:t>2</w:t>
      </w:r>
      <w:r>
        <w:rPr>
          <w:rFonts w:eastAsia="仿宋"/>
          <w:i/>
          <w:spacing w:val="10"/>
          <w:szCs w:val="24"/>
        </w:rPr>
        <w:t>0</w:t>
      </w:r>
      <w:r>
        <w:rPr>
          <w:rFonts w:hint="eastAsia" w:eastAsia="仿宋"/>
          <w:i/>
          <w:spacing w:val="10"/>
          <w:szCs w:val="24"/>
        </w:rPr>
        <w:t>×2</w:t>
      </w:r>
      <w:r>
        <w:rPr>
          <w:rFonts w:eastAsia="仿宋"/>
          <w:i/>
          <w:spacing w:val="10"/>
          <w:szCs w:val="24"/>
        </w:rPr>
        <w:t>0mm的倒角，因此拼缝位置的板厚实际为现浇层厚度加</w:t>
      </w:r>
      <w:r>
        <w:rPr>
          <w:rFonts w:hint="eastAsia" w:eastAsia="仿宋"/>
          <w:i/>
          <w:spacing w:val="10"/>
          <w:szCs w:val="24"/>
        </w:rPr>
        <w:t>2</w:t>
      </w:r>
      <w:r>
        <w:rPr>
          <w:rFonts w:eastAsia="仿宋"/>
          <w:i/>
          <w:spacing w:val="10"/>
          <w:szCs w:val="24"/>
        </w:rPr>
        <w:t>0mm，本规程规定计算附加钢筋时的板厚取值为叠合后浇层混凝土厚度是偏于安全的做法。</w:t>
      </w:r>
    </w:p>
    <w:p>
      <w:r>
        <w:rPr>
          <w:b/>
          <w:bCs/>
        </w:rPr>
        <w:t xml:space="preserve">7.3.6 </w:t>
      </w:r>
      <w:r>
        <w:t>密缝和窄缝接缝两侧钢筋桁架的腹杆钢筋应符合下列规定：</w:t>
      </w:r>
    </w:p>
    <w:p>
      <w:pPr>
        <w:jc w:val="right"/>
      </w:pPr>
      <w:r>
        <w:rPr>
          <w:i/>
        </w:rPr>
        <w:t>F</w:t>
      </w:r>
      <w:r>
        <w:rPr>
          <w:vertAlign w:val="subscript"/>
        </w:rPr>
        <w:t>a</w:t>
      </w:r>
      <w:r>
        <w:t>≤</w:t>
      </w:r>
      <w:r>
        <w:rPr>
          <w:i/>
        </w:rPr>
        <w:t>f</w:t>
      </w:r>
      <w:r>
        <w:rPr>
          <w:vertAlign w:val="subscript"/>
        </w:rPr>
        <w:t>y</w:t>
      </w:r>
      <w:r>
        <w:rPr>
          <w:i/>
        </w:rPr>
        <w:t>A</w:t>
      </w:r>
      <w:r>
        <w:rPr>
          <w:vertAlign w:val="subscript"/>
        </w:rPr>
        <w:t>sv</w:t>
      </w:r>
      <w:r>
        <w:t>sin</w:t>
      </w:r>
      <w:r>
        <w:rPr>
          <w:i/>
        </w:rPr>
        <w:t>α</w:t>
      </w:r>
      <w:r>
        <w:t>sin</w:t>
      </w:r>
      <w:r>
        <w:rPr>
          <w:i/>
        </w:rPr>
        <w:t>β</w:t>
      </w:r>
      <w:r>
        <w:t xml:space="preserve">              （7.3.6）</w:t>
      </w:r>
    </w:p>
    <w:p>
      <w:r>
        <w:t>式中：</w:t>
      </w:r>
    </w:p>
    <w:p>
      <w:pPr>
        <w:adjustRightInd w:val="0"/>
        <w:snapToGrid w:val="0"/>
      </w:pPr>
      <w:r>
        <w:rPr>
          <w:i/>
        </w:rPr>
        <w:t>F</w:t>
      </w:r>
      <w:r>
        <w:rPr>
          <w:vertAlign w:val="subscript"/>
        </w:rPr>
        <w:t>a</w:t>
      </w:r>
      <w:r>
        <w:t>——桁架预制板纵筋和接缝处附加纵筋抗拉力的较小值，即</w:t>
      </w:r>
      <w:r>
        <w:rPr>
          <w:i/>
        </w:rPr>
        <w:t>F</w:t>
      </w:r>
      <w:r>
        <w:t>=min(</w:t>
      </w:r>
      <w:r>
        <w:rPr>
          <w:i/>
        </w:rPr>
        <w:t>f</w:t>
      </w:r>
      <w:r>
        <w:rPr>
          <w:vertAlign w:val="subscript"/>
        </w:rPr>
        <w:t>y</w:t>
      </w:r>
      <w:r>
        <w:rPr>
          <w:i/>
          <w:szCs w:val="24"/>
        </w:rPr>
        <w:t>A</w:t>
      </w:r>
      <w:r>
        <w:rPr>
          <w:szCs w:val="24"/>
          <w:vertAlign w:val="subscript"/>
        </w:rPr>
        <w:t>s1</w:t>
      </w:r>
      <w:r>
        <w:t>，</w:t>
      </w:r>
      <w:r>
        <w:rPr>
          <w:i/>
        </w:rPr>
        <w:t>f</w:t>
      </w:r>
      <w:r>
        <w:rPr>
          <w:vertAlign w:val="subscript"/>
        </w:rPr>
        <w:t>y</w:t>
      </w:r>
      <w:r>
        <w:rPr>
          <w:i/>
          <w:szCs w:val="24"/>
        </w:rPr>
        <w:t>A</w:t>
      </w:r>
      <w:r>
        <w:rPr>
          <w:szCs w:val="24"/>
          <w:vertAlign w:val="subscript"/>
        </w:rPr>
        <w:t>s2</w:t>
      </w:r>
      <w:r>
        <w:t>)；</w:t>
      </w:r>
    </w:p>
    <w:p>
      <w:pPr>
        <w:adjustRightInd w:val="0"/>
        <w:snapToGrid w:val="0"/>
      </w:pPr>
      <w:r>
        <w:rPr>
          <w:i/>
          <w:szCs w:val="24"/>
        </w:rPr>
        <w:t>A</w:t>
      </w:r>
      <w:r>
        <w:rPr>
          <w:szCs w:val="24"/>
          <w:vertAlign w:val="subscript"/>
        </w:rPr>
        <w:t>s1</w:t>
      </w:r>
      <w:r>
        <w:rPr>
          <w:szCs w:val="24"/>
        </w:rPr>
        <w:t>、</w:t>
      </w:r>
      <w:r>
        <w:rPr>
          <w:i/>
          <w:szCs w:val="24"/>
        </w:rPr>
        <w:t>A</w:t>
      </w:r>
      <w:r>
        <w:rPr>
          <w:szCs w:val="24"/>
          <w:vertAlign w:val="subscript"/>
        </w:rPr>
        <w:t>s2</w:t>
      </w:r>
      <w:r>
        <w:t>——</w:t>
      </w:r>
      <w:r>
        <w:rPr>
          <w:szCs w:val="24"/>
        </w:rPr>
        <w:t>分别为</w:t>
      </w:r>
      <w:r>
        <w:t>桁架预制板纵筋和接缝处附加纵筋的面积；</w:t>
      </w:r>
    </w:p>
    <w:p>
      <w:pPr>
        <w:adjustRightInd w:val="0"/>
        <w:snapToGrid w:val="0"/>
      </w:pPr>
      <w:r>
        <w:rPr>
          <w:i/>
          <w:szCs w:val="24"/>
        </w:rPr>
        <w:t>A</w:t>
      </w:r>
      <w:r>
        <w:rPr>
          <w:szCs w:val="24"/>
          <w:vertAlign w:val="subscript"/>
        </w:rPr>
        <w:t>sv</w:t>
      </w:r>
      <w:r>
        <w:rPr>
          <w:szCs w:val="24"/>
        </w:rPr>
        <w:t>——</w:t>
      </w:r>
      <w:r>
        <w:t>桁架钢筋的格构钢筋面积；</w:t>
      </w:r>
    </w:p>
    <w:p>
      <w:pPr>
        <w:adjustRightInd w:val="0"/>
        <w:snapToGrid w:val="0"/>
        <w:rPr>
          <w:szCs w:val="24"/>
        </w:rPr>
      </w:pPr>
      <w:r>
        <w:rPr>
          <w:i/>
          <w:szCs w:val="24"/>
        </w:rPr>
        <w:t>α</w:t>
      </w:r>
      <w:r>
        <w:rPr>
          <w:szCs w:val="24"/>
        </w:rPr>
        <w:t>、</w:t>
      </w:r>
      <w:r>
        <w:rPr>
          <w:i/>
          <w:szCs w:val="24"/>
        </w:rPr>
        <w:t>β</w:t>
      </w:r>
      <w:r>
        <w:rPr>
          <w:szCs w:val="24"/>
        </w:rPr>
        <w:t>——分别为格构钢筋的倾角（图7.3.</w:t>
      </w:r>
      <w:r>
        <w:rPr>
          <w:rFonts w:hint="eastAsia"/>
          <w:szCs w:val="24"/>
        </w:rPr>
        <w:t>6</w:t>
      </w:r>
      <w:r>
        <w:rPr>
          <w:szCs w:val="24"/>
        </w:rPr>
        <w:t>）。</w:t>
      </w:r>
    </w:p>
    <w:p>
      <w:pPr>
        <w:adjustRightInd w:val="0"/>
        <w:snapToGrid w:val="0"/>
        <w:jc w:val="center"/>
        <w:rPr>
          <w:rFonts w:eastAsiaTheme="minorEastAsia"/>
          <w:szCs w:val="21"/>
        </w:rPr>
      </w:pPr>
    </w:p>
    <w:tbl>
      <w:tblPr>
        <w:tblStyle w:val="3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adjustRightInd w:val="0"/>
              <w:snapToGrid w:val="0"/>
              <w:jc w:val="center"/>
              <w:rPr>
                <w:rFonts w:eastAsiaTheme="minorEastAsia"/>
                <w:szCs w:val="21"/>
              </w:rPr>
            </w:pPr>
            <w:r>
              <w:rPr>
                <w:rFonts w:eastAsiaTheme="minorEastAsia"/>
                <w:szCs w:val="21"/>
              </w:rPr>
              <w:drawing>
                <wp:inline distT="0" distB="0" distL="0" distR="0">
                  <wp:extent cx="3041650" cy="1079500"/>
                  <wp:effectExtent l="0" t="0" r="6350" b="6350"/>
                  <wp:docPr id="43105" name="图片 4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5" name="图片 43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042275" cy="1080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296" w:type="dxa"/>
          </w:tcPr>
          <w:p>
            <w:pPr>
              <w:adjustRightInd w:val="0"/>
              <w:snapToGrid w:val="0"/>
              <w:jc w:val="center"/>
              <w:rPr>
                <w:b/>
                <w:bCs/>
                <w:sz w:val="24"/>
                <w:szCs w:val="32"/>
              </w:rPr>
            </w:pPr>
            <w:r>
              <w:rPr>
                <w:b/>
                <w:bCs/>
                <w:sz w:val="24"/>
                <w:szCs w:val="32"/>
              </w:rPr>
              <w:t>图</w:t>
            </w:r>
            <w:r>
              <w:rPr>
                <w:b/>
                <w:bCs/>
                <w:sz w:val="24"/>
                <w:szCs w:val="24"/>
              </w:rPr>
              <w:t>7.3.6</w:t>
            </w:r>
            <w:r>
              <w:rPr>
                <w:b/>
                <w:bCs/>
                <w:sz w:val="24"/>
                <w:szCs w:val="32"/>
              </w:rPr>
              <w:t xml:space="preserve"> 钢筋桁架的几何参数</w:t>
            </w:r>
          </w:p>
          <w:p>
            <w:pPr>
              <w:adjustRightInd w:val="0"/>
              <w:snapToGrid w:val="0"/>
              <w:jc w:val="center"/>
              <w:rPr>
                <w:rFonts w:eastAsiaTheme="minorEastAsia"/>
                <w:sz w:val="18"/>
                <w:szCs w:val="21"/>
              </w:rPr>
            </w:pPr>
            <w:r>
              <w:rPr>
                <w:sz w:val="24"/>
                <w:szCs w:val="32"/>
              </w:rPr>
              <w:t>1—上弦钢筋；2—下弦钢筋；3—腹杆钢筋</w:t>
            </w:r>
          </w:p>
        </w:tc>
      </w:tr>
    </w:tbl>
    <w:p>
      <w:pPr>
        <w:rPr>
          <w:sz w:val="24"/>
          <w:szCs w:val="24"/>
        </w:rPr>
      </w:pPr>
      <w:r>
        <w:rPr>
          <w:rFonts w:eastAsia="仿宋"/>
          <w:i/>
          <w:spacing w:val="10"/>
          <w:szCs w:val="24"/>
        </w:rPr>
        <w:t>【条文说明】7.3.6条文说明：当采用整体式密拼接缝且接缝平行于钢筋桁架时，钢筋桁架对垂直于其方向的叠合板刚度贡献较小，接缝处弯矩较大，格构钢筋不应首先发生屈服，以保证预制板与叠合层的有效连接。</w:t>
      </w:r>
    </w:p>
    <w:p>
      <w:r>
        <w:rPr>
          <w:b/>
          <w:bCs/>
        </w:rPr>
        <w:t>7.3.7</w:t>
      </w:r>
      <w:r>
        <w:t>叠合板裂缝宽度和挠度验算应按叠合板全面截面高度计算；当采用密缝或窄缝连接且采用双向板设计时，叠合板垂直接缝位置的裂缝宽度应单独验算，楼板计算厚度应取叠合现浇层厚度，垂直于接缝方向的裂缝宽并按下列计算方式进行</w:t>
      </w:r>
      <w:r>
        <w:rPr>
          <w:rFonts w:hint="eastAsia"/>
        </w:rPr>
        <w:t>计算</w:t>
      </w:r>
      <w:r>
        <w:t>：</w:t>
      </w:r>
    </w:p>
    <w:tbl>
      <w:tblPr>
        <w:tblStyle w:val="31"/>
        <w:tblW w:w="86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8"/>
        <w:gridCol w:w="1130"/>
        <w:gridCol w:w="889"/>
        <w:gridCol w:w="3071"/>
        <w:gridCol w:w="25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48" w:type="dxa"/>
            <w:gridSpan w:val="4"/>
            <w:vAlign w:val="center"/>
          </w:tcPr>
          <w:p>
            <w:pPr>
              <w:jc w:val="center"/>
              <w:rPr>
                <w:bCs/>
              </w:rPr>
            </w:pPr>
            <w:r>
              <w:rPr>
                <w:position w:val="-28"/>
                <w:sz w:val="24"/>
                <w:szCs w:val="21"/>
              </w:rPr>
              <w:object>
                <v:shape id="_x0000_i1025" o:spt="75" type="#_x0000_t75" style="height:44.95pt;width:130.75pt;" o:ole="t" filled="f" o:preferrelative="t" stroked="f" coordsize="21600,21600">
                  <v:path/>
                  <v:fill on="f" focussize="0,0"/>
                  <v:stroke on="f" joinstyle="miter"/>
                  <v:imagedata r:id="rId62" o:title=""/>
                  <o:lock v:ext="edit" aspectratio="t"/>
                  <w10:wrap type="none"/>
                  <w10:anchorlock/>
                </v:shape>
                <o:OLEObject Type="Embed" ProgID="Equation.DSMT4" ShapeID="_x0000_i1025" DrawAspect="Content" ObjectID="_1468075725" r:id="rId61">
                  <o:LockedField>false</o:LockedField>
                </o:OLEObject>
              </w:object>
            </w:r>
          </w:p>
        </w:tc>
        <w:tc>
          <w:tcPr>
            <w:tcW w:w="2599" w:type="dxa"/>
            <w:vAlign w:val="center"/>
          </w:tcPr>
          <w:p>
            <w:pPr>
              <w:rPr>
                <w:bCs/>
              </w:rPr>
            </w:pPr>
            <w:r>
              <w:rPr>
                <w:bCs/>
              </w:rPr>
              <w:t>（7.3.7-1）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48" w:type="dxa"/>
            <w:gridSpan w:val="4"/>
            <w:vAlign w:val="center"/>
          </w:tcPr>
          <w:p>
            <w:pPr>
              <w:jc w:val="center"/>
              <w:rPr>
                <w:bCs/>
              </w:rPr>
            </w:pPr>
            <m:oMathPara>
              <m:oMath>
                <m:sSub>
                  <m:sSubPr>
                    <m:ctrlPr>
                      <w:rPr>
                        <w:rFonts w:ascii="Cambria Math" w:hAnsi="Cambria Math"/>
                        <w:bCs/>
                      </w:rPr>
                    </m:ctrlPr>
                  </m:sSubPr>
                  <m:e>
                    <m:r>
                      <w:rPr>
                        <w:rFonts w:ascii="Cambria Math" w:hAnsi="Cambria Math"/>
                      </w:rPr>
                      <m:t>w</m:t>
                    </m:r>
                    <m:ctrlPr>
                      <w:rPr>
                        <w:rFonts w:ascii="Cambria Math" w:hAnsi="Cambria Math"/>
                        <w:bCs/>
                      </w:rPr>
                    </m:ctrlPr>
                  </m:e>
                  <m:sub>
                    <m:r>
                      <m:rPr>
                        <m:sty m:val="p"/>
                      </m:rPr>
                      <w:rPr>
                        <w:rFonts w:ascii="Cambria Math" w:hAnsi="Cambria Math"/>
                      </w:rPr>
                      <m:t>max</m:t>
                    </m:r>
                    <m:ctrlPr>
                      <w:rPr>
                        <w:rFonts w:ascii="Cambria Math" w:hAnsi="Cambria Math"/>
                        <w:bCs/>
                      </w:rPr>
                    </m:ctrlPr>
                  </m:sub>
                </m:sSub>
                <m:r>
                  <w:rPr>
                    <w:rFonts w:ascii="Cambria Math" w:hAnsi="Cambria Math"/>
                  </w:rPr>
                  <m:t>≤0.4</m:t>
                </m:r>
              </m:oMath>
            </m:oMathPara>
          </w:p>
        </w:tc>
        <w:tc>
          <w:tcPr>
            <w:tcW w:w="2599" w:type="dxa"/>
            <w:vAlign w:val="center"/>
          </w:tcPr>
          <w:p>
            <w:pPr>
              <w:rPr>
                <w:bCs/>
              </w:rPr>
            </w:pPr>
            <w:r>
              <w:rPr>
                <w:bCs/>
              </w:rPr>
              <w:t>（7.3.7-2）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8" w:type="dxa"/>
            <w:vMerge w:val="restart"/>
          </w:tcPr>
          <w:p>
            <w:pPr>
              <w:rPr>
                <w:bCs/>
                <w:szCs w:val="24"/>
              </w:rPr>
            </w:pPr>
            <w:r>
              <w:rPr>
                <w:bCs/>
                <w:szCs w:val="24"/>
              </w:rPr>
              <w:t>式中：</w:t>
            </w:r>
          </w:p>
        </w:tc>
        <w:tc>
          <w:tcPr>
            <w:tcW w:w="1130" w:type="dxa"/>
          </w:tcPr>
          <w:p>
            <w:pPr>
              <w:jc w:val="right"/>
              <w:rPr>
                <w:bCs/>
                <w:szCs w:val="24"/>
              </w:rPr>
            </w:pPr>
            <w:r>
              <w:rPr>
                <w:position w:val="-10"/>
                <w:sz w:val="24"/>
                <w:szCs w:val="21"/>
              </w:rPr>
              <w:object>
                <v:shape id="_x0000_i1026" o:spt="75" type="#_x0000_t75" style="height:19pt;width:28.2pt;" o:ole="t" filled="f" o:preferrelative="t" stroked="f" coordsize="21600,21600">
                  <v:path/>
                  <v:fill on="f" focussize="0,0"/>
                  <v:stroke on="f" joinstyle="miter"/>
                  <v:imagedata r:id="rId64" o:title=""/>
                  <o:lock v:ext="edit" aspectratio="t"/>
                  <w10:wrap type="none"/>
                  <w10:anchorlock/>
                </v:shape>
                <o:OLEObject Type="Embed" ProgID="Equation.DSMT4" ShapeID="_x0000_i1026" DrawAspect="Content" ObjectID="_1468075726" r:id="rId63">
                  <o:LockedField>false</o:LockedField>
                </o:OLEObject>
              </w:object>
            </w:r>
          </w:p>
        </w:tc>
        <w:tc>
          <w:tcPr>
            <w:tcW w:w="889" w:type="dxa"/>
          </w:tcPr>
          <w:p>
            <w:pPr>
              <w:rPr>
                <w:bCs/>
                <w:szCs w:val="24"/>
              </w:rPr>
            </w:pPr>
            <w:r>
              <w:rPr>
                <w:bCs/>
                <w:szCs w:val="24"/>
              </w:rPr>
              <w:t>——</w:t>
            </w:r>
          </w:p>
        </w:tc>
        <w:tc>
          <w:tcPr>
            <w:tcW w:w="5670" w:type="dxa"/>
            <w:gridSpan w:val="2"/>
          </w:tcPr>
          <w:p>
            <w:pPr>
              <w:rPr>
                <w:bCs/>
                <w:szCs w:val="24"/>
              </w:rPr>
            </w:pPr>
            <w:r>
              <w:rPr>
                <w:bCs/>
                <w:szCs w:val="24"/>
              </w:rPr>
              <w:t>接缝处最大裂缝宽度；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8" w:type="dxa"/>
            <w:vMerge w:val="continue"/>
            <w:vAlign w:val="center"/>
          </w:tcPr>
          <w:p>
            <w:pPr>
              <w:widowControl/>
              <w:jc w:val="left"/>
              <w:rPr>
                <w:bCs/>
                <w:szCs w:val="24"/>
              </w:rPr>
            </w:pPr>
          </w:p>
        </w:tc>
        <w:tc>
          <w:tcPr>
            <w:tcW w:w="1130" w:type="dxa"/>
          </w:tcPr>
          <w:p>
            <w:pPr>
              <w:jc w:val="right"/>
              <w:rPr>
                <w:bCs/>
                <w:szCs w:val="24"/>
              </w:rPr>
            </w:pPr>
            <w:r>
              <w:rPr>
                <w:position w:val="-14"/>
                <w:sz w:val="24"/>
                <w:szCs w:val="21"/>
              </w:rPr>
              <w:object>
                <v:shape id="_x0000_i1027" o:spt="75" type="#_x0000_t75" style="height:21.9pt;width:37.45pt;" o:ole="t" filled="f" o:preferrelative="t" stroked="f" coordsize="21600,21600">
                  <v:path/>
                  <v:fill on="f" focussize="0,0"/>
                  <v:stroke on="f" joinstyle="miter"/>
                  <v:imagedata r:id="rId66" o:title=""/>
                  <o:lock v:ext="edit" aspectratio="t"/>
                  <w10:wrap type="none"/>
                  <w10:anchorlock/>
                </v:shape>
                <o:OLEObject Type="Embed" ProgID="Equation.DSMT4" ShapeID="_x0000_i1027" DrawAspect="Content" ObjectID="_1468075727" r:id="rId65">
                  <o:LockedField>false</o:LockedField>
                </o:OLEObject>
              </w:object>
            </w:r>
          </w:p>
        </w:tc>
        <w:tc>
          <w:tcPr>
            <w:tcW w:w="889" w:type="dxa"/>
          </w:tcPr>
          <w:p>
            <w:pPr>
              <w:rPr>
                <w:bCs/>
                <w:szCs w:val="24"/>
              </w:rPr>
            </w:pPr>
            <w:r>
              <w:rPr>
                <w:bCs/>
                <w:szCs w:val="24"/>
              </w:rPr>
              <w:t>——</w:t>
            </w:r>
          </w:p>
        </w:tc>
        <w:tc>
          <w:tcPr>
            <w:tcW w:w="5670" w:type="dxa"/>
            <w:gridSpan w:val="2"/>
          </w:tcPr>
          <w:p>
            <w:pPr>
              <w:rPr>
                <w:bCs/>
                <w:szCs w:val="24"/>
              </w:rPr>
            </w:pPr>
            <w:r>
              <w:t>按现行国家标准《混凝土结构设计规范》GB 50010计算的叠合面处最大裂缝宽度（mm）</w:t>
            </w:r>
            <w:r>
              <w:rPr>
                <w:bCs/>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8" w:type="dxa"/>
            <w:vMerge w:val="continue"/>
            <w:vAlign w:val="center"/>
          </w:tcPr>
          <w:p>
            <w:pPr>
              <w:widowControl/>
              <w:jc w:val="left"/>
              <w:rPr>
                <w:bCs/>
                <w:szCs w:val="24"/>
              </w:rPr>
            </w:pPr>
          </w:p>
        </w:tc>
        <w:tc>
          <w:tcPr>
            <w:tcW w:w="1130" w:type="dxa"/>
          </w:tcPr>
          <w:p>
            <w:pPr>
              <w:jc w:val="right"/>
              <w:rPr>
                <w:bCs/>
              </w:rPr>
            </w:pPr>
            <w:r>
              <w:rPr>
                <w:i/>
              </w:rPr>
              <w:t>h</w:t>
            </w:r>
          </w:p>
        </w:tc>
        <w:tc>
          <w:tcPr>
            <w:tcW w:w="889" w:type="dxa"/>
          </w:tcPr>
          <w:p>
            <w:pPr>
              <w:rPr>
                <w:bCs/>
                <w:szCs w:val="24"/>
              </w:rPr>
            </w:pPr>
            <w:r>
              <w:rPr>
                <w:bCs/>
                <w:szCs w:val="24"/>
              </w:rPr>
              <w:t>——</w:t>
            </w:r>
          </w:p>
        </w:tc>
        <w:tc>
          <w:tcPr>
            <w:tcW w:w="5670" w:type="dxa"/>
            <w:gridSpan w:val="2"/>
          </w:tcPr>
          <w:p>
            <w:pPr>
              <w:rPr>
                <w:bCs/>
                <w:szCs w:val="24"/>
              </w:rPr>
            </w:pPr>
            <w:r>
              <w:rPr>
                <w:bCs/>
                <w:szCs w:val="24"/>
              </w:rPr>
              <w:t>叠合板总厚度，即预制层厚度加上后浇层厚度；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8" w:type="dxa"/>
            <w:vMerge w:val="continue"/>
            <w:vAlign w:val="center"/>
          </w:tcPr>
          <w:p>
            <w:pPr>
              <w:widowControl/>
              <w:jc w:val="left"/>
              <w:rPr>
                <w:bCs/>
                <w:szCs w:val="24"/>
              </w:rPr>
            </w:pPr>
          </w:p>
        </w:tc>
        <w:tc>
          <w:tcPr>
            <w:tcW w:w="1130" w:type="dxa"/>
          </w:tcPr>
          <w:p>
            <w:pPr>
              <w:jc w:val="right"/>
              <w:rPr>
                <w:bCs/>
                <w:szCs w:val="24"/>
              </w:rPr>
            </w:pPr>
            <w:r>
              <w:rPr>
                <w:i/>
              </w:rPr>
              <w:t>h</w:t>
            </w:r>
            <w:r>
              <w:rPr>
                <w:vertAlign w:val="subscript"/>
              </w:rPr>
              <w:t>2</w:t>
            </w:r>
          </w:p>
        </w:tc>
        <w:tc>
          <w:tcPr>
            <w:tcW w:w="889" w:type="dxa"/>
          </w:tcPr>
          <w:p>
            <w:pPr>
              <w:rPr>
                <w:bCs/>
                <w:szCs w:val="24"/>
              </w:rPr>
            </w:pPr>
            <w:r>
              <w:rPr>
                <w:bCs/>
                <w:szCs w:val="24"/>
              </w:rPr>
              <w:t>——</w:t>
            </w:r>
          </w:p>
        </w:tc>
        <w:tc>
          <w:tcPr>
            <w:tcW w:w="5670" w:type="dxa"/>
            <w:gridSpan w:val="2"/>
          </w:tcPr>
          <w:p>
            <w:pPr>
              <w:rPr>
                <w:bCs/>
                <w:szCs w:val="24"/>
              </w:rPr>
            </w:pPr>
            <w:r>
              <w:rPr>
                <w:bCs/>
                <w:szCs w:val="24"/>
              </w:rPr>
              <w:t>后浇层厚度；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58" w:type="dxa"/>
            <w:vMerge w:val="continue"/>
            <w:vAlign w:val="center"/>
          </w:tcPr>
          <w:p>
            <w:pPr>
              <w:widowControl/>
              <w:jc w:val="left"/>
              <w:rPr>
                <w:bCs/>
                <w:szCs w:val="24"/>
              </w:rPr>
            </w:pPr>
          </w:p>
        </w:tc>
        <w:tc>
          <w:tcPr>
            <w:tcW w:w="1130" w:type="dxa"/>
          </w:tcPr>
          <w:p>
            <w:pPr>
              <w:jc w:val="right"/>
              <w:rPr>
                <w:bCs/>
                <w:szCs w:val="24"/>
              </w:rPr>
            </w:pPr>
            <w:r>
              <w:rPr>
                <w:i/>
              </w:rPr>
              <w:t>x</w:t>
            </w:r>
            <w:r>
              <w:rPr>
                <w:vertAlign w:val="subscript"/>
              </w:rPr>
              <w:t>2</w:t>
            </w:r>
          </w:p>
        </w:tc>
        <w:tc>
          <w:tcPr>
            <w:tcW w:w="889" w:type="dxa"/>
          </w:tcPr>
          <w:p>
            <w:pPr>
              <w:rPr>
                <w:bCs/>
                <w:szCs w:val="24"/>
              </w:rPr>
            </w:pPr>
            <w:r>
              <w:rPr>
                <w:bCs/>
                <w:szCs w:val="24"/>
              </w:rPr>
              <w:t>——</w:t>
            </w:r>
          </w:p>
        </w:tc>
        <w:tc>
          <w:tcPr>
            <w:tcW w:w="5670" w:type="dxa"/>
            <w:gridSpan w:val="2"/>
          </w:tcPr>
          <w:p>
            <w:pPr>
              <w:rPr>
                <w:bCs/>
                <w:szCs w:val="24"/>
              </w:rPr>
            </w:pPr>
            <w:r>
              <w:rPr>
                <w:bCs/>
                <w:szCs w:val="24"/>
              </w:rPr>
              <w:t>后浇层混凝土的等效受压高度。</w:t>
            </w:r>
          </w:p>
        </w:tc>
      </w:tr>
    </w:tbl>
    <w:p>
      <w:pPr>
        <w:rPr>
          <w:rFonts w:eastAsia="仿宋"/>
          <w:i/>
          <w:spacing w:val="10"/>
          <w:szCs w:val="24"/>
        </w:rPr>
      </w:pPr>
      <w:r>
        <w:rPr>
          <w:rFonts w:eastAsia="仿宋"/>
          <w:i/>
          <w:spacing w:val="10"/>
          <w:szCs w:val="24"/>
        </w:rPr>
        <w:t>【条文说明】7.3.7 叠合板按照单向板或双向板设计时，楼板的整体裂缝和挠度计算可以参照整体现浇楼板计算，但是对于按照双向板设计的密缝和窄缝连接，其在接缝位置的有效截面或钢筋保护层厚度存在一定的削弱情况，因此对于接缝位置的裂缝计算需要按照叠合现浇层厚度取值单独计算，计算弯矩按照接缝位置的正截面受弯承载力取值。根据实际项目经验，密缝构造时底部裂缝的控制效果不如窄缝构造，因此一般建议在居住建筑中尽量采用窄缝构造，在非居住建筑中可优先选择密缝构造其更方便施工，对于板跨比较大或受力复杂的叠合楼板建议采用宽缝构造。</w:t>
      </w:r>
    </w:p>
    <w:p>
      <w:pPr>
        <w:pStyle w:val="3"/>
      </w:pPr>
      <w:bookmarkStart w:id="117" w:name="_Toc45574543"/>
      <w:bookmarkStart w:id="118" w:name="_Toc45313938"/>
      <w:r>
        <w:t>支座节点设计及构造</w:t>
      </w:r>
      <w:bookmarkEnd w:id="111"/>
      <w:bookmarkEnd w:id="112"/>
      <w:bookmarkEnd w:id="113"/>
      <w:bookmarkEnd w:id="114"/>
      <w:bookmarkEnd w:id="117"/>
      <w:bookmarkEnd w:id="118"/>
    </w:p>
    <w:p>
      <w:bookmarkStart w:id="119" w:name="_Toc518395659"/>
      <w:r>
        <w:rPr>
          <w:b/>
          <w:bCs/>
        </w:rPr>
        <w:t xml:space="preserve">7.4.1 </w:t>
      </w:r>
      <w:r>
        <w:t>钢筋桁架叠合楼板支座面筋的设计应结合楼板支座边界条件，按照整体现浇楼板设计。叠合板支座在计算负弯矩作用下的正截面受弯承载力时，截面高度取叠合板总厚度，受力计算可不计入受压区钢筋</w:t>
      </w:r>
      <w:r>
        <w:rPr>
          <w:rFonts w:hint="eastAsia"/>
        </w:rPr>
        <w:t>。</w:t>
      </w:r>
      <w:r>
        <w:t>预制板与后浇叠合层混凝土强度不同时，</w:t>
      </w:r>
      <w:r>
        <w:rPr>
          <w:rFonts w:hint="eastAsia"/>
        </w:rPr>
        <w:t>应</w:t>
      </w:r>
      <w:r>
        <w:t>按受压区混凝土的强度计算。</w:t>
      </w:r>
    </w:p>
    <w:p>
      <w:pPr>
        <w:rPr>
          <w:rFonts w:eastAsia="仿宋"/>
          <w:i/>
          <w:spacing w:val="10"/>
          <w:szCs w:val="24"/>
        </w:rPr>
      </w:pPr>
      <w:r>
        <w:rPr>
          <w:rFonts w:eastAsia="仿宋"/>
          <w:i/>
          <w:spacing w:val="10"/>
          <w:szCs w:val="24"/>
        </w:rPr>
        <w:t>【条文说明】7.4.1 叠合板在极限承载力情况下支座的受力情况和预制板拼缝方式、拼缝位置及数量有较大关系，但是在正常受力情况下其受力特征基本同整体现浇板，所以在常规设计中，楼板面筋的计算可以根据板端边界情况采用整体现浇板的计算方式。</w:t>
      </w:r>
    </w:p>
    <w:p>
      <w:r>
        <w:rPr>
          <w:b/>
          <w:bCs/>
        </w:rPr>
        <w:t xml:space="preserve">7.4.2 </w:t>
      </w:r>
      <w:r>
        <w:t>钢筋桁架上弦钢筋参与受弯承载力计算时，应在上弦钢筋处设置</w:t>
      </w:r>
      <w:r>
        <w:rPr>
          <w:rFonts w:hint="eastAsia"/>
        </w:rPr>
        <w:t>附加</w:t>
      </w:r>
      <w:r>
        <w:t>钢筋（图7.4.2），并应伸入板端支座，并应符合现行国家标准《混凝土结构设计规范》GB 50010的有关规定。</w:t>
      </w:r>
      <w:r>
        <w:rPr>
          <w:rFonts w:hint="eastAsia"/>
          <w:szCs w:val="21"/>
        </w:rPr>
        <w:t>附加</w:t>
      </w:r>
      <w:r>
        <w:t>钢筋应按与同向受力钢筋受拉承载力相等的原则布置，且</w:t>
      </w:r>
      <w:r>
        <w:rPr>
          <w:rFonts w:hint="eastAsia"/>
          <w:szCs w:val="21"/>
        </w:rPr>
        <w:t>附加</w:t>
      </w:r>
      <w:r>
        <w:t>钢筋与钢筋桁架上弦钢筋的搭接长度不小于</w:t>
      </w:r>
      <w:r>
        <w:rPr>
          <w:rFonts w:hint="eastAsia"/>
        </w:rPr>
        <w:t>1.4</w:t>
      </w:r>
      <w:r>
        <w:rPr>
          <w:i/>
        </w:rPr>
        <w:t>l</w:t>
      </w:r>
      <w:r>
        <w:rPr>
          <w:rFonts w:hint="eastAsia"/>
          <w:vertAlign w:val="subscript"/>
        </w:rPr>
        <w:t>a</w:t>
      </w:r>
      <w:r>
        <w:t>并可靠绑扎。</w:t>
      </w:r>
    </w:p>
    <w:tbl>
      <w:tblPr>
        <w:tblStyle w:val="31"/>
        <w:tblW w:w="89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828"/>
        <w:gridCol w:w="5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828" w:type="dxa"/>
            <w:vAlign w:val="center"/>
          </w:tcPr>
          <w:p>
            <w:pPr>
              <w:snapToGrid w:val="0"/>
              <w:ind w:firstLine="204" w:firstLineChars="71"/>
              <w:jc w:val="center"/>
              <w:rPr>
                <w:rFonts w:eastAsiaTheme="minorEastAsia"/>
              </w:rPr>
            </w:pPr>
            <w:r>
              <w:drawing>
                <wp:inline distT="0" distB="0" distL="0" distR="0">
                  <wp:extent cx="1802130" cy="1337310"/>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7"/>
                          <a:stretch>
                            <a:fillRect/>
                          </a:stretch>
                        </pic:blipFill>
                        <pic:spPr>
                          <a:xfrm>
                            <a:off x="0" y="0"/>
                            <a:ext cx="1821067" cy="1351529"/>
                          </a:xfrm>
                          <a:prstGeom prst="rect">
                            <a:avLst/>
                          </a:prstGeom>
                        </pic:spPr>
                      </pic:pic>
                    </a:graphicData>
                  </a:graphic>
                </wp:inline>
              </w:drawing>
            </w:r>
          </w:p>
        </w:tc>
        <w:tc>
          <w:tcPr>
            <w:tcW w:w="5103" w:type="dxa"/>
            <w:vAlign w:val="center"/>
          </w:tcPr>
          <w:p>
            <w:pPr>
              <w:adjustRightInd w:val="0"/>
              <w:snapToGrid w:val="0"/>
              <w:ind w:right="-66" w:rightChars="-23" w:firstLine="236" w:firstLineChars="82"/>
              <w:jc w:val="center"/>
              <w:rPr>
                <w:rFonts w:eastAsiaTheme="minorEastAsia"/>
                <w:sz w:val="24"/>
                <w:szCs w:val="24"/>
              </w:rPr>
            </w:pPr>
            <w:r>
              <w:drawing>
                <wp:inline distT="0" distB="0" distL="0" distR="0">
                  <wp:extent cx="2618105" cy="129984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8"/>
                          <a:stretch>
                            <a:fillRect/>
                          </a:stretch>
                        </pic:blipFill>
                        <pic:spPr>
                          <a:xfrm>
                            <a:off x="0" y="0"/>
                            <a:ext cx="2661320" cy="132153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828" w:type="dxa"/>
            <w:vAlign w:val="center"/>
          </w:tcPr>
          <w:p>
            <w:pPr>
              <w:adjustRightInd w:val="0"/>
              <w:snapToGrid w:val="0"/>
              <w:jc w:val="center"/>
              <w:rPr>
                <w:rFonts w:eastAsiaTheme="minorEastAsia"/>
                <w:sz w:val="24"/>
                <w:szCs w:val="24"/>
              </w:rPr>
            </w:pPr>
            <w:r>
              <w:drawing>
                <wp:inline distT="0" distB="0" distL="0" distR="0">
                  <wp:extent cx="1958975" cy="1824355"/>
                  <wp:effectExtent l="0" t="0" r="3175" b="44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9"/>
                          <a:stretch>
                            <a:fillRect/>
                          </a:stretch>
                        </pic:blipFill>
                        <pic:spPr>
                          <a:xfrm>
                            <a:off x="0" y="0"/>
                            <a:ext cx="1966299" cy="1830692"/>
                          </a:xfrm>
                          <a:prstGeom prst="rect">
                            <a:avLst/>
                          </a:prstGeom>
                        </pic:spPr>
                      </pic:pic>
                    </a:graphicData>
                  </a:graphic>
                </wp:inline>
              </w:drawing>
            </w:r>
          </w:p>
        </w:tc>
        <w:tc>
          <w:tcPr>
            <w:tcW w:w="5103" w:type="dxa"/>
            <w:vAlign w:val="center"/>
          </w:tcPr>
          <w:p>
            <w:pPr>
              <w:adjustRightInd w:val="0"/>
              <w:snapToGrid w:val="0"/>
              <w:jc w:val="center"/>
              <w:rPr>
                <w:rFonts w:eastAsiaTheme="minorEastAsia"/>
                <w:sz w:val="24"/>
                <w:szCs w:val="24"/>
              </w:rPr>
            </w:pPr>
            <w:r>
              <w:drawing>
                <wp:inline distT="0" distB="0" distL="0" distR="0">
                  <wp:extent cx="2803525" cy="183451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70"/>
                          <a:stretch>
                            <a:fillRect/>
                          </a:stretch>
                        </pic:blipFill>
                        <pic:spPr>
                          <a:xfrm>
                            <a:off x="0" y="0"/>
                            <a:ext cx="2836760" cy="1856152"/>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3828" w:type="dxa"/>
            <w:vAlign w:val="center"/>
          </w:tcPr>
          <w:p>
            <w:pPr>
              <w:jc w:val="center"/>
              <w:rPr>
                <w:b/>
                <w:sz w:val="24"/>
                <w:szCs w:val="24"/>
              </w:rPr>
            </w:pPr>
            <w:r>
              <w:rPr>
                <w:b/>
                <w:sz w:val="24"/>
                <w:szCs w:val="24"/>
              </w:rPr>
              <w:t>（a）端节点</w:t>
            </w:r>
          </w:p>
        </w:tc>
        <w:tc>
          <w:tcPr>
            <w:tcW w:w="5103" w:type="dxa"/>
            <w:vAlign w:val="center"/>
          </w:tcPr>
          <w:p>
            <w:pPr>
              <w:jc w:val="center"/>
              <w:rPr>
                <w:b/>
                <w:sz w:val="24"/>
                <w:szCs w:val="24"/>
              </w:rPr>
            </w:pPr>
            <w:r>
              <w:rPr>
                <w:b/>
                <w:sz w:val="24"/>
                <w:szCs w:val="24"/>
              </w:rPr>
              <w:t>（b）中节点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931" w:type="dxa"/>
            <w:gridSpan w:val="2"/>
            <w:vAlign w:val="center"/>
          </w:tcPr>
          <w:p>
            <w:pPr>
              <w:pStyle w:val="72"/>
              <w:spacing w:line="360" w:lineRule="auto"/>
              <w:rPr>
                <w:rFonts w:ascii="Times New Roman" w:hAnsi="Times New Roman" w:eastAsia="宋体"/>
                <w:b/>
                <w:color w:val="auto"/>
                <w:sz w:val="24"/>
                <w:szCs w:val="24"/>
              </w:rPr>
            </w:pPr>
            <w:r>
              <w:rPr>
                <w:rFonts w:ascii="Times New Roman" w:hAnsi="Times New Roman" w:eastAsia="宋体"/>
                <w:b/>
                <w:color w:val="auto"/>
                <w:sz w:val="24"/>
                <w:szCs w:val="24"/>
              </w:rPr>
              <w:t>图7.4.2 桁架上弦钢筋搭接构造示意</w:t>
            </w:r>
          </w:p>
          <w:p>
            <w:pPr>
              <w:jc w:val="center"/>
              <w:rPr>
                <w:sz w:val="24"/>
                <w:szCs w:val="24"/>
              </w:rPr>
            </w:pPr>
            <w:r>
              <w:rPr>
                <w:sz w:val="24"/>
                <w:szCs w:val="24"/>
              </w:rPr>
              <w:t>1—支承梁或墙；2—预制板；3—上弦钢筋；4—</w:t>
            </w:r>
            <w:r>
              <w:rPr>
                <w:rFonts w:hint="eastAsia"/>
                <w:sz w:val="24"/>
                <w:szCs w:val="24"/>
              </w:rPr>
              <w:t>附加</w:t>
            </w:r>
            <w:r>
              <w:rPr>
                <w:sz w:val="24"/>
                <w:szCs w:val="24"/>
              </w:rPr>
              <w:t>钢筋；5—叠合层</w:t>
            </w:r>
            <w:r>
              <w:rPr>
                <w:rFonts w:hint="eastAsia"/>
                <w:sz w:val="24"/>
                <w:szCs w:val="24"/>
              </w:rPr>
              <w:t>面</w:t>
            </w:r>
            <w:r>
              <w:rPr>
                <w:sz w:val="24"/>
                <w:szCs w:val="24"/>
              </w:rPr>
              <w:t>筋</w:t>
            </w:r>
          </w:p>
        </w:tc>
      </w:tr>
    </w:tbl>
    <w:p>
      <w:pPr>
        <w:rPr>
          <w:rFonts w:eastAsia="仿宋"/>
          <w:i/>
          <w:spacing w:val="10"/>
          <w:szCs w:val="24"/>
        </w:rPr>
      </w:pPr>
      <w:bookmarkStart w:id="120" w:name="_Toc530314189"/>
      <w:r>
        <w:rPr>
          <w:rFonts w:eastAsia="仿宋"/>
          <w:i/>
          <w:spacing w:val="10"/>
          <w:szCs w:val="24"/>
        </w:rPr>
        <w:t>【条文说明】7.4.2按照分布钢筋间距200mm、桁架钢筋间距600mm计算，搭接率约为33%，根据《混凝土结构设计规范》GB 50010，受拉钢筋搭接长度修正系数取为1.4。</w:t>
      </w:r>
    </w:p>
    <w:p>
      <w:r>
        <w:rPr>
          <w:rFonts w:hint="eastAsia"/>
          <w:b/>
          <w:bCs/>
        </w:rPr>
        <w:t>7.4.3</w:t>
      </w:r>
      <w:r>
        <w:rPr>
          <w:b/>
          <w:bCs/>
        </w:rPr>
        <w:t xml:space="preserve"> </w:t>
      </w:r>
      <w:r>
        <w:t>预制板底纵向钢筋伸入板端支座时，应在支承梁或墙的后浇混凝土中锚固，锚固长度不应小于5d且宜伸过支座中心线。</w:t>
      </w:r>
    </w:p>
    <w:p>
      <w:pPr>
        <w:jc w:val="center"/>
      </w:pPr>
      <w:r>
        <w:drawing>
          <wp:inline distT="0" distB="0" distL="0" distR="0">
            <wp:extent cx="2320290" cy="177736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2337214" cy="1790382"/>
                    </a:xfrm>
                    <a:prstGeom prst="rect">
                      <a:avLst/>
                    </a:prstGeom>
                    <a:noFill/>
                    <a:ln>
                      <a:noFill/>
                    </a:ln>
                  </pic:spPr>
                </pic:pic>
              </a:graphicData>
            </a:graphic>
          </wp:inline>
        </w:drawing>
      </w:r>
    </w:p>
    <w:p>
      <w:pPr>
        <w:jc w:val="center"/>
        <w:rPr>
          <w:b/>
          <w:spacing w:val="0"/>
          <w:kern w:val="0"/>
          <w:sz w:val="24"/>
          <w:szCs w:val="24"/>
        </w:rPr>
      </w:pPr>
      <w:r>
        <w:rPr>
          <w:b/>
          <w:spacing w:val="0"/>
          <w:kern w:val="0"/>
          <w:sz w:val="24"/>
          <w:szCs w:val="24"/>
        </w:rPr>
        <w:t>图7.4.3 纵筋外伸的板端支座构造示意</w:t>
      </w:r>
    </w:p>
    <w:p>
      <w:pPr>
        <w:jc w:val="center"/>
        <w:rPr>
          <w:sz w:val="24"/>
          <w:szCs w:val="24"/>
        </w:rPr>
      </w:pPr>
      <w:r>
        <w:rPr>
          <w:sz w:val="24"/>
          <w:szCs w:val="24"/>
        </w:rPr>
        <w:t>1—支承梁或墙；2—预制板；3—板底钢筋；4—桁架钢筋；5—横向分布钢筋</w:t>
      </w:r>
    </w:p>
    <w:p>
      <w:pPr>
        <w:jc w:val="left"/>
        <w:rPr>
          <w:highlight w:val="lightGray"/>
        </w:rPr>
      </w:pPr>
      <w:r>
        <w:rPr>
          <w:rFonts w:eastAsia="仿宋"/>
          <w:i/>
          <w:spacing w:val="10"/>
          <w:szCs w:val="24"/>
        </w:rPr>
        <w:t>【条文说明】</w:t>
      </w:r>
      <w:r>
        <w:rPr>
          <w:rFonts w:hint="eastAsia" w:eastAsia="仿宋"/>
          <w:i/>
          <w:spacing w:val="10"/>
          <w:szCs w:val="24"/>
        </w:rPr>
        <w:t>7</w:t>
      </w:r>
      <w:r>
        <w:rPr>
          <w:rFonts w:eastAsia="仿宋"/>
          <w:i/>
          <w:spacing w:val="10"/>
          <w:szCs w:val="24"/>
        </w:rPr>
        <w:t>.4.3条文规定与现行行业标准《装配式混凝土结构技术规程》JGJ 1相同。</w:t>
      </w:r>
    </w:p>
    <w:p>
      <w:r>
        <w:rPr>
          <w:rFonts w:hint="eastAsia"/>
          <w:b/>
          <w:bCs/>
        </w:rPr>
        <w:t>7.4.4</w:t>
      </w:r>
      <w:r>
        <w:rPr>
          <w:b/>
          <w:bCs/>
        </w:rPr>
        <w:t xml:space="preserve"> </w:t>
      </w:r>
      <w:r>
        <w:t>预制板底纵向钢筋不伸入支座时，应满足下列要求：</w:t>
      </w:r>
    </w:p>
    <w:p>
      <w:pPr>
        <w:pStyle w:val="47"/>
        <w:numPr>
          <w:ilvl w:val="0"/>
          <w:numId w:val="34"/>
        </w:numPr>
        <w:ind w:left="0" w:firstLine="576" w:firstLineChars="200"/>
      </w:pPr>
      <w:r>
        <w:t>后浇混凝土叠合层厚度不应小于70mm，且不应小于预制板厚度；</w:t>
      </w:r>
    </w:p>
    <w:p>
      <w:pPr>
        <w:pStyle w:val="47"/>
        <w:numPr>
          <w:ilvl w:val="0"/>
          <w:numId w:val="34"/>
        </w:numPr>
        <w:ind w:left="0" w:firstLine="576" w:firstLineChars="200"/>
      </w:pPr>
      <w:r>
        <w:t>支座处应设置垂直于板端的附加钢筋，附加钢筋截面积应按照本规程第7.4.5条计算确定，且不应小于同方向跨中板底受力钢筋面积的1/3；附加钢筋直径不宜小于8mm，间距不宜大于250mm；附加钢筋强度等级不应低于与其平行的桁架板内纵向受力钢筋的强度等级；</w:t>
      </w:r>
    </w:p>
    <w:p>
      <w:pPr>
        <w:pStyle w:val="47"/>
        <w:numPr>
          <w:ilvl w:val="0"/>
          <w:numId w:val="34"/>
        </w:numPr>
        <w:ind w:left="0" w:firstLine="576" w:firstLineChars="200"/>
      </w:pPr>
      <w:r>
        <w:t>附加钢筋与预制板受力钢筋净间距不应小于4倍钢筋直径；</w:t>
      </w:r>
    </w:p>
    <w:p>
      <w:pPr>
        <w:pStyle w:val="47"/>
        <w:numPr>
          <w:ilvl w:val="0"/>
          <w:numId w:val="34"/>
        </w:numPr>
        <w:ind w:left="0" w:firstLine="576" w:firstLineChars="200"/>
      </w:pPr>
      <w:r>
        <w:t>对于中节点支座，附加钢筋在节点区应贯通，且每侧伸入后浇叠合层长度应不小于1.2</w:t>
      </w:r>
      <w:r>
        <w:rPr>
          <w:i/>
          <w:iCs/>
        </w:rPr>
        <w:t xml:space="preserve"> l</w:t>
      </w:r>
      <w:r>
        <w:rPr>
          <w:i/>
          <w:iCs/>
          <w:vertAlign w:val="subscript"/>
        </w:rPr>
        <w:t>a</w:t>
      </w:r>
      <w:r>
        <w:t>；对于端节点支座，附加钢筋伸入支座的长度不应小于</w:t>
      </w:r>
      <w:r>
        <w:rPr>
          <w:i/>
          <w:iCs/>
        </w:rPr>
        <w:t>l</w:t>
      </w:r>
      <w:r>
        <w:rPr>
          <w:i/>
          <w:iCs/>
          <w:vertAlign w:val="subscript"/>
        </w:rPr>
        <w:t>a</w:t>
      </w:r>
      <w:r>
        <w:t>，伸入后浇叠合层长度不应小于1.2</w:t>
      </w:r>
      <w:r>
        <w:rPr>
          <w:i/>
          <w:iCs/>
        </w:rPr>
        <w:t>l</w:t>
      </w:r>
      <w:r>
        <w:rPr>
          <w:i/>
          <w:iCs/>
          <w:vertAlign w:val="subscript"/>
        </w:rPr>
        <w:t>a</w:t>
      </w:r>
      <w:r>
        <w:t>。</w:t>
      </w:r>
    </w:p>
    <w:p>
      <w:pPr>
        <w:pStyle w:val="47"/>
        <w:numPr>
          <w:ilvl w:val="0"/>
          <w:numId w:val="34"/>
        </w:numPr>
        <w:ind w:left="0" w:firstLine="576" w:firstLineChars="200"/>
      </w:pPr>
      <w:r>
        <w:t>垂直于附加钢筋的方向应布置横向分布钢筋，在搭接范围内不应少于2根，且钢筋直径不宜小于6mm。</w:t>
      </w:r>
    </w:p>
    <w:tbl>
      <w:tblPr>
        <w:tblStyle w:val="86"/>
        <w:tblW w:w="8689"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4063"/>
        <w:gridCol w:w="462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jc w:val="center"/>
        </w:trPr>
        <w:tc>
          <w:tcPr>
            <w:tcW w:w="4063" w:type="dxa"/>
            <w:vAlign w:val="bottom"/>
          </w:tcPr>
          <w:p>
            <w:pPr>
              <w:jc w:val="center"/>
              <w:rPr>
                <w:rFonts w:cstheme="minorBidi"/>
                <w:sz w:val="24"/>
                <w:szCs w:val="24"/>
              </w:rPr>
            </w:pPr>
            <w:r>
              <w:rPr>
                <w:rFonts w:cstheme="minorBidi"/>
                <w:sz w:val="24"/>
                <w:szCs w:val="24"/>
              </w:rPr>
              <w:drawing>
                <wp:inline distT="0" distB="0" distL="0" distR="0">
                  <wp:extent cx="1879600" cy="1439545"/>
                  <wp:effectExtent l="0" t="0" r="635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879816" cy="1440000"/>
                          </a:xfrm>
                          <a:prstGeom prst="rect">
                            <a:avLst/>
                          </a:prstGeom>
                          <a:noFill/>
                          <a:ln>
                            <a:noFill/>
                          </a:ln>
                        </pic:spPr>
                      </pic:pic>
                    </a:graphicData>
                  </a:graphic>
                </wp:inline>
              </w:drawing>
            </w:r>
          </w:p>
        </w:tc>
        <w:tc>
          <w:tcPr>
            <w:tcW w:w="4626" w:type="dxa"/>
            <w:vAlign w:val="bottom"/>
          </w:tcPr>
          <w:p>
            <w:pPr>
              <w:jc w:val="center"/>
              <w:rPr>
                <w:rFonts w:cstheme="minorBidi"/>
                <w:sz w:val="24"/>
                <w:szCs w:val="24"/>
              </w:rPr>
            </w:pPr>
            <w:r>
              <w:rPr>
                <w:rFonts w:cstheme="minorBidi"/>
                <w:sz w:val="24"/>
                <w:szCs w:val="24"/>
              </w:rPr>
              <w:drawing>
                <wp:inline distT="0" distB="0" distL="0" distR="0">
                  <wp:extent cx="2792095" cy="1439545"/>
                  <wp:effectExtent l="0" t="0" r="825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792580" cy="1440000"/>
                          </a:xfrm>
                          <a:prstGeom prst="rect">
                            <a:avLst/>
                          </a:prstGeom>
                          <a:noFill/>
                          <a:ln>
                            <a:noFill/>
                          </a:ln>
                        </pic:spPr>
                      </pic:pic>
                    </a:graphicData>
                  </a:graphic>
                </wp:inline>
              </w:drawing>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Ex>
        <w:trPr>
          <w:jc w:val="center"/>
        </w:trPr>
        <w:tc>
          <w:tcPr>
            <w:tcW w:w="4063" w:type="dxa"/>
            <w:vAlign w:val="bottom"/>
          </w:tcPr>
          <w:p>
            <w:pPr>
              <w:jc w:val="center"/>
              <w:rPr>
                <w:rFonts w:cstheme="minorBidi"/>
                <w:sz w:val="24"/>
                <w:szCs w:val="24"/>
              </w:rPr>
            </w:pPr>
            <w:r>
              <w:rPr>
                <w:rFonts w:cstheme="minorBidi"/>
                <w:sz w:val="24"/>
                <w:szCs w:val="24"/>
              </w:rPr>
              <w:t>（a）端节点</w:t>
            </w:r>
          </w:p>
        </w:tc>
        <w:tc>
          <w:tcPr>
            <w:tcW w:w="4626" w:type="dxa"/>
            <w:vAlign w:val="bottom"/>
          </w:tcPr>
          <w:p>
            <w:pPr>
              <w:jc w:val="center"/>
              <w:rPr>
                <w:rFonts w:cstheme="minorBidi"/>
                <w:sz w:val="24"/>
                <w:szCs w:val="24"/>
              </w:rPr>
            </w:pPr>
            <w:r>
              <w:rPr>
                <w:rFonts w:cstheme="minorBidi"/>
                <w:sz w:val="24"/>
                <w:szCs w:val="24"/>
              </w:rPr>
              <w:t>（b）中节点</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44" w:hRule="atLeast"/>
          <w:jc w:val="center"/>
        </w:trPr>
        <w:tc>
          <w:tcPr>
            <w:tcW w:w="8689" w:type="dxa"/>
            <w:gridSpan w:val="2"/>
            <w:vAlign w:val="bottom"/>
          </w:tcPr>
          <w:p>
            <w:pPr>
              <w:jc w:val="center"/>
              <w:rPr>
                <w:rFonts w:cstheme="minorBidi"/>
                <w:highlight w:val="lightGray"/>
              </w:rPr>
            </w:pPr>
            <w:r>
              <w:rPr>
                <w:rFonts w:cstheme="minorBidi"/>
                <w:b/>
                <w:spacing w:val="0"/>
                <w:kern w:val="0"/>
                <w:sz w:val="24"/>
                <w:szCs w:val="24"/>
              </w:rPr>
              <w:t>图</w:t>
            </w:r>
            <w:r>
              <w:rPr>
                <w:rFonts w:hint="eastAsia" w:cstheme="minorBidi"/>
                <w:b/>
                <w:spacing w:val="0"/>
                <w:kern w:val="0"/>
                <w:sz w:val="24"/>
                <w:szCs w:val="24"/>
              </w:rPr>
              <w:t>7</w:t>
            </w:r>
            <w:r>
              <w:rPr>
                <w:rFonts w:cstheme="minorBidi"/>
                <w:b/>
                <w:spacing w:val="0"/>
                <w:kern w:val="0"/>
                <w:sz w:val="24"/>
                <w:szCs w:val="24"/>
              </w:rPr>
              <w:t>.4.4 无外伸纵筋的板端支座构造示意</w:t>
            </w:r>
          </w:p>
        </w:tc>
      </w:tr>
    </w:tbl>
    <w:p>
      <w:pPr>
        <w:jc w:val="center"/>
        <w:rPr>
          <w:sz w:val="24"/>
          <w:szCs w:val="24"/>
        </w:rPr>
      </w:pPr>
      <w:bookmarkStart w:id="121" w:name="OLE_LINK1"/>
      <w:r>
        <w:rPr>
          <w:sz w:val="24"/>
          <w:szCs w:val="24"/>
        </w:rPr>
        <w:t>1—支承梁或墙；2—预制板；3—板底钢筋；4—桁架钢筋；5—附加钢筋；6—横向分布钢筋</w:t>
      </w:r>
      <w:bookmarkEnd w:id="121"/>
    </w:p>
    <w:p>
      <w:pPr>
        <w:rPr>
          <w:rFonts w:eastAsia="仿宋"/>
          <w:i/>
          <w:spacing w:val="10"/>
          <w:szCs w:val="24"/>
        </w:rPr>
      </w:pPr>
      <w:r>
        <w:rPr>
          <w:rFonts w:eastAsia="仿宋"/>
          <w:i/>
          <w:spacing w:val="10"/>
          <w:szCs w:val="24"/>
        </w:rPr>
        <w:t>【条文说明】本规程优先建议预制板端底筋伸出并锚入支座，但是预制楼板底筋伸出对构件的安装影响较大，所以在楼板受力简单的情况下，允许底筋不伸出并采用附加钢筋的构造方式。中间支座两侧的预制板底筋面积不同时，附加钢筋面积不应小于两者钢筋面积的较大值。</w:t>
      </w:r>
    </w:p>
    <w:p>
      <w:r>
        <w:rPr>
          <w:rFonts w:hint="eastAsia"/>
          <w:b/>
          <w:bCs/>
        </w:rPr>
        <w:t>7.4.5</w:t>
      </w:r>
      <w:r>
        <w:rPr>
          <w:b/>
          <w:bCs/>
        </w:rPr>
        <w:t xml:space="preserve"> </w:t>
      </w:r>
      <w:r>
        <w:t>预制板内纵向钢筋不伸入支座时，截面受弯承载力计算应符合下列要求：</w:t>
      </w:r>
    </w:p>
    <w:p>
      <w:pPr>
        <w:pStyle w:val="47"/>
        <w:numPr>
          <w:ilvl w:val="0"/>
          <w:numId w:val="35"/>
        </w:numPr>
        <w:ind w:left="0" w:firstLine="576" w:firstLineChars="200"/>
      </w:pPr>
      <w:r>
        <w:t>板端承担负弯矩作用时，附加钢筋不计入截面受弯承载力的计算；</w:t>
      </w:r>
    </w:p>
    <w:p>
      <w:pPr>
        <w:pStyle w:val="47"/>
        <w:numPr>
          <w:ilvl w:val="0"/>
          <w:numId w:val="35"/>
        </w:numPr>
        <w:ind w:left="0" w:firstLine="576" w:firstLineChars="200"/>
      </w:pPr>
      <w:r>
        <w:t>板端承担正弯矩作用时，附加钢筋可作为受拉钢筋，有效截面高度取附加钢筋中心到叠合层上表面的距离（图7.4.5），板端正向受弯承载力按下列公式计算：</w:t>
      </w:r>
    </w:p>
    <w:p>
      <w:pPr>
        <w:jc w:val="center"/>
        <w:textAlignment w:val="baseline"/>
      </w:pPr>
      <w:r>
        <w:object>
          <v:shape id="_x0000_i1028" o:spt="75" type="#_x0000_t75" style="height:32.85pt;width:105.4pt;" o:ole="t" filled="f" o:preferrelative="t" stroked="f" coordsize="21600,21600">
            <v:path/>
            <v:fill on="f" focussize="0,0"/>
            <v:stroke on="f" joinstyle="miter"/>
            <v:imagedata r:id="rId75" o:title=""/>
            <o:lock v:ext="edit" aspectratio="t"/>
            <w10:wrap type="none"/>
            <w10:anchorlock/>
          </v:shape>
          <o:OLEObject Type="Embed" ProgID="Equation.DSMT4" ShapeID="_x0000_i1028" DrawAspect="Content" ObjectID="_1468075728" r:id="rId74">
            <o:LockedField>false</o:LockedField>
          </o:OLEObject>
        </w:object>
      </w:r>
      <w:r>
        <w:t xml:space="preserve">                       7.4.5-1</w:t>
      </w:r>
    </w:p>
    <w:p>
      <w:pPr>
        <w:jc w:val="center"/>
        <w:textAlignment w:val="baseline"/>
      </w:pPr>
      <w:r>
        <w:object>
          <v:shape id="_x0000_i1029" o:spt="75" type="#_x0000_t75" style="height:20.75pt;width:70.25pt;" o:ole="t" filled="f" o:preferrelative="t" stroked="f" coordsize="21600,21600">
            <v:path/>
            <v:fill on="f" focussize="0,0"/>
            <v:stroke on="f" joinstyle="miter"/>
            <v:imagedata r:id="rId77" o:title=""/>
            <o:lock v:ext="edit" aspectratio="t"/>
            <w10:wrap type="none"/>
            <w10:anchorlock/>
          </v:shape>
          <o:OLEObject Type="Embed" ProgID="Equation.DSMT4" ShapeID="_x0000_i1029" DrawAspect="Content" ObjectID="_1468075729" r:id="rId76">
            <o:LockedField>false</o:LockedField>
          </o:OLEObject>
        </w:object>
      </w:r>
      <w:r>
        <w:t xml:space="preserve">                          7.4.5-2</w:t>
      </w:r>
    </w:p>
    <w:p>
      <w:r>
        <w:t>式中：</w:t>
      </w:r>
    </w:p>
    <w:p>
      <w:r>
        <w:rPr>
          <w:i/>
          <w:iCs/>
        </w:rPr>
        <w:t>M</w:t>
      </w:r>
      <w:r>
        <w:rPr>
          <w:vertAlign w:val="subscript"/>
        </w:rPr>
        <w:t>P</w:t>
      </w:r>
      <w:r>
        <w:t>——板端正向受弯正截面承载力；</w:t>
      </w:r>
    </w:p>
    <w:p>
      <w:r>
        <w:rPr>
          <w:i/>
          <w:iCs/>
        </w:rPr>
        <w:t>A</w:t>
      </w:r>
      <w:r>
        <w:rPr>
          <w:vertAlign w:val="subscript"/>
        </w:rPr>
        <w:t>s</w:t>
      </w:r>
      <w:r>
        <w:t>——附加钢筋截面面积；</w:t>
      </w:r>
    </w:p>
    <w:p>
      <w:r>
        <w:rPr>
          <w:i/>
          <w:iCs/>
        </w:rPr>
        <w:t>f</w:t>
      </w:r>
      <w:r>
        <w:rPr>
          <w:vertAlign w:val="subscript"/>
        </w:rPr>
        <w:t>c</w:t>
      </w:r>
      <w:r>
        <w:t>——现浇层混凝土轴心抗压强度设计值；</w:t>
      </w:r>
    </w:p>
    <w:p>
      <w:r>
        <w:rPr>
          <w:i/>
          <w:iCs/>
        </w:rPr>
        <w:t>f</w:t>
      </w:r>
      <w:r>
        <w:rPr>
          <w:vertAlign w:val="subscript"/>
        </w:rPr>
        <w:t>y</w:t>
      </w:r>
      <w:r>
        <w:t>——附加钢筋抗拉强度设计值；</w:t>
      </w:r>
    </w:p>
    <w:p>
      <w:r>
        <w:rPr>
          <w:i/>
          <w:iCs/>
        </w:rPr>
        <w:t>h</w:t>
      </w:r>
      <w:r>
        <w:rPr>
          <w:vertAlign w:val="subscript"/>
        </w:rPr>
        <w:t>a</w:t>
      </w:r>
      <w:r>
        <w:t>——附加钢筋形心到截面表面的有效高度；</w:t>
      </w:r>
    </w:p>
    <w:p>
      <w:r>
        <w:rPr>
          <w:i/>
          <w:iCs/>
        </w:rPr>
        <w:t>x</w:t>
      </w:r>
      <w:r>
        <w:t>——混凝土受压区高度。</w:t>
      </w:r>
    </w:p>
    <w:p>
      <w:pPr>
        <w:pStyle w:val="12"/>
        <w:spacing w:before="156"/>
        <w:rPr>
          <w:highlight w:val="lightGray"/>
        </w:rPr>
      </w:pPr>
      <w:r>
        <w:drawing>
          <wp:inline distT="0" distB="0" distL="0" distR="0">
            <wp:extent cx="1941195" cy="143954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941802" cy="1440000"/>
                    </a:xfrm>
                    <a:prstGeom prst="rect">
                      <a:avLst/>
                    </a:prstGeom>
                    <a:noFill/>
                    <a:ln>
                      <a:noFill/>
                    </a:ln>
                  </pic:spPr>
                </pic:pic>
              </a:graphicData>
            </a:graphic>
          </wp:inline>
        </w:drawing>
      </w:r>
      <w:r>
        <w:t xml:space="preserve">  </w:t>
      </w:r>
      <w:r>
        <w:drawing>
          <wp:inline distT="0" distB="0" distL="0" distR="0">
            <wp:extent cx="3024505" cy="1439545"/>
            <wp:effectExtent l="0" t="0" r="444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024809" cy="1440000"/>
                    </a:xfrm>
                    <a:prstGeom prst="rect">
                      <a:avLst/>
                    </a:prstGeom>
                    <a:noFill/>
                    <a:ln>
                      <a:noFill/>
                    </a:ln>
                  </pic:spPr>
                </pic:pic>
              </a:graphicData>
            </a:graphic>
          </wp:inline>
        </w:drawing>
      </w:r>
    </w:p>
    <w:p>
      <w:pPr>
        <w:jc w:val="center"/>
        <w:rPr>
          <w:sz w:val="24"/>
          <w:szCs w:val="24"/>
        </w:rPr>
      </w:pPr>
      <w:r>
        <w:rPr>
          <w:sz w:val="24"/>
          <w:szCs w:val="24"/>
        </w:rPr>
        <w:t>（a）端节点                    （b）中节点</w:t>
      </w:r>
    </w:p>
    <w:p>
      <w:pPr>
        <w:jc w:val="center"/>
        <w:rPr>
          <w:rFonts w:cstheme="minorBidi"/>
          <w:b/>
          <w:spacing w:val="0"/>
          <w:kern w:val="0"/>
          <w:sz w:val="24"/>
          <w:szCs w:val="24"/>
        </w:rPr>
      </w:pPr>
      <w:r>
        <w:rPr>
          <w:rFonts w:cstheme="minorBidi"/>
          <w:b/>
          <w:spacing w:val="0"/>
          <w:kern w:val="0"/>
          <w:sz w:val="24"/>
          <w:szCs w:val="24"/>
        </w:rPr>
        <w:t>图7.4.5  正弯矩时截面承载计算示意</w:t>
      </w:r>
    </w:p>
    <w:p>
      <w:pPr>
        <w:jc w:val="center"/>
        <w:rPr>
          <w:sz w:val="24"/>
          <w:szCs w:val="24"/>
        </w:rPr>
      </w:pPr>
      <w:r>
        <w:rPr>
          <w:sz w:val="24"/>
          <w:szCs w:val="24"/>
        </w:rPr>
        <w:t>1—预制板；2—叠合层；3—附加钢筋</w:t>
      </w:r>
    </w:p>
    <w:p>
      <w:pPr>
        <w:rPr>
          <w:rFonts w:eastAsia="仿宋"/>
          <w:i/>
          <w:spacing w:val="10"/>
          <w:szCs w:val="24"/>
        </w:rPr>
      </w:pPr>
      <w:r>
        <w:rPr>
          <w:rFonts w:eastAsia="仿宋"/>
          <w:i/>
          <w:spacing w:val="10"/>
          <w:szCs w:val="24"/>
        </w:rPr>
        <w:t>【条文说明】7.4.4-7.4.5条规定了预制板端无外伸钢筋的支座构造做法。实验研究表明，板端纵向钢筋不伸入支座并设置附加钢筋时，在负弯矩作用下，叠合板端下部受压，附加钢筋能参与受拉并能达到屈服，可提高叠合板的受弯承载力。在正弯矩作用下，底部钢筋受拉，混凝土开裂后承载力快速下降，此后附加钢筋开始受拉，因此截面有效高度为附加钢筋形心至叠合板上表面距离。在各种情况下，依靠后浇层和附加钢筋，叠合板端的面内外受剪承载力和防连续能力均能满足设计要求。</w:t>
      </w:r>
    </w:p>
    <w:p>
      <w:r>
        <w:rPr>
          <w:rFonts w:hint="eastAsia"/>
          <w:b/>
          <w:bCs/>
        </w:rPr>
        <w:t>7.4.6</w:t>
      </w:r>
      <w:r>
        <w:rPr>
          <w:b/>
          <w:bCs/>
        </w:rPr>
        <w:t xml:space="preserve"> </w:t>
      </w:r>
      <w:r>
        <w:t>支座构造满足本规程第7.2.1条和第7.2.2条要求时，可不进行板端受剪承载力的验算。</w:t>
      </w:r>
    </w:p>
    <w:p>
      <w:pPr>
        <w:adjustRightInd w:val="0"/>
        <w:snapToGrid w:val="0"/>
        <w:rPr>
          <w:rFonts w:eastAsia="仿宋"/>
          <w:i/>
          <w:spacing w:val="10"/>
          <w:szCs w:val="24"/>
        </w:rPr>
      </w:pPr>
      <w:r>
        <w:rPr>
          <w:rFonts w:eastAsia="仿宋"/>
          <w:i/>
          <w:spacing w:val="10"/>
          <w:szCs w:val="24"/>
        </w:rPr>
        <w:t>【条文说明】</w:t>
      </w:r>
      <w:r>
        <w:rPr>
          <w:rFonts w:hint="eastAsia" w:eastAsia="仿宋"/>
          <w:i/>
          <w:spacing w:val="10"/>
          <w:szCs w:val="24"/>
        </w:rPr>
        <w:t>7</w:t>
      </w:r>
      <w:r>
        <w:rPr>
          <w:rFonts w:eastAsia="仿宋"/>
          <w:i/>
          <w:spacing w:val="10"/>
          <w:szCs w:val="24"/>
        </w:rPr>
        <w:t>.4.6桁架叠合板板端受剪承载力较大，通常不用验算。当特殊情况需要验算时，可按下式计算：</w:t>
      </w:r>
    </w:p>
    <w:p>
      <w:pPr>
        <w:wordWrap w:val="0"/>
        <w:adjustRightInd w:val="0"/>
        <w:snapToGrid w:val="0"/>
        <w:jc w:val="right"/>
        <w:rPr>
          <w:rFonts w:eastAsia="华文仿宋"/>
          <w:sz w:val="24"/>
          <w:szCs w:val="24"/>
        </w:rPr>
      </w:pPr>
      <w:r>
        <w:rPr>
          <w:rFonts w:eastAsiaTheme="minorEastAsia"/>
          <w:position w:val="-10"/>
          <w:sz w:val="24"/>
          <w:szCs w:val="24"/>
        </w:rPr>
        <w:object>
          <v:shape id="_x0000_i1030" o:spt="75" type="#_x0000_t75" style="height:18.45pt;width:46.1pt;" o:ole="t" filled="f" o:preferrelative="t" stroked="f" coordsize="21600,21600">
            <v:path/>
            <v:fill on="f" focussize="0,0"/>
            <v:stroke on="f" joinstyle="miter"/>
            <v:imagedata r:id="rId81" o:title=""/>
            <o:lock v:ext="edit" aspectratio="t"/>
            <w10:wrap type="none"/>
            <w10:anchorlock/>
          </v:shape>
          <o:OLEObject Type="Embed" ProgID="Equation.DSMT4" ShapeID="_x0000_i1030" DrawAspect="Content" ObjectID="_1468075730" r:id="rId80">
            <o:LockedField>false</o:LockedField>
          </o:OLEObject>
        </w:object>
      </w:r>
      <w:r>
        <w:rPr>
          <w:rFonts w:eastAsia="华文仿宋"/>
          <w:sz w:val="24"/>
          <w:szCs w:val="24"/>
        </w:rPr>
        <w:t xml:space="preserve">                             7.4.6-1</w:t>
      </w:r>
    </w:p>
    <w:p>
      <w:pPr>
        <w:wordWrap w:val="0"/>
        <w:adjustRightInd w:val="0"/>
        <w:snapToGrid w:val="0"/>
        <w:jc w:val="right"/>
        <w:rPr>
          <w:rFonts w:eastAsia="华文仿宋"/>
          <w:sz w:val="24"/>
          <w:szCs w:val="24"/>
        </w:rPr>
      </w:pPr>
      <w:r>
        <w:rPr>
          <w:position w:val="-18"/>
        </w:rPr>
        <w:object>
          <v:shape id="_x0000_i1031" o:spt="75" type="#_x0000_t75" style="height:25.9pt;width:148.05pt;" o:ole="t" filled="f" o:preferrelative="t" stroked="f" coordsize="21600,21600">
            <v:path/>
            <v:fill on="f" focussize="0,0"/>
            <v:stroke on="f" joinstyle="miter"/>
            <v:imagedata r:id="rId83" o:title=""/>
            <o:lock v:ext="edit" aspectratio="t"/>
            <w10:wrap type="none"/>
            <w10:anchorlock/>
          </v:shape>
          <o:OLEObject Type="Embed" ProgID="Equation.DSMT4" ShapeID="_x0000_i1031" DrawAspect="Content" ObjectID="_1468075731" r:id="rId82">
            <o:LockedField>false</o:LockedField>
          </o:OLEObject>
        </w:object>
      </w:r>
      <w:r>
        <w:rPr>
          <w:rFonts w:eastAsia="华文仿宋"/>
          <w:sz w:val="24"/>
          <w:szCs w:val="24"/>
        </w:rPr>
        <w:t xml:space="preserve">                    7.4.6-2</w:t>
      </w:r>
    </w:p>
    <w:p>
      <w:pPr>
        <w:adjustRightInd w:val="0"/>
        <w:snapToGrid w:val="0"/>
        <w:rPr>
          <w:rFonts w:eastAsia="华文仿宋"/>
          <w:szCs w:val="28"/>
        </w:rPr>
      </w:pPr>
      <w:r>
        <w:rPr>
          <w:rFonts w:eastAsia="华文仿宋"/>
          <w:szCs w:val="28"/>
        </w:rPr>
        <w:t>式中：</w:t>
      </w:r>
      <w:r>
        <w:rPr>
          <w:rFonts w:eastAsia="华文仿宋"/>
          <w:i/>
          <w:szCs w:val="28"/>
        </w:rPr>
        <w:t>V</w:t>
      </w:r>
      <w:r>
        <w:rPr>
          <w:rFonts w:eastAsia="华文仿宋"/>
          <w:szCs w:val="28"/>
          <w:vertAlign w:val="subscript"/>
        </w:rPr>
        <w:t>Sk</w:t>
      </w:r>
      <w:r>
        <w:rPr>
          <w:rFonts w:eastAsia="华文仿宋"/>
          <w:szCs w:val="28"/>
        </w:rPr>
        <w:t>——竖向荷载作用下单位长度内板端边缘剪力标准值；</w:t>
      </w:r>
    </w:p>
    <w:p>
      <w:pPr>
        <w:adjustRightInd w:val="0"/>
        <w:snapToGrid w:val="0"/>
        <w:rPr>
          <w:rFonts w:eastAsia="华文仿宋"/>
          <w:szCs w:val="28"/>
        </w:rPr>
      </w:pPr>
      <w:r>
        <w:rPr>
          <w:rFonts w:eastAsia="华文仿宋"/>
          <w:i/>
          <w:szCs w:val="28"/>
        </w:rPr>
        <w:t>V</w:t>
      </w:r>
      <w:r>
        <w:rPr>
          <w:rFonts w:eastAsia="华文仿宋"/>
          <w:szCs w:val="28"/>
          <w:vertAlign w:val="subscript"/>
        </w:rPr>
        <w:t>Rk</w:t>
      </w:r>
      <w:r>
        <w:rPr>
          <w:rFonts w:eastAsia="华文仿宋"/>
          <w:szCs w:val="28"/>
        </w:rPr>
        <w:t>——剪切面抗剪承载力（销栓抗剪）标准值；</w:t>
      </w:r>
    </w:p>
    <w:p>
      <w:pPr>
        <w:adjustRightInd w:val="0"/>
        <w:snapToGrid w:val="0"/>
        <w:rPr>
          <w:rFonts w:eastAsia="华文仿宋"/>
          <w:szCs w:val="28"/>
        </w:rPr>
      </w:pPr>
      <w:r>
        <w:rPr>
          <w:rFonts w:eastAsia="华文仿宋"/>
          <w:i/>
          <w:szCs w:val="28"/>
        </w:rPr>
        <w:t>n</w:t>
      </w:r>
      <w:r>
        <w:rPr>
          <w:rFonts w:eastAsia="华文仿宋"/>
          <w:szCs w:val="28"/>
          <w:vertAlign w:val="subscript"/>
        </w:rPr>
        <w:t>d</w:t>
      </w:r>
      <w:r>
        <w:rPr>
          <w:rFonts w:eastAsia="华文仿宋"/>
          <w:szCs w:val="28"/>
        </w:rPr>
        <w:t>——单位长度内销栓钢筋根数；</w:t>
      </w:r>
    </w:p>
    <w:p>
      <w:pPr>
        <w:adjustRightInd w:val="0"/>
        <w:snapToGrid w:val="0"/>
        <w:rPr>
          <w:rFonts w:eastAsia="华文仿宋"/>
          <w:szCs w:val="28"/>
        </w:rPr>
      </w:pPr>
      <w:r>
        <w:rPr>
          <w:rFonts w:eastAsia="华文仿宋"/>
          <w:i/>
          <w:szCs w:val="28"/>
        </w:rPr>
        <w:t>α</w:t>
      </w:r>
      <w:r>
        <w:rPr>
          <w:rFonts w:eastAsia="华文仿宋"/>
          <w:szCs w:val="28"/>
        </w:rPr>
        <w:t>——板端负筋拉应力标准值与钢筋强度标准值之比；</w:t>
      </w:r>
    </w:p>
    <w:p>
      <w:pPr>
        <w:adjustRightInd w:val="0"/>
        <w:snapToGrid w:val="0"/>
        <w:rPr>
          <w:kern w:val="0"/>
        </w:rPr>
      </w:pPr>
      <w:r>
        <w:rPr>
          <w:rFonts w:eastAsia="华文仿宋"/>
          <w:i/>
          <w:szCs w:val="28"/>
        </w:rPr>
        <w:t>A</w:t>
      </w:r>
      <w:r>
        <w:rPr>
          <w:rFonts w:eastAsia="华文仿宋"/>
          <w:szCs w:val="28"/>
          <w:vertAlign w:val="subscript"/>
        </w:rPr>
        <w:t>D</w:t>
      </w:r>
      <w:r>
        <w:rPr>
          <w:rFonts w:eastAsia="华文仿宋"/>
          <w:szCs w:val="28"/>
        </w:rPr>
        <w:t>——单根销栓钢筋面积。</w:t>
      </w:r>
    </w:p>
    <w:bookmarkEnd w:id="120"/>
    <w:p>
      <w:pPr>
        <w:pStyle w:val="54"/>
        <w:jc w:val="both"/>
      </w:pPr>
    </w:p>
    <w:p>
      <w:pPr>
        <w:pStyle w:val="54"/>
        <w:sectPr>
          <w:type w:val="continuous"/>
          <w:pgSz w:w="11906" w:h="16838"/>
          <w:pgMar w:top="1440" w:right="1800" w:bottom="1440" w:left="1800" w:header="851" w:footer="992" w:gutter="0"/>
          <w:cols w:space="425" w:num="1"/>
          <w:docGrid w:type="linesAndChars" w:linePitch="312" w:charSpace="0"/>
        </w:sectPr>
      </w:pPr>
    </w:p>
    <w:bookmarkEnd w:id="119"/>
    <w:p>
      <w:pPr>
        <w:pStyle w:val="2"/>
        <w:pageBreakBefore/>
        <w:spacing w:before="312" w:after="312"/>
        <w:ind w:left="425" w:hanging="431"/>
      </w:pPr>
      <w:bookmarkStart w:id="122" w:name="_Toc45313939"/>
      <w:bookmarkStart w:id="123" w:name="_Toc45574544"/>
      <w:bookmarkStart w:id="124" w:name="_Toc38289863"/>
      <w:r>
        <w:t>多层叠合</w:t>
      </w:r>
      <w:r>
        <w:rPr>
          <w:rFonts w:hint="eastAsia"/>
        </w:rPr>
        <w:t>剪力</w:t>
      </w:r>
      <w:r>
        <w:t>墙设计</w:t>
      </w:r>
      <w:bookmarkEnd w:id="122"/>
      <w:bookmarkEnd w:id="123"/>
    </w:p>
    <w:p>
      <w:pPr>
        <w:pStyle w:val="3"/>
      </w:pPr>
      <w:bookmarkStart w:id="125" w:name="_Toc45574545"/>
      <w:bookmarkStart w:id="126" w:name="_Toc45313940"/>
      <w:r>
        <w:t>一般规定</w:t>
      </w:r>
      <w:bookmarkEnd w:id="125"/>
      <w:bookmarkEnd w:id="126"/>
    </w:p>
    <w:p>
      <w:r>
        <w:rPr>
          <w:b/>
          <w:bCs/>
        </w:rPr>
        <w:t xml:space="preserve">8.1.1 </w:t>
      </w:r>
      <w:r>
        <w:t>本章节内容仅适用于抗震设防烈度为7度及以下的10层以下且房屋高度不大于28m的住宅建筑、房屋高度不大于24m的其他多层民用建筑的叠合剪力墙结构。</w:t>
      </w:r>
    </w:p>
    <w:p>
      <w:pPr>
        <w:rPr>
          <w:rFonts w:eastAsia="仿宋"/>
          <w:i/>
          <w:spacing w:val="10"/>
          <w:szCs w:val="24"/>
        </w:rPr>
      </w:pPr>
      <w:r>
        <w:rPr>
          <w:rFonts w:eastAsia="仿宋"/>
          <w:i/>
          <w:spacing w:val="10"/>
          <w:szCs w:val="24"/>
        </w:rPr>
        <w:t>【条文说明】本条适用范围参考行业标准《高层混凝土结构技术规程》JGJ 3针对高层建筑定义以外的多层无转换的叠合墙结构建筑，抗震设防烈度为8度及部分框肢叠合剪力墙结构受力复杂不适用于本章内容。</w:t>
      </w:r>
    </w:p>
    <w:p>
      <w:pPr>
        <w:rPr>
          <w:rFonts w:eastAsia="仿宋"/>
          <w:i/>
          <w:spacing w:val="10"/>
          <w:szCs w:val="24"/>
        </w:rPr>
      </w:pPr>
      <w:r>
        <w:rPr>
          <w:rFonts w:eastAsia="仿宋"/>
          <w:i/>
          <w:spacing w:val="10"/>
          <w:szCs w:val="24"/>
        </w:rPr>
        <w:tab/>
      </w:r>
      <w:r>
        <w:rPr>
          <w:rFonts w:eastAsia="仿宋"/>
          <w:i/>
          <w:spacing w:val="10"/>
          <w:szCs w:val="24"/>
        </w:rPr>
        <w:t>本章的多层装配整体式叠合墙是在高层装配整体式叠合墙的基础上进行简化，并参考现行国家标准《装配式混凝土建筑技术标准》GB/T 51231及行业标准《装配式混凝土结构技术规程》JGJ 1的相有关要求，制定的一种主要用于多层建筑的装配整体式叠合墙结构。此种结构体系构造简单、施工方便，可在广大新农村、城镇等地区的多层建筑中使用。单面叠合剪力墙在多层建筑中没有特别好的优势，所以本章节不在另行表达。</w:t>
      </w:r>
    </w:p>
    <w:p>
      <w:r>
        <w:rPr>
          <w:b/>
          <w:bCs/>
        </w:rPr>
        <w:t xml:space="preserve">8.1.2 </w:t>
      </w:r>
      <w:r>
        <w:t>多层叠合剪力墙结构构件的抗震设计，应根据抗震设防分类、烈度、结构类型、房屋高度和场地类别等采用不同的抗震等级，并 应符合相应的计算和构造措施要求。丙类建筑叠合剪力墙结构的抗震等级应按表 8.1.2确定。</w:t>
      </w:r>
    </w:p>
    <w:tbl>
      <w:tblPr>
        <w:tblStyle w:val="31"/>
        <w:tblW w:w="7513"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560"/>
        <w:gridCol w:w="1417"/>
        <w:gridCol w:w="1418"/>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gridSpan w:val="5"/>
            <w:tcBorders>
              <w:top w:val="nil"/>
              <w:left w:val="nil"/>
              <w:bottom w:val="single" w:color="auto" w:sz="12" w:space="0"/>
              <w:right w:val="nil"/>
            </w:tcBorders>
          </w:tcPr>
          <w:p>
            <w:pPr>
              <w:jc w:val="center"/>
              <w:rPr>
                <w:b/>
                <w:bCs/>
              </w:rPr>
            </w:pPr>
            <w:r>
              <w:rPr>
                <w:b/>
                <w:bCs/>
              </w:rPr>
              <w:t>表8.1.2 标准设防类多层叠合剪力墙结构的抗震等级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gridSpan w:val="2"/>
            <w:vMerge w:val="restart"/>
            <w:tcBorders>
              <w:top w:val="single" w:color="auto" w:sz="12" w:space="0"/>
              <w:left w:val="single" w:color="auto" w:sz="12" w:space="0"/>
              <w:right w:val="single" w:color="auto" w:sz="4" w:space="0"/>
            </w:tcBorders>
            <w:vAlign w:val="center"/>
          </w:tcPr>
          <w:p>
            <w:pPr>
              <w:jc w:val="center"/>
              <w:rPr>
                <w:sz w:val="24"/>
                <w:szCs w:val="24"/>
              </w:rPr>
            </w:pPr>
            <w:r>
              <w:rPr>
                <w:sz w:val="24"/>
                <w:szCs w:val="24"/>
              </w:rPr>
              <w:t>结构类型</w:t>
            </w:r>
          </w:p>
        </w:tc>
        <w:tc>
          <w:tcPr>
            <w:tcW w:w="4819" w:type="dxa"/>
            <w:gridSpan w:val="3"/>
            <w:tcBorders>
              <w:top w:val="single" w:color="auto" w:sz="12" w:space="0"/>
              <w:left w:val="single" w:color="auto" w:sz="4" w:space="0"/>
              <w:right w:val="single" w:color="auto" w:sz="12" w:space="0"/>
            </w:tcBorders>
          </w:tcPr>
          <w:p>
            <w:pPr>
              <w:jc w:val="center"/>
              <w:rPr>
                <w:sz w:val="24"/>
                <w:szCs w:val="24"/>
              </w:rPr>
            </w:pPr>
            <w:r>
              <w:rPr>
                <w:sz w:val="24"/>
                <w:szCs w:val="24"/>
              </w:rPr>
              <w:t>抗震设防烈度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gridSpan w:val="2"/>
            <w:vMerge w:val="continue"/>
            <w:tcBorders>
              <w:left w:val="single" w:color="auto" w:sz="12" w:space="0"/>
              <w:bottom w:val="single" w:color="auto" w:sz="12" w:space="0"/>
              <w:right w:val="single" w:color="auto" w:sz="4" w:space="0"/>
            </w:tcBorders>
            <w:vAlign w:val="center"/>
          </w:tcPr>
          <w:p>
            <w:pPr>
              <w:jc w:val="center"/>
              <w:rPr>
                <w:sz w:val="24"/>
                <w:szCs w:val="24"/>
              </w:rPr>
            </w:pPr>
          </w:p>
        </w:tc>
        <w:tc>
          <w:tcPr>
            <w:tcW w:w="1417" w:type="dxa"/>
            <w:tcBorders>
              <w:left w:val="single" w:color="auto" w:sz="4" w:space="0"/>
              <w:bottom w:val="single" w:color="auto" w:sz="12" w:space="0"/>
              <w:right w:val="single" w:color="auto" w:sz="4" w:space="0"/>
            </w:tcBorders>
            <w:vAlign w:val="center"/>
          </w:tcPr>
          <w:p>
            <w:pPr>
              <w:jc w:val="center"/>
              <w:rPr>
                <w:sz w:val="24"/>
                <w:szCs w:val="24"/>
              </w:rPr>
            </w:pPr>
            <w:r>
              <w:rPr>
                <w:sz w:val="24"/>
                <w:szCs w:val="24"/>
              </w:rPr>
              <w:t>6度</w:t>
            </w:r>
          </w:p>
        </w:tc>
        <w:tc>
          <w:tcPr>
            <w:tcW w:w="3402" w:type="dxa"/>
            <w:gridSpan w:val="2"/>
            <w:tcBorders>
              <w:left w:val="single" w:color="auto" w:sz="4" w:space="0"/>
              <w:bottom w:val="single" w:color="auto" w:sz="12" w:space="0"/>
              <w:right w:val="single" w:color="auto" w:sz="12" w:space="0"/>
            </w:tcBorders>
            <w:vAlign w:val="center"/>
          </w:tcPr>
          <w:p>
            <w:pPr>
              <w:jc w:val="center"/>
              <w:rPr>
                <w:sz w:val="24"/>
                <w:szCs w:val="24"/>
              </w:rPr>
            </w:pPr>
            <w:r>
              <w:rPr>
                <w:sz w:val="24"/>
                <w:szCs w:val="24"/>
              </w:rPr>
              <w:t>7度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restart"/>
            <w:tcBorders>
              <w:top w:val="single" w:color="auto" w:sz="12" w:space="0"/>
              <w:left w:val="single" w:color="auto" w:sz="12" w:space="0"/>
            </w:tcBorders>
            <w:vAlign w:val="center"/>
          </w:tcPr>
          <w:p>
            <w:pPr>
              <w:jc w:val="center"/>
              <w:rPr>
                <w:sz w:val="24"/>
                <w:szCs w:val="24"/>
              </w:rPr>
            </w:pPr>
            <w:r>
              <w:rPr>
                <w:sz w:val="24"/>
                <w:szCs w:val="24"/>
              </w:rPr>
              <w:t>叠合剪力墙</w:t>
            </w:r>
          </w:p>
        </w:tc>
        <w:tc>
          <w:tcPr>
            <w:tcW w:w="1560" w:type="dxa"/>
            <w:tcBorders>
              <w:top w:val="single" w:color="auto" w:sz="12" w:space="0"/>
              <w:right w:val="single" w:color="auto" w:sz="4" w:space="0"/>
            </w:tcBorders>
            <w:vAlign w:val="center"/>
          </w:tcPr>
          <w:p>
            <w:pPr>
              <w:jc w:val="center"/>
              <w:rPr>
                <w:sz w:val="24"/>
                <w:szCs w:val="24"/>
              </w:rPr>
            </w:pPr>
            <w:r>
              <w:rPr>
                <w:sz w:val="24"/>
                <w:szCs w:val="24"/>
              </w:rPr>
              <w:t>高度（</w:t>
            </w:r>
            <m:oMath>
              <m:r>
                <m:rPr>
                  <m:sty m:val="p"/>
                </m:rPr>
                <w:rPr>
                  <w:rFonts w:ascii="Cambria Math" w:hAnsi="Cambria Math"/>
                  <w:sz w:val="24"/>
                  <w:szCs w:val="24"/>
                </w:rPr>
                <m:t>m</m:t>
              </m:r>
            </m:oMath>
            <w:r>
              <w:rPr>
                <w:sz w:val="24"/>
                <w:szCs w:val="24"/>
              </w:rPr>
              <w:t>）</w:t>
            </w:r>
          </w:p>
        </w:tc>
        <w:tc>
          <w:tcPr>
            <w:tcW w:w="1417" w:type="dxa"/>
            <w:tcBorders>
              <w:top w:val="single" w:color="auto" w:sz="12" w:space="0"/>
              <w:right w:val="single" w:color="auto" w:sz="4" w:space="0"/>
            </w:tcBorders>
            <w:vAlign w:val="center"/>
          </w:tcPr>
          <w:p>
            <w:pPr>
              <w:jc w:val="center"/>
              <w:rPr>
                <w:rFonts w:eastAsia="等线 Light"/>
                <w:sz w:val="24"/>
                <w:szCs w:val="24"/>
              </w:rPr>
            </w:pPr>
            <w:r>
              <w:rPr>
                <w:sz w:val="24"/>
                <w:szCs w:val="24"/>
              </w:rPr>
              <w:t>≤28</w:t>
            </w:r>
          </w:p>
        </w:tc>
        <w:tc>
          <w:tcPr>
            <w:tcW w:w="1418" w:type="dxa"/>
            <w:tcBorders>
              <w:top w:val="single" w:color="auto" w:sz="12" w:space="0"/>
              <w:left w:val="single" w:color="auto" w:sz="4" w:space="0"/>
            </w:tcBorders>
            <w:vAlign w:val="center"/>
          </w:tcPr>
          <w:p>
            <w:pPr>
              <w:jc w:val="center"/>
              <w:rPr>
                <w:sz w:val="24"/>
                <w:szCs w:val="24"/>
              </w:rPr>
            </w:pPr>
            <w:r>
              <w:rPr>
                <w:sz w:val="24"/>
                <w:szCs w:val="24"/>
              </w:rPr>
              <w:t>≤24</w:t>
            </w:r>
          </w:p>
        </w:tc>
        <w:tc>
          <w:tcPr>
            <w:tcW w:w="1984" w:type="dxa"/>
            <w:tcBorders>
              <w:top w:val="single" w:color="auto" w:sz="12" w:space="0"/>
              <w:right w:val="single" w:color="auto" w:sz="12" w:space="0"/>
            </w:tcBorders>
            <w:vAlign w:val="center"/>
          </w:tcPr>
          <w:p>
            <w:pPr>
              <w:jc w:val="center"/>
              <w:rPr>
                <w:sz w:val="24"/>
                <w:szCs w:val="24"/>
              </w:rPr>
            </w:pPr>
            <w:r>
              <w:rPr>
                <w:sz w:val="24"/>
                <w:szCs w:val="24"/>
              </w:rPr>
              <w:t>＞24且≤28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vMerge w:val="continue"/>
            <w:tcBorders>
              <w:left w:val="single" w:color="auto" w:sz="12" w:space="0"/>
            </w:tcBorders>
            <w:vAlign w:val="center"/>
          </w:tcPr>
          <w:p>
            <w:pPr>
              <w:jc w:val="center"/>
              <w:rPr>
                <w:sz w:val="24"/>
                <w:szCs w:val="24"/>
              </w:rPr>
            </w:pPr>
          </w:p>
        </w:tc>
        <w:tc>
          <w:tcPr>
            <w:tcW w:w="1560" w:type="dxa"/>
            <w:tcBorders>
              <w:right w:val="single" w:color="auto" w:sz="4" w:space="0"/>
            </w:tcBorders>
            <w:vAlign w:val="center"/>
          </w:tcPr>
          <w:p>
            <w:pPr>
              <w:jc w:val="center"/>
              <w:rPr>
                <w:sz w:val="24"/>
                <w:szCs w:val="24"/>
              </w:rPr>
            </w:pPr>
            <w:r>
              <w:rPr>
                <w:sz w:val="24"/>
                <w:szCs w:val="24"/>
              </w:rPr>
              <w:t>剪力墙</w:t>
            </w:r>
          </w:p>
        </w:tc>
        <w:tc>
          <w:tcPr>
            <w:tcW w:w="1417" w:type="dxa"/>
            <w:tcBorders>
              <w:right w:val="single" w:color="auto" w:sz="4" w:space="0"/>
            </w:tcBorders>
            <w:vAlign w:val="center"/>
          </w:tcPr>
          <w:p>
            <w:pPr>
              <w:jc w:val="center"/>
              <w:rPr>
                <w:sz w:val="24"/>
                <w:szCs w:val="24"/>
              </w:rPr>
            </w:pPr>
            <w:r>
              <w:rPr>
                <w:sz w:val="24"/>
                <w:szCs w:val="24"/>
              </w:rPr>
              <w:t>四</w:t>
            </w:r>
          </w:p>
        </w:tc>
        <w:tc>
          <w:tcPr>
            <w:tcW w:w="1418" w:type="dxa"/>
            <w:tcBorders>
              <w:left w:val="single" w:color="auto" w:sz="4" w:space="0"/>
            </w:tcBorders>
            <w:vAlign w:val="center"/>
          </w:tcPr>
          <w:p>
            <w:pPr>
              <w:jc w:val="center"/>
              <w:rPr>
                <w:sz w:val="24"/>
                <w:szCs w:val="24"/>
              </w:rPr>
            </w:pPr>
            <w:r>
              <w:rPr>
                <w:sz w:val="24"/>
                <w:szCs w:val="24"/>
              </w:rPr>
              <w:t>四</w:t>
            </w:r>
          </w:p>
        </w:tc>
        <w:tc>
          <w:tcPr>
            <w:tcW w:w="1984" w:type="dxa"/>
            <w:tcBorders>
              <w:right w:val="single" w:color="auto" w:sz="12" w:space="0"/>
            </w:tcBorders>
            <w:vAlign w:val="center"/>
          </w:tcPr>
          <w:p>
            <w:pPr>
              <w:jc w:val="center"/>
              <w:rPr>
                <w:sz w:val="24"/>
                <w:szCs w:val="24"/>
              </w:rPr>
            </w:pPr>
            <w:r>
              <w:rPr>
                <w:sz w:val="24"/>
                <w:szCs w:val="24"/>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gridSpan w:val="5"/>
            <w:tcBorders>
              <w:top w:val="single" w:color="auto" w:sz="12" w:space="0"/>
              <w:left w:val="nil"/>
              <w:bottom w:val="nil"/>
              <w:right w:val="nil"/>
            </w:tcBorders>
            <w:vAlign w:val="center"/>
          </w:tcPr>
          <w:p>
            <w:pPr>
              <w:rPr>
                <w:sz w:val="21"/>
                <w:szCs w:val="21"/>
              </w:rPr>
            </w:pPr>
            <w:r>
              <w:rPr>
                <w:sz w:val="21"/>
                <w:szCs w:val="21"/>
              </w:rPr>
              <w:t>注：接近或等于高度分界时，应结合房屋不规则程度及场地、地基条件适当确 定抗震等级。</w:t>
            </w:r>
          </w:p>
        </w:tc>
      </w:tr>
    </w:tbl>
    <w:p>
      <w:pPr>
        <w:rPr>
          <w:rFonts w:eastAsia="仿宋"/>
          <w:i/>
          <w:spacing w:val="10"/>
          <w:szCs w:val="24"/>
        </w:rPr>
      </w:pPr>
      <w:r>
        <w:rPr>
          <w:rFonts w:eastAsia="仿宋"/>
          <w:i/>
          <w:spacing w:val="10"/>
          <w:szCs w:val="24"/>
        </w:rPr>
        <w:t>【条文说明】8.1.2 在7度区的建筑高度不小于24m时，按照本规程5.1.3条要求，其抗震设防烈度应不小于三级。</w:t>
      </w:r>
    </w:p>
    <w:p>
      <w:r>
        <w:rPr>
          <w:b/>
          <w:bCs/>
        </w:rPr>
        <w:t xml:space="preserve">8.1.3 </w:t>
      </w:r>
      <w:r>
        <w:t>多层叠合墙结构墙肢厚度不宜小于200mm，夹心保温叠合墙墙肢厚度不宜小于150mm，叠合墙预制板厚度不宜小于50mm。</w:t>
      </w:r>
    </w:p>
    <w:p>
      <w:pPr>
        <w:rPr>
          <w:rFonts w:eastAsia="仿宋"/>
          <w:i/>
          <w:spacing w:val="10"/>
          <w:szCs w:val="24"/>
        </w:rPr>
      </w:pPr>
      <w:r>
        <w:rPr>
          <w:rFonts w:eastAsia="仿宋"/>
          <w:i/>
          <w:spacing w:val="10"/>
          <w:szCs w:val="24"/>
        </w:rPr>
        <w:t>【条文说明】8.1.3 设置本条主要目的是叠合墙现浇空腔内需要满足设置暗柱或后浇段的要求，且能够有效保证后期浇筑质量。</w:t>
      </w:r>
    </w:p>
    <w:p>
      <w:r>
        <w:rPr>
          <w:b/>
          <w:bCs/>
        </w:rPr>
        <w:t xml:space="preserve">8.1.4 </w:t>
      </w:r>
      <w:r>
        <w:t>多层叠合墙中水平及竖向分布筋除满足计算要求外，其最小配筋率均不应小于0.15%。</w:t>
      </w:r>
    </w:p>
    <w:p>
      <w:r>
        <w:rPr>
          <w:b/>
          <w:bCs/>
        </w:rPr>
        <w:t xml:space="preserve">8.1.5 </w:t>
      </w:r>
      <w:r>
        <w:t>多层叠合剪力墙设计除满足本章规定外，尚应符合本规程其他章节的相关要求。</w:t>
      </w:r>
    </w:p>
    <w:p>
      <w:pPr>
        <w:pStyle w:val="3"/>
      </w:pPr>
      <w:r>
        <w:t xml:space="preserve"> </w:t>
      </w:r>
      <w:bookmarkStart w:id="127" w:name="_Toc45574546"/>
      <w:bookmarkStart w:id="128" w:name="_Toc45313941"/>
      <w:r>
        <w:t>结构设计与构造</w:t>
      </w:r>
      <w:bookmarkEnd w:id="127"/>
      <w:bookmarkEnd w:id="128"/>
    </w:p>
    <w:p>
      <w:r>
        <w:rPr>
          <w:b/>
          <w:bCs/>
        </w:rPr>
        <w:t>8.2.1</w:t>
      </w:r>
      <w:r>
        <w:t>多层叠合墙结构可采用现浇结构整体分析方法进行设计，且应满足以下规定：</w:t>
      </w:r>
    </w:p>
    <w:p>
      <w:pPr>
        <w:pStyle w:val="47"/>
        <w:numPr>
          <w:ilvl w:val="0"/>
          <w:numId w:val="36"/>
        </w:numPr>
        <w:ind w:left="0" w:firstLine="576" w:firstLineChars="200"/>
      </w:pPr>
      <w:r>
        <w:t>结构在多遇地震作用下的变形验算应采用弹性方法，墙体按不考虑竖向拼缝的整体墙计算；</w:t>
      </w:r>
    </w:p>
    <w:p>
      <w:pPr>
        <w:pStyle w:val="47"/>
        <w:numPr>
          <w:ilvl w:val="0"/>
          <w:numId w:val="36"/>
        </w:numPr>
        <w:ind w:left="0" w:firstLine="576" w:firstLineChars="200"/>
      </w:pPr>
      <w:r>
        <w:t>结构在多遇地震及设防烈度地震作用下，进行构件及水平接缝承载力计算时，应采用弹性分析方法，并按照无竖向接缝进行设计；</w:t>
      </w:r>
    </w:p>
    <w:p>
      <w:pPr>
        <w:rPr>
          <w:rFonts w:eastAsia="仿宋"/>
          <w:i/>
          <w:spacing w:val="10"/>
          <w:szCs w:val="24"/>
        </w:rPr>
      </w:pPr>
      <w:r>
        <w:rPr>
          <w:rFonts w:eastAsia="仿宋"/>
          <w:i/>
          <w:spacing w:val="10"/>
          <w:szCs w:val="24"/>
        </w:rPr>
        <w:t>【条文说明】8.2.1多层建筑在多遇地震作用下竖向拼缝处产生的剪力较小，竖向缝处混凝土及钢筋仍处于弹性工作状态，结构整体计算时各墙板之间可视为整体。结构在进行罕遇地震下的弹塑性分析时，应沿竖向接缝将墙板划分为相互独立的多个计算单元。在罕遇地震作用下，墙板之间竖向缝可视为完全破坏，各墙板按照单独的计算单元进行弹塑性分析，满足弹塑性计算的相关要求，确保房屋在大震作用下不出现倒塌。</w:t>
      </w:r>
    </w:p>
    <w:p>
      <w:r>
        <w:rPr>
          <w:b/>
          <w:bCs/>
        </w:rPr>
        <w:t xml:space="preserve">8.2.2 </w:t>
      </w:r>
      <w:r>
        <w:t>多层叠合墙结构中，在叠合墙板对接、转角、纵横墙交接部分的空腔内应设置暗柱或单排钢筋网，并应符合下列规定：</w:t>
      </w:r>
    </w:p>
    <w:p>
      <w:pPr>
        <w:pStyle w:val="47"/>
        <w:numPr>
          <w:ilvl w:val="0"/>
          <w:numId w:val="37"/>
        </w:numPr>
        <w:ind w:left="0" w:firstLine="576" w:firstLineChars="200"/>
      </w:pPr>
      <w:r>
        <w:t>空腔厚度不小于100mm时应设置暗柱；空腔厚度小于100mm时可设置单排钢筋网；</w:t>
      </w:r>
    </w:p>
    <w:p>
      <w:pPr>
        <w:pStyle w:val="47"/>
        <w:numPr>
          <w:ilvl w:val="0"/>
          <w:numId w:val="37"/>
        </w:numPr>
        <w:ind w:left="0" w:firstLine="576" w:firstLineChars="200"/>
      </w:pPr>
      <w:r>
        <w:t>暗柱箍筋或单排钢筋网水平拉筋与叶板内水平分布钢筋的重叠长度不应小于15d且不宜大于200mm；</w:t>
      </w:r>
    </w:p>
    <w:p>
      <w:pPr>
        <w:pStyle w:val="47"/>
        <w:numPr>
          <w:ilvl w:val="0"/>
          <w:numId w:val="37"/>
        </w:numPr>
        <w:ind w:left="0" w:firstLine="576" w:firstLineChars="200"/>
      </w:pPr>
      <w:r>
        <w:t>暗柱和单排钢筋网竖向钢筋直径不应小于10mm、间距不应大于200mm；暗柱竖向钢筋不应少于4根，单排钢筋网竖向钢筋不应少于3根；暗柱箍筋和单排钢筋网水平分布拉筋的直径不应小于6mm，间距不应大于200mm；</w:t>
      </w:r>
    </w:p>
    <w:p>
      <w:pPr>
        <w:pStyle w:val="47"/>
        <w:numPr>
          <w:ilvl w:val="0"/>
          <w:numId w:val="37"/>
        </w:numPr>
        <w:ind w:left="0" w:firstLine="576" w:firstLineChars="200"/>
      </w:pPr>
      <w:r>
        <w:t>叠合墙叶板之间的垂直拼缝宽度不宜小于20mm且不宜大于30mm。</w:t>
      </w:r>
    </w:p>
    <w:p>
      <w:pPr>
        <w:rPr>
          <w:rFonts w:eastAsia="仿宋"/>
          <w:i/>
          <w:spacing w:val="10"/>
          <w:szCs w:val="24"/>
        </w:rPr>
      </w:pPr>
      <w:r>
        <w:rPr>
          <w:rFonts w:eastAsia="仿宋"/>
          <w:i/>
          <w:spacing w:val="10"/>
          <w:szCs w:val="24"/>
        </w:rPr>
        <w:t>【条文说明】8.2.2考虑连接点处暗柱或单排钢筋网与叠合墙体相交，取抗剪搭接长度不小于15d，另由于空腔内的混凝土浇筑时对内外叶板有一定的压力作用，为减少接缝处内外叶板产生弯曲变形，叠合墙体边缘第一榀钢筋桁架距离板边缘的距离不宜大于200mm。因此即15d≤a≤200mm。对于叶板之间的拼缝考虑免支模因素，一般设计缝宽可考虑20mm，在施工中可采用PE棒或发泡胶封堵以防止漏浆，后期应清除拼缝内的填充材料并采用强度不低于C25的微膨胀抗裂砂浆进行填实。</w:t>
      </w:r>
    </w:p>
    <w:tbl>
      <w:tblPr>
        <w:tblStyle w:val="30"/>
        <w:tblW w:w="0" w:type="auto"/>
        <w:tblInd w:w="0" w:type="dxa"/>
        <w:tblLayout w:type="autofit"/>
        <w:tblCellMar>
          <w:top w:w="0" w:type="dxa"/>
          <w:left w:w="108" w:type="dxa"/>
          <w:bottom w:w="0" w:type="dxa"/>
          <w:right w:w="108" w:type="dxa"/>
        </w:tblCellMar>
      </w:tblPr>
      <w:tblGrid>
        <w:gridCol w:w="4148"/>
        <w:gridCol w:w="4326"/>
      </w:tblGrid>
      <w:tr>
        <w:tblPrEx>
          <w:tblCellMar>
            <w:top w:w="0" w:type="dxa"/>
            <w:left w:w="108" w:type="dxa"/>
            <w:bottom w:w="0" w:type="dxa"/>
            <w:right w:w="108" w:type="dxa"/>
          </w:tblCellMar>
        </w:tblPrEx>
        <w:trPr>
          <w:trHeight w:val="3392" w:hRule="atLeast"/>
        </w:trPr>
        <w:tc>
          <w:tcPr>
            <w:tcW w:w="4148" w:type="dxa"/>
            <w:vAlign w:val="center"/>
          </w:tcPr>
          <w:p>
            <w:pPr>
              <w:jc w:val="center"/>
            </w:pPr>
            <w:r>
              <w:rPr>
                <w:b/>
                <w:bCs/>
              </w:rPr>
              <mc:AlternateContent>
                <mc:Choice Requires="wpg">
                  <w:drawing>
                    <wp:inline distT="0" distB="0" distL="0" distR="0">
                      <wp:extent cx="2198370" cy="1613535"/>
                      <wp:effectExtent l="0" t="0" r="0" b="5715"/>
                      <wp:docPr id="18" name="组合 18"/>
                      <wp:cNvGraphicFramePr/>
                      <a:graphic xmlns:a="http://schemas.openxmlformats.org/drawingml/2006/main">
                        <a:graphicData uri="http://schemas.microsoft.com/office/word/2010/wordprocessingGroup">
                          <wpg:wgp>
                            <wpg:cNvGrpSpPr/>
                            <wpg:grpSpPr>
                              <a:xfrm>
                                <a:off x="0" y="0"/>
                                <a:ext cx="2198914" cy="1613719"/>
                                <a:chOff x="0" y="0"/>
                                <a:chExt cx="5263515" cy="3863340"/>
                              </a:xfrm>
                            </wpg:grpSpPr>
                            <pic:pic xmlns:pic="http://schemas.openxmlformats.org/drawingml/2006/picture">
                              <pic:nvPicPr>
                                <pic:cNvPr id="20" name="图片 20"/>
                                <pic:cNvPicPr>
                                  <a:picLocks noChangeAspect="1"/>
                                </pic:cNvPicPr>
                              </pic:nvPicPr>
                              <pic:blipFill>
                                <a:blip r:embed="rId84">
                                  <a:extLst>
                                    <a:ext uri="{28A0092B-C50C-407E-A947-70E740481C1C}">
                                      <a14:useLocalDpi xmlns:a14="http://schemas.microsoft.com/office/drawing/2010/main" val="0"/>
                                    </a:ext>
                                  </a:extLst>
                                </a:blip>
                                <a:srcRect/>
                                <a:stretch>
                                  <a:fillRect/>
                                </a:stretch>
                              </pic:blipFill>
                              <pic:spPr>
                                <a:xfrm>
                                  <a:off x="182880" y="1258824"/>
                                  <a:ext cx="4900295" cy="1480820"/>
                                </a:xfrm>
                                <a:prstGeom prst="rect">
                                  <a:avLst/>
                                </a:prstGeom>
                                <a:noFill/>
                                <a:ln>
                                  <a:noFill/>
                                </a:ln>
                              </pic:spPr>
                            </pic:pic>
                            <pic:pic xmlns:pic="http://schemas.openxmlformats.org/drawingml/2006/picture">
                              <pic:nvPicPr>
                                <pic:cNvPr id="26" name="图片 26"/>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a:xfrm>
                                  <a:off x="0" y="0"/>
                                  <a:ext cx="5263515" cy="3863340"/>
                                </a:xfrm>
                                <a:prstGeom prst="rect">
                                  <a:avLst/>
                                </a:prstGeom>
                                <a:noFill/>
                                <a:ln>
                                  <a:noFill/>
                                </a:ln>
                              </pic:spPr>
                            </pic:pic>
                          </wpg:wgp>
                        </a:graphicData>
                      </a:graphic>
                    </wp:inline>
                  </w:drawing>
                </mc:Choice>
                <mc:Fallback>
                  <w:pict>
                    <v:group id="_x0000_s1026" o:spid="_x0000_s1026" o:spt="203" style="height:127.05pt;width:173.1pt;" coordsize="5263515,3863340" o:gfxdata="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">
                      <o:lock v:ext="edit" aspectratio="f"/>
                      <v:shape id="_x0000_s1026" o:spid="_x0000_s1026" o:spt="75" type="#_x0000_t75" style="position:absolute;left:182880;top:1258824;height:1480820;width:4900295;" filled="f" o:preferrelative="t" stroked="f" coordsize="21600,21600" o:gfxdata="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RKIugAAANsA&#10;AAAPAAAAAAAAAAEAIAAAACIAAABkcnMvZG93bnJldi54bWxQSwECFAAUAAAACACHTuJAMy8FnjsA&#10;AAA5AAAAEAAAAAAAAAABACAAAAAJAQAAZHJzL3NoYXBleG1sLnhtbFBLBQYAAAAABgAGAFsBAACz&#10;AwAAAAA=&#10;">
                        <v:fill on="f" focussize="0,0"/>
                        <v:stroke on="f"/>
                        <v:imagedata r:id="rId84" o:title=""/>
                        <o:lock v:ext="edit" aspectratio="t"/>
                      </v:shape>
                      <v:shape id="_x0000_s1026" o:spid="_x0000_s1026" o:spt="75" type="#_x0000_t75" style="position:absolute;left:0;top:0;height:3863340;width:5263515;" filled="f" o:preferrelative="t" stroked="f" coordsize="21600,21600" o:gfxdata="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0t0e5AAAA2wAA&#10;AA8AAAAAAAAAAQAgAAAAIgAAAGRycy9kb3ducmV2LnhtbFBLAQIUABQAAAAIAIdO4kAzLwWeOwAA&#10;ADkAAAAQAAAAAAAAAAEAIAAAAAgBAABkcnMvc2hhcGV4bWwueG1sUEsFBgAAAAAGAAYAWwEAALID&#10;AAAAAA==&#10;">
                        <v:fill on="f" focussize="0,0"/>
                        <v:stroke on="f"/>
                        <v:imagedata r:id="rId85" o:title=""/>
                        <o:lock v:ext="edit" aspectratio="t"/>
                      </v:shape>
                      <w10:wrap type="none"/>
                      <w10:anchorlock/>
                    </v:group>
                  </w:pict>
                </mc:Fallback>
              </mc:AlternateContent>
            </w:r>
          </w:p>
        </w:tc>
        <w:tc>
          <w:tcPr>
            <w:tcW w:w="4148" w:type="dxa"/>
            <w:vAlign w:val="center"/>
          </w:tcPr>
          <w:p>
            <w:pPr>
              <w:jc w:val="center"/>
            </w:pPr>
            <w:r>
              <w:drawing>
                <wp:inline distT="0" distB="0" distL="0" distR="0">
                  <wp:extent cx="1840865" cy="1311275"/>
                  <wp:effectExtent l="0" t="0" r="6985" b="317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1915431" cy="1364486"/>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148" w:type="dxa"/>
            <w:vAlign w:val="center"/>
          </w:tcPr>
          <w:p>
            <w:pPr>
              <w:jc w:val="center"/>
              <w:rPr>
                <w:sz w:val="24"/>
              </w:rPr>
            </w:pPr>
            <w:r>
              <w:rPr>
                <w:b/>
                <w:sz w:val="24"/>
              </w:rPr>
              <w:t>（a）双面叠合墙（一字型）</w:t>
            </w:r>
          </w:p>
        </w:tc>
        <w:tc>
          <w:tcPr>
            <w:tcW w:w="4148" w:type="dxa"/>
            <w:vAlign w:val="center"/>
          </w:tcPr>
          <w:p>
            <w:pPr>
              <w:jc w:val="center"/>
              <w:rPr>
                <w:sz w:val="24"/>
              </w:rPr>
            </w:pPr>
            <w:r>
              <w:rPr>
                <w:b/>
                <w:sz w:val="24"/>
              </w:rPr>
              <w:t>（b）夹心保温叠合墙（一字型）</w:t>
            </w:r>
          </w:p>
        </w:tc>
      </w:tr>
      <w:tr>
        <w:tblPrEx>
          <w:tblCellMar>
            <w:top w:w="0" w:type="dxa"/>
            <w:left w:w="108" w:type="dxa"/>
            <w:bottom w:w="0" w:type="dxa"/>
            <w:right w:w="108" w:type="dxa"/>
          </w:tblCellMar>
        </w:tblPrEx>
        <w:trPr>
          <w:trHeight w:val="3471" w:hRule="atLeast"/>
        </w:trPr>
        <w:tc>
          <w:tcPr>
            <w:tcW w:w="4148" w:type="dxa"/>
            <w:vAlign w:val="center"/>
          </w:tcPr>
          <w:p>
            <w:pPr>
              <w:jc w:val="center"/>
            </w:pPr>
            <w:r>
              <w:rPr>
                <w:b/>
                <w:bCs/>
              </w:rPr>
              <mc:AlternateContent>
                <mc:Choice Requires="wpg">
                  <w:drawing>
                    <wp:inline distT="0" distB="0" distL="0" distR="0">
                      <wp:extent cx="1793240" cy="1888490"/>
                      <wp:effectExtent l="0" t="0" r="0" b="0"/>
                      <wp:docPr id="43" name="组合 43"/>
                      <wp:cNvGraphicFramePr/>
                      <a:graphic xmlns:a="http://schemas.openxmlformats.org/drawingml/2006/main">
                        <a:graphicData uri="http://schemas.microsoft.com/office/word/2010/wordprocessingGroup">
                          <wpg:wgp>
                            <wpg:cNvGrpSpPr/>
                            <wpg:grpSpPr>
                              <a:xfrm>
                                <a:off x="0" y="0"/>
                                <a:ext cx="1793471" cy="1888672"/>
                                <a:chOff x="0" y="0"/>
                                <a:chExt cx="4450080" cy="4686300"/>
                              </a:xfrm>
                            </wpg:grpSpPr>
                            <pic:pic xmlns:pic="http://schemas.openxmlformats.org/drawingml/2006/picture">
                              <pic:nvPicPr>
                                <pic:cNvPr id="44" name="图片 44"/>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a:xfrm>
                                  <a:off x="1027611" y="1031966"/>
                                  <a:ext cx="3230880" cy="3467100"/>
                                </a:xfrm>
                                <a:prstGeom prst="rect">
                                  <a:avLst/>
                                </a:prstGeom>
                                <a:noFill/>
                                <a:ln>
                                  <a:noFill/>
                                </a:ln>
                              </pic:spPr>
                            </pic:pic>
                            <pic:pic xmlns:pic="http://schemas.openxmlformats.org/drawingml/2006/picture">
                              <pic:nvPicPr>
                                <pic:cNvPr id="86" name="图片 86"/>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450080" cy="4686300"/>
                                </a:xfrm>
                                <a:prstGeom prst="rect">
                                  <a:avLst/>
                                </a:prstGeom>
                                <a:noFill/>
                                <a:ln>
                                  <a:noFill/>
                                </a:ln>
                              </pic:spPr>
                            </pic:pic>
                          </wpg:wgp>
                        </a:graphicData>
                      </a:graphic>
                    </wp:inline>
                  </w:drawing>
                </mc:Choice>
                <mc:Fallback>
                  <w:pict>
                    <v:group id="_x0000_s1026" o:spid="_x0000_s1026" o:spt="203" style="height:148.7pt;width:141.2pt;" coordsize="4450080,4686300" o:gfxdata="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">
                      <o:lock v:ext="edit" aspectratio="f"/>
                      <v:shape id="_x0000_s1026" o:spid="_x0000_s1026" o:spt="75" type="#_x0000_t75" style="position:absolute;left:1027611;top:1031966;height:3467100;width:3230880;" filled="f" o:preferrelative="t" stroked="f" coordsize="21600,21600" o:gfxdata="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9ZQ74A&#10;AADbAAAADwAAAAAAAAABACAAAAAiAAAAZHJzL2Rvd25yZXYueG1sUEsBAhQAFAAAAAgAh07iQDMv&#10;BZ47AAAAOQAAABAAAAAAAAAAAQAgAAAADQEAAGRycy9zaGFwZXhtbC54bWxQSwUGAAAAAAYABgBb&#10;AQAAtwMAAAAA&#10;">
                        <v:fill on="f" focussize="0,0"/>
                        <v:stroke on="f"/>
                        <v:imagedata r:id="rId87" o:title=""/>
                        <o:lock v:ext="edit" aspectratio="t"/>
                      </v:shape>
                      <v:shape id="_x0000_s1026" o:spid="_x0000_s1026" o:spt="75" type="#_x0000_t75" style="position:absolute;left:0;top:0;height:4686300;width:4450080;" filled="f" o:preferrelative="t" stroked="f" coordsize="21600,21600" o:gfxdata="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MWCO8AAAA&#10;2wAAAA8AAAAAAAAAAQAgAAAAIgAAAGRycy9kb3ducmV2LnhtbFBLAQIUABQAAAAIAIdO4kAzLwWe&#10;OwAAADkAAAAQAAAAAAAAAAEAIAAAAAsBAABkcnMvc2hhcGV4bWwueG1sUEsFBgAAAAAGAAYAWwEA&#10;ALUDAAAAAA==&#10;">
                        <v:fill on="f" focussize="0,0"/>
                        <v:stroke on="f"/>
                        <v:imagedata r:id="rId88" o:title=""/>
                        <o:lock v:ext="edit" aspectratio="t"/>
                      </v:shape>
                      <w10:wrap type="none"/>
                      <w10:anchorlock/>
                    </v:group>
                  </w:pict>
                </mc:Fallback>
              </mc:AlternateContent>
            </w:r>
          </w:p>
        </w:tc>
        <w:tc>
          <w:tcPr>
            <w:tcW w:w="4148" w:type="dxa"/>
            <w:vAlign w:val="center"/>
          </w:tcPr>
          <w:p>
            <w:pPr>
              <w:jc w:val="center"/>
            </w:pPr>
            <w:r>
              <w:drawing>
                <wp:inline distT="0" distB="0" distL="0" distR="0">
                  <wp:extent cx="1852930" cy="1958975"/>
                  <wp:effectExtent l="0" t="0" r="0"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1871548" cy="197888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148" w:type="dxa"/>
            <w:vAlign w:val="center"/>
          </w:tcPr>
          <w:p>
            <w:pPr>
              <w:jc w:val="center"/>
              <w:rPr>
                <w:sz w:val="24"/>
              </w:rPr>
            </w:pPr>
            <w:r>
              <w:rPr>
                <w:b/>
                <w:sz w:val="24"/>
              </w:rPr>
              <w:t>（c）双面叠合墙（L型）</w:t>
            </w:r>
          </w:p>
        </w:tc>
        <w:tc>
          <w:tcPr>
            <w:tcW w:w="4148" w:type="dxa"/>
            <w:vAlign w:val="center"/>
          </w:tcPr>
          <w:p>
            <w:pPr>
              <w:jc w:val="center"/>
              <w:rPr>
                <w:sz w:val="24"/>
              </w:rPr>
            </w:pPr>
            <w:r>
              <w:rPr>
                <w:b/>
                <w:sz w:val="24"/>
              </w:rPr>
              <w:t>（d）夹心保温叠合墙（L型）</w:t>
            </w:r>
          </w:p>
        </w:tc>
      </w:tr>
      <w:tr>
        <w:tblPrEx>
          <w:tblCellMar>
            <w:top w:w="0" w:type="dxa"/>
            <w:left w:w="108" w:type="dxa"/>
            <w:bottom w:w="0" w:type="dxa"/>
            <w:right w:w="108" w:type="dxa"/>
          </w:tblCellMar>
        </w:tblPrEx>
        <w:trPr>
          <w:trHeight w:val="4138" w:hRule="atLeast"/>
        </w:trPr>
        <w:tc>
          <w:tcPr>
            <w:tcW w:w="4148" w:type="dxa"/>
            <w:vAlign w:val="center"/>
          </w:tcPr>
          <w:p>
            <w:pPr>
              <w:jc w:val="center"/>
            </w:pPr>
            <w:r>
              <w:rPr>
                <w:b/>
                <w:bCs/>
              </w:rPr>
              <mc:AlternateContent>
                <mc:Choice Requires="wpg">
                  <w:drawing>
                    <wp:inline distT="0" distB="0" distL="0" distR="0">
                      <wp:extent cx="2470785" cy="2223770"/>
                      <wp:effectExtent l="0" t="0" r="5715" b="5080"/>
                      <wp:docPr id="136" name="组合 136"/>
                      <wp:cNvGraphicFramePr/>
                      <a:graphic xmlns:a="http://schemas.openxmlformats.org/drawingml/2006/main">
                        <a:graphicData uri="http://schemas.microsoft.com/office/word/2010/wordprocessingGroup">
                          <wpg:wgp>
                            <wpg:cNvGrpSpPr/>
                            <wpg:grpSpPr>
                              <a:xfrm>
                                <a:off x="0" y="0"/>
                                <a:ext cx="2471057" cy="2223951"/>
                                <a:chOff x="0" y="0"/>
                                <a:chExt cx="3505200" cy="3154680"/>
                              </a:xfrm>
                            </wpg:grpSpPr>
                            <pic:pic xmlns:pic="http://schemas.openxmlformats.org/drawingml/2006/picture">
                              <pic:nvPicPr>
                                <pic:cNvPr id="153" name="图片 153"/>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a:xfrm>
                                  <a:off x="104422" y="110067"/>
                                  <a:ext cx="3291840" cy="2331720"/>
                                </a:xfrm>
                                <a:prstGeom prst="rect">
                                  <a:avLst/>
                                </a:prstGeom>
                                <a:noFill/>
                                <a:ln>
                                  <a:noFill/>
                                </a:ln>
                              </pic:spPr>
                            </pic:pic>
                            <pic:pic xmlns:pic="http://schemas.openxmlformats.org/drawingml/2006/picture">
                              <pic:nvPicPr>
                                <pic:cNvPr id="165" name="图片 165"/>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a:xfrm>
                                  <a:off x="0" y="0"/>
                                  <a:ext cx="3505200" cy="3154680"/>
                                </a:xfrm>
                                <a:prstGeom prst="rect">
                                  <a:avLst/>
                                </a:prstGeom>
                                <a:noFill/>
                                <a:ln>
                                  <a:noFill/>
                                </a:ln>
                              </pic:spPr>
                            </pic:pic>
                          </wpg:wgp>
                        </a:graphicData>
                      </a:graphic>
                    </wp:inline>
                  </w:drawing>
                </mc:Choice>
                <mc:Fallback>
                  <w:pict>
                    <v:group id="_x0000_s1026" o:spid="_x0000_s1026" o:spt="203" style="height:175.1pt;width:194.55pt;" coordsize="3505200,3154680" o:gfxdata="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">
                      <o:lock v:ext="edit" aspectratio="f"/>
                      <v:shape id="_x0000_s1026" o:spid="_x0000_s1026" o:spt="75" type="#_x0000_t75" style="position:absolute;left:104422;top:110067;height:2331720;width:3291840;" filled="f" o:preferrelative="t" stroked="f" coordsize="21600,21600" o:gfxdata="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Xksy&#10;wAAAANwAAAAPAAAAAAAAAAEAIAAAACIAAABkcnMvZG93bnJldi54bWxQSwECFAAUAAAACACHTuJA&#10;My8FnjsAAAA5AAAAEAAAAAAAAAABACAAAAAPAQAAZHJzL3NoYXBleG1sLnhtbFBLBQYAAAAABgAG&#10;AFsBAAC5AwAAAAA=&#10;">
                        <v:fill on="f" focussize="0,0"/>
                        <v:stroke on="f"/>
                        <v:imagedata r:id="rId90" o:title=""/>
                        <o:lock v:ext="edit" aspectratio="t"/>
                      </v:shape>
                      <v:shape id="_x0000_s1026" o:spid="_x0000_s1026" o:spt="75" type="#_x0000_t75" style="position:absolute;left:0;top:0;height:3154680;width:3505200;" filled="f" o:preferrelative="t" stroked="f" coordsize="21600,21600" o:gfxdata="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h8VvQAA&#10;ANwAAAAPAAAAAAAAAAEAIAAAACIAAABkcnMvZG93bnJldi54bWxQSwECFAAUAAAACACHTuJAMy8F&#10;njsAAAA5AAAAEAAAAAAAAAABACAAAAAMAQAAZHJzL3NoYXBleG1sLnhtbFBLBQYAAAAABgAGAFsB&#10;AAC2AwAAAAA=&#10;">
                        <v:fill on="f" focussize="0,0"/>
                        <v:stroke on="f"/>
                        <v:imagedata r:id="rId91" o:title=""/>
                        <o:lock v:ext="edit" aspectratio="t"/>
                      </v:shape>
                      <w10:wrap type="none"/>
                      <w10:anchorlock/>
                    </v:group>
                  </w:pict>
                </mc:Fallback>
              </mc:AlternateContent>
            </w:r>
          </w:p>
        </w:tc>
        <w:tc>
          <w:tcPr>
            <w:tcW w:w="4148" w:type="dxa"/>
            <w:vAlign w:val="center"/>
          </w:tcPr>
          <w:p>
            <w:pPr>
              <w:jc w:val="center"/>
            </w:pPr>
            <w:r>
              <w:drawing>
                <wp:inline distT="0" distB="0" distL="0" distR="0">
                  <wp:extent cx="2600960" cy="2232660"/>
                  <wp:effectExtent l="0" t="0" r="889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2600960" cy="22326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61" w:hRule="atLeast"/>
        </w:trPr>
        <w:tc>
          <w:tcPr>
            <w:tcW w:w="4148" w:type="dxa"/>
            <w:vAlign w:val="center"/>
          </w:tcPr>
          <w:p>
            <w:pPr>
              <w:jc w:val="center"/>
              <w:rPr>
                <w:sz w:val="24"/>
                <w:szCs w:val="24"/>
              </w:rPr>
            </w:pPr>
            <w:r>
              <w:rPr>
                <w:b/>
                <w:sz w:val="24"/>
                <w:szCs w:val="24"/>
              </w:rPr>
              <w:t>（e）双面叠合墙（T型）</w:t>
            </w:r>
          </w:p>
        </w:tc>
        <w:tc>
          <w:tcPr>
            <w:tcW w:w="4148" w:type="dxa"/>
            <w:vAlign w:val="center"/>
          </w:tcPr>
          <w:p>
            <w:pPr>
              <w:jc w:val="center"/>
              <w:rPr>
                <w:sz w:val="24"/>
                <w:szCs w:val="24"/>
              </w:rPr>
            </w:pPr>
            <w:r>
              <w:rPr>
                <w:b/>
                <w:sz w:val="24"/>
                <w:szCs w:val="24"/>
              </w:rPr>
              <w:t>（f）夹心保温叠合墙（T型）</w:t>
            </w:r>
          </w:p>
        </w:tc>
      </w:tr>
      <w:tr>
        <w:tblPrEx>
          <w:tblCellMar>
            <w:top w:w="0" w:type="dxa"/>
            <w:left w:w="108" w:type="dxa"/>
            <w:bottom w:w="0" w:type="dxa"/>
            <w:right w:w="108" w:type="dxa"/>
          </w:tblCellMar>
        </w:tblPrEx>
        <w:tc>
          <w:tcPr>
            <w:tcW w:w="8296" w:type="dxa"/>
            <w:gridSpan w:val="2"/>
            <w:vAlign w:val="center"/>
          </w:tcPr>
          <w:p>
            <w:pPr>
              <w:pStyle w:val="12"/>
              <w:spacing w:before="156"/>
              <w:rPr>
                <w:sz w:val="24"/>
                <w:szCs w:val="24"/>
              </w:rPr>
            </w:pPr>
            <w:r>
              <w:rPr>
                <w:sz w:val="24"/>
                <w:szCs w:val="24"/>
              </w:rPr>
              <w:t>图</w:t>
            </w:r>
            <w:r>
              <w:rPr>
                <w:rFonts w:hint="eastAsia"/>
                <w:sz w:val="24"/>
                <w:szCs w:val="24"/>
              </w:rPr>
              <w:t>8.2.2-1</w:t>
            </w:r>
            <w:r>
              <w:rPr>
                <w:sz w:val="24"/>
                <w:szCs w:val="24"/>
              </w:rPr>
              <w:t>叠合墙竖向接缝暗柱构造</w:t>
            </w:r>
          </w:p>
          <w:p>
            <w:pPr>
              <w:jc w:val="center"/>
              <w:rPr>
                <w:bCs/>
                <w:sz w:val="24"/>
                <w:szCs w:val="24"/>
              </w:rPr>
            </w:pPr>
            <w:r>
              <w:rPr>
                <w:bCs/>
                <w:sz w:val="24"/>
                <w:szCs w:val="24"/>
              </w:rPr>
              <w:t>1—阴影区域；a—钢筋锚固长度；</w:t>
            </w:r>
            <w:r>
              <w:rPr>
                <w:rFonts w:eastAsia="等线"/>
                <w:bCs/>
                <w:i/>
                <w:iCs/>
                <w:sz w:val="24"/>
                <w:szCs w:val="24"/>
              </w:rPr>
              <w:t>δ</w:t>
            </w:r>
            <w:r>
              <w:rPr>
                <w:bCs/>
                <w:sz w:val="24"/>
                <w:szCs w:val="24"/>
              </w:rPr>
              <w:t>—结构构造缝；</w:t>
            </w:r>
            <w:r>
              <w:rPr>
                <w:rFonts w:eastAsia="等线"/>
                <w:bCs/>
                <w:i/>
                <w:iCs/>
                <w:sz w:val="24"/>
                <w:szCs w:val="24"/>
              </w:rPr>
              <w:t>δ</w:t>
            </w:r>
            <w:r>
              <w:rPr>
                <w:rFonts w:eastAsia="等线"/>
                <w:bCs/>
                <w:i/>
                <w:iCs/>
                <w:sz w:val="24"/>
                <w:szCs w:val="24"/>
                <w:vertAlign w:val="subscript"/>
              </w:rPr>
              <w:t>1</w:t>
            </w:r>
            <w:r>
              <w:rPr>
                <w:bCs/>
                <w:sz w:val="24"/>
                <w:szCs w:val="24"/>
              </w:rPr>
              <w:t>—非结构构造缝</w:t>
            </w:r>
          </w:p>
        </w:tc>
      </w:tr>
    </w:tbl>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6"/>
        <w:gridCol w:w="4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3766" w:type="dxa"/>
            <w:tcBorders>
              <w:top w:val="nil"/>
              <w:left w:val="nil"/>
              <w:bottom w:val="nil"/>
              <w:right w:val="nil"/>
            </w:tcBorders>
            <w:vAlign w:val="center"/>
          </w:tcPr>
          <w:p>
            <w:pPr>
              <w:jc w:val="center"/>
            </w:pPr>
            <w:r>
              <w:drawing>
                <wp:inline distT="0" distB="0" distL="0" distR="0">
                  <wp:extent cx="2190750" cy="15430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2220303" cy="1563547"/>
                          </a:xfrm>
                          <a:prstGeom prst="rect">
                            <a:avLst/>
                          </a:prstGeom>
                          <a:noFill/>
                          <a:ln>
                            <a:noFill/>
                          </a:ln>
                        </pic:spPr>
                      </pic:pic>
                    </a:graphicData>
                  </a:graphic>
                </wp:inline>
              </w:drawing>
            </w:r>
          </w:p>
        </w:tc>
        <w:tc>
          <w:tcPr>
            <w:tcW w:w="4540" w:type="dxa"/>
            <w:tcBorders>
              <w:top w:val="nil"/>
              <w:left w:val="nil"/>
              <w:bottom w:val="nil"/>
              <w:right w:val="nil"/>
            </w:tcBorders>
            <w:vAlign w:val="center"/>
          </w:tcPr>
          <w:p>
            <w:pPr>
              <w:jc w:val="center"/>
            </w:pPr>
            <w:r>
              <w:drawing>
                <wp:inline distT="0" distB="0" distL="0" distR="0">
                  <wp:extent cx="2233295" cy="1572260"/>
                  <wp:effectExtent l="0" t="0" r="0" b="889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262404" cy="159319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6" w:type="dxa"/>
            <w:tcBorders>
              <w:top w:val="nil"/>
              <w:left w:val="nil"/>
              <w:bottom w:val="nil"/>
              <w:right w:val="nil"/>
            </w:tcBorders>
            <w:vAlign w:val="center"/>
          </w:tcPr>
          <w:p>
            <w:pPr>
              <w:jc w:val="center"/>
              <w:rPr>
                <w:sz w:val="24"/>
              </w:rPr>
            </w:pPr>
            <w:r>
              <w:rPr>
                <w:b/>
                <w:sz w:val="24"/>
              </w:rPr>
              <w:t>（a）双面叠合墙（一字型）</w:t>
            </w:r>
          </w:p>
        </w:tc>
        <w:tc>
          <w:tcPr>
            <w:tcW w:w="4540" w:type="dxa"/>
            <w:tcBorders>
              <w:top w:val="nil"/>
              <w:left w:val="nil"/>
              <w:bottom w:val="nil"/>
              <w:right w:val="nil"/>
            </w:tcBorders>
            <w:vAlign w:val="center"/>
          </w:tcPr>
          <w:p>
            <w:pPr>
              <w:jc w:val="center"/>
              <w:rPr>
                <w:sz w:val="24"/>
              </w:rPr>
            </w:pPr>
            <w:r>
              <w:rPr>
                <w:b/>
                <w:sz w:val="24"/>
              </w:rPr>
              <w:t>（b）夹心保温叠合墙（一字型）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1" w:hRule="atLeast"/>
        </w:trPr>
        <w:tc>
          <w:tcPr>
            <w:tcW w:w="3766" w:type="dxa"/>
            <w:tcBorders>
              <w:top w:val="nil"/>
              <w:left w:val="nil"/>
              <w:bottom w:val="nil"/>
              <w:right w:val="nil"/>
            </w:tcBorders>
            <w:vAlign w:val="center"/>
          </w:tcPr>
          <w:p>
            <w:pPr>
              <w:jc w:val="center"/>
            </w:pPr>
            <w:r>
              <w:rPr>
                <w:b/>
                <w:bCs/>
              </w:rPr>
              <mc:AlternateContent>
                <mc:Choice Requires="wpg">
                  <w:drawing>
                    <wp:inline distT="0" distB="0" distL="0" distR="0">
                      <wp:extent cx="2239645" cy="2307590"/>
                      <wp:effectExtent l="0" t="0" r="8255" b="0"/>
                      <wp:docPr id="180" name="组合 180"/>
                      <wp:cNvGraphicFramePr/>
                      <a:graphic xmlns:a="http://schemas.openxmlformats.org/drawingml/2006/main">
                        <a:graphicData uri="http://schemas.microsoft.com/office/word/2010/wordprocessingGroup">
                          <wpg:wgp>
                            <wpg:cNvGrpSpPr/>
                            <wpg:grpSpPr>
                              <a:xfrm>
                                <a:off x="0" y="0"/>
                                <a:ext cx="2240215" cy="2307590"/>
                                <a:chOff x="0" y="0"/>
                                <a:chExt cx="4222750" cy="4349750"/>
                              </a:xfrm>
                            </wpg:grpSpPr>
                            <pic:pic xmlns:pic="http://schemas.openxmlformats.org/drawingml/2006/picture">
                              <pic:nvPicPr>
                                <pic:cNvPr id="181" name="图片 181"/>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a:xfrm>
                                  <a:off x="1132490" y="1051035"/>
                                  <a:ext cx="2918460" cy="3131820"/>
                                </a:xfrm>
                                <a:prstGeom prst="rect">
                                  <a:avLst/>
                                </a:prstGeom>
                                <a:noFill/>
                                <a:ln>
                                  <a:noFill/>
                                </a:ln>
                              </pic:spPr>
                            </pic:pic>
                            <pic:pic xmlns:pic="http://schemas.openxmlformats.org/drawingml/2006/picture">
                              <pic:nvPicPr>
                                <pic:cNvPr id="182" name="图片 182"/>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4222750" cy="4349750"/>
                                </a:xfrm>
                                <a:prstGeom prst="rect">
                                  <a:avLst/>
                                </a:prstGeom>
                                <a:noFill/>
                                <a:ln>
                                  <a:noFill/>
                                </a:ln>
                              </pic:spPr>
                            </pic:pic>
                          </wpg:wgp>
                        </a:graphicData>
                      </a:graphic>
                    </wp:inline>
                  </w:drawing>
                </mc:Choice>
                <mc:Fallback>
                  <w:pict>
                    <v:group id="_x0000_s1026" o:spid="_x0000_s1026" o:spt="203" style="height:181.7pt;width:176.35pt;" coordsize="4222750,4349750" o:gfxdata="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">
                      <o:lock v:ext="edit" aspectratio="f"/>
                      <v:shape id="_x0000_s1026" o:spid="_x0000_s1026" o:spt="75" type="#_x0000_t75" style="position:absolute;left:1132490;top:1051035;height:3131820;width:2918460;" filled="f" o:preferrelative="t" stroked="f" coordsize="21600,21600" o:gfxdata="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03yvQAA&#10;ANwAAAAPAAAAAAAAAAEAIAAAACIAAABkcnMvZG93bnJldi54bWxQSwECFAAUAAAACACHTuJAMy8F&#10;njsAAAA5AAAAEAAAAAAAAAABACAAAAAMAQAAZHJzL3NoYXBleG1sLnhtbFBLBQYAAAAABgAGAFsB&#10;AAC2AwAAAAA=&#10;">
                        <v:fill on="f" focussize="0,0"/>
                        <v:stroke on="f"/>
                        <v:imagedata r:id="rId95" o:title=""/>
                        <o:lock v:ext="edit" aspectratio="t"/>
                      </v:shape>
                      <v:shape id="_x0000_s1026" o:spid="_x0000_s1026" o:spt="75" type="#_x0000_t75" style="position:absolute;left:0;top:0;height:4349750;width:4222750;" filled="f" o:preferrelative="t" stroked="f" coordsize="21600,21600" o:gfxdata="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TRrsAAADc&#10;AAAADwAAAAAAAAABACAAAAAiAAAAZHJzL2Rvd25yZXYueG1sUEsBAhQAFAAAAAgAh07iQDMvBZ47&#10;AAAAOQAAABAAAAAAAAAAAQAgAAAACgEAAGRycy9zaGFwZXhtbC54bWxQSwUGAAAAAAYABgBbAQAA&#10;tAMAAAAA&#10;">
                        <v:fill on="f" focussize="0,0"/>
                        <v:stroke on="f"/>
                        <v:imagedata r:id="rId96" o:title=""/>
                        <o:lock v:ext="edit" aspectratio="t"/>
                      </v:shape>
                      <w10:wrap type="none"/>
                      <w10:anchorlock/>
                    </v:group>
                  </w:pict>
                </mc:Fallback>
              </mc:AlternateContent>
            </w:r>
          </w:p>
        </w:tc>
        <w:tc>
          <w:tcPr>
            <w:tcW w:w="4540" w:type="dxa"/>
            <w:tcBorders>
              <w:top w:val="nil"/>
              <w:left w:val="nil"/>
              <w:bottom w:val="nil"/>
              <w:right w:val="nil"/>
            </w:tcBorders>
            <w:vAlign w:val="center"/>
          </w:tcPr>
          <w:p>
            <w:pPr>
              <w:jc w:val="center"/>
            </w:pPr>
            <w:r>
              <w:drawing>
                <wp:inline distT="0" distB="0" distL="0" distR="0">
                  <wp:extent cx="2149475" cy="2202815"/>
                  <wp:effectExtent l="0" t="0" r="3175" b="698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149475" cy="22028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6" w:type="dxa"/>
            <w:tcBorders>
              <w:top w:val="nil"/>
              <w:left w:val="nil"/>
              <w:bottom w:val="nil"/>
              <w:right w:val="nil"/>
            </w:tcBorders>
            <w:vAlign w:val="center"/>
          </w:tcPr>
          <w:p>
            <w:pPr>
              <w:jc w:val="center"/>
              <w:rPr>
                <w:sz w:val="24"/>
              </w:rPr>
            </w:pPr>
            <w:r>
              <w:rPr>
                <w:b/>
                <w:sz w:val="24"/>
              </w:rPr>
              <w:t>（c）双面叠合墙（L型）</w:t>
            </w:r>
          </w:p>
        </w:tc>
        <w:tc>
          <w:tcPr>
            <w:tcW w:w="4540" w:type="dxa"/>
            <w:tcBorders>
              <w:top w:val="nil"/>
              <w:left w:val="nil"/>
              <w:bottom w:val="nil"/>
              <w:right w:val="nil"/>
            </w:tcBorders>
            <w:vAlign w:val="center"/>
          </w:tcPr>
          <w:p>
            <w:pPr>
              <w:jc w:val="center"/>
              <w:rPr>
                <w:sz w:val="24"/>
              </w:rPr>
            </w:pPr>
            <w:r>
              <w:rPr>
                <w:b/>
                <w:sz w:val="24"/>
              </w:rPr>
              <w:t>（d）夹心保温叠合墙（L型）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4" w:hRule="atLeast"/>
        </w:trPr>
        <w:tc>
          <w:tcPr>
            <w:tcW w:w="3766" w:type="dxa"/>
            <w:tcBorders>
              <w:top w:val="nil"/>
              <w:left w:val="nil"/>
              <w:bottom w:val="nil"/>
              <w:right w:val="nil"/>
            </w:tcBorders>
            <w:vAlign w:val="center"/>
          </w:tcPr>
          <w:p>
            <w:pPr>
              <w:jc w:val="center"/>
            </w:pPr>
            <w:r>
              <w:drawing>
                <wp:inline distT="0" distB="0" distL="0" distR="0">
                  <wp:extent cx="2457450" cy="2238375"/>
                  <wp:effectExtent l="0" t="0" r="0" b="952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466173" cy="2246366"/>
                          </a:xfrm>
                          <a:prstGeom prst="rect">
                            <a:avLst/>
                          </a:prstGeom>
                          <a:noFill/>
                          <a:ln>
                            <a:noFill/>
                          </a:ln>
                        </pic:spPr>
                      </pic:pic>
                    </a:graphicData>
                  </a:graphic>
                </wp:inline>
              </w:drawing>
            </w:r>
          </w:p>
        </w:tc>
        <w:tc>
          <w:tcPr>
            <w:tcW w:w="4540" w:type="dxa"/>
            <w:tcBorders>
              <w:top w:val="nil"/>
              <w:left w:val="nil"/>
              <w:bottom w:val="nil"/>
              <w:right w:val="nil"/>
            </w:tcBorders>
            <w:vAlign w:val="center"/>
          </w:tcPr>
          <w:p>
            <w:pPr>
              <w:jc w:val="center"/>
            </w:pPr>
            <w:r>
              <w:drawing>
                <wp:inline distT="0" distB="0" distL="0" distR="0">
                  <wp:extent cx="2433320" cy="2298065"/>
                  <wp:effectExtent l="0" t="0" r="5080" b="698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456359" cy="2319894"/>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66" w:type="dxa"/>
            <w:tcBorders>
              <w:top w:val="nil"/>
              <w:left w:val="nil"/>
              <w:bottom w:val="nil"/>
              <w:right w:val="nil"/>
            </w:tcBorders>
            <w:vAlign w:val="center"/>
          </w:tcPr>
          <w:p>
            <w:pPr>
              <w:jc w:val="center"/>
              <w:rPr>
                <w:sz w:val="24"/>
              </w:rPr>
            </w:pPr>
            <w:r>
              <w:rPr>
                <w:b/>
                <w:sz w:val="24"/>
              </w:rPr>
              <w:t>（e）双面叠合墙（T型）</w:t>
            </w:r>
          </w:p>
        </w:tc>
        <w:tc>
          <w:tcPr>
            <w:tcW w:w="4540" w:type="dxa"/>
            <w:tcBorders>
              <w:top w:val="nil"/>
              <w:left w:val="nil"/>
              <w:bottom w:val="nil"/>
              <w:right w:val="nil"/>
            </w:tcBorders>
            <w:vAlign w:val="center"/>
          </w:tcPr>
          <w:p>
            <w:pPr>
              <w:jc w:val="center"/>
              <w:rPr>
                <w:sz w:val="24"/>
                <w:szCs w:val="24"/>
              </w:rPr>
            </w:pPr>
            <w:r>
              <w:rPr>
                <w:b/>
                <w:sz w:val="24"/>
                <w:szCs w:val="24"/>
              </w:rPr>
              <w:t>（f）夹心保温叠合墙（T型）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06" w:type="dxa"/>
            <w:gridSpan w:val="2"/>
            <w:tcBorders>
              <w:top w:val="nil"/>
              <w:left w:val="nil"/>
              <w:bottom w:val="nil"/>
              <w:right w:val="nil"/>
            </w:tcBorders>
            <w:vAlign w:val="center"/>
          </w:tcPr>
          <w:p>
            <w:pPr>
              <w:pStyle w:val="12"/>
              <w:spacing w:before="156"/>
              <w:rPr>
                <w:sz w:val="24"/>
                <w:szCs w:val="22"/>
              </w:rPr>
            </w:pPr>
            <w:r>
              <w:rPr>
                <w:sz w:val="24"/>
                <w:szCs w:val="22"/>
              </w:rPr>
              <w:t>图</w:t>
            </w:r>
            <w:r>
              <w:rPr>
                <w:rFonts w:hint="eastAsia"/>
                <w:sz w:val="24"/>
                <w:szCs w:val="22"/>
              </w:rPr>
              <w:t>8.2.2-2</w:t>
            </w:r>
            <w:r>
              <w:rPr>
                <w:sz w:val="24"/>
                <w:szCs w:val="22"/>
              </w:rPr>
              <w:t xml:space="preserve"> 叠合墙竖向接缝单排筋构造</w:t>
            </w:r>
          </w:p>
          <w:p>
            <w:pPr>
              <w:jc w:val="center"/>
              <w:rPr>
                <w:bCs/>
                <w:sz w:val="24"/>
                <w:szCs w:val="24"/>
              </w:rPr>
            </w:pPr>
            <w:r>
              <w:rPr>
                <w:bCs/>
                <w:sz w:val="24"/>
                <w:szCs w:val="24"/>
              </w:rPr>
              <w:t>1—暗柱或单排钢筋网区域；2—叠合墙；3—钢筋桁架；4—外叶板；</w:t>
            </w:r>
          </w:p>
          <w:p>
            <w:pPr>
              <w:jc w:val="center"/>
              <w:rPr>
                <w:bCs/>
                <w:sz w:val="24"/>
              </w:rPr>
            </w:pPr>
            <w:r>
              <w:rPr>
                <w:bCs/>
                <w:sz w:val="24"/>
                <w:szCs w:val="24"/>
              </w:rPr>
              <w:t>5—保温拉接件；a—钢筋锚固长度；</w:t>
            </w:r>
            <w:r>
              <w:rPr>
                <w:rFonts w:eastAsia="等线"/>
                <w:bCs/>
                <w:i/>
                <w:iCs/>
                <w:sz w:val="24"/>
                <w:szCs w:val="24"/>
              </w:rPr>
              <w:t>δ</w:t>
            </w:r>
            <w:r>
              <w:rPr>
                <w:bCs/>
                <w:sz w:val="24"/>
                <w:szCs w:val="24"/>
              </w:rPr>
              <w:t>—结构构造缝；</w:t>
            </w:r>
            <w:r>
              <w:rPr>
                <w:rFonts w:eastAsia="等线"/>
                <w:bCs/>
                <w:i/>
                <w:iCs/>
                <w:sz w:val="24"/>
                <w:szCs w:val="24"/>
              </w:rPr>
              <w:t>δ</w:t>
            </w:r>
            <w:r>
              <w:rPr>
                <w:rFonts w:eastAsia="等线"/>
                <w:bCs/>
                <w:iCs/>
                <w:sz w:val="24"/>
                <w:szCs w:val="24"/>
                <w:vertAlign w:val="subscript"/>
              </w:rPr>
              <w:t>1</w:t>
            </w:r>
            <w:r>
              <w:rPr>
                <w:bCs/>
                <w:sz w:val="24"/>
                <w:szCs w:val="24"/>
              </w:rPr>
              <w:t>—非结构构造缝</w:t>
            </w:r>
          </w:p>
        </w:tc>
      </w:tr>
    </w:tbl>
    <w:p>
      <w:r>
        <w:rPr>
          <w:b/>
          <w:bCs/>
        </w:rPr>
        <w:t xml:space="preserve">8.2.3 </w:t>
      </w:r>
      <w:r>
        <w:t>多层叠合墙结构中未设置翼墙的端部应按照计算或相关规范要求设置边缘构件，边缘构件中纵筋和箍筋可与叠合墙叶板同时生产。</w:t>
      </w:r>
    </w:p>
    <w:p>
      <w:pPr>
        <w:rPr>
          <w:rFonts w:eastAsia="仿宋"/>
          <w:i/>
          <w:spacing w:val="10"/>
          <w:szCs w:val="24"/>
        </w:rPr>
      </w:pPr>
      <w:r>
        <w:rPr>
          <w:rFonts w:eastAsia="仿宋"/>
          <w:i/>
          <w:spacing w:val="10"/>
          <w:szCs w:val="24"/>
        </w:rPr>
        <w:t xml:space="preserve">【条文说明】8.2.3 在多层建筑中考虑减少施工中模板的支设，对于墙体端部无翼墙时可不设置整体现浇端，边缘构件钢筋一起预制，其竖向钢筋的连接可以按照墙中竖向钢筋的连接方式，但边缘构件范围的竖向连接钢筋面积不应小于边缘构件中纵向钢筋面积。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6"/>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0" w:hRule="atLeast"/>
        </w:trPr>
        <w:tc>
          <w:tcPr>
            <w:tcW w:w="3766" w:type="dxa"/>
            <w:tcBorders>
              <w:top w:val="nil"/>
              <w:left w:val="nil"/>
              <w:bottom w:val="nil"/>
              <w:right w:val="nil"/>
            </w:tcBorders>
            <w:vAlign w:val="center"/>
          </w:tcPr>
          <w:p>
            <w:pPr>
              <w:jc w:val="center"/>
            </w:pPr>
            <w:r>
              <w:rPr>
                <w:sz w:val="24"/>
              </w:rPr>
              <w:drawing>
                <wp:inline distT="0" distB="0" distL="0" distR="0">
                  <wp:extent cx="2254250" cy="12598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254537" cy="1260000"/>
                          </a:xfrm>
                          <a:prstGeom prst="rect">
                            <a:avLst/>
                          </a:prstGeom>
                          <a:noFill/>
                          <a:ln>
                            <a:noFill/>
                          </a:ln>
                        </pic:spPr>
                      </pic:pic>
                    </a:graphicData>
                  </a:graphic>
                </wp:inline>
              </w:drawing>
            </w:r>
          </w:p>
        </w:tc>
        <w:tc>
          <w:tcPr>
            <w:tcW w:w="4540" w:type="dxa"/>
            <w:tcBorders>
              <w:top w:val="nil"/>
              <w:left w:val="nil"/>
              <w:bottom w:val="nil"/>
              <w:right w:val="nil"/>
            </w:tcBorders>
            <w:vAlign w:val="center"/>
          </w:tcPr>
          <w:p>
            <w:pPr>
              <w:jc w:val="center"/>
            </w:pPr>
            <w:r>
              <w:drawing>
                <wp:inline distT="0" distB="0" distL="0" distR="0">
                  <wp:extent cx="2070735" cy="1259840"/>
                  <wp:effectExtent l="0" t="0" r="571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071122" cy="1260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6" w:type="dxa"/>
            <w:tcBorders>
              <w:top w:val="nil"/>
              <w:left w:val="nil"/>
              <w:bottom w:val="nil"/>
              <w:right w:val="nil"/>
            </w:tcBorders>
            <w:vAlign w:val="center"/>
          </w:tcPr>
          <w:p>
            <w:pPr>
              <w:jc w:val="center"/>
              <w:rPr>
                <w:sz w:val="24"/>
              </w:rPr>
            </w:pPr>
            <w:r>
              <w:rPr>
                <w:b/>
                <w:sz w:val="24"/>
              </w:rPr>
              <w:t>（a）双面叠合墙（一型）</w:t>
            </w:r>
          </w:p>
        </w:tc>
        <w:tc>
          <w:tcPr>
            <w:tcW w:w="4540" w:type="dxa"/>
            <w:tcBorders>
              <w:top w:val="nil"/>
              <w:left w:val="nil"/>
              <w:bottom w:val="nil"/>
              <w:right w:val="nil"/>
            </w:tcBorders>
            <w:vAlign w:val="center"/>
          </w:tcPr>
          <w:p>
            <w:pPr>
              <w:jc w:val="left"/>
            </w:pPr>
            <w:r>
              <w:rPr>
                <w:b/>
                <w:sz w:val="24"/>
              </w:rPr>
              <w:t>（b）夹心保温叠合墙（一型）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2"/>
            <w:tcBorders>
              <w:top w:val="nil"/>
              <w:left w:val="nil"/>
              <w:bottom w:val="nil"/>
              <w:right w:val="nil"/>
            </w:tcBorders>
            <w:vAlign w:val="center"/>
          </w:tcPr>
          <w:p>
            <w:pPr>
              <w:pStyle w:val="12"/>
              <w:spacing w:before="156"/>
              <w:rPr>
                <w:sz w:val="24"/>
                <w:szCs w:val="22"/>
              </w:rPr>
            </w:pPr>
            <w:r>
              <w:rPr>
                <w:sz w:val="24"/>
                <w:szCs w:val="22"/>
              </w:rPr>
              <w:t>图8.2.3 叠合墙端部叠合边缘构件（无翼墙）</w:t>
            </w:r>
          </w:p>
          <w:p>
            <w:pPr>
              <w:jc w:val="center"/>
            </w:pPr>
            <w:r>
              <w:rPr>
                <w:bCs/>
                <w:sz w:val="24"/>
                <w:szCs w:val="24"/>
              </w:rPr>
              <w:t>1—后浇层；2—叠合墙；3—边缘构件范围；</w:t>
            </w:r>
          </w:p>
        </w:tc>
      </w:tr>
    </w:tbl>
    <w:p>
      <w:r>
        <w:rPr>
          <w:b/>
          <w:bCs/>
        </w:rPr>
        <w:t xml:space="preserve">8.2.4 </w:t>
      </w:r>
      <w:r>
        <w:t>多层叠合墙板水平接缝宜设置在楼面标高处，并应满足下列要求：</w:t>
      </w:r>
    </w:p>
    <w:p>
      <w:pPr>
        <w:pStyle w:val="47"/>
        <w:numPr>
          <w:ilvl w:val="0"/>
          <w:numId w:val="38"/>
        </w:numPr>
        <w:ind w:left="0" w:firstLine="576" w:firstLineChars="200"/>
      </w:pPr>
      <w:r>
        <w:t>水平接缝处宜设置双排连接钢筋，连接钢筋直径不应小于叠合墙的预制板中竖向分布筋直径和10mm的大值，且应满足水平接缝受剪承载力的要求，连接钢筋宜采用封闭箍形式；</w:t>
      </w:r>
    </w:p>
    <w:p>
      <w:pPr>
        <w:pStyle w:val="47"/>
        <w:numPr>
          <w:ilvl w:val="0"/>
          <w:numId w:val="38"/>
        </w:numPr>
        <w:ind w:left="0" w:firstLine="576" w:firstLineChars="200"/>
      </w:pPr>
      <w:r>
        <w:t>当房屋层数不大于3层及建筑高度不大于10m，且墙体平面外无拉应力时，水平接缝处可采用单排连接钢筋，连接钢筋应处于墙体中间位置，连接钢筋直径不宜小于12</w:t>
      </w:r>
      <w:r>
        <w:rPr>
          <w:iCs/>
        </w:rPr>
        <w:t>mm</w:t>
      </w:r>
      <w:r>
        <w:t>，间距不宜大于300</w:t>
      </w:r>
      <w:r>
        <w:rPr>
          <w:iCs/>
        </w:rPr>
        <w:t>mm</w:t>
      </w:r>
      <w:r>
        <w:t>，穿过接缝的连接钢筋面积应满足水平接缝受剪承载力的要求及全截面配筋率要求；</w:t>
      </w:r>
    </w:p>
    <w:p>
      <w:pPr>
        <w:pStyle w:val="47"/>
        <w:numPr>
          <w:ilvl w:val="0"/>
          <w:numId w:val="38"/>
        </w:numPr>
        <w:ind w:left="0" w:firstLine="576" w:firstLineChars="200"/>
      </w:pPr>
      <w:r>
        <w:t>竖向连接筋与上下层叠合墙叶板中竖向钢筋的搭接长度不应小于1.2</w:t>
      </w:r>
      <w:r>
        <w:rPr>
          <w:i/>
          <w:iCs/>
        </w:rPr>
        <w:t>l</w:t>
      </w:r>
      <w:r>
        <w:rPr>
          <w:iCs/>
          <w:vertAlign w:val="subscript"/>
        </w:rPr>
        <w:t>aE</w:t>
      </w:r>
      <w:r>
        <w:rPr>
          <w:i/>
          <w:iCs/>
          <w:vertAlign w:val="subscript"/>
        </w:rPr>
        <w:t xml:space="preserve"> </w:t>
      </w:r>
      <w:r>
        <w:t>；</w:t>
      </w:r>
    </w:p>
    <w:p>
      <w:pPr>
        <w:pStyle w:val="47"/>
        <w:numPr>
          <w:ilvl w:val="0"/>
          <w:numId w:val="38"/>
        </w:numPr>
        <w:ind w:left="0" w:firstLine="576" w:firstLineChars="200"/>
      </w:pPr>
      <w:r>
        <w:t>边缘构件叠合时，边缘构件范围内竖向连接钢筋面积不应少于边缘构件纵筋总面积的1.1倍；</w:t>
      </w:r>
    </w:p>
    <w:p>
      <w:pPr>
        <w:pStyle w:val="47"/>
        <w:numPr>
          <w:ilvl w:val="0"/>
          <w:numId w:val="38"/>
        </w:numPr>
        <w:ind w:left="0" w:firstLine="576" w:firstLineChars="200"/>
      </w:pPr>
      <w:r>
        <w:t>在水平缝高度范围内、竖向连接钢筋外侧应设置2根直径不小于剪力墙水平钢筋直径的水平钢筋，水平钢筋和竖向连接钢筋应采用间距不大于300mm、直径不小于8mm的水平拉筋可靠拉结；</w:t>
      </w:r>
    </w:p>
    <w:p>
      <w:pPr>
        <w:pStyle w:val="47"/>
        <w:numPr>
          <w:ilvl w:val="0"/>
          <w:numId w:val="38"/>
        </w:numPr>
        <w:ind w:left="0" w:firstLine="576" w:firstLineChars="200"/>
      </w:pPr>
      <w:r>
        <w:t>多层叠合剪力墙水平缝高度不宜小于50mm，且不宜大于100mm；夹心保温叠合墙外叶板的水平缝高度宜取20mm。</w:t>
      </w:r>
    </w:p>
    <w:p>
      <w:pPr>
        <w:rPr>
          <w:rFonts w:eastAsia="仿宋"/>
          <w:i/>
          <w:spacing w:val="10"/>
          <w:szCs w:val="24"/>
        </w:rPr>
      </w:pPr>
      <w:r>
        <w:rPr>
          <w:rFonts w:eastAsia="仿宋"/>
          <w:i/>
          <w:spacing w:val="10"/>
          <w:szCs w:val="24"/>
        </w:rPr>
        <w:t>【条文说明】8.2.4 多层建筑的竖向连接钢筋除端部边缘构件位置外，不在要求进行面积放大，为保证连接钢筋与叶板钢筋的有效搭接及施工质量，还是建议采用封闭箍筋形式。对于受力较小、高度较小的叠合墙，允许采用单排钢筋连接，但是其最小直径不应小于12mm。竖向连接构造示意详图8.2.4。</w:t>
      </w:r>
    </w:p>
    <w:tbl>
      <w:tblPr>
        <w:tblStyle w:val="30"/>
        <w:tblW w:w="0" w:type="auto"/>
        <w:tblInd w:w="0" w:type="dxa"/>
        <w:tblLayout w:type="autofit"/>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trHeight w:val="4101" w:hRule="atLeast"/>
        </w:trPr>
        <w:tc>
          <w:tcPr>
            <w:tcW w:w="4261" w:type="dxa"/>
            <w:vAlign w:val="center"/>
          </w:tcPr>
          <w:p>
            <w:pPr>
              <w:jc w:val="center"/>
            </w:pPr>
            <w:r>
              <w:drawing>
                <wp:inline distT="0" distB="0" distL="0" distR="0">
                  <wp:extent cx="1814195" cy="215963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814567" cy="2160000"/>
                          </a:xfrm>
                          <a:prstGeom prst="rect">
                            <a:avLst/>
                          </a:prstGeom>
                          <a:noFill/>
                          <a:ln>
                            <a:noFill/>
                          </a:ln>
                        </pic:spPr>
                      </pic:pic>
                    </a:graphicData>
                  </a:graphic>
                </wp:inline>
              </w:drawing>
            </w:r>
          </w:p>
        </w:tc>
        <w:tc>
          <w:tcPr>
            <w:tcW w:w="4261" w:type="dxa"/>
            <w:vAlign w:val="center"/>
          </w:tcPr>
          <w:p>
            <w:pPr>
              <w:jc w:val="center"/>
            </w:pPr>
            <w:r>
              <w:drawing>
                <wp:inline distT="0" distB="0" distL="0" distR="0">
                  <wp:extent cx="2313940" cy="215963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2313963" cy="216000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1" w:type="dxa"/>
            <w:vAlign w:val="center"/>
          </w:tcPr>
          <w:p>
            <w:pPr>
              <w:jc w:val="center"/>
              <w:rPr>
                <w:sz w:val="24"/>
              </w:rPr>
            </w:pPr>
            <w:r>
              <w:rPr>
                <w:b/>
                <w:sz w:val="24"/>
              </w:rPr>
              <w:t>（a）双面叠合墙一侧有楼板</w:t>
            </w:r>
          </w:p>
        </w:tc>
        <w:tc>
          <w:tcPr>
            <w:tcW w:w="4261" w:type="dxa"/>
            <w:vAlign w:val="center"/>
          </w:tcPr>
          <w:p>
            <w:pPr>
              <w:jc w:val="center"/>
              <w:rPr>
                <w:sz w:val="24"/>
              </w:rPr>
            </w:pPr>
            <w:r>
              <w:rPr>
                <w:b/>
                <w:sz w:val="24"/>
              </w:rPr>
              <w:t>（b）双面叠合墙两侧有楼板</w:t>
            </w:r>
          </w:p>
        </w:tc>
      </w:tr>
      <w:tr>
        <w:tblPrEx>
          <w:tblCellMar>
            <w:top w:w="0" w:type="dxa"/>
            <w:left w:w="108" w:type="dxa"/>
            <w:bottom w:w="0" w:type="dxa"/>
            <w:right w:w="108" w:type="dxa"/>
          </w:tblCellMar>
        </w:tblPrEx>
        <w:trPr>
          <w:trHeight w:val="4336" w:hRule="atLeast"/>
        </w:trPr>
        <w:tc>
          <w:tcPr>
            <w:tcW w:w="4261" w:type="dxa"/>
            <w:vAlign w:val="center"/>
          </w:tcPr>
          <w:p>
            <w:pPr>
              <w:jc w:val="center"/>
            </w:pPr>
            <w:r>
              <w:drawing>
                <wp:inline distT="0" distB="0" distL="0" distR="0">
                  <wp:extent cx="1971675" cy="2159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1971968" cy="2160000"/>
                          </a:xfrm>
                          <a:prstGeom prst="rect">
                            <a:avLst/>
                          </a:prstGeom>
                          <a:noFill/>
                          <a:ln>
                            <a:noFill/>
                          </a:ln>
                        </pic:spPr>
                      </pic:pic>
                    </a:graphicData>
                  </a:graphic>
                </wp:inline>
              </w:drawing>
            </w:r>
          </w:p>
        </w:tc>
        <w:tc>
          <w:tcPr>
            <w:tcW w:w="4261" w:type="dxa"/>
            <w:vAlign w:val="center"/>
          </w:tcPr>
          <w:p>
            <w:pPr>
              <w:jc w:val="center"/>
            </w:pPr>
            <w:r>
              <w:drawing>
                <wp:inline distT="0" distB="0" distL="0" distR="0">
                  <wp:extent cx="2310765" cy="215963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310803" cy="216000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1" w:type="dxa"/>
            <w:vAlign w:val="center"/>
          </w:tcPr>
          <w:p>
            <w:pPr>
              <w:jc w:val="center"/>
              <w:rPr>
                <w:sz w:val="24"/>
                <w:szCs w:val="24"/>
              </w:rPr>
            </w:pPr>
            <w:r>
              <w:rPr>
                <w:b/>
                <w:sz w:val="24"/>
                <w:szCs w:val="24"/>
              </w:rPr>
              <w:t xml:space="preserve">（c）夹心保温叠合墙水平接缝                                 </w:t>
            </w:r>
          </w:p>
        </w:tc>
        <w:tc>
          <w:tcPr>
            <w:tcW w:w="4261" w:type="dxa"/>
            <w:vAlign w:val="center"/>
          </w:tcPr>
          <w:p>
            <w:pPr>
              <w:pStyle w:val="54"/>
            </w:pPr>
            <w:r>
              <w:t>（d）水平缝单排钢筋连接</w:t>
            </w:r>
          </w:p>
        </w:tc>
      </w:tr>
      <w:tr>
        <w:tc>
          <w:tcPr>
            <w:tcW w:w="8522" w:type="dxa"/>
            <w:gridSpan w:val="2"/>
            <w:vAlign w:val="center"/>
          </w:tcPr>
          <w:p>
            <w:pPr>
              <w:jc w:val="center"/>
              <w:rPr>
                <w:b/>
                <w:sz w:val="24"/>
                <w:szCs w:val="24"/>
              </w:rPr>
            </w:pPr>
            <w:r>
              <w:rPr>
                <w:b/>
                <w:sz w:val="24"/>
                <w:szCs w:val="24"/>
              </w:rPr>
              <w:t>图8.2.4 多层叠合墙水平接缝示意图</w:t>
            </w:r>
          </w:p>
          <w:p>
            <w:pPr>
              <w:jc w:val="center"/>
              <w:rPr>
                <w:b/>
                <w:sz w:val="21"/>
                <w:szCs w:val="20"/>
              </w:rPr>
            </w:pPr>
            <w:r>
              <w:rPr>
                <w:bCs/>
                <w:sz w:val="24"/>
                <w:szCs w:val="24"/>
              </w:rPr>
              <w:t>1—上部叠合墙；2—下部叠合墙；3—连接钢筋；4—楼板；5—水平钢筋；6—拉筋；</w:t>
            </w:r>
            <w:r>
              <w:rPr>
                <w:rFonts w:eastAsia="等线"/>
                <w:bCs/>
                <w:i/>
                <w:iCs/>
                <w:sz w:val="24"/>
                <w:szCs w:val="24"/>
              </w:rPr>
              <w:t>Δ</w:t>
            </w:r>
            <w:r>
              <w:rPr>
                <w:rFonts w:eastAsia="等线"/>
                <w:bCs/>
                <w:iCs/>
                <w:sz w:val="24"/>
                <w:szCs w:val="24"/>
                <w:vertAlign w:val="subscript"/>
              </w:rPr>
              <w:t>1</w:t>
            </w:r>
            <w:r>
              <w:rPr>
                <w:bCs/>
                <w:sz w:val="24"/>
                <w:szCs w:val="24"/>
              </w:rPr>
              <w:t>—结构构造缝；</w:t>
            </w:r>
            <w:r>
              <w:rPr>
                <w:rFonts w:eastAsia="等线"/>
                <w:bCs/>
                <w:i/>
                <w:iCs/>
                <w:sz w:val="24"/>
                <w:szCs w:val="24"/>
              </w:rPr>
              <w:t>Δ</w:t>
            </w:r>
            <w:r>
              <w:rPr>
                <w:rFonts w:eastAsia="等线"/>
                <w:bCs/>
                <w:iCs/>
                <w:sz w:val="24"/>
                <w:szCs w:val="24"/>
                <w:vertAlign w:val="subscript"/>
              </w:rPr>
              <w:t>2</w:t>
            </w:r>
            <w:r>
              <w:rPr>
                <w:bCs/>
                <w:sz w:val="24"/>
                <w:szCs w:val="24"/>
              </w:rPr>
              <w:t>—非结构构造缝</w:t>
            </w:r>
          </w:p>
        </w:tc>
      </w:tr>
      <w:bookmarkEnd w:id="124"/>
    </w:tbl>
    <w:p>
      <w:r>
        <w:br w:type="page"/>
      </w:r>
    </w:p>
    <w:p>
      <w:pPr>
        <w:pStyle w:val="2"/>
        <w:pageBreakBefore/>
        <w:spacing w:before="312" w:after="312"/>
        <w:ind w:left="425" w:hanging="431"/>
      </w:pPr>
      <w:bookmarkStart w:id="129" w:name="_Toc45313942"/>
      <w:bookmarkStart w:id="130" w:name="_Toc45574547"/>
      <w:r>
        <w:t>构件制作与运输</w:t>
      </w:r>
      <w:bookmarkEnd w:id="129"/>
      <w:bookmarkEnd w:id="130"/>
    </w:p>
    <w:p>
      <w:pPr>
        <w:pStyle w:val="3"/>
      </w:pPr>
      <w:bookmarkStart w:id="131" w:name="_Toc518395657"/>
      <w:bookmarkStart w:id="132" w:name="_Toc521919171"/>
      <w:bookmarkStart w:id="133" w:name="_Toc532309563"/>
      <w:bookmarkStart w:id="134" w:name="_Toc532543006"/>
      <w:bookmarkStart w:id="135" w:name="_Toc45313943"/>
      <w:bookmarkStart w:id="136" w:name="_Toc45574548"/>
      <w:r>
        <w:t>一般</w:t>
      </w:r>
      <w:bookmarkEnd w:id="131"/>
      <w:bookmarkEnd w:id="132"/>
      <w:bookmarkEnd w:id="133"/>
      <w:bookmarkEnd w:id="134"/>
      <w:r>
        <w:t>规定</w:t>
      </w:r>
      <w:bookmarkEnd w:id="135"/>
      <w:bookmarkEnd w:id="136"/>
    </w:p>
    <w:p>
      <w:bookmarkStart w:id="137" w:name="_Toc23951"/>
      <w:bookmarkStart w:id="138" w:name="_Toc17848"/>
      <w:bookmarkStart w:id="139" w:name="_Toc518395658"/>
      <w:bookmarkStart w:id="140" w:name="_Toc532309564"/>
      <w:bookmarkStart w:id="141" w:name="_Toc532543007"/>
      <w:bookmarkStart w:id="142" w:name="_Toc27611"/>
      <w:bookmarkStart w:id="143" w:name="_Toc16163"/>
      <w:bookmarkStart w:id="144" w:name="_Toc521919172"/>
      <w:bookmarkStart w:id="145" w:name="_Toc29689"/>
      <w:r>
        <w:rPr>
          <w:b/>
          <w:bCs/>
        </w:rPr>
        <w:t xml:space="preserve">9.1.1 </w:t>
      </w:r>
      <w:r>
        <w:t>叠合墙板构件生产前应进行深化设计，深化设计深度应满足广东省《装配式混凝土建筑深化设计技术规程》DBJ/T15-155的相关要求。</w:t>
      </w:r>
    </w:p>
    <w:p>
      <w:pPr>
        <w:rPr>
          <w:rFonts w:eastAsia="仿宋"/>
          <w:i/>
          <w:spacing w:val="10"/>
          <w:szCs w:val="24"/>
        </w:rPr>
      </w:pPr>
      <w:r>
        <w:rPr>
          <w:rFonts w:eastAsia="仿宋"/>
          <w:i/>
          <w:spacing w:val="10"/>
          <w:szCs w:val="24"/>
        </w:rPr>
        <w:t>【条文说明】9.1.1 深化设计是预制构件的前置条件，其深度程度对后期的构件生产、安装等均有有较大影响，根据DBJ/T15-155要求，深化设计应在施工图基础上，综合考虑建筑、设备、装修各专业以及生产、运输、安装等各环节对预制构件的要求，进行预制构件加工图、装配图、安装图设计以及生产、运输和安装方案编制。</w:t>
      </w:r>
    </w:p>
    <w:p>
      <w:r>
        <w:rPr>
          <w:b/>
          <w:bCs/>
        </w:rPr>
        <w:t xml:space="preserve">9.1.2 </w:t>
      </w:r>
      <w:r>
        <w:t>预制构件脱模验算时，等效静力荷载标准值应取构件自重标准值乘以动力系数后与脱模吸附力的组合值，且不宜小于预制构件的自重标准值得1.5倍。其中动力系数宜不小于1.5，脱模吸附力应根据构件和模具</w:t>
      </w:r>
      <w:r>
        <w:rPr>
          <w:rFonts w:hint="eastAsia"/>
        </w:rPr>
        <w:t>的</w:t>
      </w:r>
      <w:r>
        <w:t>实际情况取用且不宜小于 1.5kN/㎡。</w:t>
      </w:r>
    </w:p>
    <w:p>
      <w:r>
        <w:rPr>
          <w:b/>
          <w:bCs/>
        </w:rPr>
        <w:t xml:space="preserve">9.1.3 </w:t>
      </w:r>
      <w:r>
        <w:t>预制构件在翻转、运输、吊运、安装等短暂施工状况下的施工验算，应将构件自重标准值乘以动力系数后做为等效静力荷载标准值。构件运输、吊运时，动力系数宜取1.5；构件翻转及安装过程中，动力系数可取1.2。</w:t>
      </w:r>
    </w:p>
    <w:p>
      <w:r>
        <w:rPr>
          <w:b/>
          <w:bCs/>
        </w:rPr>
        <w:t xml:space="preserve">9.1.4 </w:t>
      </w:r>
      <w:r>
        <w:t>生产单位应具备保证产品质量要求的生产工艺、设备设施、试验检测条件等，需建立完善的质量管理体系和可追溯的质量管理制度，并宜建立信息化管理系统。</w:t>
      </w:r>
    </w:p>
    <w:p>
      <w:pPr>
        <w:pStyle w:val="47"/>
        <w:widowControl/>
        <w:ind w:firstLine="0"/>
        <w:rPr>
          <w:rFonts w:eastAsia="仿宋"/>
          <w:i/>
          <w:spacing w:val="10"/>
          <w:szCs w:val="24"/>
        </w:rPr>
      </w:pPr>
      <w:bookmarkStart w:id="146" w:name="_Hlk37773517"/>
      <w:r>
        <w:rPr>
          <w:rFonts w:eastAsia="仿宋"/>
          <w:i/>
          <w:spacing w:val="10"/>
          <w:szCs w:val="24"/>
        </w:rPr>
        <w:t>【条文说明】9.1.4 质量管理体系和制度是保证预制构件质量的前提条件和企业质量管理水平的体现。鼓励生产单位采用现代化的信息管理系统，并建立统一的编码规则和标识系统。</w:t>
      </w:r>
    </w:p>
    <w:bookmarkEnd w:id="146"/>
    <w:p>
      <w:r>
        <w:rPr>
          <w:b/>
          <w:bCs/>
        </w:rPr>
        <w:t xml:space="preserve">9.1.5 </w:t>
      </w:r>
      <w:r>
        <w:t>预制构件生产前，生产单位应根据工程特点制定相应的生产方案，包括构件的生产进度计划、技术质量控制计划、模具计划及方案、成品存放和保护方案等，并应明确材料要求、生产工艺控制要求、生产过程及成品检验要求，并应对相关生产部门和班组进行技术交底。</w:t>
      </w:r>
    </w:p>
    <w:p>
      <w:r>
        <w:rPr>
          <w:b/>
          <w:bCs/>
        </w:rPr>
        <w:t xml:space="preserve">9.1.6 </w:t>
      </w:r>
      <w:r>
        <w:t>预制构件生产过程中，如发现前道工序质量检验结果不符合相关标准、设计文件或合同要求时，不应进入下道工序。</w:t>
      </w:r>
    </w:p>
    <w:p>
      <w:r>
        <w:rPr>
          <w:b/>
          <w:bCs/>
        </w:rPr>
        <w:t xml:space="preserve">9.1.7 </w:t>
      </w:r>
      <w:r>
        <w:t>预制构件生产应建立模具验收、首件验收和出厂验收制度。</w:t>
      </w:r>
    </w:p>
    <w:p>
      <w:pPr>
        <w:pStyle w:val="47"/>
        <w:widowControl/>
        <w:ind w:firstLine="0"/>
        <w:rPr>
          <w:rFonts w:eastAsia="仿宋"/>
          <w:i/>
          <w:spacing w:val="10"/>
          <w:szCs w:val="24"/>
        </w:rPr>
      </w:pPr>
      <w:r>
        <w:rPr>
          <w:rFonts w:eastAsia="仿宋"/>
          <w:i/>
          <w:spacing w:val="10"/>
          <w:szCs w:val="24"/>
        </w:rPr>
        <w:t>【条文说明】9.1.7 首件验收制度是建设单位组织生产单位、设计单位、施工单位、监理单位对每一类构件联合进行的首件验收，验收时确定构件生产样板，验收合格之后方可批量生产。</w:t>
      </w:r>
    </w:p>
    <w:p>
      <w:r>
        <w:rPr>
          <w:b/>
          <w:bCs/>
        </w:rPr>
        <w:t xml:space="preserve">9.1.8 </w:t>
      </w:r>
      <w:r>
        <w:t>预制构件的原材料质量，钢筋加工和连接的力学性能，混凝土强度，构件结构性能，装饰材料、保温材料及连接件的质量等均应根据国家或广东省现行有关标准进行检查和检验，并应具有生产操作规程和质量检验记录。</w:t>
      </w:r>
    </w:p>
    <w:p>
      <w:pPr>
        <w:pStyle w:val="13"/>
      </w:pPr>
      <w:r>
        <w:rPr>
          <w:b/>
          <w:bCs/>
        </w:rPr>
        <w:t xml:space="preserve">9.1.9 </w:t>
      </w:r>
      <w:r>
        <w:t>预制构件生产的质量检验应按模具、钢筋及预埋件、混凝土、预制构件尺寸与外观等生产工序进行检验，并满足现行国家标准</w:t>
      </w:r>
      <w:r>
        <w:rPr>
          <w:rFonts w:hint="eastAsia"/>
        </w:rPr>
        <w:t>《装配式混凝土建筑技术标准》GB/</w:t>
      </w:r>
      <w:r>
        <w:t>T 51231</w:t>
      </w:r>
      <w:r>
        <w:rPr>
          <w:rFonts w:hint="eastAsia"/>
        </w:rPr>
        <w:t>、</w:t>
      </w:r>
      <w:r>
        <w:t>广东省《装配式混凝土建筑工程施工质量验收规范》DBJ/T 15-171</w:t>
      </w:r>
      <w:r>
        <w:rPr>
          <w:rFonts w:hint="eastAsia"/>
        </w:rPr>
        <w:t>等</w:t>
      </w:r>
      <w:r>
        <w:t>的相关要求。</w:t>
      </w:r>
    </w:p>
    <w:p>
      <w:pPr>
        <w:pStyle w:val="47"/>
        <w:widowControl/>
        <w:ind w:firstLine="0"/>
        <w:rPr>
          <w:rFonts w:eastAsia="仿宋"/>
          <w:i/>
          <w:spacing w:val="10"/>
          <w:szCs w:val="24"/>
        </w:rPr>
      </w:pPr>
      <w:r>
        <w:rPr>
          <w:rFonts w:eastAsia="仿宋"/>
          <w:i/>
          <w:spacing w:val="10"/>
          <w:szCs w:val="24"/>
        </w:rPr>
        <w:t>【条文说明】9.1.9 检验时对新制或改制后的模具应按件检验，对重复使用的定型模具、钢筋半成品和成品应分批随机抽样检验，对混凝土性能应按批检验。模具、钢筋、混凝土、预制构件制作、预应力施工等质量，均应在生产班组自检、互检和交接检的基础上，由专职检验员进行检验。</w:t>
      </w:r>
      <w:r>
        <w:rPr>
          <w:rFonts w:hint="eastAsia" w:eastAsia="仿宋"/>
          <w:i/>
          <w:spacing w:val="10"/>
          <w:szCs w:val="24"/>
        </w:rPr>
        <w:t>在批量生产时，</w:t>
      </w:r>
      <w:r>
        <w:rPr>
          <w:rFonts w:eastAsia="仿宋"/>
          <w:i/>
          <w:spacing w:val="10"/>
          <w:szCs w:val="24"/>
        </w:rPr>
        <w:t>施工单位或监理单位代表宜驻厂监督制作过程，并参与隐蔽</w:t>
      </w:r>
      <w:r>
        <w:rPr>
          <w:rFonts w:hint="eastAsia" w:eastAsia="仿宋"/>
          <w:i/>
          <w:spacing w:val="10"/>
          <w:szCs w:val="24"/>
        </w:rPr>
        <w:t>和成品</w:t>
      </w:r>
      <w:r>
        <w:rPr>
          <w:rFonts w:eastAsia="仿宋"/>
          <w:i/>
          <w:spacing w:val="10"/>
          <w:szCs w:val="24"/>
        </w:rPr>
        <w:t>验收</w:t>
      </w:r>
      <w:r>
        <w:rPr>
          <w:rFonts w:hint="eastAsia" w:eastAsia="仿宋"/>
          <w:i/>
          <w:spacing w:val="10"/>
          <w:szCs w:val="24"/>
        </w:rPr>
        <w:t>。</w:t>
      </w:r>
    </w:p>
    <w:p>
      <w:pPr>
        <w:pStyle w:val="47"/>
        <w:widowControl/>
        <w:ind w:firstLine="0"/>
      </w:pPr>
      <w:r>
        <w:rPr>
          <w:b/>
          <w:bCs/>
        </w:rPr>
        <w:t xml:space="preserve">9.1.10 </w:t>
      </w:r>
      <w:r>
        <w:t>预制构件生产中采用新技术、新工艺、新材料、新设备时，生产单位应制定专项的生产方案；必要时，应进行样品试验，检验合格后方可实施。</w:t>
      </w:r>
    </w:p>
    <w:p>
      <w:pPr>
        <w:pStyle w:val="47"/>
        <w:widowControl/>
        <w:ind w:firstLine="0"/>
        <w:rPr>
          <w:rFonts w:eastAsia="仿宋"/>
          <w:i/>
          <w:spacing w:val="10"/>
          <w:szCs w:val="24"/>
        </w:rPr>
      </w:pPr>
      <w:r>
        <w:rPr>
          <w:rFonts w:eastAsia="仿宋"/>
          <w:i/>
          <w:spacing w:val="10"/>
          <w:szCs w:val="24"/>
        </w:rPr>
        <w:t>【条文说明】9.1.10 采用新技术、新工艺、新材料、新设备时，应制定可行的技术措施。设计文件中规定使用新技术、新工艺、新材料时，生产单位应依据设计要求进行生产。生产单位欲使用新技术、新工艺、新材料时，可能会影响到产品的质量，必要时应试制样品，并经建设、设计、施工和监理单位核准后方可实施。本条的“新工艺”系指以前未在任何工程中应用的生产工艺。</w:t>
      </w:r>
    </w:p>
    <w:p>
      <w:r>
        <w:rPr>
          <w:b/>
          <w:bCs/>
        </w:rPr>
        <w:t xml:space="preserve">9.1.11 </w:t>
      </w:r>
      <w:r>
        <w:t>预制构件经检查合格后，应设置相关标识，预制构件出厂时，应出具相关质量证明文件。</w:t>
      </w:r>
    </w:p>
    <w:p>
      <w:pPr>
        <w:pStyle w:val="47"/>
        <w:widowControl/>
        <w:ind w:firstLine="0"/>
        <w:rPr>
          <w:rFonts w:eastAsia="仿宋"/>
          <w:i/>
          <w:spacing w:val="10"/>
          <w:szCs w:val="24"/>
        </w:rPr>
      </w:pPr>
      <w:r>
        <w:rPr>
          <w:rFonts w:eastAsia="仿宋"/>
          <w:i/>
          <w:spacing w:val="10"/>
          <w:szCs w:val="24"/>
        </w:rPr>
        <w:t>【条文说明】9.1.11 预制构件检查合格后，应在现场不会被遮挡的构件明显位置设置表面标识。预制构件的表面标识宜包括构件编号、构件重量、制作日期、合格状态、生产单位等信息</w:t>
      </w:r>
      <w:r>
        <w:rPr>
          <w:rFonts w:hint="eastAsia" w:eastAsia="仿宋"/>
          <w:i/>
          <w:spacing w:val="10"/>
          <w:szCs w:val="24"/>
        </w:rPr>
        <w:t>。</w:t>
      </w:r>
    </w:p>
    <w:p>
      <w:pPr>
        <w:pStyle w:val="47"/>
        <w:widowControl/>
        <w:ind w:firstLine="0"/>
        <w:rPr>
          <w:rFonts w:eastAsia="仿宋"/>
          <w:i/>
          <w:spacing w:val="10"/>
          <w:szCs w:val="24"/>
        </w:rPr>
      </w:pPr>
      <w:r>
        <w:rPr>
          <w:rFonts w:eastAsia="仿宋"/>
          <w:i/>
          <w:spacing w:val="10"/>
          <w:szCs w:val="24"/>
        </w:rPr>
        <w:t>预制构件交付的产品质量证明文件应包括以下内容：</w:t>
      </w:r>
    </w:p>
    <w:p>
      <w:pPr>
        <w:pStyle w:val="47"/>
        <w:widowControl/>
        <w:numPr>
          <w:ilvl w:val="0"/>
          <w:numId w:val="39"/>
        </w:numPr>
        <w:rPr>
          <w:rFonts w:eastAsia="仿宋"/>
          <w:i/>
          <w:spacing w:val="10"/>
          <w:szCs w:val="24"/>
        </w:rPr>
      </w:pPr>
      <w:r>
        <w:rPr>
          <w:rFonts w:hint="eastAsia" w:eastAsia="仿宋"/>
          <w:i/>
          <w:spacing w:val="10"/>
          <w:szCs w:val="24"/>
        </w:rPr>
        <w:t>产品</w:t>
      </w:r>
      <w:r>
        <w:rPr>
          <w:rFonts w:eastAsia="仿宋"/>
          <w:i/>
          <w:spacing w:val="10"/>
          <w:szCs w:val="24"/>
        </w:rPr>
        <w:t>合格证；</w:t>
      </w:r>
    </w:p>
    <w:p>
      <w:pPr>
        <w:pStyle w:val="47"/>
        <w:widowControl/>
        <w:numPr>
          <w:ilvl w:val="0"/>
          <w:numId w:val="39"/>
        </w:numPr>
        <w:rPr>
          <w:rFonts w:eastAsia="仿宋"/>
          <w:i/>
          <w:spacing w:val="10"/>
          <w:szCs w:val="24"/>
        </w:rPr>
      </w:pPr>
      <w:r>
        <w:rPr>
          <w:rFonts w:hint="eastAsia" w:eastAsia="仿宋"/>
          <w:i/>
          <w:spacing w:val="10"/>
          <w:szCs w:val="24"/>
        </w:rPr>
        <w:t>混凝土标准养护试件强度评定结果</w:t>
      </w:r>
      <w:r>
        <w:rPr>
          <w:rFonts w:eastAsia="仿宋"/>
          <w:i/>
          <w:spacing w:val="10"/>
          <w:szCs w:val="24"/>
        </w:rPr>
        <w:t>；</w:t>
      </w:r>
    </w:p>
    <w:p>
      <w:pPr>
        <w:pStyle w:val="47"/>
        <w:widowControl/>
        <w:numPr>
          <w:ilvl w:val="0"/>
          <w:numId w:val="39"/>
        </w:numPr>
        <w:rPr>
          <w:rFonts w:eastAsia="仿宋"/>
          <w:i/>
          <w:spacing w:val="10"/>
          <w:szCs w:val="24"/>
        </w:rPr>
      </w:pPr>
      <w:r>
        <w:rPr>
          <w:rFonts w:eastAsia="仿宋"/>
          <w:i/>
          <w:spacing w:val="10"/>
          <w:szCs w:val="24"/>
        </w:rPr>
        <w:t>外墙保温材料由构件厂提供试样，业主委托、监理见证取样、送施工项目备案的见证试验室检测；</w:t>
      </w:r>
    </w:p>
    <w:p>
      <w:pPr>
        <w:pStyle w:val="47"/>
        <w:widowControl/>
        <w:numPr>
          <w:ilvl w:val="0"/>
          <w:numId w:val="39"/>
        </w:numPr>
        <w:rPr>
          <w:rFonts w:eastAsia="仿宋"/>
          <w:i/>
          <w:spacing w:val="10"/>
          <w:szCs w:val="24"/>
        </w:rPr>
      </w:pPr>
      <w:r>
        <w:rPr>
          <w:rFonts w:eastAsia="仿宋"/>
          <w:i/>
          <w:spacing w:val="10"/>
          <w:szCs w:val="24"/>
        </w:rPr>
        <w:t>合同要求的其他质量证明文件。</w:t>
      </w:r>
    </w:p>
    <w:p>
      <w:pPr>
        <w:rPr>
          <w:b/>
          <w:bCs/>
        </w:rPr>
      </w:pPr>
      <w:r>
        <w:rPr>
          <w:b/>
          <w:bCs/>
        </w:rPr>
        <w:t xml:space="preserve">9.1.12 </w:t>
      </w:r>
      <w:r>
        <w:t>除本规程规定的要求外，预制构件的制作、验收、检测、运输等均应满足广东省《装配式混凝土建筑工程施工质量验收规范》DBJ/T 15-171的相关要求。</w:t>
      </w:r>
    </w:p>
    <w:bookmarkEnd w:id="137"/>
    <w:bookmarkEnd w:id="138"/>
    <w:bookmarkEnd w:id="139"/>
    <w:bookmarkEnd w:id="140"/>
    <w:bookmarkEnd w:id="141"/>
    <w:bookmarkEnd w:id="142"/>
    <w:bookmarkEnd w:id="143"/>
    <w:bookmarkEnd w:id="144"/>
    <w:bookmarkEnd w:id="145"/>
    <w:p>
      <w:pPr>
        <w:pStyle w:val="3"/>
      </w:pPr>
      <w:bookmarkStart w:id="147" w:name="_Toc45574549"/>
      <w:bookmarkStart w:id="148" w:name="_Toc45313944"/>
      <w:r>
        <w:t>原料及配件</w:t>
      </w:r>
      <w:bookmarkEnd w:id="147"/>
      <w:bookmarkEnd w:id="148"/>
    </w:p>
    <w:p>
      <w:r>
        <w:rPr>
          <w:b/>
          <w:bCs/>
        </w:rPr>
        <w:t xml:space="preserve">9.2.1 </w:t>
      </w:r>
      <w:r>
        <w:t>预制构件的原材料及配件应按照现行国家有关标准、设计文件及合同约定规定进行进厂检验，检验合格后方可用于构件生产。</w:t>
      </w:r>
    </w:p>
    <w:p>
      <w:pPr>
        <w:rPr>
          <w:rFonts w:eastAsia="仿宋"/>
          <w:spacing w:val="10"/>
          <w:szCs w:val="24"/>
        </w:rPr>
      </w:pPr>
      <w:r>
        <w:rPr>
          <w:rFonts w:eastAsia="仿宋"/>
          <w:spacing w:val="10"/>
          <w:szCs w:val="24"/>
        </w:rPr>
        <w:t>【条文说明】9.2.1预制构件生产单位应要求原材料供货方提供满足要求的技术证明文件，证明文件包括出厂合格证和检验报告等，有特殊性能要求的原材料应由双方在采购合同中给予明确说明。检验不合格的原材料及配件应进行退厂处理，并保留退厂记录。</w:t>
      </w:r>
    </w:p>
    <w:p>
      <w:r>
        <w:rPr>
          <w:b/>
          <w:bCs/>
        </w:rPr>
        <w:t xml:space="preserve">9.2.2 </w:t>
      </w:r>
      <w:r>
        <w:t>预制构件生产单位将采购的同一厂家同批次材料、配件及半成品用于生产不同工程的预制构件时，可统一划分检验批；获得产品认证或同一厂家连续三批均一次检验合格的原材料及配件，进</w:t>
      </w:r>
      <w:r>
        <w:rPr>
          <w:rFonts w:hint="eastAsia"/>
        </w:rPr>
        <w:t>厂</w:t>
      </w:r>
      <w:r>
        <w:t>检验时检验批的容量可按本规程的规定扩大一倍。扩大检验批后的检验中，出现不合格情况时，应按扩大前的检验批容量重新验收，且该种原材料或配件不得再次扩大检验批容量。</w:t>
      </w:r>
    </w:p>
    <w:p>
      <w:pPr>
        <w:rPr>
          <w:rFonts w:eastAsia="仿宋"/>
          <w:i/>
          <w:spacing w:val="10"/>
          <w:szCs w:val="24"/>
        </w:rPr>
      </w:pPr>
      <w:r>
        <w:rPr>
          <w:rFonts w:eastAsia="仿宋"/>
          <w:i/>
          <w:spacing w:val="10"/>
          <w:szCs w:val="24"/>
        </w:rPr>
        <w:t>【条文说明】9.2.2 现阶段的构件生产基本还处于定制化阶段，一个项目构件的生产周期一般是与现场安装周期同步，因此构件的生产周期非常长，而每一层构件所用原材料的数量均不会太大，这就造成原材料检测批次不合理问题。尤其多项目同时生产时，相同原材料需要根据不同项目进行检测，这就造成了过多的工作量和成本。本条借鉴产品的检验批次特点，将同一厂家提供的同批次原材料检测结果应用于不同项目，在保证质量的基础上可以尽量减少不必要的工作和成本。</w:t>
      </w:r>
    </w:p>
    <w:p>
      <w:pPr>
        <w:rPr>
          <w:rFonts w:eastAsia="仿宋"/>
          <w:i/>
          <w:spacing w:val="10"/>
          <w:szCs w:val="24"/>
        </w:rPr>
      </w:pPr>
      <w:r>
        <w:rPr>
          <w:rFonts w:eastAsia="仿宋"/>
          <w:i/>
          <w:spacing w:val="10"/>
          <w:szCs w:val="24"/>
        </w:rPr>
        <w:t xml:space="preserve">   对来源稳定且连续检验合格，或经产品认证符合要求的产品，进厂时允许放大抽检的检验批容量，但是只要出现一次检测不合格，则不再允许放大检验批容量。“获得产品认证”的产品系指经产品认证机构认证，认证结论为符合认证要求的产品。产品认证机构应经国家认证认可监督管理部门批准。</w:t>
      </w:r>
    </w:p>
    <w:p>
      <w:pPr>
        <w:pStyle w:val="3"/>
      </w:pPr>
      <w:bookmarkStart w:id="149" w:name="_Toc23256829"/>
      <w:bookmarkStart w:id="150" w:name="_Toc23498041"/>
      <w:bookmarkStart w:id="151" w:name="_Toc38289921"/>
      <w:bookmarkStart w:id="152" w:name="_Toc45313945"/>
      <w:bookmarkStart w:id="153" w:name="_Toc45574550"/>
      <w:r>
        <w:t>钢筋及预埋件</w:t>
      </w:r>
      <w:bookmarkEnd w:id="149"/>
      <w:bookmarkEnd w:id="150"/>
      <w:bookmarkEnd w:id="151"/>
      <w:bookmarkEnd w:id="152"/>
      <w:bookmarkEnd w:id="153"/>
    </w:p>
    <w:p>
      <w:r>
        <w:rPr>
          <w:b/>
          <w:bCs/>
        </w:rPr>
        <w:t xml:space="preserve">9.3.1 </w:t>
      </w:r>
      <w:r>
        <w:t>钢筋宜采用自动化机械加工设备，并应符合现行国家标准《混凝土结构工程施工规范》GB 50666的规定。</w:t>
      </w:r>
    </w:p>
    <w:p>
      <w:pPr>
        <w:pStyle w:val="47"/>
        <w:widowControl/>
        <w:ind w:firstLine="0"/>
        <w:rPr>
          <w:rFonts w:eastAsia="仿宋"/>
          <w:i/>
          <w:spacing w:val="10"/>
          <w:szCs w:val="24"/>
        </w:rPr>
      </w:pPr>
      <w:r>
        <w:rPr>
          <w:rFonts w:eastAsia="仿宋"/>
          <w:i/>
          <w:spacing w:val="10"/>
          <w:szCs w:val="24"/>
        </w:rPr>
        <w:t>【条文说明】9.3.1 使用自动化机械设备进行钢筋加工与制作，可减少钢筋损耗且有利于质量控制，有条件时应尽量采用。自动化机械设备进行钢筋调直、切割和弯折，其性能应符合现行行业标准《混凝土结构用成型钢筋》JG/T 226的有关规定。</w:t>
      </w:r>
    </w:p>
    <w:p>
      <w:r>
        <w:rPr>
          <w:b/>
          <w:bCs/>
        </w:rPr>
        <w:t xml:space="preserve">9.3.2 </w:t>
      </w:r>
      <w:r>
        <w:t>钢筋半成品、钢筋网片、钢筋骨架和钢筋桁架应检查合格后方可进行安装，并应符合下列规定：</w:t>
      </w:r>
    </w:p>
    <w:p>
      <w:pPr>
        <w:pStyle w:val="47"/>
        <w:numPr>
          <w:ilvl w:val="0"/>
          <w:numId w:val="40"/>
        </w:numPr>
        <w:ind w:left="0" w:firstLine="576" w:firstLineChars="200"/>
      </w:pPr>
      <w:r>
        <w:t>钢筋表面不得有油污，不应严重锈蚀；</w:t>
      </w:r>
    </w:p>
    <w:p>
      <w:pPr>
        <w:pStyle w:val="47"/>
        <w:numPr>
          <w:ilvl w:val="0"/>
          <w:numId w:val="40"/>
        </w:numPr>
        <w:ind w:left="0" w:firstLine="576" w:firstLineChars="200"/>
      </w:pPr>
      <w:r>
        <w:t>钢筋网片、钢筋桁架和钢筋骨架宜采用专用吊架进行吊运；</w:t>
      </w:r>
    </w:p>
    <w:p>
      <w:pPr>
        <w:pStyle w:val="47"/>
        <w:numPr>
          <w:ilvl w:val="0"/>
          <w:numId w:val="40"/>
        </w:numPr>
        <w:ind w:left="0" w:firstLine="576" w:firstLineChars="200"/>
      </w:pPr>
      <w:r>
        <w:t>钢筋桁架所包含的交叉焊点不得开焊，应保证整体结构的性能完整；</w:t>
      </w:r>
    </w:p>
    <w:p>
      <w:pPr>
        <w:pStyle w:val="47"/>
        <w:numPr>
          <w:ilvl w:val="0"/>
          <w:numId w:val="40"/>
        </w:numPr>
        <w:ind w:left="0" w:firstLine="576" w:firstLineChars="200"/>
      </w:pPr>
      <w:r>
        <w:t>混凝土保护层厚度应满足设计要求。保护层垫块宜采用条形塑料垫块或混凝土垫块，间距满足钢筋限位及控制变形要求。</w:t>
      </w:r>
    </w:p>
    <w:p>
      <w:r>
        <w:rPr>
          <w:b/>
          <w:bCs/>
        </w:rPr>
        <w:t xml:space="preserve">9.3.3 </w:t>
      </w:r>
      <w:r>
        <w:t>钢筋网片和钢筋骨架尺寸允许偏差和检验方法应符合表9.3.3-1的规定，钢筋桁架的尺寸偏差应符合表9.3.3-1的规定。</w:t>
      </w:r>
    </w:p>
    <w:tbl>
      <w:tblPr>
        <w:tblStyle w:val="31"/>
        <w:tblW w:w="51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992"/>
        <w:gridCol w:w="1866"/>
        <w:gridCol w:w="1120"/>
        <w:gridCol w:w="3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nil"/>
              <w:left w:val="nil"/>
              <w:bottom w:val="single" w:color="auto" w:sz="12" w:space="0"/>
              <w:right w:val="nil"/>
            </w:tcBorders>
          </w:tcPr>
          <w:p>
            <w:pPr>
              <w:jc w:val="center"/>
            </w:pPr>
            <w:r>
              <w:rPr>
                <w:b/>
                <w:bCs/>
              </w:rPr>
              <w:t>表</w:t>
            </w:r>
            <w:r>
              <w:t xml:space="preserve"> </w:t>
            </w:r>
            <w:r>
              <w:rPr>
                <w:rFonts w:hint="eastAsia"/>
                <w:b/>
                <w:bCs/>
              </w:rPr>
              <w:t>9.3.3</w:t>
            </w:r>
            <w:r>
              <w:rPr>
                <w:b/>
                <w:bCs/>
              </w:rPr>
              <w:t>-1</w:t>
            </w:r>
            <w:r>
              <w:rPr>
                <w:b/>
                <w:bCs/>
              </w:rPr>
              <w:tab/>
            </w:r>
            <w:r>
              <w:rPr>
                <w:b/>
                <w:bCs/>
              </w:rPr>
              <w:tab/>
            </w:r>
            <w:r>
              <w:rPr>
                <w:b/>
                <w:bCs/>
              </w:rPr>
              <w:t>钢筋网片和钢筋骨架尺寸允许偏差和检验方法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pct"/>
            <w:gridSpan w:val="3"/>
            <w:tcBorders>
              <w:top w:val="single" w:color="auto" w:sz="12" w:space="0"/>
              <w:left w:val="single" w:color="auto" w:sz="12" w:space="0"/>
              <w:bottom w:val="single" w:color="auto" w:sz="12" w:space="0"/>
            </w:tcBorders>
            <w:vAlign w:val="center"/>
          </w:tcPr>
          <w:p>
            <w:pPr>
              <w:jc w:val="center"/>
              <w:rPr>
                <w:sz w:val="24"/>
                <w:szCs w:val="24"/>
              </w:rPr>
            </w:pPr>
            <w:r>
              <w:rPr>
                <w:sz w:val="24"/>
                <w:szCs w:val="24"/>
              </w:rPr>
              <w:t>检验项目</w:t>
            </w:r>
          </w:p>
        </w:tc>
        <w:tc>
          <w:tcPr>
            <w:tcW w:w="583" w:type="pct"/>
            <w:tcBorders>
              <w:top w:val="single" w:color="auto" w:sz="12" w:space="0"/>
              <w:bottom w:val="single" w:color="auto" w:sz="12" w:space="0"/>
            </w:tcBorders>
            <w:vAlign w:val="center"/>
          </w:tcPr>
          <w:p>
            <w:pPr>
              <w:jc w:val="center"/>
              <w:rPr>
                <w:sz w:val="24"/>
                <w:szCs w:val="24"/>
              </w:rPr>
            </w:pPr>
            <w:r>
              <w:rPr>
                <w:sz w:val="24"/>
                <w:szCs w:val="24"/>
              </w:rPr>
              <w:t>允许偏差（</w:t>
            </w:r>
            <m:oMath>
              <m:r>
                <m:rPr>
                  <m:sty m:val="p"/>
                </m:rPr>
                <w:rPr>
                  <w:rFonts w:ascii="Cambria Math" w:hAnsi="Cambria Math"/>
                  <w:sz w:val="24"/>
                  <w:szCs w:val="24"/>
                </w:rPr>
                <m:t>mm</m:t>
              </m:r>
            </m:oMath>
            <w:r>
              <w:rPr>
                <w:sz w:val="24"/>
                <w:szCs w:val="24"/>
              </w:rPr>
              <w:t>）</w:t>
            </w:r>
          </w:p>
        </w:tc>
        <w:tc>
          <w:tcPr>
            <w:tcW w:w="2000" w:type="pct"/>
            <w:tcBorders>
              <w:top w:val="single" w:color="auto" w:sz="12" w:space="0"/>
              <w:bottom w:val="single" w:color="auto" w:sz="12" w:space="0"/>
              <w:right w:val="single" w:color="auto" w:sz="12" w:space="0"/>
            </w:tcBorders>
            <w:vAlign w:val="center"/>
          </w:tcPr>
          <w:p>
            <w:pPr>
              <w:jc w:val="center"/>
              <w:rPr>
                <w:sz w:val="24"/>
                <w:szCs w:val="24"/>
              </w:rPr>
            </w:pPr>
            <w:r>
              <w:rPr>
                <w:sz w:val="24"/>
                <w:szCs w:val="24"/>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tcBorders>
              <w:top w:val="single" w:color="auto" w:sz="12" w:space="0"/>
              <w:left w:val="single" w:color="auto" w:sz="12" w:space="0"/>
            </w:tcBorders>
            <w:vAlign w:val="center"/>
          </w:tcPr>
          <w:p>
            <w:pPr>
              <w:jc w:val="center"/>
              <w:rPr>
                <w:sz w:val="24"/>
                <w:szCs w:val="24"/>
              </w:rPr>
            </w:pPr>
            <w:r>
              <w:rPr>
                <w:sz w:val="24"/>
                <w:szCs w:val="24"/>
              </w:rPr>
              <w:t>钢筋网片</w:t>
            </w:r>
          </w:p>
        </w:tc>
        <w:tc>
          <w:tcPr>
            <w:tcW w:w="1667" w:type="pct"/>
            <w:gridSpan w:val="2"/>
            <w:tcBorders>
              <w:top w:val="single" w:color="auto" w:sz="12" w:space="0"/>
            </w:tcBorders>
            <w:vAlign w:val="center"/>
          </w:tcPr>
          <w:p>
            <w:pPr>
              <w:jc w:val="center"/>
              <w:rPr>
                <w:sz w:val="24"/>
                <w:szCs w:val="24"/>
              </w:rPr>
            </w:pPr>
            <w:r>
              <w:rPr>
                <w:sz w:val="24"/>
                <w:szCs w:val="24"/>
              </w:rPr>
              <w:t>长、宽</w:t>
            </w:r>
          </w:p>
        </w:tc>
        <w:tc>
          <w:tcPr>
            <w:tcW w:w="583" w:type="pct"/>
            <w:tcBorders>
              <w:top w:val="single" w:color="auto" w:sz="12" w:space="0"/>
            </w:tcBorders>
            <w:vAlign w:val="center"/>
          </w:tcPr>
          <w:p>
            <w:pPr>
              <w:jc w:val="center"/>
              <w:rPr>
                <w:sz w:val="24"/>
                <w:szCs w:val="24"/>
              </w:rPr>
            </w:pPr>
            <m:oMath>
              <m:r>
                <w:rPr>
                  <w:rFonts w:ascii="Cambria Math" w:hAnsi="Cambria Math" w:eastAsia="微软雅黑"/>
                  <w:sz w:val="24"/>
                  <w:szCs w:val="24"/>
                </w:rPr>
                <m:t>±</m:t>
              </m:r>
            </m:oMath>
            <w:r>
              <w:rPr>
                <w:sz w:val="24"/>
                <w:szCs w:val="24"/>
              </w:rPr>
              <w:t>5</w:t>
            </w:r>
          </w:p>
        </w:tc>
        <w:tc>
          <w:tcPr>
            <w:tcW w:w="2000" w:type="pct"/>
            <w:tcBorders>
              <w:top w:val="single" w:color="auto" w:sz="12" w:space="0"/>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网眼尺寸</w:t>
            </w:r>
          </w:p>
        </w:tc>
        <w:tc>
          <w:tcPr>
            <w:tcW w:w="583" w:type="pct"/>
            <w:vAlign w:val="center"/>
          </w:tcPr>
          <w:p>
            <w:pPr>
              <w:jc w:val="center"/>
              <w:rPr>
                <w:sz w:val="24"/>
                <w:szCs w:val="24"/>
              </w:rPr>
            </w:pPr>
            <m:oMath>
              <m:r>
                <w:rPr>
                  <w:rFonts w:ascii="Cambria Math" w:hAnsi="Cambria Math" w:eastAsia="微软雅黑"/>
                  <w:sz w:val="24"/>
                  <w:szCs w:val="24"/>
                </w:rPr>
                <m:t>±</m:t>
              </m:r>
            </m:oMath>
            <w:r>
              <w:rPr>
                <w:sz w:val="24"/>
                <w:szCs w:val="24"/>
              </w:rPr>
              <w:t>5</w:t>
            </w:r>
          </w:p>
        </w:tc>
        <w:tc>
          <w:tcPr>
            <w:tcW w:w="2000" w:type="pct"/>
            <w:tcBorders>
              <w:right w:val="single" w:color="auto" w:sz="12" w:space="0"/>
            </w:tcBorders>
            <w:vAlign w:val="center"/>
          </w:tcPr>
          <w:p>
            <w:pPr>
              <w:jc w:val="center"/>
              <w:rPr>
                <w:sz w:val="24"/>
                <w:szCs w:val="24"/>
              </w:rPr>
            </w:pPr>
            <w:r>
              <w:rPr>
                <w:sz w:val="24"/>
                <w:szCs w:val="24"/>
              </w:rPr>
              <w:t>钢尺量连续三档，取最大值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对角线</w:t>
            </w:r>
          </w:p>
        </w:tc>
        <w:tc>
          <w:tcPr>
            <w:tcW w:w="583" w:type="pct"/>
            <w:vAlign w:val="center"/>
          </w:tcPr>
          <w:p>
            <w:pPr>
              <w:jc w:val="center"/>
              <w:rPr>
                <w:sz w:val="24"/>
                <w:szCs w:val="24"/>
              </w:rPr>
            </w:pPr>
            <w:r>
              <w:rPr>
                <w:sz w:val="24"/>
                <w:szCs w:val="24"/>
              </w:rPr>
              <w:t>5</w:t>
            </w:r>
          </w:p>
        </w:tc>
        <w:tc>
          <w:tcPr>
            <w:tcW w:w="2000" w:type="pct"/>
            <w:tcBorders>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端头不齐</w:t>
            </w:r>
          </w:p>
        </w:tc>
        <w:tc>
          <w:tcPr>
            <w:tcW w:w="583" w:type="pct"/>
            <w:vAlign w:val="center"/>
          </w:tcPr>
          <w:p>
            <w:pPr>
              <w:jc w:val="center"/>
              <w:rPr>
                <w:sz w:val="24"/>
                <w:szCs w:val="24"/>
              </w:rPr>
            </w:pPr>
            <w:r>
              <w:rPr>
                <w:sz w:val="24"/>
                <w:szCs w:val="24"/>
              </w:rPr>
              <w:t>3</w:t>
            </w:r>
          </w:p>
        </w:tc>
        <w:tc>
          <w:tcPr>
            <w:tcW w:w="2000" w:type="pct"/>
            <w:tcBorders>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restart"/>
            <w:tcBorders>
              <w:left w:val="single" w:color="auto" w:sz="12" w:space="0"/>
            </w:tcBorders>
            <w:vAlign w:val="center"/>
          </w:tcPr>
          <w:p>
            <w:pPr>
              <w:jc w:val="center"/>
              <w:rPr>
                <w:sz w:val="24"/>
                <w:szCs w:val="24"/>
              </w:rPr>
            </w:pPr>
            <w:r>
              <w:rPr>
                <w:sz w:val="24"/>
                <w:szCs w:val="24"/>
              </w:rPr>
              <w:t>钢筋骨架</w:t>
            </w:r>
          </w:p>
        </w:tc>
        <w:tc>
          <w:tcPr>
            <w:tcW w:w="1667" w:type="pct"/>
            <w:gridSpan w:val="2"/>
            <w:vAlign w:val="center"/>
          </w:tcPr>
          <w:p>
            <w:pPr>
              <w:jc w:val="center"/>
              <w:rPr>
                <w:sz w:val="24"/>
                <w:szCs w:val="24"/>
              </w:rPr>
            </w:pPr>
            <w:r>
              <w:rPr>
                <w:sz w:val="24"/>
                <w:szCs w:val="24"/>
              </w:rPr>
              <w:t>长</w:t>
            </w:r>
          </w:p>
        </w:tc>
        <w:tc>
          <w:tcPr>
            <w:tcW w:w="583" w:type="pct"/>
            <w:vAlign w:val="center"/>
          </w:tcPr>
          <w:p>
            <w:pPr>
              <w:jc w:val="center"/>
              <w:rPr>
                <w:sz w:val="24"/>
                <w:szCs w:val="24"/>
              </w:rPr>
            </w:pPr>
            <w:r>
              <w:rPr>
                <w:sz w:val="24"/>
                <w:szCs w:val="24"/>
              </w:rPr>
              <w:t>0，</w:t>
            </w:r>
            <m:oMath>
              <m:r>
                <w:rPr>
                  <w:rFonts w:ascii="Cambria Math" w:hAnsi="Cambria Math" w:eastAsia="微软雅黑"/>
                  <w:sz w:val="24"/>
                  <w:szCs w:val="24"/>
                </w:rPr>
                <m:t>-</m:t>
              </m:r>
            </m:oMath>
            <w:r>
              <w:rPr>
                <w:sz w:val="24"/>
                <w:szCs w:val="24"/>
              </w:rPr>
              <w:t>5</w:t>
            </w:r>
          </w:p>
        </w:tc>
        <w:tc>
          <w:tcPr>
            <w:tcW w:w="2000" w:type="pct"/>
            <w:tcBorders>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宽</w:t>
            </w:r>
          </w:p>
        </w:tc>
        <w:tc>
          <w:tcPr>
            <w:tcW w:w="583" w:type="pct"/>
            <w:vAlign w:val="center"/>
          </w:tcPr>
          <w:p>
            <w:pPr>
              <w:jc w:val="center"/>
              <w:rPr>
                <w:sz w:val="24"/>
                <w:szCs w:val="24"/>
              </w:rPr>
            </w:pPr>
            <m:oMath>
              <m:r>
                <w:rPr>
                  <w:rFonts w:ascii="Cambria Math" w:hAnsi="Cambria Math" w:eastAsia="微软雅黑"/>
                  <w:sz w:val="24"/>
                  <w:szCs w:val="24"/>
                </w:rPr>
                <m:t>±</m:t>
              </m:r>
            </m:oMath>
            <w:r>
              <w:rPr>
                <w:sz w:val="24"/>
                <w:szCs w:val="24"/>
              </w:rPr>
              <w:t>5</w:t>
            </w:r>
          </w:p>
        </w:tc>
        <w:tc>
          <w:tcPr>
            <w:tcW w:w="2000" w:type="pct"/>
            <w:tcBorders>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高（厚）</w:t>
            </w:r>
          </w:p>
        </w:tc>
        <w:tc>
          <w:tcPr>
            <w:tcW w:w="583" w:type="pct"/>
            <w:vAlign w:val="center"/>
          </w:tcPr>
          <w:p>
            <w:pPr>
              <w:jc w:val="center"/>
              <w:rPr>
                <w:sz w:val="24"/>
                <w:szCs w:val="24"/>
              </w:rPr>
            </w:pPr>
            <m:oMath>
              <m:r>
                <w:rPr>
                  <w:rFonts w:ascii="Cambria Math" w:hAnsi="Cambria Math" w:eastAsia="微软雅黑"/>
                  <w:sz w:val="24"/>
                  <w:szCs w:val="24"/>
                </w:rPr>
                <m:t>±</m:t>
              </m:r>
            </m:oMath>
            <w:r>
              <w:rPr>
                <w:sz w:val="24"/>
                <w:szCs w:val="24"/>
              </w:rPr>
              <w:t>5</w:t>
            </w:r>
          </w:p>
        </w:tc>
        <w:tc>
          <w:tcPr>
            <w:tcW w:w="2000" w:type="pct"/>
            <w:tcBorders>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主筋间距</w:t>
            </w:r>
          </w:p>
        </w:tc>
        <w:tc>
          <w:tcPr>
            <w:tcW w:w="583" w:type="pct"/>
            <w:vAlign w:val="center"/>
          </w:tcPr>
          <w:p>
            <w:pPr>
              <w:jc w:val="center"/>
              <w:rPr>
                <w:sz w:val="24"/>
                <w:szCs w:val="24"/>
              </w:rPr>
            </w:pPr>
            <m:oMath>
              <m:r>
                <w:rPr>
                  <w:rFonts w:ascii="Cambria Math" w:hAnsi="Cambria Math" w:eastAsia="微软雅黑"/>
                  <w:sz w:val="24"/>
                  <w:szCs w:val="24"/>
                </w:rPr>
                <m:t>±</m:t>
              </m:r>
            </m:oMath>
            <w:r>
              <w:rPr>
                <w:sz w:val="24"/>
                <w:szCs w:val="24"/>
              </w:rPr>
              <w:t>10</w:t>
            </w:r>
          </w:p>
        </w:tc>
        <w:tc>
          <w:tcPr>
            <w:tcW w:w="2000" w:type="pct"/>
            <w:tcBorders>
              <w:right w:val="single" w:color="auto" w:sz="12" w:space="0"/>
            </w:tcBorders>
            <w:vAlign w:val="center"/>
          </w:tcPr>
          <w:p>
            <w:pPr>
              <w:jc w:val="center"/>
              <w:rPr>
                <w:sz w:val="24"/>
                <w:szCs w:val="24"/>
              </w:rPr>
            </w:pPr>
            <w:r>
              <w:rPr>
                <w:sz w:val="24"/>
                <w:szCs w:val="24"/>
              </w:rPr>
              <w:t>钢尺量两端、中间各一点，取最大值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主筋排距</w:t>
            </w:r>
          </w:p>
        </w:tc>
        <w:tc>
          <w:tcPr>
            <w:tcW w:w="583" w:type="pct"/>
            <w:vAlign w:val="center"/>
          </w:tcPr>
          <w:p>
            <w:pPr>
              <w:jc w:val="center"/>
              <w:rPr>
                <w:sz w:val="24"/>
                <w:szCs w:val="24"/>
              </w:rPr>
            </w:pPr>
            <m:oMath>
              <m:r>
                <w:rPr>
                  <w:rFonts w:ascii="Cambria Math" w:hAnsi="Cambria Math" w:eastAsia="微软雅黑"/>
                  <w:sz w:val="24"/>
                  <w:szCs w:val="24"/>
                </w:rPr>
                <m:t>±</m:t>
              </m:r>
            </m:oMath>
            <w:r>
              <w:rPr>
                <w:sz w:val="24"/>
                <w:szCs w:val="24"/>
              </w:rPr>
              <w:t>5</w:t>
            </w:r>
          </w:p>
        </w:tc>
        <w:tc>
          <w:tcPr>
            <w:tcW w:w="2000" w:type="pct"/>
            <w:tcBorders>
              <w:right w:val="single" w:color="auto" w:sz="12" w:space="0"/>
            </w:tcBorders>
            <w:vAlign w:val="center"/>
          </w:tcPr>
          <w:p>
            <w:pPr>
              <w:jc w:val="center"/>
              <w:rPr>
                <w:sz w:val="24"/>
                <w:szCs w:val="24"/>
              </w:rPr>
            </w:pPr>
            <w:r>
              <w:rPr>
                <w:sz w:val="24"/>
                <w:szCs w:val="24"/>
              </w:rPr>
              <w:t>钢尺量两端、中间各一点，取最大值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箍筋间距</w:t>
            </w:r>
          </w:p>
        </w:tc>
        <w:tc>
          <w:tcPr>
            <w:tcW w:w="583" w:type="pct"/>
            <w:vAlign w:val="center"/>
          </w:tcPr>
          <w:p>
            <w:pPr>
              <w:jc w:val="center"/>
              <w:rPr>
                <w:sz w:val="24"/>
                <w:szCs w:val="24"/>
              </w:rPr>
            </w:pPr>
            <m:oMath>
              <m:r>
                <w:rPr>
                  <w:rFonts w:ascii="Cambria Math" w:hAnsi="Cambria Math" w:eastAsia="微软雅黑"/>
                  <w:sz w:val="24"/>
                  <w:szCs w:val="24"/>
                </w:rPr>
                <m:t>±</m:t>
              </m:r>
            </m:oMath>
            <w:r>
              <w:rPr>
                <w:sz w:val="24"/>
                <w:szCs w:val="24"/>
              </w:rPr>
              <w:t>10</w:t>
            </w:r>
          </w:p>
        </w:tc>
        <w:tc>
          <w:tcPr>
            <w:tcW w:w="2000" w:type="pct"/>
            <w:tcBorders>
              <w:right w:val="single" w:color="auto" w:sz="12" w:space="0"/>
            </w:tcBorders>
            <w:vAlign w:val="center"/>
          </w:tcPr>
          <w:p>
            <w:pPr>
              <w:jc w:val="center"/>
              <w:rPr>
                <w:sz w:val="24"/>
                <w:szCs w:val="24"/>
              </w:rPr>
            </w:pPr>
            <w:r>
              <w:rPr>
                <w:sz w:val="24"/>
                <w:szCs w:val="24"/>
              </w:rPr>
              <w:t>钢尺量连续三档，取最大值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弯起点位置</w:t>
            </w:r>
          </w:p>
        </w:tc>
        <w:tc>
          <w:tcPr>
            <w:tcW w:w="583" w:type="pct"/>
            <w:vAlign w:val="center"/>
          </w:tcPr>
          <w:p>
            <w:pPr>
              <w:jc w:val="center"/>
              <w:rPr>
                <w:sz w:val="24"/>
                <w:szCs w:val="24"/>
              </w:rPr>
            </w:pPr>
            <w:r>
              <w:rPr>
                <w:sz w:val="24"/>
                <w:szCs w:val="24"/>
              </w:rPr>
              <w:t>10</w:t>
            </w:r>
          </w:p>
        </w:tc>
        <w:tc>
          <w:tcPr>
            <w:tcW w:w="2000" w:type="pct"/>
            <w:tcBorders>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1667" w:type="pct"/>
            <w:gridSpan w:val="2"/>
            <w:vAlign w:val="center"/>
          </w:tcPr>
          <w:p>
            <w:pPr>
              <w:jc w:val="center"/>
              <w:rPr>
                <w:sz w:val="24"/>
                <w:szCs w:val="24"/>
              </w:rPr>
            </w:pPr>
            <w:r>
              <w:rPr>
                <w:sz w:val="24"/>
                <w:szCs w:val="24"/>
              </w:rPr>
              <w:t>端头不齐</w:t>
            </w:r>
          </w:p>
        </w:tc>
        <w:tc>
          <w:tcPr>
            <w:tcW w:w="583" w:type="pct"/>
            <w:vAlign w:val="center"/>
          </w:tcPr>
          <w:p>
            <w:pPr>
              <w:jc w:val="center"/>
              <w:rPr>
                <w:sz w:val="24"/>
                <w:szCs w:val="24"/>
              </w:rPr>
            </w:pPr>
            <w:r>
              <w:rPr>
                <w:sz w:val="24"/>
                <w:szCs w:val="24"/>
              </w:rPr>
              <w:t>5</w:t>
            </w:r>
          </w:p>
        </w:tc>
        <w:tc>
          <w:tcPr>
            <w:tcW w:w="2000" w:type="pct"/>
            <w:tcBorders>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tcBorders>
            <w:vAlign w:val="center"/>
          </w:tcPr>
          <w:p>
            <w:pPr>
              <w:jc w:val="center"/>
              <w:rPr>
                <w:sz w:val="24"/>
                <w:szCs w:val="24"/>
              </w:rPr>
            </w:pPr>
          </w:p>
        </w:tc>
        <w:tc>
          <w:tcPr>
            <w:tcW w:w="583" w:type="pct"/>
            <w:vMerge w:val="restart"/>
            <w:vAlign w:val="center"/>
          </w:tcPr>
          <w:p>
            <w:pPr>
              <w:jc w:val="center"/>
              <w:rPr>
                <w:sz w:val="24"/>
                <w:szCs w:val="24"/>
              </w:rPr>
            </w:pPr>
            <w:r>
              <w:rPr>
                <w:sz w:val="24"/>
                <w:szCs w:val="24"/>
              </w:rPr>
              <w:t>保护层</w:t>
            </w:r>
          </w:p>
        </w:tc>
        <w:tc>
          <w:tcPr>
            <w:tcW w:w="1083" w:type="pct"/>
            <w:vAlign w:val="center"/>
          </w:tcPr>
          <w:p>
            <w:pPr>
              <w:jc w:val="center"/>
              <w:rPr>
                <w:sz w:val="24"/>
                <w:szCs w:val="24"/>
              </w:rPr>
            </w:pPr>
            <w:r>
              <w:rPr>
                <w:sz w:val="24"/>
                <w:szCs w:val="24"/>
              </w:rPr>
              <w:t>梁</w:t>
            </w:r>
          </w:p>
        </w:tc>
        <w:tc>
          <w:tcPr>
            <w:tcW w:w="583" w:type="pct"/>
            <w:vAlign w:val="center"/>
          </w:tcPr>
          <w:p>
            <w:pPr>
              <w:jc w:val="center"/>
              <w:rPr>
                <w:sz w:val="24"/>
                <w:szCs w:val="24"/>
              </w:rPr>
            </w:pPr>
            <m:oMath>
              <m:r>
                <w:rPr>
                  <w:rFonts w:ascii="Cambria Math" w:hAnsi="Cambria Math" w:eastAsia="微软雅黑"/>
                  <w:sz w:val="24"/>
                  <w:szCs w:val="24"/>
                </w:rPr>
                <m:t>±</m:t>
              </m:r>
            </m:oMath>
            <w:r>
              <w:rPr>
                <w:sz w:val="24"/>
                <w:szCs w:val="24"/>
              </w:rPr>
              <w:t>5</w:t>
            </w:r>
          </w:p>
        </w:tc>
        <w:tc>
          <w:tcPr>
            <w:tcW w:w="2000" w:type="pct"/>
            <w:tcBorders>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 w:type="pct"/>
            <w:vMerge w:val="continue"/>
            <w:tcBorders>
              <w:left w:val="single" w:color="auto" w:sz="12" w:space="0"/>
              <w:bottom w:val="single" w:color="auto" w:sz="12" w:space="0"/>
            </w:tcBorders>
            <w:vAlign w:val="center"/>
          </w:tcPr>
          <w:p>
            <w:pPr>
              <w:jc w:val="center"/>
              <w:rPr>
                <w:sz w:val="24"/>
                <w:szCs w:val="24"/>
              </w:rPr>
            </w:pPr>
          </w:p>
        </w:tc>
        <w:tc>
          <w:tcPr>
            <w:tcW w:w="583" w:type="pct"/>
            <w:vMerge w:val="continue"/>
            <w:tcBorders>
              <w:bottom w:val="single" w:color="auto" w:sz="12" w:space="0"/>
            </w:tcBorders>
            <w:vAlign w:val="center"/>
          </w:tcPr>
          <w:p>
            <w:pPr>
              <w:jc w:val="center"/>
              <w:rPr>
                <w:sz w:val="24"/>
                <w:szCs w:val="24"/>
              </w:rPr>
            </w:pPr>
          </w:p>
        </w:tc>
        <w:tc>
          <w:tcPr>
            <w:tcW w:w="1083" w:type="pct"/>
            <w:tcBorders>
              <w:bottom w:val="single" w:color="auto" w:sz="12" w:space="0"/>
            </w:tcBorders>
            <w:vAlign w:val="center"/>
          </w:tcPr>
          <w:p>
            <w:pPr>
              <w:jc w:val="center"/>
              <w:rPr>
                <w:sz w:val="24"/>
                <w:szCs w:val="24"/>
              </w:rPr>
            </w:pPr>
            <w:r>
              <w:rPr>
                <w:sz w:val="24"/>
                <w:szCs w:val="24"/>
              </w:rPr>
              <w:t>板、墙、</w:t>
            </w:r>
            <w:r>
              <w:rPr>
                <w:rFonts w:hint="eastAsia"/>
                <w:sz w:val="24"/>
                <w:szCs w:val="24"/>
              </w:rPr>
              <w:t>连梁</w:t>
            </w:r>
          </w:p>
        </w:tc>
        <w:tc>
          <w:tcPr>
            <w:tcW w:w="583" w:type="pct"/>
            <w:tcBorders>
              <w:bottom w:val="single" w:color="auto" w:sz="12" w:space="0"/>
            </w:tcBorders>
            <w:vAlign w:val="center"/>
          </w:tcPr>
          <w:p>
            <w:pPr>
              <w:jc w:val="center"/>
              <w:rPr>
                <w:sz w:val="24"/>
                <w:szCs w:val="24"/>
              </w:rPr>
            </w:pPr>
            <m:oMath>
              <m:r>
                <w:rPr>
                  <w:rFonts w:ascii="Cambria Math" w:hAnsi="Cambria Math" w:eastAsia="微软雅黑"/>
                  <w:sz w:val="24"/>
                  <w:szCs w:val="24"/>
                </w:rPr>
                <m:t>±</m:t>
              </m:r>
            </m:oMath>
            <w:r>
              <w:rPr>
                <w:sz w:val="24"/>
                <w:szCs w:val="24"/>
              </w:rPr>
              <w:t>3</w:t>
            </w:r>
          </w:p>
        </w:tc>
        <w:tc>
          <w:tcPr>
            <w:tcW w:w="2000" w:type="pct"/>
            <w:tcBorders>
              <w:bottom w:val="single" w:color="auto" w:sz="12" w:space="0"/>
              <w:right w:val="single" w:color="auto" w:sz="12" w:space="0"/>
            </w:tcBorders>
            <w:vAlign w:val="center"/>
          </w:tcPr>
          <w:p>
            <w:pPr>
              <w:jc w:val="center"/>
              <w:rPr>
                <w:sz w:val="24"/>
                <w:szCs w:val="24"/>
              </w:rPr>
            </w:pPr>
            <w:r>
              <w:rPr>
                <w:sz w:val="24"/>
                <w:szCs w:val="24"/>
              </w:rPr>
              <w:t>钢尺检查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nil"/>
              <w:left w:val="nil"/>
              <w:bottom w:val="single" w:color="auto" w:sz="12" w:space="0"/>
              <w:right w:val="nil"/>
            </w:tcBorders>
          </w:tcPr>
          <w:p>
            <w:pPr>
              <w:jc w:val="center"/>
            </w:pPr>
            <w:r>
              <w:rPr>
                <w:b/>
                <w:bCs/>
              </w:rPr>
              <w:t>表</w:t>
            </w:r>
            <w:r>
              <w:rPr>
                <w:rFonts w:hint="eastAsia"/>
                <w:b/>
                <w:bCs/>
              </w:rPr>
              <w:t>9.3.3</w:t>
            </w:r>
            <w:r>
              <w:rPr>
                <w:b/>
                <w:bCs/>
              </w:rPr>
              <w:t>-2</w:t>
            </w:r>
            <w:r>
              <w:rPr>
                <w:b/>
                <w:bCs/>
              </w:rPr>
              <w:tab/>
            </w:r>
            <w:r>
              <w:rPr>
                <w:b/>
                <w:bCs/>
              </w:rPr>
              <w:tab/>
            </w:r>
            <w:r>
              <w:rPr>
                <w:b/>
                <w:bCs/>
              </w:rPr>
              <w:t>钢筋桁架尺寸允许偏差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pct"/>
            <w:gridSpan w:val="3"/>
            <w:tcBorders>
              <w:top w:val="single" w:color="auto" w:sz="12" w:space="0"/>
              <w:left w:val="single" w:color="auto" w:sz="12" w:space="0"/>
              <w:bottom w:val="single" w:color="auto" w:sz="12" w:space="0"/>
            </w:tcBorders>
            <w:vAlign w:val="center"/>
          </w:tcPr>
          <w:p>
            <w:pPr>
              <w:jc w:val="center"/>
              <w:rPr>
                <w:sz w:val="24"/>
                <w:szCs w:val="24"/>
              </w:rPr>
            </w:pPr>
            <w:r>
              <w:rPr>
                <w:sz w:val="24"/>
                <w:szCs w:val="24"/>
              </w:rPr>
              <w:t>检验项目</w:t>
            </w:r>
          </w:p>
        </w:tc>
        <w:tc>
          <w:tcPr>
            <w:tcW w:w="2583" w:type="pct"/>
            <w:gridSpan w:val="2"/>
            <w:tcBorders>
              <w:top w:val="single" w:color="auto" w:sz="12" w:space="0"/>
              <w:bottom w:val="single" w:color="auto" w:sz="12" w:space="0"/>
              <w:right w:val="single" w:color="auto" w:sz="12" w:space="0"/>
            </w:tcBorders>
            <w:vAlign w:val="center"/>
          </w:tcPr>
          <w:p>
            <w:pPr>
              <w:jc w:val="center"/>
              <w:rPr>
                <w:sz w:val="24"/>
                <w:szCs w:val="24"/>
              </w:rPr>
            </w:pPr>
            <w:r>
              <w:rPr>
                <w:sz w:val="24"/>
                <w:szCs w:val="24"/>
              </w:rPr>
              <w:t>允许偏差（</w:t>
            </w:r>
            <m:oMath>
              <m:r>
                <m:rPr>
                  <m:sty m:val="p"/>
                </m:rPr>
                <w:rPr>
                  <w:rFonts w:ascii="Cambria Math" w:hAnsi="Cambria Math"/>
                  <w:sz w:val="24"/>
                  <w:szCs w:val="24"/>
                </w:rPr>
                <m:t>mm</m:t>
              </m:r>
            </m:oMath>
            <w:r>
              <w:rPr>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pct"/>
            <w:gridSpan w:val="3"/>
            <w:tcBorders>
              <w:top w:val="single" w:color="auto" w:sz="12" w:space="0"/>
              <w:left w:val="single" w:color="auto" w:sz="12" w:space="0"/>
            </w:tcBorders>
            <w:vAlign w:val="center"/>
          </w:tcPr>
          <w:p>
            <w:pPr>
              <w:jc w:val="center"/>
              <w:rPr>
                <w:sz w:val="24"/>
                <w:szCs w:val="24"/>
              </w:rPr>
            </w:pPr>
            <w:r>
              <w:rPr>
                <w:sz w:val="24"/>
                <w:szCs w:val="24"/>
              </w:rPr>
              <w:t>长度</w:t>
            </w:r>
          </w:p>
        </w:tc>
        <w:tc>
          <w:tcPr>
            <w:tcW w:w="2583" w:type="pct"/>
            <w:gridSpan w:val="2"/>
            <w:tcBorders>
              <w:top w:val="single" w:color="auto" w:sz="12" w:space="0"/>
              <w:right w:val="single" w:color="auto" w:sz="12" w:space="0"/>
            </w:tcBorders>
            <w:vAlign w:val="center"/>
          </w:tcPr>
          <w:p>
            <w:pPr>
              <w:jc w:val="center"/>
              <w:rPr>
                <w:sz w:val="24"/>
                <w:szCs w:val="24"/>
              </w:rPr>
            </w:pPr>
            <w:r>
              <w:rPr>
                <w:sz w:val="24"/>
                <w:szCs w:val="24"/>
              </w:rPr>
              <w:t>总长度的</w:t>
            </w:r>
            <m:oMath>
              <m:r>
                <w:rPr>
                  <w:rFonts w:ascii="Cambria Math" w:hAnsi="Cambria Math"/>
                  <w:sz w:val="24"/>
                  <w:szCs w:val="24"/>
                </w:rPr>
                <m:t>±</m:t>
              </m:r>
            </m:oMath>
            <w:r>
              <w:rPr>
                <w:sz w:val="24"/>
                <w:szCs w:val="24"/>
              </w:rPr>
              <w:t>0.3</w:t>
            </w:r>
            <m:oMath>
              <m:r>
                <w:rPr>
                  <w:rFonts w:ascii="Cambria Math" w:hAnsi="Cambria Math"/>
                  <w:sz w:val="24"/>
                  <w:szCs w:val="24"/>
                </w:rPr>
                <m:t>%</m:t>
              </m:r>
            </m:oMath>
            <w:r>
              <w:rPr>
                <w:sz w:val="24"/>
                <w:szCs w:val="24"/>
              </w:rPr>
              <w:t>，且不超过</w:t>
            </w:r>
            <m:oMath>
              <m:r>
                <w:rPr>
                  <w:rFonts w:ascii="Cambria Math" w:hAnsi="Cambria Math"/>
                  <w:sz w:val="24"/>
                  <w:szCs w:val="24"/>
                </w:rPr>
                <m:t>±</m:t>
              </m:r>
            </m:oMath>
            <w:r>
              <w:rPr>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pct"/>
            <w:gridSpan w:val="3"/>
            <w:tcBorders>
              <w:left w:val="single" w:color="auto" w:sz="12" w:space="0"/>
            </w:tcBorders>
            <w:vAlign w:val="center"/>
          </w:tcPr>
          <w:p>
            <w:pPr>
              <w:jc w:val="center"/>
              <w:rPr>
                <w:sz w:val="24"/>
                <w:szCs w:val="24"/>
              </w:rPr>
            </w:pPr>
            <w:r>
              <w:rPr>
                <w:sz w:val="24"/>
                <w:szCs w:val="24"/>
              </w:rPr>
              <w:t>高度</w:t>
            </w:r>
          </w:p>
        </w:tc>
        <w:tc>
          <w:tcPr>
            <w:tcW w:w="2583" w:type="pct"/>
            <w:gridSpan w:val="2"/>
            <w:tcBorders>
              <w:right w:val="single" w:color="auto" w:sz="12" w:space="0"/>
            </w:tcBorders>
            <w:vAlign w:val="center"/>
          </w:tcPr>
          <w:p>
            <w:pPr>
              <w:jc w:val="center"/>
              <w:rPr>
                <w:sz w:val="24"/>
                <w:szCs w:val="24"/>
              </w:rPr>
            </w:pPr>
            <m:oMath>
              <m:r>
                <w:rPr>
                  <w:rFonts w:ascii="Cambria Math" w:hAnsi="Cambria Math"/>
                  <w:sz w:val="24"/>
                  <w:szCs w:val="24"/>
                </w:rPr>
                <m:t>+</m:t>
              </m:r>
            </m:oMath>
            <w:r>
              <w:rPr>
                <w:sz w:val="24"/>
                <w:szCs w:val="24"/>
              </w:rPr>
              <w:t>1，</w:t>
            </w:r>
            <m:oMath>
              <m:r>
                <w:rPr>
                  <w:rFonts w:ascii="Cambria Math" w:hAnsi="Cambria Math" w:eastAsia="微软雅黑"/>
                  <w:sz w:val="24"/>
                  <w:szCs w:val="24"/>
                </w:rPr>
                <m:t>-</m:t>
              </m:r>
            </m:oMath>
            <w:r>
              <w:rPr>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pct"/>
            <w:gridSpan w:val="3"/>
            <w:tcBorders>
              <w:left w:val="single" w:color="auto" w:sz="12" w:space="0"/>
            </w:tcBorders>
            <w:vAlign w:val="center"/>
          </w:tcPr>
          <w:p>
            <w:pPr>
              <w:jc w:val="center"/>
              <w:rPr>
                <w:sz w:val="24"/>
                <w:szCs w:val="24"/>
              </w:rPr>
            </w:pPr>
            <w:r>
              <w:rPr>
                <w:sz w:val="24"/>
                <w:szCs w:val="24"/>
              </w:rPr>
              <w:t>宽度</w:t>
            </w:r>
          </w:p>
        </w:tc>
        <w:tc>
          <w:tcPr>
            <w:tcW w:w="2583" w:type="pct"/>
            <w:gridSpan w:val="2"/>
            <w:tcBorders>
              <w:right w:val="single" w:color="auto" w:sz="12" w:space="0"/>
            </w:tcBorders>
            <w:vAlign w:val="center"/>
          </w:tcPr>
          <w:p>
            <w:pPr>
              <w:jc w:val="center"/>
              <w:rPr>
                <w:sz w:val="24"/>
                <w:szCs w:val="24"/>
              </w:rPr>
            </w:pPr>
            <m:oMath>
              <m:r>
                <w:rPr>
                  <w:rFonts w:ascii="Cambria Math" w:hAnsi="Cambria Math"/>
                  <w:sz w:val="24"/>
                  <w:szCs w:val="24"/>
                </w:rPr>
                <m:t>±</m:t>
              </m:r>
            </m:oMath>
            <w:r>
              <w:rPr>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pct"/>
            <w:gridSpan w:val="3"/>
            <w:tcBorders>
              <w:left w:val="single" w:color="auto" w:sz="12" w:space="0"/>
              <w:bottom w:val="single" w:color="auto" w:sz="12" w:space="0"/>
            </w:tcBorders>
            <w:vAlign w:val="center"/>
          </w:tcPr>
          <w:p>
            <w:pPr>
              <w:jc w:val="center"/>
              <w:rPr>
                <w:sz w:val="24"/>
                <w:szCs w:val="24"/>
              </w:rPr>
            </w:pPr>
            <w:r>
              <w:rPr>
                <w:sz w:val="24"/>
                <w:szCs w:val="24"/>
              </w:rPr>
              <w:t>扭翘</w:t>
            </w:r>
          </w:p>
        </w:tc>
        <w:tc>
          <w:tcPr>
            <w:tcW w:w="2583" w:type="pct"/>
            <w:gridSpan w:val="2"/>
            <w:tcBorders>
              <w:bottom w:val="single" w:color="auto" w:sz="12" w:space="0"/>
              <w:right w:val="single" w:color="auto" w:sz="12" w:space="0"/>
            </w:tcBorders>
            <w:vAlign w:val="center"/>
          </w:tcPr>
          <w:p>
            <w:pPr>
              <w:jc w:val="center"/>
              <w:rPr>
                <w:sz w:val="24"/>
                <w:szCs w:val="24"/>
              </w:rPr>
            </w:pPr>
            <m:oMath>
              <m:r>
                <w:rPr>
                  <w:rFonts w:ascii="Cambria Math" w:hAnsi="Cambria Math"/>
                  <w:sz w:val="24"/>
                  <w:szCs w:val="24"/>
                </w:rPr>
                <m:t>≤</m:t>
              </m:r>
            </m:oMath>
            <w:r>
              <w:rPr>
                <w:sz w:val="24"/>
                <w:szCs w:val="24"/>
              </w:rPr>
              <w:t>5</w:t>
            </w:r>
          </w:p>
        </w:tc>
      </w:tr>
    </w:tbl>
    <w:p>
      <w:r>
        <w:rPr>
          <w:b/>
          <w:bCs/>
        </w:rPr>
        <w:t xml:space="preserve">9.3.4 </w:t>
      </w:r>
      <w:r>
        <w:t>预埋件的性能应符合设计要求，预埋件加工偏差应符合表9.3.4的规定。</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079"/>
        <w:gridCol w:w="1790"/>
        <w:gridCol w:w="2492"/>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5"/>
            <w:tcBorders>
              <w:top w:val="nil"/>
              <w:left w:val="nil"/>
              <w:bottom w:val="single" w:color="auto" w:sz="12" w:space="0"/>
              <w:right w:val="nil"/>
            </w:tcBorders>
          </w:tcPr>
          <w:p>
            <w:pPr>
              <w:jc w:val="center"/>
              <w:rPr>
                <w:b/>
                <w:bCs/>
              </w:rPr>
            </w:pPr>
            <w:r>
              <w:rPr>
                <w:b/>
                <w:bCs/>
              </w:rPr>
              <w:t>表</w:t>
            </w:r>
            <w:r>
              <w:rPr>
                <w:rFonts w:hint="eastAsia"/>
                <w:b/>
                <w:bCs/>
              </w:rPr>
              <w:t>9.3.4</w:t>
            </w:r>
            <w:r>
              <w:rPr>
                <w:b/>
                <w:bCs/>
              </w:rPr>
              <w:tab/>
            </w:r>
            <w:r>
              <w:rPr>
                <w:b/>
                <w:bCs/>
              </w:rPr>
              <w:t>预埋件加工允许偏差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Borders>
              <w:top w:val="single" w:color="auto" w:sz="12" w:space="0"/>
              <w:left w:val="single" w:color="auto" w:sz="12" w:space="0"/>
              <w:bottom w:val="single" w:color="auto" w:sz="12" w:space="0"/>
            </w:tcBorders>
            <w:vAlign w:val="center"/>
          </w:tcPr>
          <w:p>
            <w:pPr>
              <w:jc w:val="center"/>
              <w:rPr>
                <w:sz w:val="24"/>
                <w:szCs w:val="24"/>
              </w:rPr>
            </w:pPr>
            <w:r>
              <w:rPr>
                <w:sz w:val="24"/>
                <w:szCs w:val="24"/>
              </w:rPr>
              <w:t>项次</w:t>
            </w:r>
          </w:p>
        </w:tc>
        <w:tc>
          <w:tcPr>
            <w:tcW w:w="1683" w:type="pct"/>
            <w:gridSpan w:val="2"/>
            <w:tcBorders>
              <w:top w:val="single" w:color="auto" w:sz="12" w:space="0"/>
              <w:bottom w:val="single" w:color="auto" w:sz="12" w:space="0"/>
            </w:tcBorders>
            <w:vAlign w:val="center"/>
          </w:tcPr>
          <w:p>
            <w:pPr>
              <w:jc w:val="center"/>
              <w:rPr>
                <w:sz w:val="24"/>
                <w:szCs w:val="24"/>
              </w:rPr>
            </w:pPr>
            <w:r>
              <w:rPr>
                <w:sz w:val="24"/>
                <w:szCs w:val="24"/>
              </w:rPr>
              <w:t>检验项目</w:t>
            </w:r>
          </w:p>
        </w:tc>
        <w:tc>
          <w:tcPr>
            <w:tcW w:w="1462" w:type="pct"/>
            <w:tcBorders>
              <w:top w:val="single" w:color="auto" w:sz="12" w:space="0"/>
              <w:bottom w:val="single" w:color="auto" w:sz="12" w:space="0"/>
              <w:right w:val="single" w:color="auto" w:sz="2" w:space="0"/>
            </w:tcBorders>
            <w:vAlign w:val="center"/>
          </w:tcPr>
          <w:p>
            <w:pPr>
              <w:jc w:val="center"/>
              <w:rPr>
                <w:sz w:val="24"/>
                <w:szCs w:val="24"/>
              </w:rPr>
            </w:pPr>
            <w:r>
              <w:rPr>
                <w:sz w:val="24"/>
                <w:szCs w:val="24"/>
              </w:rPr>
              <w:t>允许偏差（</w:t>
            </w:r>
            <m:oMath>
              <m:r>
                <m:rPr>
                  <m:sty m:val="p"/>
                </m:rPr>
                <w:rPr>
                  <w:rFonts w:ascii="Cambria Math" w:hAnsi="Cambria Math"/>
                  <w:sz w:val="24"/>
                  <w:szCs w:val="24"/>
                </w:rPr>
                <m:t>mm</m:t>
              </m:r>
            </m:oMath>
            <w:r>
              <w:rPr>
                <w:sz w:val="24"/>
                <w:szCs w:val="24"/>
              </w:rPr>
              <w:t>）</w:t>
            </w:r>
          </w:p>
        </w:tc>
        <w:tc>
          <w:tcPr>
            <w:tcW w:w="1347" w:type="pct"/>
            <w:tcBorders>
              <w:top w:val="single" w:color="auto" w:sz="12" w:space="0"/>
              <w:left w:val="single" w:color="auto" w:sz="2" w:space="0"/>
              <w:bottom w:val="single" w:color="auto" w:sz="12" w:space="0"/>
              <w:right w:val="single" w:color="auto" w:sz="12" w:space="0"/>
            </w:tcBorders>
            <w:vAlign w:val="center"/>
          </w:tcPr>
          <w:p>
            <w:pPr>
              <w:jc w:val="center"/>
              <w:rPr>
                <w:sz w:val="24"/>
                <w:szCs w:val="24"/>
              </w:rPr>
            </w:pPr>
            <w:r>
              <w:rPr>
                <w:sz w:val="24"/>
                <w:szCs w:val="24"/>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Borders>
              <w:top w:val="single" w:color="auto" w:sz="12" w:space="0"/>
              <w:left w:val="single" w:color="auto" w:sz="12" w:space="0"/>
            </w:tcBorders>
            <w:vAlign w:val="center"/>
          </w:tcPr>
          <w:p>
            <w:pPr>
              <w:jc w:val="center"/>
              <w:rPr>
                <w:sz w:val="24"/>
                <w:szCs w:val="24"/>
              </w:rPr>
            </w:pPr>
            <w:r>
              <w:rPr>
                <w:sz w:val="24"/>
                <w:szCs w:val="24"/>
              </w:rPr>
              <w:t>1</w:t>
            </w:r>
          </w:p>
        </w:tc>
        <w:tc>
          <w:tcPr>
            <w:tcW w:w="1683" w:type="pct"/>
            <w:gridSpan w:val="2"/>
            <w:tcBorders>
              <w:top w:val="single" w:color="auto" w:sz="12" w:space="0"/>
            </w:tcBorders>
            <w:vAlign w:val="center"/>
          </w:tcPr>
          <w:p>
            <w:pPr>
              <w:jc w:val="center"/>
              <w:rPr>
                <w:sz w:val="24"/>
                <w:szCs w:val="24"/>
              </w:rPr>
            </w:pPr>
            <w:r>
              <w:rPr>
                <w:sz w:val="24"/>
                <w:szCs w:val="24"/>
              </w:rPr>
              <w:t>预埋件锚板的边长</w:t>
            </w:r>
          </w:p>
        </w:tc>
        <w:tc>
          <w:tcPr>
            <w:tcW w:w="1462" w:type="pct"/>
            <w:tcBorders>
              <w:top w:val="single" w:color="auto" w:sz="12" w:space="0"/>
              <w:right w:val="single" w:color="auto" w:sz="2" w:space="0"/>
            </w:tcBorders>
            <w:vAlign w:val="center"/>
          </w:tcPr>
          <w:p>
            <w:pPr>
              <w:jc w:val="center"/>
              <w:rPr>
                <w:sz w:val="24"/>
                <w:szCs w:val="24"/>
              </w:rPr>
            </w:pPr>
            <w:r>
              <w:rPr>
                <w:sz w:val="24"/>
                <w:szCs w:val="24"/>
              </w:rPr>
              <w:t>0，</w:t>
            </w:r>
            <m:oMath>
              <m:r>
                <w:rPr>
                  <w:rFonts w:ascii="Cambria Math" w:hAnsi="Cambria Math" w:eastAsia="微软雅黑"/>
                  <w:sz w:val="24"/>
                  <w:szCs w:val="24"/>
                </w:rPr>
                <m:t>-</m:t>
              </m:r>
            </m:oMath>
            <w:r>
              <w:rPr>
                <w:sz w:val="24"/>
                <w:szCs w:val="24"/>
              </w:rPr>
              <w:t>3</w:t>
            </w:r>
          </w:p>
        </w:tc>
        <w:tc>
          <w:tcPr>
            <w:tcW w:w="1347" w:type="pct"/>
            <w:tcBorders>
              <w:top w:val="single" w:color="auto" w:sz="12" w:space="0"/>
              <w:left w:val="single" w:color="auto" w:sz="2" w:space="0"/>
              <w:right w:val="single" w:color="auto" w:sz="12" w:space="0"/>
            </w:tcBorders>
            <w:vAlign w:val="center"/>
          </w:tcPr>
          <w:p>
            <w:pPr>
              <w:jc w:val="center"/>
              <w:rPr>
                <w:sz w:val="24"/>
                <w:szCs w:val="24"/>
              </w:rPr>
            </w:pPr>
            <w:r>
              <w:rPr>
                <w:sz w:val="24"/>
                <w:szCs w:val="24"/>
              </w:rPr>
              <w:t>用钢尺量测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Borders>
              <w:left w:val="single" w:color="auto" w:sz="12" w:space="0"/>
            </w:tcBorders>
            <w:vAlign w:val="center"/>
          </w:tcPr>
          <w:p>
            <w:pPr>
              <w:jc w:val="center"/>
              <w:rPr>
                <w:sz w:val="24"/>
                <w:szCs w:val="24"/>
              </w:rPr>
            </w:pPr>
            <w:r>
              <w:rPr>
                <w:sz w:val="24"/>
                <w:szCs w:val="24"/>
              </w:rPr>
              <w:t>2</w:t>
            </w:r>
          </w:p>
        </w:tc>
        <w:tc>
          <w:tcPr>
            <w:tcW w:w="1683" w:type="pct"/>
            <w:gridSpan w:val="2"/>
            <w:vAlign w:val="center"/>
          </w:tcPr>
          <w:p>
            <w:pPr>
              <w:jc w:val="center"/>
              <w:rPr>
                <w:sz w:val="24"/>
                <w:szCs w:val="24"/>
              </w:rPr>
            </w:pPr>
            <w:r>
              <w:rPr>
                <w:sz w:val="24"/>
                <w:szCs w:val="24"/>
              </w:rPr>
              <w:t>预埋件锚板的平整度</w:t>
            </w:r>
          </w:p>
        </w:tc>
        <w:tc>
          <w:tcPr>
            <w:tcW w:w="1462" w:type="pct"/>
            <w:tcBorders>
              <w:right w:val="single" w:color="auto" w:sz="2" w:space="0"/>
            </w:tcBorders>
            <w:vAlign w:val="center"/>
          </w:tcPr>
          <w:p>
            <w:pPr>
              <w:jc w:val="center"/>
              <w:rPr>
                <w:i/>
                <w:sz w:val="24"/>
                <w:szCs w:val="24"/>
              </w:rPr>
            </w:pPr>
            <w:r>
              <w:rPr>
                <w:sz w:val="24"/>
                <w:szCs w:val="24"/>
              </w:rPr>
              <w:t>1</w:t>
            </w:r>
          </w:p>
        </w:tc>
        <w:tc>
          <w:tcPr>
            <w:tcW w:w="1347" w:type="pct"/>
            <w:tcBorders>
              <w:left w:val="single" w:color="auto" w:sz="2" w:space="0"/>
              <w:right w:val="single" w:color="auto" w:sz="12" w:space="0"/>
            </w:tcBorders>
            <w:vAlign w:val="center"/>
          </w:tcPr>
          <w:p>
            <w:pPr>
              <w:jc w:val="center"/>
              <w:rPr>
                <w:rFonts w:eastAsia="等线 Light"/>
                <w:sz w:val="24"/>
                <w:szCs w:val="24"/>
              </w:rPr>
            </w:pPr>
            <w:r>
              <w:rPr>
                <w:sz w:val="24"/>
                <w:szCs w:val="24"/>
              </w:rPr>
              <w:t>用直尺和塞尺量测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Merge w:val="restart"/>
            <w:tcBorders>
              <w:left w:val="single" w:color="auto" w:sz="12" w:space="0"/>
            </w:tcBorders>
            <w:vAlign w:val="center"/>
          </w:tcPr>
          <w:p>
            <w:pPr>
              <w:jc w:val="center"/>
              <w:rPr>
                <w:sz w:val="24"/>
                <w:szCs w:val="24"/>
              </w:rPr>
            </w:pPr>
            <w:r>
              <w:rPr>
                <w:sz w:val="24"/>
                <w:szCs w:val="24"/>
              </w:rPr>
              <w:t>3</w:t>
            </w:r>
          </w:p>
        </w:tc>
        <w:tc>
          <w:tcPr>
            <w:tcW w:w="633" w:type="pct"/>
            <w:vMerge w:val="restart"/>
            <w:vAlign w:val="center"/>
          </w:tcPr>
          <w:p>
            <w:pPr>
              <w:jc w:val="center"/>
              <w:rPr>
                <w:sz w:val="24"/>
                <w:szCs w:val="24"/>
              </w:rPr>
            </w:pPr>
            <w:r>
              <w:rPr>
                <w:sz w:val="24"/>
                <w:szCs w:val="24"/>
              </w:rPr>
              <w:t>锚筋</w:t>
            </w:r>
          </w:p>
        </w:tc>
        <w:tc>
          <w:tcPr>
            <w:tcW w:w="1050" w:type="pct"/>
            <w:vAlign w:val="center"/>
          </w:tcPr>
          <w:p>
            <w:pPr>
              <w:jc w:val="center"/>
              <w:rPr>
                <w:sz w:val="24"/>
                <w:szCs w:val="24"/>
              </w:rPr>
            </w:pPr>
            <w:r>
              <w:rPr>
                <w:sz w:val="24"/>
                <w:szCs w:val="24"/>
              </w:rPr>
              <w:t>长度</w:t>
            </w:r>
          </w:p>
        </w:tc>
        <w:tc>
          <w:tcPr>
            <w:tcW w:w="1462" w:type="pct"/>
            <w:tcBorders>
              <w:right w:val="single" w:color="auto" w:sz="2" w:space="0"/>
            </w:tcBorders>
            <w:vAlign w:val="center"/>
          </w:tcPr>
          <w:p>
            <w:pPr>
              <w:jc w:val="center"/>
              <w:rPr>
                <w:sz w:val="24"/>
                <w:szCs w:val="24"/>
              </w:rPr>
            </w:pPr>
            <w:r>
              <w:rPr>
                <w:sz w:val="24"/>
                <w:szCs w:val="24"/>
              </w:rPr>
              <w:t>10，</w:t>
            </w:r>
            <m:oMath>
              <m:r>
                <w:rPr>
                  <w:rFonts w:ascii="Cambria Math" w:hAnsi="Cambria Math" w:eastAsia="微软雅黑"/>
                  <w:sz w:val="24"/>
                  <w:szCs w:val="24"/>
                </w:rPr>
                <m:t>-</m:t>
              </m:r>
            </m:oMath>
            <w:r>
              <w:rPr>
                <w:sz w:val="24"/>
                <w:szCs w:val="24"/>
              </w:rPr>
              <w:t>5</w:t>
            </w:r>
          </w:p>
        </w:tc>
        <w:tc>
          <w:tcPr>
            <w:tcW w:w="1347" w:type="pct"/>
            <w:tcBorders>
              <w:left w:val="single" w:color="auto" w:sz="2" w:space="0"/>
              <w:right w:val="single" w:color="auto" w:sz="12" w:space="0"/>
            </w:tcBorders>
            <w:vAlign w:val="center"/>
          </w:tcPr>
          <w:p>
            <w:pPr>
              <w:jc w:val="center"/>
              <w:rPr>
                <w:rFonts w:eastAsia="等线 Light"/>
                <w:sz w:val="24"/>
                <w:szCs w:val="24"/>
              </w:rPr>
            </w:pPr>
            <w:r>
              <w:rPr>
                <w:sz w:val="24"/>
                <w:szCs w:val="24"/>
              </w:rPr>
              <w:t>用钢尺量测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Merge w:val="continue"/>
            <w:tcBorders>
              <w:left w:val="single" w:color="auto" w:sz="12" w:space="0"/>
              <w:bottom w:val="single" w:color="auto" w:sz="12" w:space="0"/>
            </w:tcBorders>
            <w:vAlign w:val="center"/>
          </w:tcPr>
          <w:p>
            <w:pPr>
              <w:jc w:val="center"/>
              <w:rPr>
                <w:sz w:val="24"/>
                <w:szCs w:val="24"/>
              </w:rPr>
            </w:pPr>
          </w:p>
        </w:tc>
        <w:tc>
          <w:tcPr>
            <w:tcW w:w="633" w:type="pct"/>
            <w:vMerge w:val="continue"/>
            <w:tcBorders>
              <w:bottom w:val="single" w:color="auto" w:sz="12" w:space="0"/>
            </w:tcBorders>
            <w:vAlign w:val="center"/>
          </w:tcPr>
          <w:p>
            <w:pPr>
              <w:jc w:val="center"/>
              <w:rPr>
                <w:sz w:val="24"/>
                <w:szCs w:val="24"/>
              </w:rPr>
            </w:pPr>
          </w:p>
        </w:tc>
        <w:tc>
          <w:tcPr>
            <w:tcW w:w="1050" w:type="pct"/>
            <w:tcBorders>
              <w:bottom w:val="single" w:color="auto" w:sz="12" w:space="0"/>
            </w:tcBorders>
            <w:vAlign w:val="center"/>
          </w:tcPr>
          <w:p>
            <w:pPr>
              <w:jc w:val="center"/>
              <w:rPr>
                <w:sz w:val="24"/>
                <w:szCs w:val="24"/>
              </w:rPr>
            </w:pPr>
            <w:r>
              <w:rPr>
                <w:sz w:val="24"/>
                <w:szCs w:val="24"/>
              </w:rPr>
              <w:t>间距偏差</w:t>
            </w:r>
          </w:p>
        </w:tc>
        <w:tc>
          <w:tcPr>
            <w:tcW w:w="1462" w:type="pct"/>
            <w:tcBorders>
              <w:bottom w:val="single" w:color="auto" w:sz="12" w:space="0"/>
              <w:right w:val="single" w:color="auto" w:sz="2" w:space="0"/>
            </w:tcBorders>
            <w:vAlign w:val="center"/>
          </w:tcPr>
          <w:p>
            <w:pPr>
              <w:jc w:val="center"/>
              <w:rPr>
                <w:sz w:val="24"/>
                <w:szCs w:val="24"/>
              </w:rPr>
            </w:pPr>
            <m:oMath>
              <m:r>
                <w:rPr>
                  <w:rFonts w:ascii="Cambria Math" w:hAnsi="Cambria Math"/>
                  <w:sz w:val="24"/>
                  <w:szCs w:val="24"/>
                </w:rPr>
                <m:t>±</m:t>
              </m:r>
            </m:oMath>
            <w:r>
              <w:rPr>
                <w:sz w:val="24"/>
                <w:szCs w:val="24"/>
              </w:rPr>
              <w:t>5</w:t>
            </w:r>
          </w:p>
        </w:tc>
        <w:tc>
          <w:tcPr>
            <w:tcW w:w="1347" w:type="pct"/>
            <w:tcBorders>
              <w:left w:val="single" w:color="auto" w:sz="2" w:space="0"/>
              <w:bottom w:val="single" w:color="auto" w:sz="12" w:space="0"/>
              <w:right w:val="single" w:color="auto" w:sz="12" w:space="0"/>
            </w:tcBorders>
            <w:vAlign w:val="center"/>
          </w:tcPr>
          <w:p>
            <w:pPr>
              <w:jc w:val="center"/>
              <w:rPr>
                <w:rFonts w:eastAsia="等线 Light"/>
                <w:sz w:val="24"/>
                <w:szCs w:val="24"/>
              </w:rPr>
            </w:pPr>
            <w:r>
              <w:rPr>
                <w:sz w:val="24"/>
                <w:szCs w:val="24"/>
              </w:rPr>
              <w:t>用钢尺量测</w:t>
            </w:r>
          </w:p>
        </w:tc>
      </w:tr>
    </w:tbl>
    <w:p>
      <w:pPr>
        <w:pStyle w:val="3"/>
      </w:pPr>
      <w:bookmarkStart w:id="154" w:name="_Toc23256830"/>
      <w:bookmarkStart w:id="155" w:name="_Toc45574551"/>
      <w:bookmarkStart w:id="156" w:name="_Toc23498042"/>
      <w:bookmarkStart w:id="157" w:name="_Toc38289922"/>
      <w:bookmarkStart w:id="158" w:name="_Toc45313946"/>
      <w:r>
        <w:t>成型、养护及脱模</w:t>
      </w:r>
      <w:bookmarkEnd w:id="154"/>
      <w:bookmarkEnd w:id="155"/>
      <w:bookmarkEnd w:id="156"/>
      <w:bookmarkEnd w:id="157"/>
      <w:bookmarkEnd w:id="158"/>
    </w:p>
    <w:p>
      <w:r>
        <w:rPr>
          <w:b/>
          <w:bCs/>
        </w:rPr>
        <w:t xml:space="preserve">9.4.1 </w:t>
      </w:r>
      <w:r>
        <w:t>在浇筑混凝土前应进行隐蔽工程的检验，应包括下列内容：</w:t>
      </w:r>
    </w:p>
    <w:p>
      <w:pPr>
        <w:pStyle w:val="47"/>
        <w:numPr>
          <w:ilvl w:val="0"/>
          <w:numId w:val="41"/>
        </w:numPr>
        <w:ind w:left="0" w:firstLine="576" w:firstLineChars="200"/>
      </w:pPr>
      <w:r>
        <w:t>钢筋的种类、规格、数量、位置、间距等；</w:t>
      </w:r>
    </w:p>
    <w:p>
      <w:pPr>
        <w:pStyle w:val="47"/>
        <w:numPr>
          <w:ilvl w:val="0"/>
          <w:numId w:val="41"/>
        </w:numPr>
        <w:ind w:left="0" w:firstLine="576" w:firstLineChars="200"/>
      </w:pPr>
      <w:r>
        <w:t>受力钢筋的连接方式、接头位置、接头数量、接头面积百分率等；</w:t>
      </w:r>
    </w:p>
    <w:p>
      <w:pPr>
        <w:pStyle w:val="47"/>
        <w:numPr>
          <w:ilvl w:val="0"/>
          <w:numId w:val="41"/>
        </w:numPr>
        <w:ind w:left="0" w:firstLine="576" w:firstLineChars="200"/>
      </w:pPr>
      <w:r>
        <w:t>箍筋弯钩的弯折角度及平直段长度；</w:t>
      </w:r>
    </w:p>
    <w:p>
      <w:pPr>
        <w:pStyle w:val="47"/>
        <w:numPr>
          <w:ilvl w:val="0"/>
          <w:numId w:val="41"/>
        </w:numPr>
        <w:ind w:left="0" w:firstLine="576" w:firstLineChars="200"/>
      </w:pPr>
      <w:r>
        <w:t>预埋件、吊环、预留孔洞、预埋线盒和管线等的规格、数量、位置及固定措施；</w:t>
      </w:r>
    </w:p>
    <w:p>
      <w:pPr>
        <w:pStyle w:val="47"/>
        <w:numPr>
          <w:ilvl w:val="0"/>
          <w:numId w:val="41"/>
        </w:numPr>
        <w:ind w:left="0" w:firstLine="576" w:firstLineChars="200"/>
      </w:pPr>
      <w:r>
        <w:t>钢筋的混凝土保护层厚度；</w:t>
      </w:r>
    </w:p>
    <w:p>
      <w:pPr>
        <w:pStyle w:val="47"/>
        <w:numPr>
          <w:ilvl w:val="0"/>
          <w:numId w:val="41"/>
        </w:numPr>
        <w:ind w:left="0" w:firstLine="576" w:firstLineChars="200"/>
      </w:pPr>
      <w:r>
        <w:t>预埋件、吊点吊具、预留孔洞等的数量、尺寸及固定措施；</w:t>
      </w:r>
    </w:p>
    <w:p>
      <w:pPr>
        <w:pStyle w:val="47"/>
        <w:numPr>
          <w:ilvl w:val="0"/>
          <w:numId w:val="41"/>
        </w:numPr>
        <w:ind w:left="0" w:firstLine="576" w:firstLineChars="200"/>
      </w:pPr>
      <w:r>
        <w:t>夹心保温叠合墙的保温层位置和厚度，连接件的规格、数量和位置。</w:t>
      </w:r>
    </w:p>
    <w:p>
      <w:pPr>
        <w:rPr>
          <w:rFonts w:eastAsia="仿宋"/>
          <w:i/>
          <w:spacing w:val="10"/>
          <w:szCs w:val="24"/>
        </w:rPr>
      </w:pPr>
      <w:r>
        <w:rPr>
          <w:rFonts w:eastAsia="仿宋"/>
          <w:i/>
          <w:spacing w:val="10"/>
          <w:szCs w:val="24"/>
        </w:rPr>
        <w:t>【条文说明】9.4.1 混凝土浇筑前应进行的隐检内容，是保证预制构件满足结构性能的关键质量控制环节，应严格执行。</w:t>
      </w:r>
    </w:p>
    <w:p>
      <w:r>
        <w:rPr>
          <w:b/>
          <w:bCs/>
        </w:rPr>
        <w:t xml:space="preserve">9.4.2 </w:t>
      </w:r>
      <w:r>
        <w:t>混凝土应采用有自动计量装置的强制式搅拌机搅拌，并具有生产数据逐盘记录和实时查询功能。混凝土应按照混凝土配合比通知单进行生产，原材料每盘称量的允许偏差应符合表9.4.2的规定。</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44"/>
        <w:gridCol w:w="3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2" w:type="dxa"/>
            <w:gridSpan w:val="2"/>
            <w:tcBorders>
              <w:top w:val="nil"/>
              <w:left w:val="nil"/>
              <w:bottom w:val="single" w:color="auto" w:sz="12" w:space="0"/>
              <w:right w:val="nil"/>
            </w:tcBorders>
            <w:vAlign w:val="center"/>
          </w:tcPr>
          <w:p>
            <w:pPr>
              <w:jc w:val="center"/>
            </w:pPr>
            <w:r>
              <w:rPr>
                <w:b/>
                <w:bCs/>
              </w:rPr>
              <w:t>表</w:t>
            </w:r>
            <w:r>
              <w:rPr>
                <w:rFonts w:hint="eastAsia"/>
                <w:b/>
                <w:bCs/>
              </w:rPr>
              <w:t>9.4.2</w:t>
            </w:r>
            <w:r>
              <w:rPr>
                <w:b/>
                <w:bCs/>
              </w:rPr>
              <w:t xml:space="preserve"> 混凝土原材料每盘称量的允许偏差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4" w:type="dxa"/>
            <w:tcBorders>
              <w:top w:val="single" w:color="auto" w:sz="12" w:space="0"/>
              <w:left w:val="single" w:color="auto" w:sz="12" w:space="0"/>
              <w:bottom w:val="single" w:color="auto" w:sz="12" w:space="0"/>
            </w:tcBorders>
            <w:vAlign w:val="center"/>
          </w:tcPr>
          <w:p>
            <w:pPr>
              <w:jc w:val="center"/>
              <w:rPr>
                <w:sz w:val="24"/>
                <w:szCs w:val="24"/>
              </w:rPr>
            </w:pPr>
            <w:r>
              <w:rPr>
                <w:sz w:val="24"/>
                <w:szCs w:val="24"/>
              </w:rPr>
              <w:t>材料名称</w:t>
            </w:r>
          </w:p>
        </w:tc>
        <w:tc>
          <w:tcPr>
            <w:tcW w:w="3618" w:type="dxa"/>
            <w:tcBorders>
              <w:top w:val="single" w:color="auto" w:sz="12" w:space="0"/>
              <w:bottom w:val="single" w:color="auto" w:sz="12" w:space="0"/>
              <w:right w:val="single" w:color="auto" w:sz="12" w:space="0"/>
            </w:tcBorders>
            <w:vAlign w:val="center"/>
          </w:tcPr>
          <w:p>
            <w:pPr>
              <w:jc w:val="center"/>
              <w:rPr>
                <w:sz w:val="24"/>
                <w:szCs w:val="24"/>
              </w:rPr>
            </w:pPr>
            <w:r>
              <w:rPr>
                <w:sz w:val="24"/>
                <w:szCs w:val="24"/>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4" w:type="dxa"/>
            <w:tcBorders>
              <w:top w:val="single" w:color="auto" w:sz="12" w:space="0"/>
              <w:left w:val="single" w:color="auto" w:sz="12" w:space="0"/>
            </w:tcBorders>
            <w:vAlign w:val="center"/>
          </w:tcPr>
          <w:p>
            <w:pPr>
              <w:jc w:val="center"/>
              <w:rPr>
                <w:sz w:val="24"/>
                <w:szCs w:val="24"/>
              </w:rPr>
            </w:pPr>
            <w:r>
              <w:rPr>
                <w:sz w:val="24"/>
                <w:szCs w:val="24"/>
              </w:rPr>
              <w:t>胶凝材料</w:t>
            </w:r>
          </w:p>
        </w:tc>
        <w:tc>
          <w:tcPr>
            <w:tcW w:w="3618" w:type="dxa"/>
            <w:tcBorders>
              <w:top w:val="single" w:color="auto" w:sz="12" w:space="0"/>
              <w:right w:val="single" w:color="auto" w:sz="12" w:space="0"/>
            </w:tcBorders>
            <w:vAlign w:val="center"/>
          </w:tcPr>
          <w:p>
            <w:pPr>
              <w:jc w:val="center"/>
              <w:rPr>
                <w:sz w:val="24"/>
                <w:szCs w:val="24"/>
              </w:rPr>
            </w:pPr>
            <m:oMath>
              <m:r>
                <m:rPr>
                  <m:sty m:val="p"/>
                </m:rPr>
                <w:rPr>
                  <w:rFonts w:ascii="Cambria Math" w:hAnsi="Cambria Math"/>
                  <w:sz w:val="24"/>
                  <w:szCs w:val="24"/>
                </w:rPr>
                <m:t>±</m:t>
              </m:r>
            </m:oMath>
            <w:r>
              <w:rPr>
                <w:sz w:val="24"/>
                <w:szCs w:val="24"/>
              </w:rPr>
              <w:t>2</w:t>
            </w:r>
            <m:oMath>
              <m:r>
                <m:rPr>
                  <m:sty m:val="p"/>
                </m:rPr>
                <w:rPr>
                  <w:rFonts w:ascii="Cambria Math" w:hAnsi="Cambria Math"/>
                  <w:sz w:val="24"/>
                  <w:szCs w:val="24"/>
                </w:rPr>
                <m:t>%</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4" w:type="dxa"/>
            <w:tcBorders>
              <w:left w:val="single" w:color="auto" w:sz="12" w:space="0"/>
            </w:tcBorders>
            <w:vAlign w:val="center"/>
          </w:tcPr>
          <w:p>
            <w:pPr>
              <w:jc w:val="center"/>
              <w:rPr>
                <w:sz w:val="24"/>
                <w:szCs w:val="24"/>
              </w:rPr>
            </w:pPr>
            <w:r>
              <w:rPr>
                <w:sz w:val="24"/>
                <w:szCs w:val="24"/>
              </w:rPr>
              <w:t>粗、细骨料</w:t>
            </w:r>
          </w:p>
        </w:tc>
        <w:tc>
          <w:tcPr>
            <w:tcW w:w="3618" w:type="dxa"/>
            <w:tcBorders>
              <w:right w:val="single" w:color="auto" w:sz="12" w:space="0"/>
            </w:tcBorders>
            <w:vAlign w:val="center"/>
          </w:tcPr>
          <w:p>
            <w:pPr>
              <w:jc w:val="center"/>
              <w:rPr>
                <w:sz w:val="24"/>
                <w:szCs w:val="24"/>
              </w:rPr>
            </w:pPr>
            <m:oMath>
              <m:r>
                <m:rPr>
                  <m:sty m:val="p"/>
                </m:rPr>
                <w:rPr>
                  <w:rFonts w:ascii="Cambria Math" w:hAnsi="Cambria Math"/>
                  <w:sz w:val="24"/>
                  <w:szCs w:val="24"/>
                </w:rPr>
                <m:t>±</m:t>
              </m:r>
            </m:oMath>
            <w:r>
              <w:rPr>
                <w:sz w:val="24"/>
                <w:szCs w:val="24"/>
              </w:rPr>
              <w:t>3</w:t>
            </w:r>
            <m:oMath>
              <m:r>
                <m:rPr>
                  <m:sty m:val="p"/>
                </m:rPr>
                <w:rPr>
                  <w:rFonts w:ascii="Cambria Math" w:hAnsi="Cambria Math"/>
                  <w:sz w:val="24"/>
                  <w:szCs w:val="24"/>
                </w:rPr>
                <m:t>%</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4" w:type="dxa"/>
            <w:tcBorders>
              <w:left w:val="single" w:color="auto" w:sz="12" w:space="0"/>
              <w:bottom w:val="single" w:color="auto" w:sz="12" w:space="0"/>
            </w:tcBorders>
            <w:vAlign w:val="center"/>
          </w:tcPr>
          <w:p>
            <w:pPr>
              <w:jc w:val="center"/>
              <w:rPr>
                <w:sz w:val="24"/>
                <w:szCs w:val="24"/>
              </w:rPr>
            </w:pPr>
            <w:r>
              <w:rPr>
                <w:sz w:val="24"/>
                <w:szCs w:val="24"/>
              </w:rPr>
              <w:t>水、外加剂</w:t>
            </w:r>
          </w:p>
        </w:tc>
        <w:tc>
          <w:tcPr>
            <w:tcW w:w="3618" w:type="dxa"/>
            <w:tcBorders>
              <w:bottom w:val="single" w:color="auto" w:sz="12" w:space="0"/>
              <w:right w:val="single" w:color="auto" w:sz="12" w:space="0"/>
            </w:tcBorders>
            <w:vAlign w:val="center"/>
          </w:tcPr>
          <w:p>
            <w:pPr>
              <w:jc w:val="center"/>
              <w:rPr>
                <w:sz w:val="24"/>
                <w:szCs w:val="24"/>
              </w:rPr>
            </w:pPr>
            <m:oMath>
              <m:r>
                <m:rPr>
                  <m:sty m:val="p"/>
                </m:rPr>
                <w:rPr>
                  <w:rFonts w:ascii="Cambria Math" w:hAnsi="Cambria Math"/>
                  <w:sz w:val="24"/>
                  <w:szCs w:val="24"/>
                </w:rPr>
                <m:t>±</m:t>
              </m:r>
            </m:oMath>
            <w:r>
              <w:rPr>
                <w:sz w:val="24"/>
                <w:szCs w:val="24"/>
              </w:rPr>
              <w:t>1</w:t>
            </w:r>
            <m:oMath>
              <m:r>
                <m:rPr>
                  <m:sty m:val="p"/>
                </m:rPr>
                <w:rPr>
                  <w:rFonts w:ascii="Cambria Math" w:hAnsi="Cambria Math"/>
                  <w:sz w:val="24"/>
                  <w:szCs w:val="24"/>
                </w:rPr>
                <m:t>%</m:t>
              </m:r>
            </m:oMath>
          </w:p>
        </w:tc>
      </w:tr>
    </w:tbl>
    <w:p>
      <w:r>
        <w:rPr>
          <w:b/>
          <w:bCs/>
        </w:rPr>
        <w:t xml:space="preserve">9.4.3 </w:t>
      </w:r>
      <w:r>
        <w:t>混凝土浇筑前应对混凝土拌合物进行抽检，抽检频次为每班组不同</w:t>
      </w:r>
      <w:r>
        <w:rPr>
          <w:rFonts w:hint="eastAsia"/>
        </w:rPr>
        <w:t>强度等级的</w:t>
      </w:r>
      <w:r>
        <w:t>混凝土每100</w:t>
      </w:r>
      <w:r>
        <w:rPr>
          <w:rFonts w:hint="eastAsia"/>
        </w:rPr>
        <w:t>m</w:t>
      </w:r>
      <w:r>
        <w:rPr>
          <w:vertAlign w:val="superscript"/>
        </w:rPr>
        <w:t>3</w:t>
      </w:r>
      <w:r>
        <w:t>抽检一批次，不满100</w:t>
      </w:r>
      <w:r>
        <w:rPr>
          <w:rFonts w:hint="eastAsia"/>
        </w:rPr>
        <w:t xml:space="preserve"> m</w:t>
      </w:r>
      <w:r>
        <w:rPr>
          <w:vertAlign w:val="superscript"/>
        </w:rPr>
        <w:t>3</w:t>
      </w:r>
      <w:r>
        <w:t>视为一批，检查内容包括：混凝土配合比、坍落度，并成型至少3组试块分别用于测定同样养护试块标准养护强度。</w:t>
      </w:r>
    </w:p>
    <w:p>
      <w:r>
        <w:rPr>
          <w:b/>
          <w:bCs/>
        </w:rPr>
        <w:t>9.4.</w:t>
      </w:r>
      <w:r>
        <w:rPr>
          <w:rFonts w:hint="eastAsia"/>
          <w:b/>
          <w:bCs/>
        </w:rPr>
        <w:t>4</w:t>
      </w:r>
      <w:r>
        <w:rPr>
          <w:b/>
          <w:bCs/>
        </w:rPr>
        <w:t xml:space="preserve"> </w:t>
      </w:r>
      <w:r>
        <w:rPr>
          <w:rFonts w:hint="eastAsia"/>
        </w:rPr>
        <w:t>根据预制构件特点和生产任务量选择自然养护和蒸汽</w:t>
      </w:r>
      <w:r>
        <w:t>养护</w:t>
      </w:r>
      <w:r>
        <w:rPr>
          <w:rFonts w:hint="eastAsia"/>
        </w:rPr>
        <w:t>，当采用蒸养养护时，</w:t>
      </w:r>
      <w:r>
        <w:t>设施的温度和湿度</w:t>
      </w:r>
      <w:r>
        <w:rPr>
          <w:rFonts w:hint="eastAsia"/>
        </w:rPr>
        <w:t>控制</w:t>
      </w:r>
      <w:r>
        <w:t>应达到预制构件所需的养护条件，升温速率不应大于15</w:t>
      </w:r>
      <m:oMath>
        <m:f>
          <m:fPr>
            <m:type m:val="lin"/>
            <m:ctrlPr>
              <w:rPr>
                <w:rFonts w:ascii="Cambria Math" w:hAnsi="Cambria Math"/>
              </w:rPr>
            </m:ctrlPr>
          </m:fPr>
          <m:num>
            <m:r>
              <m:rPr>
                <m:sty m:val="p"/>
              </m:rPr>
              <w:rPr>
                <w:rFonts w:ascii="Cambria Math" w:hAnsi="Cambria Math"/>
              </w:rPr>
              <m:t>℃</m:t>
            </m:r>
            <m:ctrlPr>
              <w:rPr>
                <w:rFonts w:ascii="Cambria Math" w:hAnsi="Cambria Math"/>
              </w:rPr>
            </m:ctrlPr>
          </m:num>
          <m:den>
            <m:r>
              <m:rPr>
                <m:sty m:val="p"/>
              </m:rPr>
              <w:rPr>
                <w:rFonts w:ascii="Cambria Math" w:hAnsi="Cambria Math"/>
              </w:rPr>
              <m:t>h</m:t>
            </m:r>
            <m:ctrlPr>
              <w:rPr>
                <w:rFonts w:ascii="Cambria Math" w:hAnsi="Cambria Math"/>
              </w:rPr>
            </m:ctrlPr>
          </m:den>
        </m:f>
      </m:oMath>
      <w:r>
        <w:t>，恒温温度不宜超过55</w:t>
      </w:r>
      <m:oMath>
        <m:r>
          <m:rPr>
            <m:sty m:val="p"/>
          </m:rPr>
          <w:rPr>
            <w:rFonts w:ascii="Cambria Math" w:hAnsi="Cambria Math"/>
          </w:rPr>
          <m:t>℃</m:t>
        </m:r>
      </m:oMath>
      <w:r>
        <w:t>，降温速率不宜超过10</w:t>
      </w:r>
      <m:oMath>
        <m:f>
          <m:fPr>
            <m:type m:val="lin"/>
            <m:ctrlPr>
              <w:rPr>
                <w:rFonts w:ascii="Cambria Math" w:hAnsi="Cambria Math"/>
              </w:rPr>
            </m:ctrlPr>
          </m:fPr>
          <m:num>
            <m:r>
              <m:rPr>
                <m:sty m:val="p"/>
              </m:rPr>
              <w:rPr>
                <w:rFonts w:ascii="Cambria Math" w:hAnsi="Cambria Math"/>
              </w:rPr>
              <m:t>℃</m:t>
            </m:r>
            <m:ctrlPr>
              <w:rPr>
                <w:rFonts w:ascii="Cambria Math" w:hAnsi="Cambria Math"/>
              </w:rPr>
            </m:ctrlPr>
          </m:num>
          <m:den>
            <m:r>
              <m:rPr>
                <m:sty m:val="p"/>
              </m:rPr>
              <w:rPr>
                <w:rFonts w:ascii="Cambria Math" w:hAnsi="Cambria Math"/>
              </w:rPr>
              <m:t>h</m:t>
            </m:r>
            <m:ctrlPr>
              <w:rPr>
                <w:rFonts w:ascii="Cambria Math" w:hAnsi="Cambria Math"/>
              </w:rPr>
            </m:ctrlPr>
          </m:den>
        </m:f>
      </m:oMath>
      <w:r>
        <w:t>。</w:t>
      </w:r>
    </w:p>
    <w:p>
      <w:r>
        <w:rPr>
          <w:b/>
          <w:bCs/>
        </w:rPr>
        <w:t>9.4.</w:t>
      </w:r>
      <w:r>
        <w:rPr>
          <w:rFonts w:hint="eastAsia"/>
          <w:b/>
          <w:bCs/>
        </w:rPr>
        <w:t>5</w:t>
      </w:r>
      <w:r>
        <w:rPr>
          <w:b/>
          <w:bCs/>
        </w:rPr>
        <w:t xml:space="preserve"> </w:t>
      </w:r>
      <w:r>
        <w:t>预制构件脱模时，同条件养护的混凝土立方体抗压强度应符合设计</w:t>
      </w:r>
      <w:r>
        <w:rPr>
          <w:rFonts w:hint="eastAsia"/>
        </w:rPr>
        <w:t>要求</w:t>
      </w:r>
      <w:r>
        <w:t>，设计未</w:t>
      </w:r>
      <w:r>
        <w:rPr>
          <w:rFonts w:hint="eastAsia"/>
        </w:rPr>
        <w:t>要求</w:t>
      </w:r>
      <w:r>
        <w:t>时</w:t>
      </w:r>
      <w:r>
        <w:rPr>
          <w:rFonts w:hint="eastAsia"/>
        </w:rPr>
        <w:t>，应计算确定且不应低于1</w:t>
      </w:r>
      <w:r>
        <w:t>5</w:t>
      </w:r>
      <w:r>
        <w:rPr>
          <w:rFonts w:hint="eastAsia"/>
        </w:rPr>
        <w:t>MPa</w:t>
      </w:r>
      <w:r>
        <w:t>。</w:t>
      </w:r>
    </w:p>
    <w:p>
      <w:pPr>
        <w:pStyle w:val="47"/>
        <w:widowControl/>
        <w:ind w:firstLine="0"/>
        <w:rPr>
          <w:rFonts w:eastAsia="仿宋"/>
          <w:i/>
          <w:spacing w:val="10"/>
          <w:szCs w:val="24"/>
        </w:rPr>
      </w:pPr>
      <w:r>
        <w:rPr>
          <w:rFonts w:eastAsia="仿宋"/>
          <w:i/>
          <w:spacing w:val="10"/>
          <w:szCs w:val="24"/>
        </w:rPr>
        <w:t>【条文说明】9.4.</w:t>
      </w:r>
      <w:r>
        <w:rPr>
          <w:rFonts w:hint="eastAsia" w:eastAsia="仿宋"/>
          <w:i/>
          <w:spacing w:val="10"/>
          <w:szCs w:val="24"/>
        </w:rPr>
        <w:t>5</w:t>
      </w:r>
      <w:r>
        <w:rPr>
          <w:rFonts w:eastAsia="仿宋"/>
          <w:i/>
          <w:spacing w:val="10"/>
          <w:szCs w:val="24"/>
        </w:rPr>
        <w:t xml:space="preserve"> 叠合墙板宜采用翻板机翻转直立或斜立后再行起吊。对于设有门洞、窗洞等较大洞口的墙板，脱膜起吊时应进行加固，防止扭曲变形造成的开裂。</w:t>
      </w:r>
    </w:p>
    <w:p>
      <w:r>
        <w:rPr>
          <w:b/>
          <w:bCs/>
        </w:rPr>
        <w:t>9.4.</w:t>
      </w:r>
      <w:r>
        <w:rPr>
          <w:rFonts w:hint="eastAsia"/>
          <w:b/>
          <w:bCs/>
        </w:rPr>
        <w:t>6</w:t>
      </w:r>
      <w:r>
        <w:rPr>
          <w:b/>
          <w:bCs/>
        </w:rPr>
        <w:t xml:space="preserve"> </w:t>
      </w:r>
      <w:r>
        <w:t>预制构件脱模的吊点位置、数量，应</w:t>
      </w:r>
      <w:r>
        <w:rPr>
          <w:rFonts w:hint="eastAsia"/>
        </w:rPr>
        <w:t>根据计算确定，并应</w:t>
      </w:r>
      <w:r>
        <w:t>符合设计、生产工艺及产品保护的要求。</w:t>
      </w:r>
    </w:p>
    <w:p>
      <w:pPr>
        <w:pStyle w:val="3"/>
      </w:pPr>
      <w:bookmarkStart w:id="159" w:name="_Toc23498043"/>
      <w:bookmarkStart w:id="160" w:name="_Toc38289923"/>
      <w:bookmarkStart w:id="161" w:name="_Toc45574552"/>
      <w:bookmarkStart w:id="162" w:name="_Toc45313947"/>
      <w:r>
        <w:t>预制构件检验</w:t>
      </w:r>
      <w:bookmarkEnd w:id="159"/>
      <w:bookmarkEnd w:id="160"/>
      <w:bookmarkEnd w:id="161"/>
      <w:bookmarkEnd w:id="162"/>
    </w:p>
    <w:p>
      <w:r>
        <w:rPr>
          <w:b/>
          <w:bCs/>
        </w:rPr>
        <w:t xml:space="preserve">9.5.1 </w:t>
      </w:r>
      <w:r>
        <w:t>预制构件生产时应采取措施避免出现外观质量缺陷。外观质量缺陷根据其影响性能、安装和使用功能的严重程度，可按表9.5.1规定划分为严重缺陷和一般缺陷，一般缺陷修补合格后可以使用。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824"/>
        <w:gridCol w:w="2410"/>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Borders>
              <w:top w:val="nil"/>
              <w:left w:val="nil"/>
              <w:bottom w:val="single" w:color="auto" w:sz="12" w:space="0"/>
              <w:right w:val="nil"/>
            </w:tcBorders>
          </w:tcPr>
          <w:p>
            <w:pPr>
              <w:jc w:val="center"/>
              <w:rPr>
                <w:b/>
                <w:bCs/>
              </w:rPr>
            </w:pPr>
            <w:r>
              <w:rPr>
                <w:b/>
                <w:bCs/>
              </w:rPr>
              <w:t>表</w:t>
            </w:r>
            <w:r>
              <w:rPr>
                <w:rFonts w:hint="eastAsia"/>
                <w:b/>
                <w:bCs/>
              </w:rPr>
              <w:t>9.5.1</w:t>
            </w:r>
            <w:r>
              <w:rPr>
                <w:b/>
                <w:bCs/>
              </w:rPr>
              <w:tab/>
            </w:r>
            <w:r>
              <w:rPr>
                <w:b/>
                <w:bCs/>
              </w:rPr>
              <w:t>预制构件外观质量缺陷分类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left w:val="single" w:color="auto" w:sz="12" w:space="0"/>
              <w:bottom w:val="single" w:color="auto" w:sz="12" w:space="0"/>
            </w:tcBorders>
            <w:vAlign w:val="center"/>
          </w:tcPr>
          <w:p>
            <w:pPr>
              <w:jc w:val="center"/>
              <w:rPr>
                <w:sz w:val="24"/>
                <w:szCs w:val="24"/>
              </w:rPr>
            </w:pPr>
            <w:r>
              <w:rPr>
                <w:sz w:val="24"/>
                <w:szCs w:val="24"/>
              </w:rPr>
              <w:t>项目</w:t>
            </w:r>
          </w:p>
        </w:tc>
        <w:tc>
          <w:tcPr>
            <w:tcW w:w="2824" w:type="dxa"/>
            <w:tcBorders>
              <w:top w:val="single" w:color="auto" w:sz="12" w:space="0"/>
              <w:bottom w:val="single" w:color="auto" w:sz="12" w:space="0"/>
            </w:tcBorders>
            <w:vAlign w:val="center"/>
          </w:tcPr>
          <w:p>
            <w:pPr>
              <w:jc w:val="center"/>
              <w:rPr>
                <w:sz w:val="24"/>
                <w:szCs w:val="24"/>
              </w:rPr>
            </w:pPr>
            <w:r>
              <w:rPr>
                <w:sz w:val="24"/>
                <w:szCs w:val="24"/>
              </w:rPr>
              <w:t>现象</w:t>
            </w:r>
          </w:p>
        </w:tc>
        <w:tc>
          <w:tcPr>
            <w:tcW w:w="2410" w:type="dxa"/>
            <w:tcBorders>
              <w:top w:val="single" w:color="auto" w:sz="12" w:space="0"/>
              <w:bottom w:val="single" w:color="auto" w:sz="12" w:space="0"/>
            </w:tcBorders>
            <w:vAlign w:val="center"/>
          </w:tcPr>
          <w:p>
            <w:pPr>
              <w:jc w:val="center"/>
              <w:rPr>
                <w:sz w:val="24"/>
                <w:szCs w:val="24"/>
              </w:rPr>
            </w:pPr>
            <w:r>
              <w:rPr>
                <w:sz w:val="24"/>
                <w:szCs w:val="24"/>
              </w:rPr>
              <w:t>严重缺陷</w:t>
            </w:r>
          </w:p>
        </w:tc>
        <w:tc>
          <w:tcPr>
            <w:tcW w:w="2352" w:type="dxa"/>
            <w:tcBorders>
              <w:top w:val="single" w:color="auto" w:sz="12" w:space="0"/>
              <w:bottom w:val="single" w:color="auto" w:sz="12" w:space="0"/>
              <w:right w:val="single" w:color="auto" w:sz="12" w:space="0"/>
            </w:tcBorders>
            <w:vAlign w:val="center"/>
          </w:tcPr>
          <w:p>
            <w:pPr>
              <w:jc w:val="center"/>
              <w:rPr>
                <w:sz w:val="24"/>
                <w:szCs w:val="24"/>
              </w:rPr>
            </w:pPr>
            <w:r>
              <w:rPr>
                <w:sz w:val="24"/>
                <w:szCs w:val="24"/>
              </w:rPr>
              <w:t>一般缺陷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12" w:space="0"/>
              <w:left w:val="single" w:color="auto" w:sz="12" w:space="0"/>
            </w:tcBorders>
            <w:vAlign w:val="center"/>
          </w:tcPr>
          <w:p>
            <w:pPr>
              <w:jc w:val="center"/>
              <w:rPr>
                <w:sz w:val="24"/>
                <w:szCs w:val="24"/>
              </w:rPr>
            </w:pPr>
            <w:r>
              <w:rPr>
                <w:sz w:val="24"/>
                <w:szCs w:val="24"/>
              </w:rPr>
              <w:t>露筋</w:t>
            </w:r>
          </w:p>
        </w:tc>
        <w:tc>
          <w:tcPr>
            <w:tcW w:w="2824" w:type="dxa"/>
            <w:tcBorders>
              <w:top w:val="single" w:color="auto" w:sz="12" w:space="0"/>
            </w:tcBorders>
            <w:vAlign w:val="center"/>
          </w:tcPr>
          <w:p>
            <w:pPr>
              <w:jc w:val="center"/>
              <w:rPr>
                <w:sz w:val="24"/>
                <w:szCs w:val="24"/>
              </w:rPr>
            </w:pPr>
            <w:r>
              <w:rPr>
                <w:sz w:val="24"/>
                <w:szCs w:val="24"/>
              </w:rPr>
              <w:t>钢筋未被混凝土完全包裹而外露</w:t>
            </w:r>
          </w:p>
        </w:tc>
        <w:tc>
          <w:tcPr>
            <w:tcW w:w="2410" w:type="dxa"/>
            <w:tcBorders>
              <w:top w:val="single" w:color="auto" w:sz="12" w:space="0"/>
            </w:tcBorders>
            <w:vAlign w:val="center"/>
          </w:tcPr>
          <w:p>
            <w:pPr>
              <w:jc w:val="center"/>
              <w:rPr>
                <w:sz w:val="24"/>
                <w:szCs w:val="24"/>
              </w:rPr>
            </w:pPr>
            <w:r>
              <w:rPr>
                <w:sz w:val="24"/>
                <w:szCs w:val="24"/>
              </w:rPr>
              <w:t>纵向受力钢筋有露筋</w:t>
            </w:r>
          </w:p>
        </w:tc>
        <w:tc>
          <w:tcPr>
            <w:tcW w:w="2352" w:type="dxa"/>
            <w:tcBorders>
              <w:top w:val="single" w:color="auto" w:sz="12" w:space="0"/>
              <w:right w:val="single" w:color="auto" w:sz="12" w:space="0"/>
            </w:tcBorders>
            <w:vAlign w:val="center"/>
          </w:tcPr>
          <w:p>
            <w:pPr>
              <w:jc w:val="center"/>
              <w:rPr>
                <w:sz w:val="24"/>
                <w:szCs w:val="24"/>
              </w:rPr>
            </w:pPr>
            <w:r>
              <w:rPr>
                <w:sz w:val="24"/>
                <w:szCs w:val="24"/>
              </w:rPr>
              <w:t>其他钢筋有少量露筋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jc w:val="center"/>
              <w:rPr>
                <w:sz w:val="24"/>
                <w:szCs w:val="24"/>
              </w:rPr>
            </w:pPr>
            <w:r>
              <w:rPr>
                <w:sz w:val="24"/>
                <w:szCs w:val="24"/>
              </w:rPr>
              <w:t>蜂窝</w:t>
            </w:r>
          </w:p>
        </w:tc>
        <w:tc>
          <w:tcPr>
            <w:tcW w:w="2824" w:type="dxa"/>
            <w:vAlign w:val="center"/>
          </w:tcPr>
          <w:p>
            <w:pPr>
              <w:jc w:val="center"/>
              <w:rPr>
                <w:sz w:val="24"/>
                <w:szCs w:val="24"/>
              </w:rPr>
            </w:pPr>
            <w:r>
              <w:rPr>
                <w:sz w:val="24"/>
                <w:szCs w:val="24"/>
              </w:rPr>
              <w:t>混凝土表面缺少水泥砂浆而形成石子外露</w:t>
            </w:r>
          </w:p>
        </w:tc>
        <w:tc>
          <w:tcPr>
            <w:tcW w:w="2410" w:type="dxa"/>
            <w:vAlign w:val="center"/>
          </w:tcPr>
          <w:p>
            <w:pPr>
              <w:jc w:val="center"/>
              <w:rPr>
                <w:sz w:val="24"/>
                <w:szCs w:val="24"/>
              </w:rPr>
            </w:pPr>
            <w:r>
              <w:rPr>
                <w:sz w:val="24"/>
                <w:szCs w:val="24"/>
              </w:rPr>
              <w:t>构件主要受力部位有蜂窝</w:t>
            </w:r>
          </w:p>
        </w:tc>
        <w:tc>
          <w:tcPr>
            <w:tcW w:w="2352" w:type="dxa"/>
            <w:tcBorders>
              <w:right w:val="single" w:color="auto" w:sz="12" w:space="0"/>
            </w:tcBorders>
            <w:vAlign w:val="center"/>
          </w:tcPr>
          <w:p>
            <w:pPr>
              <w:jc w:val="center"/>
              <w:rPr>
                <w:sz w:val="24"/>
                <w:szCs w:val="24"/>
              </w:rPr>
            </w:pPr>
            <w:r>
              <w:rPr>
                <w:sz w:val="24"/>
                <w:szCs w:val="24"/>
              </w:rPr>
              <w:t>其他部位有少量蜂窝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jc w:val="center"/>
              <w:rPr>
                <w:sz w:val="24"/>
                <w:szCs w:val="24"/>
              </w:rPr>
            </w:pPr>
            <w:r>
              <w:rPr>
                <w:sz w:val="24"/>
                <w:szCs w:val="24"/>
              </w:rPr>
              <w:t>孔洞</w:t>
            </w:r>
          </w:p>
        </w:tc>
        <w:tc>
          <w:tcPr>
            <w:tcW w:w="2824" w:type="dxa"/>
            <w:vAlign w:val="center"/>
          </w:tcPr>
          <w:p>
            <w:pPr>
              <w:jc w:val="center"/>
              <w:rPr>
                <w:sz w:val="24"/>
                <w:szCs w:val="24"/>
              </w:rPr>
            </w:pPr>
            <w:r>
              <w:rPr>
                <w:sz w:val="24"/>
                <w:szCs w:val="24"/>
              </w:rPr>
              <w:t>混凝土中孔洞深度和长度均超过保护层厚度</w:t>
            </w:r>
          </w:p>
        </w:tc>
        <w:tc>
          <w:tcPr>
            <w:tcW w:w="2410" w:type="dxa"/>
            <w:vAlign w:val="center"/>
          </w:tcPr>
          <w:p>
            <w:pPr>
              <w:jc w:val="center"/>
              <w:rPr>
                <w:sz w:val="24"/>
                <w:szCs w:val="24"/>
              </w:rPr>
            </w:pPr>
            <w:r>
              <w:rPr>
                <w:sz w:val="24"/>
                <w:szCs w:val="24"/>
              </w:rPr>
              <w:t>构件主要受力部位有孔洞</w:t>
            </w:r>
          </w:p>
        </w:tc>
        <w:tc>
          <w:tcPr>
            <w:tcW w:w="2352" w:type="dxa"/>
            <w:tcBorders>
              <w:right w:val="single" w:color="auto" w:sz="12" w:space="0"/>
            </w:tcBorders>
            <w:vAlign w:val="center"/>
          </w:tcPr>
          <w:p>
            <w:pPr>
              <w:jc w:val="center"/>
              <w:rPr>
                <w:sz w:val="24"/>
                <w:szCs w:val="24"/>
              </w:rPr>
            </w:pPr>
            <w:r>
              <w:rPr>
                <w:sz w:val="24"/>
                <w:szCs w:val="24"/>
              </w:rPr>
              <w:t>其他部位有少量孔洞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jc w:val="center"/>
              <w:rPr>
                <w:sz w:val="24"/>
                <w:szCs w:val="24"/>
              </w:rPr>
            </w:pPr>
            <w:r>
              <w:rPr>
                <w:sz w:val="24"/>
                <w:szCs w:val="24"/>
              </w:rPr>
              <w:t>夹渣</w:t>
            </w:r>
          </w:p>
        </w:tc>
        <w:tc>
          <w:tcPr>
            <w:tcW w:w="2824" w:type="dxa"/>
            <w:vAlign w:val="center"/>
          </w:tcPr>
          <w:p>
            <w:pPr>
              <w:jc w:val="center"/>
              <w:rPr>
                <w:sz w:val="24"/>
                <w:szCs w:val="24"/>
              </w:rPr>
            </w:pPr>
            <w:r>
              <w:rPr>
                <w:sz w:val="24"/>
                <w:szCs w:val="24"/>
              </w:rPr>
              <w:t>混凝土中夹有杂物且深度超过保护层厚度</w:t>
            </w:r>
          </w:p>
        </w:tc>
        <w:tc>
          <w:tcPr>
            <w:tcW w:w="2410" w:type="dxa"/>
            <w:vAlign w:val="center"/>
          </w:tcPr>
          <w:p>
            <w:pPr>
              <w:jc w:val="center"/>
              <w:rPr>
                <w:sz w:val="24"/>
                <w:szCs w:val="24"/>
              </w:rPr>
            </w:pPr>
            <w:r>
              <w:rPr>
                <w:sz w:val="24"/>
                <w:szCs w:val="24"/>
              </w:rPr>
              <w:t>构件主要受力部位有夹渣</w:t>
            </w:r>
          </w:p>
        </w:tc>
        <w:tc>
          <w:tcPr>
            <w:tcW w:w="2352" w:type="dxa"/>
            <w:tcBorders>
              <w:right w:val="single" w:color="auto" w:sz="12" w:space="0"/>
            </w:tcBorders>
            <w:vAlign w:val="center"/>
          </w:tcPr>
          <w:p>
            <w:pPr>
              <w:jc w:val="center"/>
              <w:rPr>
                <w:sz w:val="24"/>
                <w:szCs w:val="24"/>
              </w:rPr>
            </w:pPr>
            <w:r>
              <w:rPr>
                <w:sz w:val="24"/>
                <w:szCs w:val="24"/>
              </w:rPr>
              <w:t>其他部位有少量夹渣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jc w:val="center"/>
              <w:rPr>
                <w:sz w:val="24"/>
                <w:szCs w:val="24"/>
              </w:rPr>
            </w:pPr>
            <w:r>
              <w:rPr>
                <w:sz w:val="24"/>
                <w:szCs w:val="24"/>
              </w:rPr>
              <w:t>疏松</w:t>
            </w:r>
          </w:p>
        </w:tc>
        <w:tc>
          <w:tcPr>
            <w:tcW w:w="2824" w:type="dxa"/>
            <w:vAlign w:val="center"/>
          </w:tcPr>
          <w:p>
            <w:pPr>
              <w:jc w:val="center"/>
              <w:rPr>
                <w:sz w:val="24"/>
                <w:szCs w:val="24"/>
              </w:rPr>
            </w:pPr>
            <w:r>
              <w:rPr>
                <w:sz w:val="24"/>
                <w:szCs w:val="24"/>
              </w:rPr>
              <w:t>混凝土中局部不密实</w:t>
            </w:r>
          </w:p>
        </w:tc>
        <w:tc>
          <w:tcPr>
            <w:tcW w:w="2410" w:type="dxa"/>
            <w:vAlign w:val="center"/>
          </w:tcPr>
          <w:p>
            <w:pPr>
              <w:jc w:val="center"/>
              <w:rPr>
                <w:sz w:val="24"/>
                <w:szCs w:val="24"/>
              </w:rPr>
            </w:pPr>
            <w:r>
              <w:rPr>
                <w:sz w:val="24"/>
                <w:szCs w:val="24"/>
              </w:rPr>
              <w:t>构件主要受力部位有疏松</w:t>
            </w:r>
          </w:p>
        </w:tc>
        <w:tc>
          <w:tcPr>
            <w:tcW w:w="2352" w:type="dxa"/>
            <w:tcBorders>
              <w:right w:val="single" w:color="auto" w:sz="12" w:space="0"/>
            </w:tcBorders>
            <w:vAlign w:val="center"/>
          </w:tcPr>
          <w:p>
            <w:pPr>
              <w:jc w:val="center"/>
              <w:rPr>
                <w:sz w:val="24"/>
                <w:szCs w:val="24"/>
              </w:rPr>
            </w:pPr>
            <w:r>
              <w:rPr>
                <w:sz w:val="24"/>
                <w:szCs w:val="24"/>
              </w:rPr>
              <w:t>其他部位有少量疏松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jc w:val="center"/>
              <w:rPr>
                <w:sz w:val="24"/>
                <w:szCs w:val="24"/>
              </w:rPr>
            </w:pPr>
            <w:r>
              <w:rPr>
                <w:sz w:val="24"/>
                <w:szCs w:val="24"/>
              </w:rPr>
              <w:t>裂缝</w:t>
            </w:r>
          </w:p>
        </w:tc>
        <w:tc>
          <w:tcPr>
            <w:tcW w:w="2824" w:type="dxa"/>
            <w:vAlign w:val="center"/>
          </w:tcPr>
          <w:p>
            <w:pPr>
              <w:jc w:val="center"/>
              <w:rPr>
                <w:sz w:val="24"/>
                <w:szCs w:val="24"/>
              </w:rPr>
            </w:pPr>
            <w:r>
              <w:rPr>
                <w:sz w:val="24"/>
                <w:szCs w:val="24"/>
              </w:rPr>
              <w:t>缝隙从混凝土表面延伸至混凝土内部</w:t>
            </w:r>
          </w:p>
        </w:tc>
        <w:tc>
          <w:tcPr>
            <w:tcW w:w="2410" w:type="dxa"/>
            <w:vAlign w:val="center"/>
          </w:tcPr>
          <w:p>
            <w:pPr>
              <w:jc w:val="center"/>
              <w:rPr>
                <w:sz w:val="24"/>
                <w:szCs w:val="24"/>
              </w:rPr>
            </w:pPr>
            <w:r>
              <w:rPr>
                <w:sz w:val="24"/>
                <w:szCs w:val="24"/>
              </w:rPr>
              <w:t>构件主要受力部位有影响结构性能或使用功能的裂缝</w:t>
            </w:r>
          </w:p>
        </w:tc>
        <w:tc>
          <w:tcPr>
            <w:tcW w:w="2352" w:type="dxa"/>
            <w:tcBorders>
              <w:right w:val="single" w:color="auto" w:sz="12" w:space="0"/>
            </w:tcBorders>
            <w:vAlign w:val="center"/>
          </w:tcPr>
          <w:p>
            <w:pPr>
              <w:jc w:val="center"/>
              <w:rPr>
                <w:sz w:val="24"/>
                <w:szCs w:val="24"/>
              </w:rPr>
            </w:pPr>
            <w:r>
              <w:rPr>
                <w:sz w:val="24"/>
                <w:szCs w:val="24"/>
              </w:rPr>
              <w:t>其他部位有少量不影响结构性能或使用功能的裂缝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jc w:val="center"/>
              <w:rPr>
                <w:sz w:val="24"/>
                <w:szCs w:val="24"/>
              </w:rPr>
            </w:pPr>
            <w:r>
              <w:rPr>
                <w:sz w:val="24"/>
                <w:szCs w:val="24"/>
              </w:rPr>
              <w:t>连接部位缺陷</w:t>
            </w:r>
          </w:p>
        </w:tc>
        <w:tc>
          <w:tcPr>
            <w:tcW w:w="2824" w:type="dxa"/>
            <w:vAlign w:val="center"/>
          </w:tcPr>
          <w:p>
            <w:pPr>
              <w:jc w:val="center"/>
              <w:rPr>
                <w:sz w:val="24"/>
                <w:szCs w:val="24"/>
              </w:rPr>
            </w:pPr>
            <w:r>
              <w:rPr>
                <w:sz w:val="24"/>
                <w:szCs w:val="24"/>
              </w:rPr>
              <w:t>连接钢筋、连接件松动，插筋严重锈蚀、弯曲，偏位、破损等缺陷</w:t>
            </w:r>
          </w:p>
        </w:tc>
        <w:tc>
          <w:tcPr>
            <w:tcW w:w="2410" w:type="dxa"/>
            <w:vAlign w:val="center"/>
          </w:tcPr>
          <w:p>
            <w:pPr>
              <w:jc w:val="center"/>
              <w:rPr>
                <w:sz w:val="24"/>
                <w:szCs w:val="24"/>
              </w:rPr>
            </w:pPr>
            <w:r>
              <w:rPr>
                <w:sz w:val="24"/>
                <w:szCs w:val="24"/>
              </w:rPr>
              <w:t>连接部位有影响结构传力性能的缺陷</w:t>
            </w:r>
          </w:p>
        </w:tc>
        <w:tc>
          <w:tcPr>
            <w:tcW w:w="2352" w:type="dxa"/>
            <w:tcBorders>
              <w:right w:val="single" w:color="auto" w:sz="12" w:space="0"/>
            </w:tcBorders>
            <w:vAlign w:val="center"/>
          </w:tcPr>
          <w:p>
            <w:pPr>
              <w:jc w:val="center"/>
              <w:rPr>
                <w:sz w:val="24"/>
                <w:szCs w:val="24"/>
              </w:rPr>
            </w:pPr>
            <w:r>
              <w:rPr>
                <w:sz w:val="24"/>
                <w:szCs w:val="24"/>
              </w:rPr>
              <w:t>连接部位有基本不影响结构传力性能的缺陷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tcBorders>
            <w:vAlign w:val="center"/>
          </w:tcPr>
          <w:p>
            <w:pPr>
              <w:jc w:val="center"/>
              <w:rPr>
                <w:sz w:val="24"/>
                <w:szCs w:val="24"/>
              </w:rPr>
            </w:pPr>
            <w:r>
              <w:rPr>
                <w:sz w:val="24"/>
                <w:szCs w:val="24"/>
              </w:rPr>
              <w:t>外形缺陷</w:t>
            </w:r>
          </w:p>
        </w:tc>
        <w:tc>
          <w:tcPr>
            <w:tcW w:w="2824" w:type="dxa"/>
            <w:vAlign w:val="center"/>
          </w:tcPr>
          <w:p>
            <w:pPr>
              <w:jc w:val="center"/>
              <w:rPr>
                <w:sz w:val="24"/>
                <w:szCs w:val="24"/>
              </w:rPr>
            </w:pPr>
            <w:r>
              <w:rPr>
                <w:sz w:val="24"/>
                <w:szCs w:val="24"/>
              </w:rPr>
              <w:t>缺棱掉角、棱角不直，翘曲不平、飞出凸肋等，装饰面砖粘接不牢、表面不平、砖缝不顺直等</w:t>
            </w:r>
          </w:p>
        </w:tc>
        <w:tc>
          <w:tcPr>
            <w:tcW w:w="2410" w:type="dxa"/>
            <w:vAlign w:val="center"/>
          </w:tcPr>
          <w:p>
            <w:pPr>
              <w:jc w:val="center"/>
              <w:rPr>
                <w:sz w:val="24"/>
                <w:szCs w:val="24"/>
              </w:rPr>
            </w:pPr>
            <w:r>
              <w:rPr>
                <w:sz w:val="24"/>
                <w:szCs w:val="24"/>
              </w:rPr>
              <w:t>清水或具有装饰的混凝土构件内有影响使用功能或装饰效果的外形缺陷</w:t>
            </w:r>
          </w:p>
        </w:tc>
        <w:tc>
          <w:tcPr>
            <w:tcW w:w="2352" w:type="dxa"/>
            <w:tcBorders>
              <w:right w:val="single" w:color="auto" w:sz="12" w:space="0"/>
            </w:tcBorders>
            <w:vAlign w:val="center"/>
          </w:tcPr>
          <w:p>
            <w:pPr>
              <w:jc w:val="center"/>
              <w:rPr>
                <w:sz w:val="24"/>
                <w:szCs w:val="24"/>
              </w:rPr>
            </w:pPr>
            <w:r>
              <w:rPr>
                <w:sz w:val="24"/>
                <w:szCs w:val="24"/>
              </w:rPr>
              <w:t>其他混凝土构件有不影响使用功能的外形缺陷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left w:val="single" w:color="auto" w:sz="12" w:space="0"/>
              <w:bottom w:val="single" w:color="auto" w:sz="12" w:space="0"/>
            </w:tcBorders>
            <w:vAlign w:val="center"/>
          </w:tcPr>
          <w:p>
            <w:pPr>
              <w:jc w:val="center"/>
              <w:rPr>
                <w:sz w:val="24"/>
                <w:szCs w:val="24"/>
              </w:rPr>
            </w:pPr>
            <w:r>
              <w:rPr>
                <w:sz w:val="24"/>
                <w:szCs w:val="24"/>
              </w:rPr>
              <w:t>外表缺陷</w:t>
            </w:r>
          </w:p>
        </w:tc>
        <w:tc>
          <w:tcPr>
            <w:tcW w:w="2824" w:type="dxa"/>
            <w:tcBorders>
              <w:bottom w:val="single" w:color="auto" w:sz="12" w:space="0"/>
            </w:tcBorders>
            <w:vAlign w:val="center"/>
          </w:tcPr>
          <w:p>
            <w:pPr>
              <w:jc w:val="center"/>
              <w:rPr>
                <w:sz w:val="24"/>
                <w:szCs w:val="24"/>
              </w:rPr>
            </w:pPr>
            <w:r>
              <w:rPr>
                <w:sz w:val="24"/>
                <w:szCs w:val="24"/>
              </w:rPr>
              <w:t>构件表面麻面、掉皮、起砂、玷污等</w:t>
            </w:r>
          </w:p>
        </w:tc>
        <w:tc>
          <w:tcPr>
            <w:tcW w:w="2410" w:type="dxa"/>
            <w:tcBorders>
              <w:bottom w:val="single" w:color="auto" w:sz="12" w:space="0"/>
            </w:tcBorders>
            <w:vAlign w:val="center"/>
          </w:tcPr>
          <w:p>
            <w:pPr>
              <w:jc w:val="center"/>
              <w:rPr>
                <w:sz w:val="24"/>
                <w:szCs w:val="24"/>
              </w:rPr>
            </w:pPr>
            <w:r>
              <w:rPr>
                <w:sz w:val="24"/>
                <w:szCs w:val="24"/>
              </w:rPr>
              <w:t>具有重要装饰效果的清水混凝土构件具有外表缺陷</w:t>
            </w:r>
          </w:p>
        </w:tc>
        <w:tc>
          <w:tcPr>
            <w:tcW w:w="2352" w:type="dxa"/>
            <w:tcBorders>
              <w:bottom w:val="single" w:color="auto" w:sz="12" w:space="0"/>
              <w:right w:val="single" w:color="auto" w:sz="12" w:space="0"/>
            </w:tcBorders>
            <w:vAlign w:val="center"/>
          </w:tcPr>
          <w:p>
            <w:pPr>
              <w:jc w:val="center"/>
              <w:rPr>
                <w:sz w:val="24"/>
                <w:szCs w:val="24"/>
              </w:rPr>
            </w:pPr>
            <w:r>
              <w:rPr>
                <w:sz w:val="24"/>
                <w:szCs w:val="24"/>
              </w:rPr>
              <w:t>其他混凝土构件有不影响使用功能的外表缺陷</w:t>
            </w:r>
          </w:p>
        </w:tc>
      </w:tr>
    </w:tbl>
    <w:p>
      <w:pPr>
        <w:pStyle w:val="47"/>
        <w:widowControl/>
        <w:ind w:firstLine="0"/>
        <w:rPr>
          <w:rFonts w:eastAsia="仿宋"/>
          <w:i/>
          <w:spacing w:val="10"/>
          <w:szCs w:val="24"/>
        </w:rPr>
      </w:pPr>
      <w:r>
        <w:rPr>
          <w:rFonts w:eastAsia="仿宋"/>
          <w:i/>
          <w:spacing w:val="10"/>
          <w:szCs w:val="24"/>
        </w:rPr>
        <w:t>【条文说明】9.</w:t>
      </w:r>
      <w:r>
        <w:rPr>
          <w:rFonts w:hint="eastAsia" w:eastAsia="仿宋"/>
          <w:i/>
          <w:spacing w:val="10"/>
          <w:szCs w:val="24"/>
        </w:rPr>
        <w:t>5.1</w:t>
      </w:r>
      <w:r>
        <w:rPr>
          <w:rFonts w:eastAsia="仿宋"/>
          <w:i/>
          <w:spacing w:val="10"/>
          <w:szCs w:val="24"/>
        </w:rPr>
        <w:t xml:space="preserve"> </w:t>
      </w:r>
      <w:r>
        <w:rPr>
          <w:rFonts w:hint="eastAsia" w:eastAsia="仿宋"/>
          <w:i/>
          <w:spacing w:val="10"/>
          <w:szCs w:val="24"/>
        </w:rPr>
        <w:t>预制构件外观质量指构件外露面质量，叠合面部位的要求可适当放松</w:t>
      </w:r>
      <w:r>
        <w:rPr>
          <w:rFonts w:eastAsia="仿宋"/>
          <w:i/>
          <w:spacing w:val="10"/>
          <w:szCs w:val="24"/>
        </w:rPr>
        <w:t>。</w:t>
      </w:r>
      <w:r>
        <w:rPr>
          <w:rFonts w:hint="eastAsia" w:eastAsia="仿宋"/>
          <w:i/>
          <w:spacing w:val="10"/>
          <w:szCs w:val="24"/>
        </w:rPr>
        <w:t>叠合剪力墙叶板裂缝控制可适当放松。</w:t>
      </w:r>
    </w:p>
    <w:p>
      <w:r>
        <w:rPr>
          <w:b/>
          <w:bCs/>
        </w:rPr>
        <w:t xml:space="preserve">9.5.2 </w:t>
      </w:r>
      <w:r>
        <w:t>叠合墙板类构件外形尺寸允许偏差及检验方法应满足表9.5.2相关规定，其他种类预制构件尺寸偏差及预留孔、预留洞、预埋件的位置和检验方法应满足现行广东省《装配式混凝土建筑工程施工质量验收规范》DBJ/T 15-171的相关规定。预制构件有粗糙面时，与预制构件粗糙面有关的尺寸允许偏差可适当放宽。</w:t>
      </w:r>
    </w:p>
    <w:p>
      <w:pPr>
        <w:jc w:val="center"/>
        <w:rPr>
          <w:b/>
          <w:bCs/>
        </w:rPr>
      </w:pPr>
      <w:r>
        <w:rPr>
          <w:b/>
          <w:bCs/>
        </w:rPr>
        <w:t>表</w:t>
      </w:r>
      <w:r>
        <w:rPr>
          <w:rFonts w:hint="eastAsia"/>
          <w:b/>
          <w:bCs/>
        </w:rPr>
        <w:t>9.5.2</w:t>
      </w:r>
      <w:r>
        <w:rPr>
          <w:b/>
          <w:bCs/>
        </w:rPr>
        <w:t>叠合墙板类构件外形尺寸允许偏差及检验方法</w:t>
      </w:r>
    </w:p>
    <w:tbl>
      <w:tblPr>
        <w:tblStyle w:val="31"/>
        <w:tblW w:w="8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464"/>
        <w:gridCol w:w="1042"/>
        <w:gridCol w:w="1984"/>
        <w:gridCol w:w="1276"/>
        <w:gridCol w:w="3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12" w:space="0"/>
              <w:left w:val="single" w:color="auto" w:sz="12" w:space="0"/>
              <w:bottom w:val="single" w:color="auto" w:sz="12" w:space="0"/>
            </w:tcBorders>
            <w:vAlign w:val="center"/>
          </w:tcPr>
          <w:p>
            <w:pPr>
              <w:jc w:val="center"/>
              <w:rPr>
                <w:sz w:val="24"/>
                <w:szCs w:val="24"/>
              </w:rPr>
            </w:pPr>
            <w:r>
              <w:rPr>
                <w:sz w:val="24"/>
                <w:szCs w:val="24"/>
              </w:rPr>
              <w:t>项次</w:t>
            </w:r>
          </w:p>
        </w:tc>
        <w:tc>
          <w:tcPr>
            <w:tcW w:w="3490" w:type="dxa"/>
            <w:gridSpan w:val="3"/>
            <w:tcBorders>
              <w:top w:val="single" w:color="auto" w:sz="12" w:space="0"/>
              <w:bottom w:val="single" w:color="auto" w:sz="12" w:space="0"/>
            </w:tcBorders>
            <w:vAlign w:val="center"/>
          </w:tcPr>
          <w:p>
            <w:pPr>
              <w:jc w:val="center"/>
              <w:rPr>
                <w:sz w:val="24"/>
                <w:szCs w:val="24"/>
              </w:rPr>
            </w:pPr>
            <w:r>
              <w:rPr>
                <w:sz w:val="24"/>
                <w:szCs w:val="24"/>
              </w:rPr>
              <w:t>检验项目</w:t>
            </w:r>
          </w:p>
        </w:tc>
        <w:tc>
          <w:tcPr>
            <w:tcW w:w="1276" w:type="dxa"/>
            <w:tcBorders>
              <w:top w:val="single" w:color="auto" w:sz="12" w:space="0"/>
              <w:bottom w:val="single" w:color="auto" w:sz="12" w:space="0"/>
            </w:tcBorders>
            <w:vAlign w:val="center"/>
          </w:tcPr>
          <w:p>
            <w:pPr>
              <w:jc w:val="center"/>
              <w:rPr>
                <w:sz w:val="24"/>
                <w:szCs w:val="24"/>
              </w:rPr>
            </w:pPr>
            <w:r>
              <w:rPr>
                <w:sz w:val="24"/>
                <w:szCs w:val="24"/>
              </w:rPr>
              <w:t>允许偏差（</w:t>
            </w:r>
            <m:oMath>
              <m:r>
                <m:rPr>
                  <m:sty m:val="p"/>
                </m:rPr>
                <w:rPr>
                  <w:rFonts w:ascii="Cambria Math" w:hAnsi="Cambria Math"/>
                  <w:sz w:val="24"/>
                  <w:szCs w:val="24"/>
                </w:rPr>
                <m:t>mm</m:t>
              </m:r>
            </m:oMath>
            <w:r>
              <w:rPr>
                <w:sz w:val="24"/>
                <w:szCs w:val="24"/>
              </w:rPr>
              <w:t>）</w:t>
            </w:r>
          </w:p>
        </w:tc>
        <w:tc>
          <w:tcPr>
            <w:tcW w:w="3033" w:type="dxa"/>
            <w:tcBorders>
              <w:top w:val="single" w:color="auto" w:sz="12" w:space="0"/>
              <w:bottom w:val="single" w:color="auto" w:sz="12" w:space="0"/>
              <w:right w:val="single" w:color="auto" w:sz="12" w:space="0"/>
            </w:tcBorders>
            <w:vAlign w:val="center"/>
          </w:tcPr>
          <w:p>
            <w:pPr>
              <w:jc w:val="center"/>
              <w:rPr>
                <w:sz w:val="24"/>
                <w:szCs w:val="24"/>
              </w:rPr>
            </w:pPr>
            <w:r>
              <w:rPr>
                <w:sz w:val="24"/>
                <w:szCs w:val="24"/>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op w:val="single" w:color="auto" w:sz="12" w:space="0"/>
              <w:left w:val="single" w:color="auto" w:sz="12" w:space="0"/>
            </w:tcBorders>
            <w:vAlign w:val="center"/>
          </w:tcPr>
          <w:p>
            <w:pPr>
              <w:jc w:val="center"/>
              <w:rPr>
                <w:sz w:val="24"/>
                <w:szCs w:val="24"/>
              </w:rPr>
            </w:pPr>
            <w:r>
              <w:rPr>
                <w:sz w:val="24"/>
                <w:szCs w:val="24"/>
              </w:rPr>
              <w:t>1</w:t>
            </w:r>
          </w:p>
        </w:tc>
        <w:tc>
          <w:tcPr>
            <w:tcW w:w="0" w:type="auto"/>
            <w:vMerge w:val="restart"/>
            <w:tcBorders>
              <w:top w:val="single" w:color="auto" w:sz="12" w:space="0"/>
            </w:tcBorders>
            <w:vAlign w:val="center"/>
          </w:tcPr>
          <w:p>
            <w:pPr>
              <w:jc w:val="center"/>
              <w:rPr>
                <w:sz w:val="24"/>
                <w:szCs w:val="24"/>
              </w:rPr>
            </w:pPr>
            <w:r>
              <w:rPr>
                <w:sz w:val="24"/>
                <w:szCs w:val="24"/>
              </w:rPr>
              <w:t>尺寸规格</w:t>
            </w:r>
          </w:p>
        </w:tc>
        <w:tc>
          <w:tcPr>
            <w:tcW w:w="1042" w:type="dxa"/>
            <w:vMerge w:val="restart"/>
            <w:tcBorders>
              <w:top w:val="single" w:color="auto" w:sz="12" w:space="0"/>
            </w:tcBorders>
            <w:vAlign w:val="center"/>
          </w:tcPr>
          <w:p>
            <w:pPr>
              <w:jc w:val="center"/>
              <w:rPr>
                <w:sz w:val="24"/>
                <w:szCs w:val="24"/>
              </w:rPr>
            </w:pPr>
            <w:r>
              <w:rPr>
                <w:sz w:val="24"/>
                <w:szCs w:val="24"/>
              </w:rPr>
              <w:t>长度</w:t>
            </w:r>
          </w:p>
        </w:tc>
        <w:tc>
          <w:tcPr>
            <w:tcW w:w="1984" w:type="dxa"/>
            <w:tcBorders>
              <w:top w:val="single" w:color="auto" w:sz="12" w:space="0"/>
            </w:tcBorders>
            <w:vAlign w:val="center"/>
          </w:tcPr>
          <w:p>
            <w:pPr>
              <w:jc w:val="center"/>
              <w:rPr>
                <w:sz w:val="24"/>
                <w:szCs w:val="24"/>
              </w:rPr>
            </w:pPr>
            <m:oMath>
              <m:r>
                <w:rPr>
                  <w:rFonts w:ascii="Cambria Math" w:hAnsi="Cambria Math"/>
                  <w:sz w:val="24"/>
                  <w:szCs w:val="24"/>
                </w:rPr>
                <m:t>&lt;</m:t>
              </m:r>
            </m:oMath>
            <w:r>
              <w:rPr>
                <w:sz w:val="24"/>
                <w:szCs w:val="24"/>
              </w:rPr>
              <w:t>3</w:t>
            </w:r>
            <m:oMath>
              <m:r>
                <m:rPr>
                  <m:sty m:val="p"/>
                </m:rPr>
                <w:rPr>
                  <w:rFonts w:ascii="Cambria Math" w:hAnsi="Cambria Math"/>
                  <w:sz w:val="24"/>
                  <w:szCs w:val="24"/>
                </w:rPr>
                <m:t>m</m:t>
              </m:r>
            </m:oMath>
          </w:p>
        </w:tc>
        <w:tc>
          <w:tcPr>
            <w:tcW w:w="1276" w:type="dxa"/>
            <w:tcBorders>
              <w:top w:val="single" w:color="auto" w:sz="12" w:space="0"/>
            </w:tcBorders>
            <w:vAlign w:val="center"/>
          </w:tcPr>
          <w:p>
            <w:pPr>
              <w:jc w:val="center"/>
              <w:rPr>
                <w:sz w:val="24"/>
                <w:szCs w:val="24"/>
              </w:rPr>
            </w:pPr>
            <m:oMathPara>
              <m:oMath>
                <m:r>
                  <w:rPr>
                    <w:rFonts w:ascii="Cambria Math" w:hAnsi="Cambria Math"/>
                    <w:sz w:val="24"/>
                    <w:szCs w:val="24"/>
                  </w:rPr>
                  <m:t>±3</m:t>
                </m:r>
              </m:oMath>
            </m:oMathPara>
          </w:p>
        </w:tc>
        <w:tc>
          <w:tcPr>
            <w:tcW w:w="3033" w:type="dxa"/>
            <w:vMerge w:val="restart"/>
            <w:tcBorders>
              <w:top w:val="single" w:color="auto" w:sz="12" w:space="0"/>
              <w:right w:val="single" w:color="auto" w:sz="12" w:space="0"/>
            </w:tcBorders>
            <w:vAlign w:val="center"/>
          </w:tcPr>
          <w:p>
            <w:pPr>
              <w:jc w:val="center"/>
              <w:rPr>
                <w:sz w:val="24"/>
                <w:szCs w:val="24"/>
              </w:rPr>
            </w:pPr>
            <w:r>
              <w:rPr>
                <w:sz w:val="24"/>
                <w:szCs w:val="24"/>
              </w:rPr>
              <w:t>用尺量两端及中间部，取其中偏差绝对值较大处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1042" w:type="dxa"/>
            <w:vMerge w:val="continue"/>
            <w:vAlign w:val="center"/>
          </w:tcPr>
          <w:p>
            <w:pPr>
              <w:jc w:val="center"/>
              <w:rPr>
                <w:sz w:val="24"/>
                <w:szCs w:val="24"/>
              </w:rPr>
            </w:pPr>
          </w:p>
        </w:tc>
        <w:tc>
          <w:tcPr>
            <w:tcW w:w="1984" w:type="dxa"/>
            <w:vAlign w:val="center"/>
          </w:tcPr>
          <w:p>
            <w:pPr>
              <w:jc w:val="center"/>
              <w:rPr>
                <w:sz w:val="24"/>
                <w:szCs w:val="24"/>
              </w:rPr>
            </w:pPr>
            <m:oMath>
              <m:r>
                <w:rPr>
                  <w:rFonts w:ascii="Cambria Math" w:hAnsi="Cambria Math"/>
                  <w:sz w:val="24"/>
                  <w:szCs w:val="24"/>
                </w:rPr>
                <m:t>≥</m:t>
              </m:r>
            </m:oMath>
            <w:r>
              <w:rPr>
                <w:sz w:val="24"/>
                <w:szCs w:val="24"/>
              </w:rPr>
              <w:t>3</w:t>
            </w:r>
            <m:oMath>
              <m:r>
                <m:rPr>
                  <m:sty m:val="p"/>
                </m:rPr>
                <w:rPr>
                  <w:rFonts w:ascii="Cambria Math" w:hAnsi="Cambria Math"/>
                  <w:sz w:val="24"/>
                  <w:szCs w:val="24"/>
                </w:rPr>
                <m:t>m</m:t>
              </m:r>
            </m:oMath>
            <w:r>
              <w:rPr>
                <w:sz w:val="24"/>
                <w:szCs w:val="24"/>
              </w:rPr>
              <w:t>且</w:t>
            </w:r>
            <m:oMath>
              <m:r>
                <w:rPr>
                  <w:rFonts w:ascii="Cambria Math" w:hAnsi="Cambria Math"/>
                  <w:sz w:val="24"/>
                  <w:szCs w:val="24"/>
                </w:rPr>
                <m:t>&lt;</m:t>
              </m:r>
            </m:oMath>
            <w:r>
              <w:rPr>
                <w:sz w:val="24"/>
                <w:szCs w:val="24"/>
              </w:rPr>
              <w:t>6</w:t>
            </w:r>
            <m:oMath>
              <m:r>
                <m:rPr>
                  <m:sty m:val="p"/>
                </m:rPr>
                <w:rPr>
                  <w:rFonts w:ascii="Cambria Math" w:hAnsi="Cambria Math"/>
                  <w:sz w:val="24"/>
                  <w:szCs w:val="24"/>
                </w:rPr>
                <m:t>m</m:t>
              </m:r>
            </m:oMath>
          </w:p>
        </w:tc>
        <w:tc>
          <w:tcPr>
            <w:tcW w:w="1276" w:type="dxa"/>
            <w:vAlign w:val="center"/>
          </w:tcPr>
          <w:p>
            <w:pPr>
              <w:jc w:val="center"/>
              <w:rPr>
                <w:sz w:val="24"/>
                <w:szCs w:val="24"/>
              </w:rPr>
            </w:pPr>
            <m:oMathPara>
              <m:oMath>
                <m:r>
                  <w:rPr>
                    <w:rFonts w:ascii="Cambria Math" w:hAnsi="Cambria Math"/>
                    <w:sz w:val="24"/>
                    <w:szCs w:val="24"/>
                  </w:rPr>
                  <m:t>±5</m:t>
                </m:r>
              </m:oMath>
            </m:oMathPara>
          </w:p>
        </w:tc>
        <w:tc>
          <w:tcPr>
            <w:tcW w:w="3033" w:type="dxa"/>
            <w:vMerge w:val="continue"/>
            <w:tcBorders>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1042" w:type="dxa"/>
            <w:vMerge w:val="continue"/>
            <w:vAlign w:val="center"/>
          </w:tcPr>
          <w:p>
            <w:pPr>
              <w:jc w:val="center"/>
              <w:rPr>
                <w:sz w:val="24"/>
                <w:szCs w:val="24"/>
              </w:rPr>
            </w:pPr>
          </w:p>
        </w:tc>
        <w:tc>
          <w:tcPr>
            <w:tcW w:w="1984" w:type="dxa"/>
            <w:vAlign w:val="center"/>
          </w:tcPr>
          <w:p>
            <w:pPr>
              <w:jc w:val="center"/>
              <w:rPr>
                <w:sz w:val="24"/>
                <w:szCs w:val="24"/>
              </w:rPr>
            </w:pPr>
            <m:oMath>
              <m:r>
                <w:rPr>
                  <w:rFonts w:ascii="Cambria Math" w:hAnsi="Cambria Math"/>
                  <w:sz w:val="24"/>
                  <w:szCs w:val="24"/>
                </w:rPr>
                <m:t>≥</m:t>
              </m:r>
            </m:oMath>
            <w:r>
              <w:rPr>
                <w:sz w:val="24"/>
                <w:szCs w:val="24"/>
              </w:rPr>
              <w:t>6</w:t>
            </w:r>
            <m:oMath>
              <m:r>
                <m:rPr>
                  <m:sty m:val="p"/>
                </m:rPr>
                <w:rPr>
                  <w:rFonts w:ascii="Cambria Math" w:hAnsi="Cambria Math"/>
                  <w:sz w:val="24"/>
                  <w:szCs w:val="24"/>
                </w:rPr>
                <m:t>m</m:t>
              </m:r>
            </m:oMath>
            <w:r>
              <w:rPr>
                <w:iCs/>
                <w:sz w:val="24"/>
                <w:szCs w:val="24"/>
              </w:rPr>
              <w:t>且</w:t>
            </w:r>
            <m:oMath>
              <m:r>
                <w:rPr>
                  <w:rFonts w:ascii="Cambria Math" w:hAnsi="Cambria Math"/>
                  <w:sz w:val="24"/>
                  <w:szCs w:val="24"/>
                </w:rPr>
                <m:t>&lt;</m:t>
              </m:r>
            </m:oMath>
            <w:r>
              <w:rPr>
                <w:iCs/>
                <w:sz w:val="24"/>
                <w:szCs w:val="24"/>
              </w:rPr>
              <w:t>10</w:t>
            </w:r>
            <m:oMath>
              <m:r>
                <m:rPr>
                  <m:sty m:val="p"/>
                </m:rPr>
                <w:rPr>
                  <w:rFonts w:ascii="Cambria Math" w:hAnsi="Cambria Math"/>
                  <w:sz w:val="24"/>
                  <w:szCs w:val="24"/>
                </w:rPr>
                <m:t>m</m:t>
              </m:r>
            </m:oMath>
          </w:p>
        </w:tc>
        <w:tc>
          <w:tcPr>
            <w:tcW w:w="1276" w:type="dxa"/>
            <w:vAlign w:val="center"/>
          </w:tcPr>
          <w:p>
            <w:pPr>
              <w:jc w:val="center"/>
              <w:rPr>
                <w:sz w:val="24"/>
                <w:szCs w:val="24"/>
              </w:rPr>
            </w:pPr>
            <m:oMath>
              <m:r>
                <w:rPr>
                  <w:rFonts w:ascii="Cambria Math" w:hAnsi="Cambria Math"/>
                  <w:sz w:val="24"/>
                  <w:szCs w:val="24"/>
                </w:rPr>
                <m:t>±</m:t>
              </m:r>
            </m:oMath>
            <w:r>
              <w:rPr>
                <w:sz w:val="24"/>
                <w:szCs w:val="24"/>
              </w:rPr>
              <w:t>8</w:t>
            </w:r>
          </w:p>
        </w:tc>
        <w:tc>
          <w:tcPr>
            <w:tcW w:w="3033" w:type="dxa"/>
            <w:vMerge w:val="continue"/>
            <w:tcBorders>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1042" w:type="dxa"/>
            <w:vMerge w:val="continue"/>
            <w:vAlign w:val="center"/>
          </w:tcPr>
          <w:p>
            <w:pPr>
              <w:jc w:val="center"/>
              <w:rPr>
                <w:sz w:val="24"/>
                <w:szCs w:val="24"/>
              </w:rPr>
            </w:pPr>
          </w:p>
        </w:tc>
        <w:tc>
          <w:tcPr>
            <w:tcW w:w="1984" w:type="dxa"/>
            <w:vAlign w:val="center"/>
          </w:tcPr>
          <w:p>
            <w:pPr>
              <w:jc w:val="center"/>
              <w:rPr>
                <w:rFonts w:eastAsia="等线"/>
                <w:sz w:val="24"/>
                <w:szCs w:val="24"/>
              </w:rPr>
            </w:pPr>
            <m:oMath>
              <m:r>
                <w:rPr>
                  <w:rFonts w:ascii="Cambria Math" w:hAnsi="Cambria Math"/>
                  <w:sz w:val="24"/>
                  <w:szCs w:val="24"/>
                </w:rPr>
                <m:t>≥</m:t>
              </m:r>
            </m:oMath>
            <w:r>
              <w:rPr>
                <w:rFonts w:eastAsia="等线"/>
                <w:sz w:val="24"/>
                <w:szCs w:val="24"/>
              </w:rPr>
              <w:t>10</w:t>
            </w:r>
            <m:oMath>
              <m:r>
                <m:rPr>
                  <m:sty m:val="p"/>
                </m:rPr>
                <w:rPr>
                  <w:rFonts w:ascii="Cambria Math" w:hAnsi="Cambria Math"/>
                  <w:sz w:val="24"/>
                  <w:szCs w:val="24"/>
                </w:rPr>
                <m:t>m</m:t>
              </m:r>
            </m:oMath>
          </w:p>
        </w:tc>
        <w:tc>
          <w:tcPr>
            <w:tcW w:w="1276" w:type="dxa"/>
            <w:vAlign w:val="center"/>
          </w:tcPr>
          <w:p>
            <w:pPr>
              <w:jc w:val="center"/>
              <w:rPr>
                <w:rFonts w:eastAsia="等线"/>
                <w:sz w:val="24"/>
                <w:szCs w:val="24"/>
              </w:rPr>
            </w:pPr>
            <m:oMath>
              <m:r>
                <w:rPr>
                  <w:rFonts w:ascii="Cambria Math" w:hAnsi="Cambria Math"/>
                  <w:sz w:val="24"/>
                  <w:szCs w:val="24"/>
                </w:rPr>
                <m:t>±</m:t>
              </m:r>
            </m:oMath>
            <w:r>
              <w:rPr>
                <w:rFonts w:eastAsia="等线"/>
                <w:sz w:val="24"/>
                <w:szCs w:val="24"/>
              </w:rPr>
              <w:t>10</w:t>
            </w:r>
          </w:p>
        </w:tc>
        <w:tc>
          <w:tcPr>
            <w:tcW w:w="3033" w:type="dxa"/>
            <w:vMerge w:val="continue"/>
            <w:tcBorders>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vMerge w:val="restart"/>
            <w:tcBorders>
              <w:left w:val="single" w:color="auto" w:sz="12" w:space="0"/>
            </w:tcBorders>
            <w:vAlign w:val="center"/>
          </w:tcPr>
          <w:p>
            <w:pPr>
              <w:jc w:val="center"/>
              <w:rPr>
                <w:sz w:val="24"/>
                <w:szCs w:val="24"/>
              </w:rPr>
            </w:pPr>
            <w:r>
              <w:rPr>
                <w:sz w:val="24"/>
                <w:szCs w:val="24"/>
              </w:rPr>
              <w:t>2</w:t>
            </w:r>
          </w:p>
        </w:tc>
        <w:tc>
          <w:tcPr>
            <w:tcW w:w="0" w:type="auto"/>
            <w:vMerge w:val="continue"/>
            <w:vAlign w:val="center"/>
          </w:tcPr>
          <w:p>
            <w:pPr>
              <w:jc w:val="center"/>
              <w:rPr>
                <w:sz w:val="24"/>
                <w:szCs w:val="24"/>
              </w:rPr>
            </w:pPr>
          </w:p>
        </w:tc>
        <w:tc>
          <w:tcPr>
            <w:tcW w:w="1042" w:type="dxa"/>
            <w:vMerge w:val="restart"/>
            <w:vAlign w:val="center"/>
          </w:tcPr>
          <w:p>
            <w:pPr>
              <w:jc w:val="center"/>
              <w:rPr>
                <w:sz w:val="24"/>
                <w:szCs w:val="24"/>
              </w:rPr>
            </w:pPr>
            <w:r>
              <w:rPr>
                <w:sz w:val="24"/>
                <w:szCs w:val="24"/>
              </w:rPr>
              <w:t>总厚度</w:t>
            </w:r>
          </w:p>
        </w:tc>
        <w:tc>
          <w:tcPr>
            <w:tcW w:w="1984" w:type="dxa"/>
            <w:vAlign w:val="center"/>
          </w:tcPr>
          <w:p>
            <w:pPr>
              <w:jc w:val="center"/>
              <w:rPr>
                <w:sz w:val="24"/>
                <w:szCs w:val="24"/>
              </w:rPr>
            </w:pPr>
            <m:oMath>
              <m:r>
                <w:rPr>
                  <w:rFonts w:ascii="Cambria Math" w:hAnsi="Cambria Math"/>
                  <w:sz w:val="24"/>
                  <w:szCs w:val="24"/>
                </w:rPr>
                <m:t>&lt;</m:t>
              </m:r>
            </m:oMath>
            <w:r>
              <w:rPr>
                <w:sz w:val="24"/>
                <w:szCs w:val="24"/>
              </w:rPr>
              <w:t>0.3</w:t>
            </w:r>
            <m:oMath>
              <m:r>
                <m:rPr>
                  <m:sty m:val="p"/>
                </m:rPr>
                <w:rPr>
                  <w:rFonts w:ascii="Cambria Math" w:hAnsi="Cambria Math"/>
                  <w:sz w:val="24"/>
                  <w:szCs w:val="24"/>
                </w:rPr>
                <m:t>m</m:t>
              </m:r>
            </m:oMath>
          </w:p>
        </w:tc>
        <w:tc>
          <w:tcPr>
            <w:tcW w:w="1276" w:type="dxa"/>
            <w:vAlign w:val="center"/>
          </w:tcPr>
          <w:p>
            <w:pPr>
              <w:jc w:val="center"/>
              <w:rPr>
                <w:sz w:val="24"/>
                <w:szCs w:val="24"/>
              </w:rPr>
            </w:pPr>
            <m:oMath>
              <m:r>
                <w:rPr>
                  <w:rFonts w:ascii="Cambria Math" w:hAnsi="Cambria Math"/>
                  <w:sz w:val="24"/>
                  <w:szCs w:val="24"/>
                </w:rPr>
                <m:t>±</m:t>
              </m:r>
            </m:oMath>
            <w:r>
              <w:rPr>
                <w:sz w:val="24"/>
                <w:szCs w:val="24"/>
              </w:rPr>
              <w:t>3</w:t>
            </w:r>
          </w:p>
        </w:tc>
        <w:tc>
          <w:tcPr>
            <w:tcW w:w="3033" w:type="dxa"/>
            <w:vMerge w:val="restart"/>
            <w:tcBorders>
              <w:right w:val="single" w:color="auto" w:sz="12" w:space="0"/>
            </w:tcBorders>
            <w:vAlign w:val="center"/>
          </w:tcPr>
          <w:p>
            <w:pPr>
              <w:jc w:val="center"/>
              <w:rPr>
                <w:sz w:val="24"/>
                <w:szCs w:val="24"/>
              </w:rPr>
            </w:pPr>
            <w:r>
              <w:rPr>
                <w:sz w:val="24"/>
                <w:szCs w:val="24"/>
              </w:rPr>
              <w:t>用尺量板四角和四边中部位置共8处，取其中偏差绝对值较大值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1042" w:type="dxa"/>
            <w:vMerge w:val="continue"/>
            <w:vAlign w:val="center"/>
          </w:tcPr>
          <w:p>
            <w:pPr>
              <w:jc w:val="center"/>
              <w:rPr>
                <w:sz w:val="24"/>
                <w:szCs w:val="24"/>
              </w:rPr>
            </w:pPr>
          </w:p>
        </w:tc>
        <w:tc>
          <w:tcPr>
            <w:tcW w:w="1984" w:type="dxa"/>
            <w:vAlign w:val="center"/>
          </w:tcPr>
          <w:p>
            <w:pPr>
              <w:jc w:val="center"/>
              <w:rPr>
                <w:sz w:val="24"/>
                <w:szCs w:val="24"/>
              </w:rPr>
            </w:pPr>
            <m:oMath>
              <m:r>
                <w:rPr>
                  <w:rFonts w:ascii="Cambria Math" w:hAnsi="Cambria Math"/>
                  <w:sz w:val="24"/>
                  <w:szCs w:val="24"/>
                </w:rPr>
                <m:t>≥</m:t>
              </m:r>
            </m:oMath>
            <w:r>
              <w:rPr>
                <w:iCs/>
                <w:sz w:val="24"/>
                <w:szCs w:val="24"/>
              </w:rPr>
              <w:t>0.3</w:t>
            </w:r>
            <m:oMath>
              <m:r>
                <m:rPr>
                  <m:sty m:val="p"/>
                </m:rPr>
                <w:rPr>
                  <w:rFonts w:ascii="Cambria Math" w:hAnsi="Cambria Math"/>
                  <w:sz w:val="24"/>
                  <w:szCs w:val="24"/>
                </w:rPr>
                <m:t>m</m:t>
              </m:r>
            </m:oMath>
            <w:r>
              <w:rPr>
                <w:iCs/>
                <w:sz w:val="24"/>
                <w:szCs w:val="24"/>
              </w:rPr>
              <w:t>且</w:t>
            </w:r>
            <m:oMath>
              <m:r>
                <w:rPr>
                  <w:rFonts w:ascii="Cambria Math" w:hAnsi="Cambria Math"/>
                  <w:sz w:val="24"/>
                  <w:szCs w:val="24"/>
                </w:rPr>
                <m:t>&lt;</m:t>
              </m:r>
            </m:oMath>
            <w:r>
              <w:rPr>
                <w:iCs/>
                <w:sz w:val="24"/>
                <w:szCs w:val="24"/>
              </w:rPr>
              <w:t>0.6</w:t>
            </w:r>
            <m:oMath>
              <m:r>
                <m:rPr>
                  <m:sty m:val="p"/>
                </m:rPr>
                <w:rPr>
                  <w:rFonts w:ascii="Cambria Math" w:hAnsi="Cambria Math"/>
                  <w:sz w:val="24"/>
                  <w:szCs w:val="24"/>
                </w:rPr>
                <m:t>m</m:t>
              </m:r>
            </m:oMath>
          </w:p>
        </w:tc>
        <w:tc>
          <w:tcPr>
            <w:tcW w:w="1276" w:type="dxa"/>
            <w:vAlign w:val="center"/>
          </w:tcPr>
          <w:p>
            <w:pPr>
              <w:jc w:val="center"/>
              <w:rPr>
                <w:rFonts w:eastAsia="等线"/>
                <w:sz w:val="24"/>
                <w:szCs w:val="24"/>
              </w:rPr>
            </w:pPr>
            <m:oMath>
              <m:r>
                <w:rPr>
                  <w:rFonts w:ascii="Cambria Math" w:hAnsi="Cambria Math"/>
                  <w:sz w:val="24"/>
                  <w:szCs w:val="24"/>
                </w:rPr>
                <m:t>±</m:t>
              </m:r>
            </m:oMath>
            <w:r>
              <w:rPr>
                <w:sz w:val="24"/>
                <w:szCs w:val="24"/>
              </w:rPr>
              <w:t>5</w:t>
            </w:r>
          </w:p>
        </w:tc>
        <w:tc>
          <w:tcPr>
            <w:tcW w:w="3033" w:type="dxa"/>
            <w:vMerge w:val="continue"/>
            <w:tcBorders>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3026" w:type="dxa"/>
            <w:gridSpan w:val="2"/>
            <w:vAlign w:val="center"/>
          </w:tcPr>
          <w:p>
            <w:pPr>
              <w:jc w:val="center"/>
              <w:rPr>
                <w:sz w:val="24"/>
                <w:szCs w:val="24"/>
              </w:rPr>
            </w:pPr>
            <w:r>
              <w:rPr>
                <w:sz w:val="24"/>
                <w:szCs w:val="24"/>
              </w:rPr>
              <w:t>叶板厚度</w:t>
            </w:r>
          </w:p>
        </w:tc>
        <w:tc>
          <w:tcPr>
            <w:tcW w:w="1276" w:type="dxa"/>
            <w:vAlign w:val="center"/>
          </w:tcPr>
          <w:p>
            <w:pPr>
              <w:jc w:val="center"/>
              <w:rPr>
                <w:sz w:val="24"/>
                <w:szCs w:val="24"/>
              </w:rPr>
            </w:pPr>
            <m:oMath>
              <m:r>
                <w:rPr>
                  <w:rFonts w:ascii="Cambria Math" w:hAnsi="Cambria Math" w:eastAsia="微软雅黑"/>
                  <w:sz w:val="24"/>
                  <w:szCs w:val="24"/>
                </w:rPr>
                <m:t>+</m:t>
              </m:r>
            </m:oMath>
            <w:r>
              <w:rPr>
                <w:rFonts w:eastAsia="等线"/>
                <w:sz w:val="24"/>
                <w:szCs w:val="24"/>
              </w:rPr>
              <w:t>1，</w:t>
            </w:r>
            <m:oMath>
              <m:r>
                <w:rPr>
                  <w:rFonts w:ascii="Cambria Math" w:hAnsi="Cambria Math" w:eastAsia="微软雅黑"/>
                  <w:sz w:val="24"/>
                  <w:szCs w:val="24"/>
                </w:rPr>
                <m:t>-</m:t>
              </m:r>
            </m:oMath>
            <w:r>
              <w:rPr>
                <w:sz w:val="24"/>
                <w:szCs w:val="24"/>
              </w:rPr>
              <w:t>3</w:t>
            </w:r>
          </w:p>
        </w:tc>
        <w:tc>
          <w:tcPr>
            <w:tcW w:w="3033" w:type="dxa"/>
            <w:vMerge w:val="continue"/>
            <w:tcBorders>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single" w:color="auto" w:sz="12" w:space="0"/>
            </w:tcBorders>
            <w:vAlign w:val="center"/>
          </w:tcPr>
          <w:p>
            <w:pPr>
              <w:jc w:val="center"/>
              <w:rPr>
                <w:sz w:val="24"/>
                <w:szCs w:val="24"/>
              </w:rPr>
            </w:pPr>
            <w:r>
              <w:rPr>
                <w:sz w:val="24"/>
                <w:szCs w:val="24"/>
              </w:rPr>
              <w:t>3</w:t>
            </w:r>
          </w:p>
        </w:tc>
        <w:tc>
          <w:tcPr>
            <w:tcW w:w="0" w:type="auto"/>
            <w:vMerge w:val="continue"/>
            <w:vAlign w:val="center"/>
          </w:tcPr>
          <w:p>
            <w:pPr>
              <w:jc w:val="center"/>
              <w:rPr>
                <w:sz w:val="24"/>
                <w:szCs w:val="24"/>
              </w:rPr>
            </w:pPr>
          </w:p>
        </w:tc>
        <w:tc>
          <w:tcPr>
            <w:tcW w:w="3026" w:type="dxa"/>
            <w:gridSpan w:val="2"/>
            <w:vAlign w:val="center"/>
          </w:tcPr>
          <w:p>
            <w:pPr>
              <w:jc w:val="center"/>
              <w:rPr>
                <w:sz w:val="24"/>
                <w:szCs w:val="24"/>
              </w:rPr>
            </w:pPr>
            <w:r>
              <w:rPr>
                <w:sz w:val="24"/>
                <w:szCs w:val="24"/>
              </w:rPr>
              <w:t>高度</w:t>
            </w:r>
          </w:p>
        </w:tc>
        <w:tc>
          <w:tcPr>
            <w:tcW w:w="1276" w:type="dxa"/>
            <w:vAlign w:val="center"/>
          </w:tcPr>
          <w:p>
            <w:pPr>
              <w:jc w:val="center"/>
              <w:rPr>
                <w:sz w:val="24"/>
                <w:szCs w:val="24"/>
              </w:rPr>
            </w:pPr>
            <m:oMath>
              <m:r>
                <w:rPr>
                  <w:rFonts w:ascii="Cambria Math" w:hAnsi="Cambria Math"/>
                  <w:sz w:val="24"/>
                  <w:szCs w:val="24"/>
                </w:rPr>
                <m:t>±</m:t>
              </m:r>
            </m:oMath>
            <w:r>
              <w:rPr>
                <w:sz w:val="24"/>
                <w:szCs w:val="24"/>
              </w:rPr>
              <w:t>4</w:t>
            </w:r>
          </w:p>
        </w:tc>
        <w:tc>
          <w:tcPr>
            <w:tcW w:w="3033" w:type="dxa"/>
            <w:tcBorders>
              <w:right w:val="single" w:color="auto" w:sz="12" w:space="0"/>
            </w:tcBorders>
            <w:vAlign w:val="center"/>
          </w:tcPr>
          <w:p>
            <w:pPr>
              <w:jc w:val="center"/>
              <w:rPr>
                <w:sz w:val="24"/>
                <w:szCs w:val="24"/>
              </w:rPr>
            </w:pPr>
            <w:r>
              <w:rPr>
                <w:sz w:val="24"/>
                <w:szCs w:val="24"/>
              </w:rPr>
              <w:t>用尺量两端及中间部，取其中偏差绝对值较大处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single" w:color="auto" w:sz="12" w:space="0"/>
            </w:tcBorders>
            <w:vAlign w:val="center"/>
          </w:tcPr>
          <w:p>
            <w:pPr>
              <w:jc w:val="center"/>
              <w:rPr>
                <w:sz w:val="24"/>
                <w:szCs w:val="24"/>
              </w:rPr>
            </w:pPr>
            <w:r>
              <w:rPr>
                <w:sz w:val="24"/>
                <w:szCs w:val="24"/>
              </w:rPr>
              <w:t>4</w:t>
            </w:r>
          </w:p>
        </w:tc>
        <w:tc>
          <w:tcPr>
            <w:tcW w:w="3490" w:type="dxa"/>
            <w:gridSpan w:val="3"/>
            <w:vAlign w:val="center"/>
          </w:tcPr>
          <w:p>
            <w:pPr>
              <w:jc w:val="center"/>
              <w:rPr>
                <w:sz w:val="24"/>
                <w:szCs w:val="24"/>
              </w:rPr>
            </w:pPr>
            <w:r>
              <w:rPr>
                <w:sz w:val="24"/>
                <w:szCs w:val="24"/>
              </w:rPr>
              <w:t>内外板错位</w:t>
            </w:r>
          </w:p>
        </w:tc>
        <w:tc>
          <w:tcPr>
            <w:tcW w:w="1276" w:type="dxa"/>
            <w:vAlign w:val="center"/>
          </w:tcPr>
          <w:p>
            <w:pPr>
              <w:jc w:val="center"/>
              <w:rPr>
                <w:rFonts w:eastAsia="等线"/>
                <w:sz w:val="24"/>
                <w:szCs w:val="24"/>
              </w:rPr>
            </w:pPr>
            <w:r>
              <w:rPr>
                <w:rFonts w:eastAsia="等线"/>
                <w:sz w:val="24"/>
                <w:szCs w:val="24"/>
              </w:rPr>
              <w:t>5</w:t>
            </w:r>
          </w:p>
        </w:tc>
        <w:tc>
          <w:tcPr>
            <w:tcW w:w="3033" w:type="dxa"/>
            <w:tcBorders>
              <w:right w:val="single" w:color="auto" w:sz="12" w:space="0"/>
            </w:tcBorders>
            <w:vAlign w:val="center"/>
          </w:tcPr>
          <w:p>
            <w:pPr>
              <w:jc w:val="center"/>
              <w:rPr>
                <w:sz w:val="24"/>
                <w:szCs w:val="24"/>
              </w:rPr>
            </w:pPr>
            <w:r>
              <w:rPr>
                <w:sz w:val="24"/>
                <w:szCs w:val="24"/>
              </w:rPr>
              <w:t>靠尺安放在构件侧端面上，用钢尺量测错位尺寸偏差绝对值较大值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single" w:color="auto" w:sz="12" w:space="0"/>
            </w:tcBorders>
            <w:vAlign w:val="center"/>
          </w:tcPr>
          <w:p>
            <w:pPr>
              <w:jc w:val="center"/>
              <w:rPr>
                <w:sz w:val="24"/>
                <w:szCs w:val="24"/>
              </w:rPr>
            </w:pPr>
            <w:r>
              <w:rPr>
                <w:sz w:val="24"/>
                <w:szCs w:val="24"/>
              </w:rPr>
              <w:t>5</w:t>
            </w:r>
          </w:p>
        </w:tc>
        <w:tc>
          <w:tcPr>
            <w:tcW w:w="3490" w:type="dxa"/>
            <w:gridSpan w:val="3"/>
            <w:vAlign w:val="center"/>
          </w:tcPr>
          <w:p>
            <w:pPr>
              <w:jc w:val="center"/>
              <w:rPr>
                <w:sz w:val="24"/>
                <w:szCs w:val="24"/>
              </w:rPr>
            </w:pPr>
            <w:r>
              <w:rPr>
                <w:sz w:val="24"/>
                <w:szCs w:val="24"/>
              </w:rPr>
              <w:t>对角线差</w:t>
            </w:r>
          </w:p>
        </w:tc>
        <w:tc>
          <w:tcPr>
            <w:tcW w:w="1276" w:type="dxa"/>
            <w:vAlign w:val="center"/>
          </w:tcPr>
          <w:p>
            <w:pPr>
              <w:jc w:val="center"/>
              <w:rPr>
                <w:sz w:val="24"/>
                <w:szCs w:val="24"/>
              </w:rPr>
            </w:pPr>
            <w:r>
              <w:rPr>
                <w:sz w:val="24"/>
                <w:szCs w:val="24"/>
              </w:rPr>
              <w:t>5</w:t>
            </w:r>
          </w:p>
        </w:tc>
        <w:tc>
          <w:tcPr>
            <w:tcW w:w="3033" w:type="dxa"/>
            <w:tcBorders>
              <w:right w:val="single" w:color="auto" w:sz="12" w:space="0"/>
            </w:tcBorders>
            <w:vAlign w:val="center"/>
          </w:tcPr>
          <w:p>
            <w:pPr>
              <w:jc w:val="center"/>
              <w:rPr>
                <w:sz w:val="24"/>
                <w:szCs w:val="24"/>
              </w:rPr>
            </w:pPr>
            <w:r>
              <w:rPr>
                <w:sz w:val="24"/>
                <w:szCs w:val="24"/>
              </w:rPr>
              <w:t>在构件表面，用尺量测两对角线长度，取其差值的绝对值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12" w:space="0"/>
            </w:tcBorders>
            <w:vAlign w:val="center"/>
          </w:tcPr>
          <w:p>
            <w:pPr>
              <w:jc w:val="center"/>
              <w:rPr>
                <w:sz w:val="24"/>
                <w:szCs w:val="24"/>
              </w:rPr>
            </w:pPr>
            <w:r>
              <w:rPr>
                <w:sz w:val="24"/>
                <w:szCs w:val="24"/>
              </w:rPr>
              <w:t>6</w:t>
            </w:r>
          </w:p>
        </w:tc>
        <w:tc>
          <w:tcPr>
            <w:tcW w:w="0" w:type="auto"/>
            <w:vMerge w:val="restart"/>
            <w:vAlign w:val="center"/>
          </w:tcPr>
          <w:p>
            <w:pPr>
              <w:jc w:val="center"/>
              <w:rPr>
                <w:sz w:val="24"/>
                <w:szCs w:val="24"/>
              </w:rPr>
            </w:pPr>
            <w:r>
              <w:rPr>
                <w:sz w:val="24"/>
                <w:szCs w:val="24"/>
              </w:rPr>
              <w:t>外形</w:t>
            </w:r>
          </w:p>
        </w:tc>
        <w:tc>
          <w:tcPr>
            <w:tcW w:w="1042" w:type="dxa"/>
            <w:vMerge w:val="restart"/>
            <w:vAlign w:val="center"/>
          </w:tcPr>
          <w:p>
            <w:pPr>
              <w:jc w:val="center"/>
              <w:rPr>
                <w:sz w:val="24"/>
                <w:szCs w:val="24"/>
              </w:rPr>
            </w:pPr>
            <w:r>
              <w:rPr>
                <w:sz w:val="24"/>
                <w:szCs w:val="24"/>
              </w:rPr>
              <w:t>表面平整度</w:t>
            </w:r>
          </w:p>
        </w:tc>
        <w:tc>
          <w:tcPr>
            <w:tcW w:w="1984" w:type="dxa"/>
            <w:vAlign w:val="center"/>
          </w:tcPr>
          <w:p>
            <w:pPr>
              <w:jc w:val="center"/>
              <w:rPr>
                <w:sz w:val="24"/>
                <w:szCs w:val="24"/>
              </w:rPr>
            </w:pPr>
            <w:r>
              <w:rPr>
                <w:sz w:val="24"/>
                <w:szCs w:val="24"/>
              </w:rPr>
              <w:t>内表面</w:t>
            </w:r>
          </w:p>
        </w:tc>
        <w:tc>
          <w:tcPr>
            <w:tcW w:w="1276" w:type="dxa"/>
            <w:vAlign w:val="center"/>
          </w:tcPr>
          <w:p>
            <w:pPr>
              <w:jc w:val="center"/>
              <w:rPr>
                <w:sz w:val="24"/>
                <w:szCs w:val="24"/>
              </w:rPr>
            </w:pPr>
            <w:r>
              <w:rPr>
                <w:sz w:val="24"/>
                <w:szCs w:val="24"/>
              </w:rPr>
              <w:t>4</w:t>
            </w:r>
          </w:p>
        </w:tc>
        <w:tc>
          <w:tcPr>
            <w:tcW w:w="3033" w:type="dxa"/>
            <w:vMerge w:val="restart"/>
            <w:tcBorders>
              <w:right w:val="single" w:color="auto" w:sz="12" w:space="0"/>
            </w:tcBorders>
            <w:vAlign w:val="center"/>
          </w:tcPr>
          <w:p>
            <w:pPr>
              <w:jc w:val="center"/>
              <w:rPr>
                <w:sz w:val="24"/>
                <w:szCs w:val="24"/>
              </w:rPr>
            </w:pPr>
            <w:r>
              <w:rPr>
                <w:sz w:val="24"/>
                <w:szCs w:val="24"/>
              </w:rPr>
              <w:t>用2</w:t>
            </w:r>
            <m:oMath>
              <m:r>
                <m:rPr>
                  <m:sty m:val="p"/>
                </m:rPr>
                <w:rPr>
                  <w:rFonts w:ascii="Cambria Math" w:hAnsi="Cambria Math"/>
                  <w:sz w:val="24"/>
                  <w:szCs w:val="24"/>
                </w:rPr>
                <m:t>m</m:t>
              </m:r>
            </m:oMath>
            <w:r>
              <w:rPr>
                <w:sz w:val="24"/>
                <w:szCs w:val="24"/>
              </w:rPr>
              <w:t>靠尺放在构件表面上，用楔形塞尺量测靠尺与表面之间的最大缝隙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1042" w:type="dxa"/>
            <w:vMerge w:val="continue"/>
            <w:vAlign w:val="center"/>
          </w:tcPr>
          <w:p>
            <w:pPr>
              <w:jc w:val="center"/>
              <w:rPr>
                <w:sz w:val="24"/>
                <w:szCs w:val="24"/>
              </w:rPr>
            </w:pPr>
          </w:p>
        </w:tc>
        <w:tc>
          <w:tcPr>
            <w:tcW w:w="1984" w:type="dxa"/>
            <w:vAlign w:val="center"/>
          </w:tcPr>
          <w:p>
            <w:pPr>
              <w:jc w:val="center"/>
              <w:rPr>
                <w:sz w:val="24"/>
                <w:szCs w:val="24"/>
              </w:rPr>
            </w:pPr>
            <w:r>
              <w:rPr>
                <w:sz w:val="24"/>
                <w:szCs w:val="24"/>
              </w:rPr>
              <w:t>外表面</w:t>
            </w:r>
          </w:p>
        </w:tc>
        <w:tc>
          <w:tcPr>
            <w:tcW w:w="1276" w:type="dxa"/>
            <w:vAlign w:val="center"/>
          </w:tcPr>
          <w:p>
            <w:pPr>
              <w:jc w:val="center"/>
              <w:rPr>
                <w:sz w:val="24"/>
                <w:szCs w:val="24"/>
              </w:rPr>
            </w:pPr>
            <w:r>
              <w:rPr>
                <w:sz w:val="24"/>
                <w:szCs w:val="24"/>
              </w:rPr>
              <w:t>3</w:t>
            </w:r>
          </w:p>
        </w:tc>
        <w:tc>
          <w:tcPr>
            <w:tcW w:w="3033" w:type="dxa"/>
            <w:vMerge w:val="continue"/>
            <w:tcBorders>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single" w:color="auto" w:sz="12" w:space="0"/>
            </w:tcBorders>
            <w:vAlign w:val="center"/>
          </w:tcPr>
          <w:p>
            <w:pPr>
              <w:jc w:val="center"/>
              <w:rPr>
                <w:sz w:val="24"/>
                <w:szCs w:val="24"/>
              </w:rPr>
            </w:pPr>
            <w:r>
              <w:rPr>
                <w:sz w:val="24"/>
                <w:szCs w:val="24"/>
              </w:rPr>
              <w:t>7</w:t>
            </w:r>
          </w:p>
        </w:tc>
        <w:tc>
          <w:tcPr>
            <w:tcW w:w="0" w:type="auto"/>
            <w:vMerge w:val="continue"/>
            <w:vAlign w:val="center"/>
          </w:tcPr>
          <w:p>
            <w:pPr>
              <w:jc w:val="center"/>
              <w:rPr>
                <w:sz w:val="24"/>
                <w:szCs w:val="24"/>
              </w:rPr>
            </w:pPr>
          </w:p>
        </w:tc>
        <w:tc>
          <w:tcPr>
            <w:tcW w:w="3026" w:type="dxa"/>
            <w:gridSpan w:val="2"/>
            <w:vAlign w:val="center"/>
          </w:tcPr>
          <w:p>
            <w:pPr>
              <w:jc w:val="center"/>
              <w:rPr>
                <w:sz w:val="24"/>
                <w:szCs w:val="24"/>
              </w:rPr>
            </w:pPr>
            <w:r>
              <w:rPr>
                <w:sz w:val="24"/>
                <w:szCs w:val="24"/>
              </w:rPr>
              <w:t>侧向弯曲</w:t>
            </w:r>
          </w:p>
        </w:tc>
        <w:tc>
          <w:tcPr>
            <w:tcW w:w="1276" w:type="dxa"/>
            <w:vAlign w:val="center"/>
          </w:tcPr>
          <w:p>
            <w:pPr>
              <w:jc w:val="center"/>
              <w:rPr>
                <w:sz w:val="24"/>
                <w:szCs w:val="24"/>
              </w:rPr>
            </w:pPr>
            <m:oMath>
              <m:r>
                <w:rPr>
                  <w:rFonts w:ascii="Cambria Math" w:hAnsi="Cambria Math"/>
                  <w:sz w:val="24"/>
                  <w:szCs w:val="24"/>
                </w:rPr>
                <m:t>L/</m:t>
              </m:r>
            </m:oMath>
            <w:r>
              <w:rPr>
                <w:sz w:val="24"/>
                <w:szCs w:val="24"/>
              </w:rPr>
              <w:t>1000，且</w:t>
            </w:r>
            <m:oMath>
              <m:r>
                <w:rPr>
                  <w:rFonts w:ascii="Cambria Math" w:hAnsi="Cambria Math"/>
                  <w:sz w:val="24"/>
                  <w:szCs w:val="24"/>
                </w:rPr>
                <m:t>≤</m:t>
              </m:r>
            </m:oMath>
            <w:r>
              <w:rPr>
                <w:sz w:val="24"/>
                <w:szCs w:val="24"/>
              </w:rPr>
              <w:t>10</w:t>
            </w:r>
          </w:p>
        </w:tc>
        <w:tc>
          <w:tcPr>
            <w:tcW w:w="3033" w:type="dxa"/>
            <w:tcBorders>
              <w:right w:val="single" w:color="auto" w:sz="12" w:space="0"/>
            </w:tcBorders>
            <w:vAlign w:val="center"/>
          </w:tcPr>
          <w:p>
            <w:pPr>
              <w:jc w:val="center"/>
              <w:rPr>
                <w:sz w:val="24"/>
                <w:szCs w:val="24"/>
              </w:rPr>
            </w:pPr>
            <w:r>
              <w:rPr>
                <w:sz w:val="24"/>
                <w:szCs w:val="24"/>
              </w:rPr>
              <w:t>拉线，钢尺量最大弯曲处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single" w:color="auto" w:sz="12" w:space="0"/>
            </w:tcBorders>
            <w:vAlign w:val="center"/>
          </w:tcPr>
          <w:p>
            <w:pPr>
              <w:jc w:val="center"/>
              <w:rPr>
                <w:sz w:val="24"/>
                <w:szCs w:val="24"/>
              </w:rPr>
            </w:pPr>
            <w:r>
              <w:rPr>
                <w:sz w:val="24"/>
                <w:szCs w:val="24"/>
              </w:rPr>
              <w:t>8</w:t>
            </w:r>
          </w:p>
        </w:tc>
        <w:tc>
          <w:tcPr>
            <w:tcW w:w="0" w:type="auto"/>
            <w:vMerge w:val="continue"/>
            <w:vAlign w:val="center"/>
          </w:tcPr>
          <w:p>
            <w:pPr>
              <w:jc w:val="center"/>
              <w:rPr>
                <w:sz w:val="24"/>
                <w:szCs w:val="24"/>
              </w:rPr>
            </w:pPr>
          </w:p>
        </w:tc>
        <w:tc>
          <w:tcPr>
            <w:tcW w:w="3026" w:type="dxa"/>
            <w:gridSpan w:val="2"/>
            <w:vAlign w:val="center"/>
          </w:tcPr>
          <w:p>
            <w:pPr>
              <w:jc w:val="center"/>
              <w:rPr>
                <w:sz w:val="24"/>
                <w:szCs w:val="24"/>
              </w:rPr>
            </w:pPr>
            <w:r>
              <w:rPr>
                <w:sz w:val="24"/>
                <w:szCs w:val="24"/>
              </w:rPr>
              <w:t>扭翘</w:t>
            </w:r>
          </w:p>
        </w:tc>
        <w:tc>
          <w:tcPr>
            <w:tcW w:w="1276" w:type="dxa"/>
            <w:vAlign w:val="center"/>
          </w:tcPr>
          <w:p>
            <w:pPr>
              <w:jc w:val="center"/>
              <w:rPr>
                <w:sz w:val="24"/>
                <w:szCs w:val="24"/>
              </w:rPr>
            </w:pPr>
            <m:oMath>
              <m:r>
                <w:rPr>
                  <w:rFonts w:ascii="Cambria Math" w:hAnsi="Cambria Math"/>
                  <w:sz w:val="24"/>
                  <w:szCs w:val="24"/>
                </w:rPr>
                <m:t>L/</m:t>
              </m:r>
            </m:oMath>
            <w:r>
              <w:rPr>
                <w:sz w:val="24"/>
                <w:szCs w:val="24"/>
              </w:rPr>
              <w:t>1000，且</w:t>
            </w:r>
            <m:oMath>
              <m:r>
                <w:rPr>
                  <w:rFonts w:ascii="Cambria Math" w:hAnsi="Cambria Math"/>
                  <w:sz w:val="24"/>
                  <w:szCs w:val="24"/>
                </w:rPr>
                <m:t>≤</m:t>
              </m:r>
            </m:oMath>
            <w:r>
              <w:rPr>
                <w:sz w:val="24"/>
                <w:szCs w:val="24"/>
              </w:rPr>
              <w:t>10</w:t>
            </w:r>
          </w:p>
        </w:tc>
        <w:tc>
          <w:tcPr>
            <w:tcW w:w="3033" w:type="dxa"/>
            <w:tcBorders>
              <w:right w:val="single" w:color="auto" w:sz="12" w:space="0"/>
            </w:tcBorders>
            <w:vAlign w:val="center"/>
          </w:tcPr>
          <w:p>
            <w:pPr>
              <w:jc w:val="center"/>
              <w:rPr>
                <w:sz w:val="24"/>
                <w:szCs w:val="24"/>
              </w:rPr>
            </w:pPr>
            <w:r>
              <w:rPr>
                <w:sz w:val="24"/>
                <w:szCs w:val="24"/>
              </w:rPr>
              <w:t>四对角拉两根线，量测两线交点之间的距离，其值的2倍为扭翘值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12" w:space="0"/>
            </w:tcBorders>
            <w:vAlign w:val="center"/>
          </w:tcPr>
          <w:p>
            <w:pPr>
              <w:jc w:val="center"/>
              <w:rPr>
                <w:sz w:val="24"/>
                <w:szCs w:val="24"/>
              </w:rPr>
            </w:pPr>
            <w:r>
              <w:rPr>
                <w:sz w:val="24"/>
                <w:szCs w:val="24"/>
              </w:rPr>
              <w:t>9</w:t>
            </w:r>
          </w:p>
        </w:tc>
        <w:tc>
          <w:tcPr>
            <w:tcW w:w="0" w:type="auto"/>
            <w:vMerge w:val="restart"/>
            <w:vAlign w:val="center"/>
          </w:tcPr>
          <w:p>
            <w:pPr>
              <w:jc w:val="center"/>
              <w:rPr>
                <w:sz w:val="24"/>
                <w:szCs w:val="24"/>
              </w:rPr>
            </w:pPr>
            <w:r>
              <w:rPr>
                <w:sz w:val="24"/>
                <w:szCs w:val="24"/>
              </w:rPr>
              <w:t>预埋部件</w:t>
            </w:r>
          </w:p>
        </w:tc>
        <w:tc>
          <w:tcPr>
            <w:tcW w:w="1042" w:type="dxa"/>
            <w:vMerge w:val="restart"/>
            <w:vAlign w:val="center"/>
          </w:tcPr>
          <w:p>
            <w:pPr>
              <w:jc w:val="center"/>
              <w:rPr>
                <w:sz w:val="24"/>
                <w:szCs w:val="24"/>
              </w:rPr>
            </w:pPr>
            <w:r>
              <w:rPr>
                <w:sz w:val="24"/>
                <w:szCs w:val="24"/>
              </w:rPr>
              <w:t>预埋钢板</w:t>
            </w:r>
          </w:p>
        </w:tc>
        <w:tc>
          <w:tcPr>
            <w:tcW w:w="1984" w:type="dxa"/>
            <w:vAlign w:val="center"/>
          </w:tcPr>
          <w:p>
            <w:pPr>
              <w:jc w:val="center"/>
              <w:rPr>
                <w:sz w:val="24"/>
                <w:szCs w:val="24"/>
              </w:rPr>
            </w:pPr>
            <w:r>
              <w:rPr>
                <w:sz w:val="24"/>
                <w:szCs w:val="24"/>
              </w:rPr>
              <w:t>中心线位置偏差</w:t>
            </w:r>
          </w:p>
        </w:tc>
        <w:tc>
          <w:tcPr>
            <w:tcW w:w="1276" w:type="dxa"/>
            <w:vAlign w:val="center"/>
          </w:tcPr>
          <w:p>
            <w:pPr>
              <w:jc w:val="center"/>
              <w:rPr>
                <w:sz w:val="24"/>
                <w:szCs w:val="24"/>
              </w:rPr>
            </w:pPr>
            <w:r>
              <w:rPr>
                <w:sz w:val="24"/>
                <w:szCs w:val="24"/>
              </w:rPr>
              <w:t>3</w:t>
            </w:r>
          </w:p>
        </w:tc>
        <w:tc>
          <w:tcPr>
            <w:tcW w:w="3033" w:type="dxa"/>
            <w:tcBorders>
              <w:right w:val="single" w:color="auto" w:sz="12" w:space="0"/>
            </w:tcBorders>
            <w:vAlign w:val="center"/>
          </w:tcPr>
          <w:p>
            <w:pPr>
              <w:jc w:val="center"/>
              <w:rPr>
                <w:sz w:val="24"/>
                <w:szCs w:val="24"/>
              </w:rPr>
            </w:pPr>
            <w:r>
              <w:rPr>
                <w:sz w:val="24"/>
                <w:szCs w:val="24"/>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1042" w:type="dxa"/>
            <w:vMerge w:val="continue"/>
            <w:vAlign w:val="center"/>
          </w:tcPr>
          <w:p>
            <w:pPr>
              <w:jc w:val="center"/>
              <w:rPr>
                <w:sz w:val="24"/>
                <w:szCs w:val="24"/>
              </w:rPr>
            </w:pPr>
          </w:p>
        </w:tc>
        <w:tc>
          <w:tcPr>
            <w:tcW w:w="1984" w:type="dxa"/>
            <w:vAlign w:val="center"/>
          </w:tcPr>
          <w:p>
            <w:pPr>
              <w:jc w:val="center"/>
              <w:rPr>
                <w:sz w:val="24"/>
                <w:szCs w:val="24"/>
              </w:rPr>
            </w:pPr>
            <w:r>
              <w:rPr>
                <w:sz w:val="24"/>
                <w:szCs w:val="24"/>
              </w:rPr>
              <w:t>平面高差</w:t>
            </w:r>
          </w:p>
        </w:tc>
        <w:tc>
          <w:tcPr>
            <w:tcW w:w="1276" w:type="dxa"/>
            <w:vAlign w:val="center"/>
          </w:tcPr>
          <w:p>
            <w:pPr>
              <w:jc w:val="center"/>
              <w:rPr>
                <w:sz w:val="24"/>
                <w:szCs w:val="24"/>
              </w:rPr>
            </w:pPr>
            <w:r>
              <w:rPr>
                <w:sz w:val="24"/>
                <w:szCs w:val="24"/>
              </w:rPr>
              <w:t>0，</w:t>
            </w:r>
            <m:oMath>
              <m:r>
                <w:rPr>
                  <w:rFonts w:ascii="Cambria Math" w:hAnsi="Cambria Math" w:eastAsia="微软雅黑"/>
                  <w:sz w:val="24"/>
                  <w:szCs w:val="24"/>
                </w:rPr>
                <m:t>-</m:t>
              </m:r>
            </m:oMath>
            <w:r>
              <w:rPr>
                <w:sz w:val="24"/>
                <w:szCs w:val="24"/>
              </w:rPr>
              <w:t>3</w:t>
            </w:r>
          </w:p>
        </w:tc>
        <w:tc>
          <w:tcPr>
            <w:tcW w:w="3033" w:type="dxa"/>
            <w:tcBorders>
              <w:right w:val="single" w:color="auto" w:sz="12" w:space="0"/>
            </w:tcBorders>
            <w:vAlign w:val="center"/>
          </w:tcPr>
          <w:p>
            <w:pPr>
              <w:jc w:val="center"/>
              <w:rPr>
                <w:sz w:val="24"/>
                <w:szCs w:val="24"/>
              </w:rPr>
            </w:pPr>
            <w:r>
              <w:rPr>
                <w:sz w:val="24"/>
                <w:szCs w:val="24"/>
              </w:rPr>
              <w:t>用尺紧靠在预埋件上，用楔形塞尺量测预埋件平面与混凝土面的最大缝隙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12" w:space="0"/>
            </w:tcBorders>
            <w:vAlign w:val="center"/>
          </w:tcPr>
          <w:p>
            <w:pPr>
              <w:jc w:val="center"/>
              <w:rPr>
                <w:sz w:val="24"/>
                <w:szCs w:val="24"/>
              </w:rPr>
            </w:pPr>
            <w:r>
              <w:rPr>
                <w:sz w:val="24"/>
                <w:szCs w:val="24"/>
              </w:rPr>
              <w:t>10</w:t>
            </w:r>
          </w:p>
        </w:tc>
        <w:tc>
          <w:tcPr>
            <w:tcW w:w="0" w:type="auto"/>
            <w:vMerge w:val="continue"/>
            <w:vAlign w:val="center"/>
          </w:tcPr>
          <w:p>
            <w:pPr>
              <w:jc w:val="center"/>
              <w:rPr>
                <w:sz w:val="24"/>
                <w:szCs w:val="24"/>
              </w:rPr>
            </w:pPr>
          </w:p>
        </w:tc>
        <w:tc>
          <w:tcPr>
            <w:tcW w:w="1042" w:type="dxa"/>
            <w:vMerge w:val="restart"/>
            <w:vAlign w:val="center"/>
          </w:tcPr>
          <w:p>
            <w:pPr>
              <w:jc w:val="center"/>
              <w:rPr>
                <w:sz w:val="24"/>
                <w:szCs w:val="24"/>
              </w:rPr>
            </w:pPr>
            <w:r>
              <w:rPr>
                <w:sz w:val="24"/>
                <w:szCs w:val="24"/>
              </w:rPr>
              <w:t>预埋螺栓</w:t>
            </w:r>
          </w:p>
        </w:tc>
        <w:tc>
          <w:tcPr>
            <w:tcW w:w="1984" w:type="dxa"/>
            <w:vAlign w:val="center"/>
          </w:tcPr>
          <w:p>
            <w:pPr>
              <w:jc w:val="center"/>
              <w:rPr>
                <w:sz w:val="24"/>
                <w:szCs w:val="24"/>
              </w:rPr>
            </w:pPr>
            <w:r>
              <w:rPr>
                <w:sz w:val="24"/>
                <w:szCs w:val="24"/>
              </w:rPr>
              <w:t>中心线位置偏差</w:t>
            </w:r>
          </w:p>
        </w:tc>
        <w:tc>
          <w:tcPr>
            <w:tcW w:w="1276" w:type="dxa"/>
            <w:vAlign w:val="center"/>
          </w:tcPr>
          <w:p>
            <w:pPr>
              <w:jc w:val="center"/>
              <w:rPr>
                <w:sz w:val="24"/>
                <w:szCs w:val="24"/>
              </w:rPr>
            </w:pPr>
            <w:r>
              <w:rPr>
                <w:sz w:val="24"/>
                <w:szCs w:val="24"/>
              </w:rPr>
              <w:t>2</w:t>
            </w:r>
          </w:p>
        </w:tc>
        <w:tc>
          <w:tcPr>
            <w:tcW w:w="3033" w:type="dxa"/>
            <w:tcBorders>
              <w:right w:val="single" w:color="auto" w:sz="12" w:space="0"/>
            </w:tcBorders>
            <w:vAlign w:val="center"/>
          </w:tcPr>
          <w:p>
            <w:pPr>
              <w:jc w:val="center"/>
              <w:rPr>
                <w:sz w:val="24"/>
                <w:szCs w:val="24"/>
              </w:rPr>
            </w:pPr>
            <w:r>
              <w:rPr>
                <w:sz w:val="24"/>
                <w:szCs w:val="24"/>
              </w:rPr>
              <w:t>用尺两侧纵横两个方向的中心线位置，取其中较大值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1042" w:type="dxa"/>
            <w:vMerge w:val="continue"/>
            <w:vAlign w:val="center"/>
          </w:tcPr>
          <w:p>
            <w:pPr>
              <w:jc w:val="center"/>
              <w:rPr>
                <w:sz w:val="24"/>
                <w:szCs w:val="24"/>
              </w:rPr>
            </w:pPr>
          </w:p>
        </w:tc>
        <w:tc>
          <w:tcPr>
            <w:tcW w:w="1984" w:type="dxa"/>
            <w:vAlign w:val="center"/>
          </w:tcPr>
          <w:p>
            <w:pPr>
              <w:jc w:val="center"/>
              <w:rPr>
                <w:sz w:val="24"/>
                <w:szCs w:val="24"/>
              </w:rPr>
            </w:pPr>
            <w:r>
              <w:rPr>
                <w:sz w:val="24"/>
                <w:szCs w:val="24"/>
              </w:rPr>
              <w:t>外露长度</w:t>
            </w:r>
          </w:p>
        </w:tc>
        <w:tc>
          <w:tcPr>
            <w:tcW w:w="1276" w:type="dxa"/>
            <w:vAlign w:val="center"/>
          </w:tcPr>
          <w:p>
            <w:pPr>
              <w:jc w:val="center"/>
              <w:rPr>
                <w:sz w:val="24"/>
                <w:szCs w:val="24"/>
              </w:rPr>
            </w:pPr>
            <m:oMath>
              <m:r>
                <w:rPr>
                  <w:rFonts w:ascii="Cambria Math" w:hAnsi="Cambria Math" w:eastAsia="微软雅黑"/>
                  <w:sz w:val="24"/>
                  <w:szCs w:val="24"/>
                </w:rPr>
                <m:t>+</m:t>
              </m:r>
            </m:oMath>
            <w:r>
              <w:rPr>
                <w:sz w:val="24"/>
                <w:szCs w:val="24"/>
              </w:rPr>
              <w:t>3，</w:t>
            </w:r>
            <m:oMath>
              <m:r>
                <w:rPr>
                  <w:rFonts w:ascii="Cambria Math" w:hAnsi="Cambria Math" w:eastAsia="微软雅黑"/>
                  <w:sz w:val="24"/>
                  <w:szCs w:val="24"/>
                </w:rPr>
                <m:t>-</m:t>
              </m:r>
            </m:oMath>
            <w:r>
              <w:rPr>
                <w:sz w:val="24"/>
                <w:szCs w:val="24"/>
              </w:rPr>
              <w:t>3</w:t>
            </w:r>
          </w:p>
        </w:tc>
        <w:tc>
          <w:tcPr>
            <w:tcW w:w="3033" w:type="dxa"/>
            <w:tcBorders>
              <w:right w:val="single" w:color="auto" w:sz="12" w:space="0"/>
            </w:tcBorders>
            <w:vAlign w:val="center"/>
          </w:tcPr>
          <w:p>
            <w:pPr>
              <w:jc w:val="center"/>
              <w:rPr>
                <w:sz w:val="24"/>
                <w:szCs w:val="24"/>
              </w:rPr>
            </w:pPr>
            <w:r>
              <w:rPr>
                <w:sz w:val="24"/>
                <w:szCs w:val="24"/>
              </w:rPr>
              <w:t>用尺量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12" w:space="0"/>
            </w:tcBorders>
            <w:vAlign w:val="center"/>
          </w:tcPr>
          <w:p>
            <w:pPr>
              <w:jc w:val="center"/>
              <w:rPr>
                <w:sz w:val="24"/>
                <w:szCs w:val="24"/>
              </w:rPr>
            </w:pPr>
            <w:r>
              <w:rPr>
                <w:sz w:val="24"/>
                <w:szCs w:val="24"/>
              </w:rPr>
              <w:t>11</w:t>
            </w:r>
          </w:p>
        </w:tc>
        <w:tc>
          <w:tcPr>
            <w:tcW w:w="0" w:type="auto"/>
            <w:vMerge w:val="continue"/>
            <w:vAlign w:val="center"/>
          </w:tcPr>
          <w:p>
            <w:pPr>
              <w:jc w:val="center"/>
              <w:rPr>
                <w:sz w:val="24"/>
                <w:szCs w:val="24"/>
              </w:rPr>
            </w:pPr>
          </w:p>
        </w:tc>
        <w:tc>
          <w:tcPr>
            <w:tcW w:w="1042" w:type="dxa"/>
            <w:vMerge w:val="restart"/>
            <w:vAlign w:val="center"/>
          </w:tcPr>
          <w:p>
            <w:pPr>
              <w:jc w:val="center"/>
              <w:rPr>
                <w:sz w:val="24"/>
                <w:szCs w:val="24"/>
              </w:rPr>
            </w:pPr>
            <w:r>
              <w:rPr>
                <w:sz w:val="24"/>
                <w:szCs w:val="24"/>
              </w:rPr>
              <w:t>预埋线盒、电盒</w:t>
            </w:r>
          </w:p>
        </w:tc>
        <w:tc>
          <w:tcPr>
            <w:tcW w:w="1984" w:type="dxa"/>
            <w:vAlign w:val="center"/>
          </w:tcPr>
          <w:p>
            <w:pPr>
              <w:jc w:val="center"/>
              <w:rPr>
                <w:sz w:val="24"/>
                <w:szCs w:val="24"/>
              </w:rPr>
            </w:pPr>
            <w:r>
              <w:rPr>
                <w:sz w:val="24"/>
                <w:szCs w:val="24"/>
              </w:rPr>
              <w:t>在构件平面的水平方向中心位置偏差</w:t>
            </w:r>
          </w:p>
        </w:tc>
        <w:tc>
          <w:tcPr>
            <w:tcW w:w="1276" w:type="dxa"/>
            <w:vAlign w:val="center"/>
          </w:tcPr>
          <w:p>
            <w:pPr>
              <w:jc w:val="center"/>
              <w:rPr>
                <w:sz w:val="24"/>
                <w:szCs w:val="24"/>
              </w:rPr>
            </w:pPr>
            <w:r>
              <w:rPr>
                <w:sz w:val="24"/>
                <w:szCs w:val="24"/>
              </w:rPr>
              <w:t>3</w:t>
            </w:r>
          </w:p>
        </w:tc>
        <w:tc>
          <w:tcPr>
            <w:tcW w:w="3033" w:type="dxa"/>
            <w:tcBorders>
              <w:right w:val="single" w:color="auto" w:sz="12" w:space="0"/>
            </w:tcBorders>
            <w:vAlign w:val="center"/>
          </w:tcPr>
          <w:p>
            <w:pPr>
              <w:jc w:val="center"/>
              <w:rPr>
                <w:sz w:val="24"/>
                <w:szCs w:val="24"/>
              </w:rPr>
            </w:pPr>
            <w:r>
              <w:rPr>
                <w:sz w:val="24"/>
                <w:szCs w:val="24"/>
              </w:rPr>
              <w:t>用尺量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1042" w:type="dxa"/>
            <w:vMerge w:val="continue"/>
            <w:vAlign w:val="center"/>
          </w:tcPr>
          <w:p>
            <w:pPr>
              <w:jc w:val="center"/>
              <w:rPr>
                <w:sz w:val="24"/>
                <w:szCs w:val="24"/>
              </w:rPr>
            </w:pPr>
          </w:p>
        </w:tc>
        <w:tc>
          <w:tcPr>
            <w:tcW w:w="1984" w:type="dxa"/>
            <w:vAlign w:val="center"/>
          </w:tcPr>
          <w:p>
            <w:pPr>
              <w:jc w:val="center"/>
              <w:rPr>
                <w:sz w:val="24"/>
                <w:szCs w:val="24"/>
              </w:rPr>
            </w:pPr>
            <w:r>
              <w:rPr>
                <w:sz w:val="24"/>
                <w:szCs w:val="24"/>
              </w:rPr>
              <w:t>与构件表面混凝土高差</w:t>
            </w:r>
          </w:p>
        </w:tc>
        <w:tc>
          <w:tcPr>
            <w:tcW w:w="1276" w:type="dxa"/>
            <w:vAlign w:val="center"/>
          </w:tcPr>
          <w:p>
            <w:pPr>
              <w:jc w:val="center"/>
              <w:rPr>
                <w:sz w:val="24"/>
                <w:szCs w:val="24"/>
              </w:rPr>
            </w:pPr>
            <w:r>
              <w:rPr>
                <w:sz w:val="24"/>
                <w:szCs w:val="24"/>
              </w:rPr>
              <w:t>0，</w:t>
            </w:r>
            <m:oMath>
              <m:r>
                <w:rPr>
                  <w:rFonts w:ascii="Cambria Math" w:hAnsi="Cambria Math" w:eastAsia="微软雅黑"/>
                  <w:sz w:val="24"/>
                  <w:szCs w:val="24"/>
                </w:rPr>
                <m:t>-</m:t>
              </m:r>
            </m:oMath>
            <w:r>
              <w:rPr>
                <w:sz w:val="24"/>
                <w:szCs w:val="24"/>
              </w:rPr>
              <w:t>3</w:t>
            </w:r>
          </w:p>
        </w:tc>
        <w:tc>
          <w:tcPr>
            <w:tcW w:w="3033" w:type="dxa"/>
            <w:tcBorders>
              <w:right w:val="single" w:color="auto" w:sz="12" w:space="0"/>
            </w:tcBorders>
            <w:vAlign w:val="center"/>
          </w:tcPr>
          <w:p>
            <w:pPr>
              <w:jc w:val="center"/>
              <w:rPr>
                <w:sz w:val="24"/>
                <w:szCs w:val="24"/>
              </w:rPr>
            </w:pPr>
            <w:r>
              <w:rPr>
                <w:sz w:val="24"/>
                <w:szCs w:val="24"/>
              </w:rPr>
              <w:t>用尺量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12" w:space="0"/>
            </w:tcBorders>
            <w:vAlign w:val="center"/>
          </w:tcPr>
          <w:p>
            <w:pPr>
              <w:jc w:val="center"/>
              <w:rPr>
                <w:sz w:val="24"/>
                <w:szCs w:val="24"/>
              </w:rPr>
            </w:pPr>
            <w:r>
              <w:rPr>
                <w:sz w:val="24"/>
                <w:szCs w:val="24"/>
              </w:rPr>
              <w:t>12</w:t>
            </w:r>
          </w:p>
        </w:tc>
        <w:tc>
          <w:tcPr>
            <w:tcW w:w="0" w:type="auto"/>
            <w:vMerge w:val="restart"/>
            <w:vAlign w:val="center"/>
          </w:tcPr>
          <w:p>
            <w:pPr>
              <w:jc w:val="center"/>
              <w:rPr>
                <w:sz w:val="24"/>
                <w:szCs w:val="24"/>
              </w:rPr>
            </w:pPr>
            <w:r>
              <w:rPr>
                <w:sz w:val="24"/>
                <w:szCs w:val="24"/>
              </w:rPr>
              <w:t>预留孔</w:t>
            </w:r>
          </w:p>
        </w:tc>
        <w:tc>
          <w:tcPr>
            <w:tcW w:w="3026" w:type="dxa"/>
            <w:gridSpan w:val="2"/>
            <w:vAlign w:val="center"/>
          </w:tcPr>
          <w:p>
            <w:pPr>
              <w:jc w:val="center"/>
              <w:rPr>
                <w:sz w:val="24"/>
                <w:szCs w:val="24"/>
              </w:rPr>
            </w:pPr>
            <w:r>
              <w:rPr>
                <w:sz w:val="24"/>
                <w:szCs w:val="24"/>
              </w:rPr>
              <w:t>中心线位置偏移</w:t>
            </w:r>
          </w:p>
        </w:tc>
        <w:tc>
          <w:tcPr>
            <w:tcW w:w="1276" w:type="dxa"/>
            <w:vAlign w:val="center"/>
          </w:tcPr>
          <w:p>
            <w:pPr>
              <w:jc w:val="center"/>
              <w:rPr>
                <w:sz w:val="24"/>
                <w:szCs w:val="24"/>
              </w:rPr>
            </w:pPr>
            <w:r>
              <w:rPr>
                <w:sz w:val="24"/>
                <w:szCs w:val="24"/>
              </w:rPr>
              <w:t>3</w:t>
            </w:r>
          </w:p>
        </w:tc>
        <w:tc>
          <w:tcPr>
            <w:tcW w:w="3033" w:type="dxa"/>
            <w:tcBorders>
              <w:right w:val="single" w:color="auto" w:sz="12" w:space="0"/>
            </w:tcBorders>
            <w:vAlign w:val="center"/>
          </w:tcPr>
          <w:p>
            <w:pPr>
              <w:jc w:val="center"/>
              <w:rPr>
                <w:sz w:val="24"/>
                <w:szCs w:val="24"/>
              </w:rPr>
            </w:pPr>
            <w:r>
              <w:rPr>
                <w:sz w:val="24"/>
                <w:szCs w:val="24"/>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3026" w:type="dxa"/>
            <w:gridSpan w:val="2"/>
            <w:vAlign w:val="center"/>
          </w:tcPr>
          <w:p>
            <w:pPr>
              <w:jc w:val="center"/>
              <w:rPr>
                <w:sz w:val="24"/>
                <w:szCs w:val="24"/>
              </w:rPr>
            </w:pPr>
            <w:r>
              <w:rPr>
                <w:sz w:val="24"/>
                <w:szCs w:val="24"/>
              </w:rPr>
              <w:t>孔尺寸</w:t>
            </w:r>
          </w:p>
        </w:tc>
        <w:tc>
          <w:tcPr>
            <w:tcW w:w="1276" w:type="dxa"/>
            <w:vAlign w:val="center"/>
          </w:tcPr>
          <w:p>
            <w:pPr>
              <w:jc w:val="center"/>
              <w:rPr>
                <w:sz w:val="24"/>
                <w:szCs w:val="24"/>
              </w:rPr>
            </w:pPr>
            <m:oMath>
              <m:r>
                <w:rPr>
                  <w:rFonts w:ascii="Cambria Math" w:hAnsi="Cambria Math"/>
                  <w:sz w:val="24"/>
                  <w:szCs w:val="24"/>
                </w:rPr>
                <m:t>±</m:t>
              </m:r>
            </m:oMath>
            <w:r>
              <w:rPr>
                <w:sz w:val="24"/>
                <w:szCs w:val="24"/>
              </w:rPr>
              <w:t>3</w:t>
            </w:r>
          </w:p>
        </w:tc>
        <w:tc>
          <w:tcPr>
            <w:tcW w:w="3033" w:type="dxa"/>
            <w:tcBorders>
              <w:right w:val="single" w:color="auto" w:sz="12" w:space="0"/>
            </w:tcBorders>
            <w:vAlign w:val="center"/>
          </w:tcPr>
          <w:p>
            <w:pPr>
              <w:jc w:val="center"/>
              <w:rPr>
                <w:sz w:val="24"/>
                <w:szCs w:val="24"/>
              </w:rPr>
            </w:pPr>
            <w:r>
              <w:rPr>
                <w:sz w:val="24"/>
                <w:szCs w:val="24"/>
              </w:rPr>
              <w:t>用尺量测纵横两个方向尺寸，取其较大值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12" w:space="0"/>
            </w:tcBorders>
            <w:vAlign w:val="center"/>
          </w:tcPr>
          <w:p>
            <w:pPr>
              <w:jc w:val="center"/>
              <w:rPr>
                <w:sz w:val="24"/>
                <w:szCs w:val="24"/>
              </w:rPr>
            </w:pPr>
            <w:r>
              <w:rPr>
                <w:sz w:val="24"/>
                <w:szCs w:val="24"/>
              </w:rPr>
              <w:t>13</w:t>
            </w:r>
          </w:p>
        </w:tc>
        <w:tc>
          <w:tcPr>
            <w:tcW w:w="0" w:type="auto"/>
            <w:vMerge w:val="restart"/>
            <w:vAlign w:val="center"/>
          </w:tcPr>
          <w:p>
            <w:pPr>
              <w:jc w:val="center"/>
              <w:rPr>
                <w:sz w:val="24"/>
                <w:szCs w:val="24"/>
              </w:rPr>
            </w:pPr>
            <w:r>
              <w:rPr>
                <w:sz w:val="24"/>
                <w:szCs w:val="24"/>
              </w:rPr>
              <w:t>预留洞</w:t>
            </w:r>
          </w:p>
        </w:tc>
        <w:tc>
          <w:tcPr>
            <w:tcW w:w="3026" w:type="dxa"/>
            <w:gridSpan w:val="2"/>
            <w:vAlign w:val="center"/>
          </w:tcPr>
          <w:p>
            <w:pPr>
              <w:jc w:val="center"/>
              <w:rPr>
                <w:sz w:val="24"/>
                <w:szCs w:val="24"/>
              </w:rPr>
            </w:pPr>
            <w:r>
              <w:rPr>
                <w:sz w:val="24"/>
                <w:szCs w:val="24"/>
              </w:rPr>
              <w:t>中心线位置偏移</w:t>
            </w:r>
          </w:p>
        </w:tc>
        <w:tc>
          <w:tcPr>
            <w:tcW w:w="1276" w:type="dxa"/>
            <w:vAlign w:val="center"/>
          </w:tcPr>
          <w:p>
            <w:pPr>
              <w:jc w:val="center"/>
              <w:rPr>
                <w:sz w:val="24"/>
                <w:szCs w:val="24"/>
              </w:rPr>
            </w:pPr>
            <w:r>
              <w:rPr>
                <w:sz w:val="24"/>
                <w:szCs w:val="24"/>
              </w:rPr>
              <w:t>5</w:t>
            </w:r>
          </w:p>
        </w:tc>
        <w:tc>
          <w:tcPr>
            <w:tcW w:w="3033" w:type="dxa"/>
            <w:tcBorders>
              <w:right w:val="single" w:color="auto" w:sz="12" w:space="0"/>
            </w:tcBorders>
            <w:vAlign w:val="center"/>
          </w:tcPr>
          <w:p>
            <w:pPr>
              <w:jc w:val="center"/>
              <w:rPr>
                <w:sz w:val="24"/>
                <w:szCs w:val="24"/>
              </w:rPr>
            </w:pPr>
            <w:r>
              <w:rPr>
                <w:sz w:val="24"/>
                <w:szCs w:val="24"/>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12" w:space="0"/>
              <w:bottom w:val="single" w:color="auto" w:sz="4" w:space="0"/>
            </w:tcBorders>
            <w:vAlign w:val="center"/>
          </w:tcPr>
          <w:p>
            <w:pPr>
              <w:jc w:val="center"/>
              <w:rPr>
                <w:sz w:val="24"/>
                <w:szCs w:val="24"/>
              </w:rPr>
            </w:pPr>
          </w:p>
        </w:tc>
        <w:tc>
          <w:tcPr>
            <w:tcW w:w="0" w:type="auto"/>
            <w:vMerge w:val="continue"/>
            <w:tcBorders>
              <w:bottom w:val="single" w:color="auto" w:sz="4" w:space="0"/>
            </w:tcBorders>
            <w:vAlign w:val="center"/>
          </w:tcPr>
          <w:p>
            <w:pPr>
              <w:jc w:val="center"/>
              <w:rPr>
                <w:sz w:val="24"/>
                <w:szCs w:val="24"/>
              </w:rPr>
            </w:pPr>
          </w:p>
        </w:tc>
        <w:tc>
          <w:tcPr>
            <w:tcW w:w="3026" w:type="dxa"/>
            <w:gridSpan w:val="2"/>
            <w:tcBorders>
              <w:bottom w:val="single" w:color="auto" w:sz="4" w:space="0"/>
            </w:tcBorders>
            <w:vAlign w:val="center"/>
          </w:tcPr>
          <w:p>
            <w:pPr>
              <w:jc w:val="center"/>
              <w:rPr>
                <w:sz w:val="24"/>
                <w:szCs w:val="24"/>
              </w:rPr>
            </w:pPr>
            <w:r>
              <w:rPr>
                <w:sz w:val="24"/>
                <w:szCs w:val="24"/>
              </w:rPr>
              <w:t>洞口尺寸、深度</w:t>
            </w:r>
          </w:p>
        </w:tc>
        <w:tc>
          <w:tcPr>
            <w:tcW w:w="1276" w:type="dxa"/>
            <w:tcBorders>
              <w:bottom w:val="single" w:color="auto" w:sz="4" w:space="0"/>
            </w:tcBorders>
            <w:vAlign w:val="center"/>
          </w:tcPr>
          <w:p>
            <w:pPr>
              <w:jc w:val="center"/>
              <w:rPr>
                <w:sz w:val="24"/>
                <w:szCs w:val="24"/>
              </w:rPr>
            </w:pPr>
            <m:oMath>
              <m:r>
                <w:rPr>
                  <w:rFonts w:ascii="Cambria Math" w:hAnsi="Cambria Math"/>
                  <w:sz w:val="24"/>
                  <w:szCs w:val="24"/>
                </w:rPr>
                <m:t>±</m:t>
              </m:r>
            </m:oMath>
            <w:r>
              <w:rPr>
                <w:sz w:val="24"/>
                <w:szCs w:val="24"/>
              </w:rPr>
              <w:t>5</w:t>
            </w:r>
          </w:p>
        </w:tc>
        <w:tc>
          <w:tcPr>
            <w:tcW w:w="3033" w:type="dxa"/>
            <w:tcBorders>
              <w:bottom w:val="single" w:color="auto" w:sz="4" w:space="0"/>
              <w:right w:val="single" w:color="auto" w:sz="12" w:space="0"/>
            </w:tcBorders>
            <w:vAlign w:val="center"/>
          </w:tcPr>
          <w:p>
            <w:pPr>
              <w:jc w:val="center"/>
              <w:rPr>
                <w:sz w:val="24"/>
                <w:szCs w:val="24"/>
              </w:rPr>
            </w:pPr>
            <w:r>
              <w:rPr>
                <w:sz w:val="24"/>
                <w:szCs w:val="24"/>
              </w:rPr>
              <w:t>用尺量测纵横两个方向尺寸，取其较大值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left w:val="single" w:color="auto" w:sz="12" w:space="0"/>
            </w:tcBorders>
            <w:vAlign w:val="center"/>
          </w:tcPr>
          <w:p>
            <w:pPr>
              <w:jc w:val="center"/>
              <w:rPr>
                <w:sz w:val="24"/>
                <w:szCs w:val="24"/>
              </w:rPr>
            </w:pPr>
            <w:r>
              <w:rPr>
                <w:sz w:val="24"/>
                <w:szCs w:val="24"/>
              </w:rPr>
              <w:t>14</w:t>
            </w:r>
          </w:p>
        </w:tc>
        <w:tc>
          <w:tcPr>
            <w:tcW w:w="0" w:type="auto"/>
            <w:vMerge w:val="restart"/>
            <w:vAlign w:val="center"/>
          </w:tcPr>
          <w:p>
            <w:pPr>
              <w:jc w:val="center"/>
              <w:rPr>
                <w:sz w:val="24"/>
                <w:szCs w:val="24"/>
              </w:rPr>
            </w:pPr>
            <w:r>
              <w:rPr>
                <w:sz w:val="24"/>
                <w:szCs w:val="24"/>
              </w:rPr>
              <w:t>吊环</w:t>
            </w:r>
          </w:p>
        </w:tc>
        <w:tc>
          <w:tcPr>
            <w:tcW w:w="3026" w:type="dxa"/>
            <w:gridSpan w:val="2"/>
            <w:vAlign w:val="center"/>
          </w:tcPr>
          <w:p>
            <w:pPr>
              <w:jc w:val="center"/>
              <w:rPr>
                <w:sz w:val="24"/>
                <w:szCs w:val="24"/>
              </w:rPr>
            </w:pPr>
            <w:r>
              <w:rPr>
                <w:sz w:val="24"/>
                <w:szCs w:val="24"/>
              </w:rPr>
              <w:t>中心线位置偏移</w:t>
            </w:r>
          </w:p>
        </w:tc>
        <w:tc>
          <w:tcPr>
            <w:tcW w:w="1276" w:type="dxa"/>
            <w:vAlign w:val="center"/>
          </w:tcPr>
          <w:p>
            <w:pPr>
              <w:jc w:val="center"/>
              <w:rPr>
                <w:sz w:val="24"/>
                <w:szCs w:val="24"/>
              </w:rPr>
            </w:pPr>
            <w:r>
              <w:rPr>
                <w:sz w:val="24"/>
                <w:szCs w:val="24"/>
              </w:rPr>
              <w:t>5</w:t>
            </w:r>
          </w:p>
        </w:tc>
        <w:tc>
          <w:tcPr>
            <w:tcW w:w="3033" w:type="dxa"/>
            <w:tcBorders>
              <w:right w:val="single" w:color="auto" w:sz="12" w:space="0"/>
            </w:tcBorders>
            <w:vAlign w:val="center"/>
          </w:tcPr>
          <w:p>
            <w:pPr>
              <w:jc w:val="center"/>
              <w:rPr>
                <w:sz w:val="24"/>
                <w:szCs w:val="24"/>
              </w:rPr>
            </w:pPr>
            <w:r>
              <w:rPr>
                <w:sz w:val="24"/>
                <w:szCs w:val="24"/>
              </w:rPr>
              <w:t>用尺量测纵横两个方向的中心线位置，取其中较大值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left w:val="single" w:color="auto" w:sz="12" w:space="0"/>
            </w:tcBorders>
            <w:vAlign w:val="center"/>
          </w:tcPr>
          <w:p>
            <w:pPr>
              <w:jc w:val="center"/>
              <w:rPr>
                <w:sz w:val="24"/>
                <w:szCs w:val="24"/>
              </w:rPr>
            </w:pPr>
          </w:p>
        </w:tc>
        <w:tc>
          <w:tcPr>
            <w:tcW w:w="0" w:type="auto"/>
            <w:vMerge w:val="continue"/>
            <w:vAlign w:val="center"/>
          </w:tcPr>
          <w:p>
            <w:pPr>
              <w:jc w:val="center"/>
              <w:rPr>
                <w:sz w:val="24"/>
                <w:szCs w:val="24"/>
              </w:rPr>
            </w:pPr>
          </w:p>
        </w:tc>
        <w:tc>
          <w:tcPr>
            <w:tcW w:w="3026" w:type="dxa"/>
            <w:gridSpan w:val="2"/>
            <w:vAlign w:val="center"/>
          </w:tcPr>
          <w:p>
            <w:pPr>
              <w:jc w:val="center"/>
              <w:rPr>
                <w:sz w:val="24"/>
                <w:szCs w:val="24"/>
              </w:rPr>
            </w:pPr>
            <w:r>
              <w:rPr>
                <w:sz w:val="24"/>
                <w:szCs w:val="24"/>
              </w:rPr>
              <w:t>与构件表面混凝土高度差</w:t>
            </w:r>
          </w:p>
        </w:tc>
        <w:tc>
          <w:tcPr>
            <w:tcW w:w="1276" w:type="dxa"/>
            <w:vAlign w:val="center"/>
          </w:tcPr>
          <w:p>
            <w:pPr>
              <w:jc w:val="center"/>
              <w:rPr>
                <w:sz w:val="24"/>
                <w:szCs w:val="24"/>
              </w:rPr>
            </w:pPr>
            <w:r>
              <w:rPr>
                <w:sz w:val="24"/>
                <w:szCs w:val="24"/>
              </w:rPr>
              <w:t>0，</w:t>
            </w:r>
            <m:oMath>
              <m:r>
                <w:rPr>
                  <w:rFonts w:ascii="Cambria Math" w:hAnsi="Cambria Math" w:eastAsia="微软雅黑"/>
                  <w:sz w:val="24"/>
                  <w:szCs w:val="24"/>
                </w:rPr>
                <m:t>-</m:t>
              </m:r>
            </m:oMath>
            <w:r>
              <w:rPr>
                <w:sz w:val="24"/>
                <w:szCs w:val="24"/>
              </w:rPr>
              <w:t>10</w:t>
            </w:r>
          </w:p>
        </w:tc>
        <w:tc>
          <w:tcPr>
            <w:tcW w:w="3033" w:type="dxa"/>
            <w:tcBorders>
              <w:right w:val="single" w:color="auto" w:sz="12" w:space="0"/>
            </w:tcBorders>
            <w:vAlign w:val="center"/>
          </w:tcPr>
          <w:p>
            <w:pPr>
              <w:jc w:val="center"/>
              <w:rPr>
                <w:sz w:val="24"/>
                <w:szCs w:val="24"/>
              </w:rPr>
            </w:pPr>
            <w:r>
              <w:rPr>
                <w:sz w:val="24"/>
                <w:szCs w:val="24"/>
              </w:rPr>
              <w:t>用尺量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left w:val="single" w:color="auto" w:sz="12" w:space="0"/>
              <w:bottom w:val="single" w:color="auto" w:sz="12" w:space="0"/>
            </w:tcBorders>
            <w:vAlign w:val="center"/>
          </w:tcPr>
          <w:p>
            <w:pPr>
              <w:jc w:val="center"/>
              <w:rPr>
                <w:sz w:val="24"/>
                <w:szCs w:val="24"/>
              </w:rPr>
            </w:pPr>
            <w:r>
              <w:rPr>
                <w:rFonts w:hint="eastAsia"/>
                <w:sz w:val="24"/>
                <w:szCs w:val="24"/>
              </w:rPr>
              <w:t>15</w:t>
            </w:r>
          </w:p>
        </w:tc>
        <w:tc>
          <w:tcPr>
            <w:tcW w:w="0" w:type="auto"/>
            <w:tcBorders>
              <w:bottom w:val="single" w:color="auto" w:sz="12" w:space="0"/>
            </w:tcBorders>
            <w:vAlign w:val="center"/>
          </w:tcPr>
          <w:p>
            <w:pPr>
              <w:jc w:val="center"/>
              <w:rPr>
                <w:sz w:val="24"/>
                <w:szCs w:val="24"/>
              </w:rPr>
            </w:pPr>
            <w:r>
              <w:rPr>
                <w:rFonts w:hint="eastAsia"/>
                <w:sz w:val="24"/>
                <w:szCs w:val="24"/>
              </w:rPr>
              <w:t>钢筋</w:t>
            </w:r>
          </w:p>
        </w:tc>
        <w:tc>
          <w:tcPr>
            <w:tcW w:w="3026" w:type="dxa"/>
            <w:gridSpan w:val="2"/>
            <w:tcBorders>
              <w:bottom w:val="single" w:color="auto" w:sz="12" w:space="0"/>
            </w:tcBorders>
            <w:vAlign w:val="center"/>
          </w:tcPr>
          <w:p>
            <w:pPr>
              <w:jc w:val="center"/>
              <w:rPr>
                <w:sz w:val="24"/>
                <w:szCs w:val="24"/>
              </w:rPr>
            </w:pPr>
            <w:r>
              <w:rPr>
                <w:rFonts w:hint="eastAsia"/>
                <w:sz w:val="24"/>
                <w:szCs w:val="24"/>
              </w:rPr>
              <w:t>伸出钢筋</w:t>
            </w:r>
          </w:p>
        </w:tc>
        <w:tc>
          <w:tcPr>
            <w:tcW w:w="1276" w:type="dxa"/>
            <w:tcBorders>
              <w:bottom w:val="single" w:color="auto" w:sz="12" w:space="0"/>
            </w:tcBorders>
            <w:vAlign w:val="center"/>
          </w:tcPr>
          <w:p>
            <w:pPr>
              <w:jc w:val="center"/>
              <w:rPr>
                <w:sz w:val="24"/>
                <w:szCs w:val="24"/>
              </w:rPr>
            </w:pPr>
            <w:r>
              <w:rPr>
                <w:rFonts w:hint="eastAsia"/>
                <w:sz w:val="24"/>
                <w:szCs w:val="24"/>
              </w:rPr>
              <w:t>±</w:t>
            </w:r>
            <w:r>
              <w:rPr>
                <w:sz w:val="24"/>
                <w:szCs w:val="24"/>
              </w:rPr>
              <w:t>10</w:t>
            </w:r>
          </w:p>
        </w:tc>
        <w:tc>
          <w:tcPr>
            <w:tcW w:w="3033" w:type="dxa"/>
            <w:tcBorders>
              <w:bottom w:val="single" w:color="auto" w:sz="12" w:space="0"/>
              <w:right w:val="single" w:color="auto" w:sz="12" w:space="0"/>
            </w:tcBorders>
            <w:vAlign w:val="center"/>
          </w:tcPr>
          <w:p>
            <w:pPr>
              <w:jc w:val="center"/>
              <w:rPr>
                <w:sz w:val="24"/>
                <w:szCs w:val="24"/>
              </w:rPr>
            </w:pPr>
            <w:r>
              <w:rPr>
                <w:sz w:val="24"/>
                <w:szCs w:val="24"/>
              </w:rPr>
              <w:t>用尺量</w:t>
            </w:r>
          </w:p>
        </w:tc>
      </w:tr>
    </w:tbl>
    <w:p>
      <w:r>
        <w:rPr>
          <w:b/>
          <w:bCs/>
        </w:rPr>
        <w:t>9.5.</w:t>
      </w:r>
      <w:r>
        <w:rPr>
          <w:rFonts w:hint="eastAsia"/>
          <w:b/>
          <w:bCs/>
        </w:rPr>
        <w:t>3</w:t>
      </w:r>
      <w:r>
        <w:rPr>
          <w:b/>
          <w:bCs/>
        </w:rPr>
        <w:t xml:space="preserve"> </w:t>
      </w:r>
      <w:r>
        <w:t>预制构件的其他检验内容和要求应满足现行广东省《装配式混凝土建筑工程施工质量验收规范》DBJ/T 15-171的相关规定。</w:t>
      </w:r>
    </w:p>
    <w:p>
      <w:pPr>
        <w:pStyle w:val="3"/>
      </w:pPr>
      <w:bookmarkStart w:id="163" w:name="_Toc23498044"/>
      <w:bookmarkStart w:id="164" w:name="_Toc38289924"/>
      <w:bookmarkStart w:id="165" w:name="_Toc45313948"/>
      <w:bookmarkStart w:id="166" w:name="_Toc45574553"/>
      <w:r>
        <w:t>存放、吊运及防护</w:t>
      </w:r>
      <w:bookmarkEnd w:id="163"/>
      <w:bookmarkEnd w:id="164"/>
      <w:bookmarkEnd w:id="165"/>
      <w:bookmarkEnd w:id="166"/>
    </w:p>
    <w:p>
      <w:r>
        <w:rPr>
          <w:rFonts w:hint="eastAsia"/>
          <w:b/>
          <w:bCs/>
        </w:rPr>
        <w:t>9.6.1</w:t>
      </w:r>
      <w:r>
        <w:rPr>
          <w:b/>
          <w:bCs/>
        </w:rPr>
        <w:t xml:space="preserve"> </w:t>
      </w:r>
      <w:r>
        <w:t>叠合墙板宜采用直立存放，也可采用水平叠放。当采用直立方式时，宜采用专用支架直立存放，支架应有足够的强度和刚度；当水平叠放时，叠放层数不宜超过</w:t>
      </w:r>
      <w:r>
        <w:rPr>
          <w:rFonts w:hint="eastAsia"/>
        </w:rPr>
        <w:t>6</w:t>
      </w:r>
      <w:r>
        <w:t>层，支垫位置应根据结构受力计算确定，支垫长度宜满足板宽要求，每层宜设置2个支垫且各层支垫必须在一条垂直线上，当板长大于4</w:t>
      </w:r>
      <m:oMath>
        <m:r>
          <m:rPr>
            <m:sty m:val="p"/>
          </m:rPr>
          <w:rPr>
            <w:rFonts w:ascii="Cambria Math" w:hAnsi="Cambria Math"/>
          </w:rPr>
          <m:t>m</m:t>
        </m:r>
      </m:oMath>
      <w:r>
        <w:t>时，宜适当增加支垫的数量。</w:t>
      </w:r>
    </w:p>
    <w:p>
      <w:r>
        <w:rPr>
          <w:b/>
          <w:bCs/>
        </w:rPr>
        <w:t xml:space="preserve">9.6.2 </w:t>
      </w:r>
      <w:r>
        <w:t>薄弱构件、构件薄弱部位及门窗洞口在存放和吊运时应采取防止变形开裂的临时加固措施。</w:t>
      </w:r>
    </w:p>
    <w:p>
      <w:r>
        <w:rPr>
          <w:b/>
          <w:bCs/>
        </w:rPr>
        <w:t xml:space="preserve">9.6.3 </w:t>
      </w:r>
      <w:r>
        <w:t>叠合墙板吊运应符合下列规定：</w:t>
      </w:r>
    </w:p>
    <w:p>
      <w:pPr>
        <w:pStyle w:val="47"/>
        <w:numPr>
          <w:ilvl w:val="0"/>
          <w:numId w:val="42"/>
        </w:numPr>
        <w:ind w:left="0" w:firstLine="576" w:firstLineChars="200"/>
      </w:pPr>
      <w:r>
        <w:t>应根据预制构件的形状、尺寸、重量和作业半径等要求选择吊具和起重设备，所采用的吊具和起重设备及操作，应符合现行国家有关标准及产品应用技术手册的规定。</w:t>
      </w:r>
    </w:p>
    <w:p>
      <w:pPr>
        <w:pStyle w:val="47"/>
        <w:numPr>
          <w:ilvl w:val="0"/>
          <w:numId w:val="42"/>
        </w:numPr>
        <w:ind w:left="0" w:firstLine="576" w:firstLineChars="200"/>
      </w:pPr>
      <w:r>
        <w:t>吊点数量、位置应经计算确定，应保证吊具连接可靠，应采取保证起重设备的主钩位置、吊具及构件重心在竖直方向上重合的措施。</w:t>
      </w:r>
    </w:p>
    <w:p>
      <w:pPr>
        <w:pStyle w:val="47"/>
        <w:numPr>
          <w:ilvl w:val="0"/>
          <w:numId w:val="42"/>
        </w:numPr>
        <w:ind w:left="0" w:firstLine="576" w:firstLineChars="200"/>
      </w:pPr>
      <w:r>
        <w:rPr>
          <w:rFonts w:hint="eastAsia"/>
        </w:rPr>
        <w:t>吊装时</w:t>
      </w:r>
      <w:r>
        <w:t>吊索与叠合墙板的水平夹角宜为90</w:t>
      </w:r>
      <m:oMath>
        <m:r>
          <m:rPr>
            <m:sty m:val="p"/>
          </m:rPr>
          <w:rPr>
            <w:rFonts w:ascii="Cambria Math" w:hAnsi="Cambria Math"/>
          </w:rPr>
          <m:t>°</m:t>
        </m:r>
      </m:oMath>
      <w:r>
        <w:t>且不应小于60</w:t>
      </w:r>
      <m:oMath>
        <m:r>
          <m:rPr>
            <m:sty m:val="p"/>
          </m:rPr>
          <w:rPr>
            <w:rFonts w:ascii="Cambria Math" w:hAnsi="Cambria Math"/>
          </w:rPr>
          <m:t>°</m:t>
        </m:r>
      </m:oMath>
      <w:r>
        <w:t>。</w:t>
      </w:r>
    </w:p>
    <w:p>
      <w:r>
        <w:rPr>
          <w:b/>
          <w:bCs/>
        </w:rPr>
        <w:t xml:space="preserve">9.6.4 </w:t>
      </w:r>
      <w:r>
        <w:t>叠合墙板装车运输时，应符合下列规定：</w:t>
      </w:r>
    </w:p>
    <w:p>
      <w:pPr>
        <w:pStyle w:val="47"/>
        <w:numPr>
          <w:ilvl w:val="0"/>
          <w:numId w:val="43"/>
        </w:numPr>
        <w:ind w:left="0" w:firstLine="576" w:firstLineChars="200"/>
      </w:pPr>
      <w:r>
        <w:t>预制构件经检验合格且强度达到设计要求后方可装运，宜选用专用工具式支架并采取有效的固定措施；</w:t>
      </w:r>
    </w:p>
    <w:p>
      <w:pPr>
        <w:pStyle w:val="47"/>
        <w:numPr>
          <w:ilvl w:val="0"/>
          <w:numId w:val="43"/>
        </w:numPr>
        <w:ind w:left="0" w:firstLine="576" w:firstLineChars="200"/>
      </w:pPr>
      <w:r>
        <w:t>采用靠放架立式运输时，墙板与地面倾斜角度宜大于80</w:t>
      </w:r>
      <m:oMath>
        <m:r>
          <m:rPr>
            <m:sty m:val="p"/>
          </m:rPr>
          <w:rPr>
            <w:rFonts w:ascii="Cambria Math" w:hAnsi="Cambria Math"/>
          </w:rPr>
          <m:t>°</m:t>
        </m:r>
      </m:oMath>
      <w:r>
        <w:t>，构件应对称靠放，每侧不大于2层，构件层间应采用柔性垫块隔离；</w:t>
      </w:r>
    </w:p>
    <w:p>
      <w:pPr>
        <w:pStyle w:val="47"/>
        <w:numPr>
          <w:ilvl w:val="0"/>
          <w:numId w:val="43"/>
        </w:numPr>
        <w:ind w:left="0" w:firstLine="576" w:firstLineChars="200"/>
      </w:pPr>
      <w:r>
        <w:t>采用插放架直立运输时，应采取防止构件倾倒措施，构件之间应设置柔性隔离垫块；</w:t>
      </w:r>
    </w:p>
    <w:p>
      <w:pPr>
        <w:pStyle w:val="47"/>
        <w:numPr>
          <w:ilvl w:val="0"/>
          <w:numId w:val="43"/>
        </w:numPr>
        <w:ind w:left="0" w:firstLine="576" w:firstLineChars="200"/>
      </w:pPr>
      <w:r>
        <w:t>叠合墙板水平运输时，叠放不宜超过5层。</w:t>
      </w:r>
    </w:p>
    <w:p>
      <w:r>
        <w:rPr>
          <w:b/>
          <w:bCs/>
        </w:rPr>
        <w:t xml:space="preserve">9.6.5 </w:t>
      </w:r>
      <w:r>
        <w:t>预制构件在存放和运输过程中应做好安全和成品防护，且应符合下列规定：</w:t>
      </w:r>
    </w:p>
    <w:p>
      <w:pPr>
        <w:pStyle w:val="47"/>
        <w:numPr>
          <w:ilvl w:val="0"/>
          <w:numId w:val="44"/>
        </w:numPr>
        <w:ind w:left="0" w:firstLine="576" w:firstLineChars="200"/>
      </w:pPr>
      <w:r>
        <w:t>设置柔性垫片避免预制构件边角部位或连锁接触处的混凝土损伤。</w:t>
      </w:r>
    </w:p>
    <w:p>
      <w:pPr>
        <w:pStyle w:val="47"/>
        <w:numPr>
          <w:ilvl w:val="0"/>
          <w:numId w:val="44"/>
        </w:numPr>
        <w:ind w:left="0" w:firstLine="576" w:firstLineChars="200"/>
      </w:pPr>
      <w:r>
        <w:t>用塑料薄膜包裹垫块，避免预制构件外观污染。</w:t>
      </w:r>
    </w:p>
    <w:p>
      <w:pPr>
        <w:pStyle w:val="47"/>
        <w:numPr>
          <w:ilvl w:val="0"/>
          <w:numId w:val="44"/>
        </w:numPr>
        <w:ind w:left="0" w:firstLine="576" w:firstLineChars="200"/>
      </w:pPr>
      <w:r>
        <w:t>墙板门窗框、装饰表面和棱角应采用木板、塑料、贴膜或其他措施防护。</w:t>
      </w:r>
    </w:p>
    <w:p>
      <w:pPr>
        <w:pStyle w:val="54"/>
        <w:sectPr>
          <w:type w:val="continuous"/>
          <w:pgSz w:w="11906" w:h="16838"/>
          <w:pgMar w:top="1440" w:right="1800" w:bottom="1440" w:left="1800" w:header="851" w:footer="992" w:gutter="0"/>
          <w:cols w:space="425" w:num="1"/>
          <w:docGrid w:type="linesAndChars" w:linePitch="312" w:charSpace="0"/>
        </w:sectPr>
      </w:pPr>
    </w:p>
    <w:p>
      <w:pPr>
        <w:pStyle w:val="2"/>
        <w:pageBreakBefore/>
        <w:spacing w:before="312" w:after="312"/>
        <w:ind w:left="425" w:hanging="431"/>
      </w:pPr>
      <w:bookmarkStart w:id="167" w:name="_Toc534630609"/>
      <w:bookmarkEnd w:id="167"/>
      <w:bookmarkStart w:id="168" w:name="_Toc534630610"/>
      <w:bookmarkEnd w:id="168"/>
      <w:bookmarkStart w:id="169" w:name="_Toc534630608"/>
      <w:bookmarkEnd w:id="169"/>
      <w:bookmarkStart w:id="170" w:name="_Toc534630612"/>
      <w:bookmarkEnd w:id="170"/>
      <w:bookmarkStart w:id="171" w:name="_Toc534630607"/>
      <w:bookmarkEnd w:id="171"/>
      <w:bookmarkStart w:id="172" w:name="_Toc534630613"/>
      <w:bookmarkEnd w:id="172"/>
      <w:bookmarkStart w:id="173" w:name="_Toc534630615"/>
      <w:bookmarkEnd w:id="173"/>
      <w:bookmarkStart w:id="174" w:name="_Toc534630606"/>
      <w:bookmarkEnd w:id="174"/>
      <w:bookmarkStart w:id="175" w:name="_Toc534630614"/>
      <w:bookmarkEnd w:id="175"/>
      <w:bookmarkStart w:id="176" w:name="_Toc534630605"/>
      <w:bookmarkEnd w:id="176"/>
      <w:bookmarkStart w:id="177" w:name="_Toc534630643"/>
      <w:bookmarkEnd w:id="177"/>
      <w:bookmarkStart w:id="178" w:name="_Toc534630620"/>
      <w:bookmarkEnd w:id="178"/>
      <w:bookmarkStart w:id="179" w:name="_Toc534630648"/>
      <w:bookmarkEnd w:id="179"/>
      <w:bookmarkStart w:id="180" w:name="_Toc534630639"/>
      <w:bookmarkEnd w:id="180"/>
      <w:bookmarkStart w:id="181" w:name="_Toc534630636"/>
      <w:bookmarkEnd w:id="181"/>
      <w:bookmarkStart w:id="182" w:name="_Toc534630628"/>
      <w:bookmarkEnd w:id="182"/>
      <w:bookmarkStart w:id="183" w:name="_Toc534630631"/>
      <w:bookmarkEnd w:id="183"/>
      <w:bookmarkStart w:id="184" w:name="_Toc534630641"/>
      <w:bookmarkEnd w:id="184"/>
      <w:bookmarkStart w:id="185" w:name="_Toc534630625"/>
      <w:bookmarkEnd w:id="185"/>
      <w:bookmarkStart w:id="186" w:name="_Toc534630645"/>
      <w:bookmarkEnd w:id="186"/>
      <w:bookmarkStart w:id="187" w:name="_Toc534630619"/>
      <w:bookmarkEnd w:id="187"/>
      <w:bookmarkStart w:id="188" w:name="_Toc534630617"/>
      <w:bookmarkEnd w:id="188"/>
      <w:bookmarkStart w:id="189" w:name="_Toc534630630"/>
      <w:bookmarkEnd w:id="189"/>
      <w:bookmarkStart w:id="190" w:name="_Toc534630637"/>
      <w:bookmarkEnd w:id="190"/>
      <w:bookmarkStart w:id="191" w:name="_Toc534630642"/>
      <w:bookmarkEnd w:id="191"/>
      <w:bookmarkStart w:id="192" w:name="_Toc534630621"/>
      <w:bookmarkEnd w:id="192"/>
      <w:bookmarkStart w:id="193" w:name="_Toc534630635"/>
      <w:bookmarkEnd w:id="193"/>
      <w:bookmarkStart w:id="194" w:name="_Toc534630638"/>
      <w:bookmarkEnd w:id="194"/>
      <w:bookmarkStart w:id="195" w:name="_Toc534630623"/>
      <w:bookmarkEnd w:id="195"/>
      <w:bookmarkStart w:id="196" w:name="_Toc534630629"/>
      <w:bookmarkEnd w:id="196"/>
      <w:bookmarkStart w:id="197" w:name="_Toc534630644"/>
      <w:bookmarkEnd w:id="197"/>
      <w:bookmarkStart w:id="198" w:name="_Toc534630646"/>
      <w:bookmarkEnd w:id="198"/>
      <w:bookmarkStart w:id="199" w:name="_Toc534630647"/>
      <w:bookmarkEnd w:id="199"/>
      <w:bookmarkStart w:id="200" w:name="_Toc534630616"/>
      <w:bookmarkEnd w:id="200"/>
      <w:bookmarkStart w:id="201" w:name="_Toc534630622"/>
      <w:bookmarkEnd w:id="201"/>
      <w:bookmarkStart w:id="202" w:name="_Toc534630626"/>
      <w:bookmarkEnd w:id="202"/>
      <w:bookmarkStart w:id="203" w:name="_Toc534630640"/>
      <w:bookmarkEnd w:id="203"/>
      <w:bookmarkStart w:id="204" w:name="_Toc534630624"/>
      <w:bookmarkEnd w:id="204"/>
      <w:bookmarkStart w:id="205" w:name="_Toc534630618"/>
      <w:bookmarkEnd w:id="205"/>
      <w:bookmarkStart w:id="206" w:name="_Toc534630632"/>
      <w:bookmarkEnd w:id="206"/>
      <w:bookmarkStart w:id="207" w:name="_Toc534630627"/>
      <w:bookmarkEnd w:id="207"/>
      <w:bookmarkStart w:id="208" w:name="_Toc534630633"/>
      <w:bookmarkEnd w:id="208"/>
      <w:bookmarkStart w:id="209" w:name="_Toc534630649"/>
      <w:bookmarkEnd w:id="209"/>
      <w:bookmarkStart w:id="210" w:name="_Toc534630650"/>
      <w:bookmarkEnd w:id="210"/>
      <w:bookmarkStart w:id="211" w:name="_Toc534630653"/>
      <w:bookmarkEnd w:id="211"/>
      <w:bookmarkStart w:id="212" w:name="_Toc534630654"/>
      <w:bookmarkEnd w:id="212"/>
      <w:bookmarkStart w:id="213" w:name="_Toc534630652"/>
      <w:bookmarkEnd w:id="213"/>
      <w:bookmarkStart w:id="214" w:name="_Toc534630651"/>
      <w:bookmarkEnd w:id="214"/>
      <w:bookmarkStart w:id="215" w:name="_Toc532543011"/>
      <w:bookmarkStart w:id="216" w:name="_Ref532468063"/>
      <w:bookmarkStart w:id="217" w:name="_Toc45313949"/>
      <w:bookmarkStart w:id="218" w:name="_Toc45574554"/>
      <w:r>
        <w:t>施工</w:t>
      </w:r>
      <w:bookmarkEnd w:id="215"/>
      <w:bookmarkEnd w:id="216"/>
      <w:r>
        <w:t>安装</w:t>
      </w:r>
      <w:bookmarkEnd w:id="217"/>
      <w:bookmarkEnd w:id="218"/>
    </w:p>
    <w:p>
      <w:pPr>
        <w:pStyle w:val="3"/>
      </w:pPr>
      <w:bookmarkStart w:id="219" w:name="_Toc45313950"/>
      <w:bookmarkStart w:id="220" w:name="_Toc45574555"/>
      <w:bookmarkStart w:id="221" w:name="_Toc532543012"/>
      <w:r>
        <w:t>一般规定</w:t>
      </w:r>
      <w:bookmarkEnd w:id="219"/>
      <w:bookmarkEnd w:id="220"/>
      <w:bookmarkEnd w:id="221"/>
    </w:p>
    <w:p>
      <w:r>
        <w:rPr>
          <w:b/>
          <w:bCs/>
        </w:rPr>
        <w:t xml:space="preserve">10.1.1 </w:t>
      </w:r>
      <w:r>
        <w:t>叠合剪力墙结构宜设计、生产、施工一体化，并结合建筑、结构、机电、装饰装修等专业要求，制定施工组织设计。</w:t>
      </w:r>
    </w:p>
    <w:p>
      <w:pPr>
        <w:pStyle w:val="47"/>
        <w:widowControl/>
        <w:ind w:firstLine="0"/>
        <w:rPr>
          <w:rFonts w:eastAsia="仿宋"/>
          <w:i/>
          <w:spacing w:val="10"/>
          <w:szCs w:val="24"/>
        </w:rPr>
      </w:pPr>
      <w:r>
        <w:rPr>
          <w:rFonts w:eastAsia="仿宋"/>
          <w:i/>
          <w:spacing w:val="10"/>
          <w:szCs w:val="24"/>
        </w:rPr>
        <w:t>【条文说明】10.1.1 装配整体式叠合墙体施工应制定以装配为主的施工组织设计文件，应根据建筑、结构、机电、内装一体化，设计、加工、装配一体化的原则，制定施工组织设计。施工组织设计应体现管理组织方式吻合装配工法的特点，以发挥装配整体式叠合墙优势为原则。</w:t>
      </w:r>
    </w:p>
    <w:p>
      <w:r>
        <w:rPr>
          <w:b/>
          <w:bCs/>
        </w:rPr>
        <w:t xml:space="preserve">10.1.2 </w:t>
      </w:r>
      <w:r>
        <w:t>叠合剪力墙结构施工应编制专项施工方案，方案内容应符合</w:t>
      </w:r>
      <w:r>
        <w:rPr>
          <w:rFonts w:hint="eastAsia"/>
        </w:rPr>
        <w:t>国家和广东省现行标准</w:t>
      </w:r>
      <w:r>
        <w:rPr>
          <w:szCs w:val="24"/>
        </w:rPr>
        <w:t>《混凝土结构工程施工规范》GB 50666</w:t>
      </w:r>
      <w:r>
        <w:t>、《装配式混凝土建筑深化设计技术规程》DBJ/T15-155以及《装配式混凝土建筑工程施工质量验收规范》DBJ/T15-171的相关规定。</w:t>
      </w:r>
    </w:p>
    <w:p>
      <w:pPr>
        <w:autoSpaceDE w:val="0"/>
        <w:autoSpaceDN w:val="0"/>
        <w:adjustRightInd w:val="0"/>
        <w:jc w:val="left"/>
        <w:rPr>
          <w:rFonts w:eastAsia="仿宋"/>
          <w:i/>
          <w:spacing w:val="10"/>
          <w:szCs w:val="24"/>
        </w:rPr>
      </w:pPr>
      <w:r>
        <w:rPr>
          <w:rFonts w:eastAsia="仿宋"/>
          <w:i/>
          <w:spacing w:val="10"/>
          <w:szCs w:val="24"/>
        </w:rPr>
        <w:t>【条文说明】10.1.2 叠合剪力墙结构施工方案应全面、系统，且应结合叠合剪力墙结构特点和一体化建造的具体要求，本着资源节省、人工减少、质量提高、工期缩短的原则制定装配方案。进度计划应协同构件生产计划和运输计划等。预制构件运输方案包括车辆型号及数量、运输路线、发货安排、现场装卸方法等；施工场地布置包括场内循环通道、吊装设备布设、构件码放场地等；安装与连接施工包括测量方法、吊装顺序和方法、构件安装方法、节点施工方法、防水施工方法、后浇混凝土施工方法、全过程的成品保护及修补措施等；安全管理包括吊装安全措施、专项施工安全措施等；质量管理包括构件安装的专项施工质量管理、渗漏、裂缝等质量缺陷防治措施。预制构件安装应结合构件连接方法和特点，合理制定施工工序。</w:t>
      </w:r>
    </w:p>
    <w:p>
      <w:r>
        <w:rPr>
          <w:b/>
          <w:bCs/>
        </w:rPr>
        <w:t xml:space="preserve">10.1.3 </w:t>
      </w:r>
      <w:r>
        <w:t>工程施工前，应由建设单位组织设计、施工、监理等单位对设计文件进行交底和会审。</w:t>
      </w:r>
    </w:p>
    <w:p>
      <w:r>
        <w:rPr>
          <w:b/>
          <w:bCs/>
        </w:rPr>
        <w:t xml:space="preserve">10.1.4 </w:t>
      </w:r>
      <w:r>
        <w:t>施工单位应根据叠合剪力墙结构工程特点，配置组织机构和人员。施工作业人员应具备岗位需要的基础知识和技能。施工单位应对管理人员、施工作业人员进行质量、安全和技术交底。</w:t>
      </w:r>
    </w:p>
    <w:p>
      <w:pPr>
        <w:autoSpaceDE w:val="0"/>
        <w:autoSpaceDN w:val="0"/>
        <w:adjustRightInd w:val="0"/>
        <w:jc w:val="left"/>
        <w:rPr>
          <w:rFonts w:eastAsia="仿宋"/>
          <w:i/>
          <w:spacing w:val="10"/>
          <w:szCs w:val="24"/>
        </w:rPr>
      </w:pPr>
      <w:r>
        <w:rPr>
          <w:rFonts w:eastAsia="仿宋"/>
          <w:i/>
          <w:spacing w:val="10"/>
          <w:szCs w:val="24"/>
        </w:rPr>
        <w:t>【条文说明】10.1.4 叠合剪力墙结构施工具有其固有特性，应设立与装配施工技术相匹配的项目部机构和人员。装配施工对不同岗位的技能和知识要求区别于以往的传统施工方式，需要配置满足装配施工要求的专业人员，且在施工前应对相关作业人员进行培训和技术、安全、质量交底。培训和交底对象包括一线管理人员和作业人员、监理人员等。</w:t>
      </w:r>
    </w:p>
    <w:p>
      <w:r>
        <w:rPr>
          <w:b/>
          <w:bCs/>
        </w:rPr>
        <w:t xml:space="preserve">10.1.5 </w:t>
      </w:r>
      <w:r>
        <w:t>叠合剪力墙结构施工宜采用工具化、标准化和定型化的工装系统。</w:t>
      </w:r>
    </w:p>
    <w:p>
      <w:r>
        <w:rPr>
          <w:b/>
          <w:bCs/>
        </w:rPr>
        <w:t xml:space="preserve">10.1.6 </w:t>
      </w:r>
      <w:r>
        <w:t>叠合剪力墙结构工程施工前，应选择有代表性的单元或部分进行试安装，</w:t>
      </w:r>
      <w:r>
        <w:rPr>
          <w:rFonts w:hint="eastAsia"/>
        </w:rPr>
        <w:t>以及进行混凝土浇筑工艺试验，</w:t>
      </w:r>
      <w:r>
        <w:t>并根据试安装</w:t>
      </w:r>
      <w:r>
        <w:rPr>
          <w:rFonts w:hint="eastAsia"/>
        </w:rPr>
        <w:t>和工艺试验</w:t>
      </w:r>
      <w:r>
        <w:t>结果及时调整施工工艺、完善施工方案。</w:t>
      </w:r>
    </w:p>
    <w:p>
      <w:r>
        <w:rPr>
          <w:b/>
          <w:bCs/>
        </w:rPr>
        <w:t>10.1.7</w:t>
      </w:r>
      <w:r>
        <w:t>叠合剪力墙结构施工中采用的新技术、新工艺、新材料、新设备，应按有关规定进行评审。施工前，应对新的或首次采用的施工工艺进行评价，并应制订专门的施工方案。施工方案经监理单位审核批准后实施。</w:t>
      </w:r>
    </w:p>
    <w:p>
      <w:r>
        <w:rPr>
          <w:b/>
          <w:bCs/>
        </w:rPr>
        <w:t xml:space="preserve">10.1.8 </w:t>
      </w:r>
      <w:r>
        <w:t>叠合剪力墙结构施工过程中应采取安全措施，并应符合国家现行有关标准的规定。</w:t>
      </w:r>
    </w:p>
    <w:p>
      <w:r>
        <w:rPr>
          <w:b/>
          <w:bCs/>
        </w:rPr>
        <w:t xml:space="preserve">10.1.9 </w:t>
      </w:r>
      <w:r>
        <w:t>叠合剪力墙结构施工宜采用建筑信息模型（BIM）技术对施工全过程及管件工艺进行仿真模拟。</w:t>
      </w:r>
    </w:p>
    <w:p>
      <w:pPr>
        <w:rPr>
          <w:rFonts w:eastAsia="仿宋"/>
          <w:i/>
          <w:spacing w:val="10"/>
          <w:szCs w:val="24"/>
        </w:rPr>
      </w:pPr>
      <w:r>
        <w:rPr>
          <w:rFonts w:eastAsia="仿宋"/>
          <w:i/>
          <w:spacing w:val="10"/>
          <w:szCs w:val="24"/>
        </w:rPr>
        <w:t>【条文说明】10.1.9 施工安装宜采用BIM 技术组织施工方案，用BIM 模型指导和模拟建造全过程，制定合理的施工工序并精确算量，从而提高施工管理水平和施工效率，减少浪费。</w:t>
      </w:r>
    </w:p>
    <w:p>
      <w:pPr>
        <w:pStyle w:val="3"/>
      </w:pPr>
      <w:bookmarkStart w:id="222" w:name="_Toc45313951"/>
      <w:bookmarkStart w:id="223" w:name="_Toc45574556"/>
      <w:r>
        <w:t>施工现场预制构件的吊运及堆放</w:t>
      </w:r>
      <w:bookmarkEnd w:id="222"/>
      <w:bookmarkEnd w:id="223"/>
    </w:p>
    <w:p>
      <w:r>
        <w:rPr>
          <w:b/>
          <w:bCs/>
        </w:rPr>
        <w:t xml:space="preserve">10.2.1 </w:t>
      </w:r>
      <w:r>
        <w:t>施工现场应根据施工平面布置图，规划构件运输道路及堆放场地</w:t>
      </w:r>
      <w:r>
        <w:rPr>
          <w:rFonts w:hint="eastAsia"/>
        </w:rPr>
        <w:t>。</w:t>
      </w:r>
      <w:r>
        <w:t>预制构件运送到施工现场后，应按规格、品种、使用部位、吊装顺序分别设置存放场地，并放置于专用存放架内</w:t>
      </w:r>
      <w:r>
        <w:rPr>
          <w:rFonts w:hint="eastAsia"/>
        </w:rPr>
        <w:t>。</w:t>
      </w:r>
    </w:p>
    <w:p>
      <w:pPr>
        <w:rPr>
          <w:rFonts w:eastAsia="仿宋"/>
          <w:i/>
          <w:spacing w:val="10"/>
          <w:szCs w:val="24"/>
        </w:rPr>
      </w:pPr>
      <w:r>
        <w:rPr>
          <w:rFonts w:eastAsia="仿宋"/>
          <w:i/>
          <w:spacing w:val="10"/>
          <w:szCs w:val="24"/>
        </w:rPr>
        <w:t>【条文说明】10.2.1 施工现场应根据装配化建造特点布置施工总平面，宜规划主体装配区、构件堆放区、材料堆放区和运输通道。各个区域宜统筹规划布置，满足高效吊装、安装的要求。运输道路宜布置为环形运输道路，同时应避免车辆在地下室顶板通行否则应补充验算地下室顶板承载力或其他加强措施。竖向构件宜采用专用存放架进行存放，并根据需要设置安全操作平台。</w:t>
      </w:r>
    </w:p>
    <w:p>
      <w:r>
        <w:rPr>
          <w:b/>
          <w:bCs/>
        </w:rPr>
        <w:t xml:space="preserve">10.2.2 </w:t>
      </w:r>
      <w:r>
        <w:t>构件进场时应进行进场验收，严重缺陷构件严禁进场，一般缺陷构件应由生产单位进行专业修整处理，修整技术方案应经监理单位确认后实施，修整处理后应重新</w:t>
      </w:r>
      <w:r>
        <w:rPr>
          <w:rFonts w:hint="eastAsia"/>
        </w:rPr>
        <w:t>验收</w:t>
      </w:r>
      <w:r>
        <w:t>。</w:t>
      </w:r>
    </w:p>
    <w:p>
      <w:r>
        <w:rPr>
          <w:b/>
          <w:bCs/>
        </w:rPr>
        <w:t xml:space="preserve">10.2.3 </w:t>
      </w:r>
      <w:r>
        <w:t>暴露在空气中的预埋铁件</w:t>
      </w:r>
      <w:r>
        <w:rPr>
          <w:rFonts w:hint="eastAsia"/>
        </w:rPr>
        <w:t>防腐应该满足设计要求，设计无明确要求时</w:t>
      </w:r>
      <w:r>
        <w:t>应</w:t>
      </w:r>
      <w:r>
        <w:rPr>
          <w:rFonts w:hint="eastAsia"/>
        </w:rPr>
        <w:t>采取</w:t>
      </w:r>
      <w:r>
        <w:t>镀锌或涂刷防锈漆</w:t>
      </w:r>
      <w:r>
        <w:rPr>
          <w:rFonts w:hint="eastAsia"/>
        </w:rPr>
        <w:t>措施</w:t>
      </w:r>
      <w:r>
        <w:t>，防止产生锈蚀。</w:t>
      </w:r>
    </w:p>
    <w:p>
      <w:r>
        <w:rPr>
          <w:b/>
          <w:bCs/>
        </w:rPr>
        <w:t xml:space="preserve">10.2.4 </w:t>
      </w:r>
      <w:r>
        <w:t>预制构件的</w:t>
      </w:r>
      <w:r>
        <w:rPr>
          <w:rFonts w:hint="eastAsia"/>
        </w:rPr>
        <w:t>现场</w:t>
      </w:r>
      <w:r>
        <w:t>吊运应符合下列要求：</w:t>
      </w:r>
    </w:p>
    <w:p>
      <w:pPr>
        <w:pStyle w:val="47"/>
        <w:numPr>
          <w:ilvl w:val="0"/>
          <w:numId w:val="45"/>
        </w:numPr>
        <w:ind w:left="0" w:firstLine="576" w:firstLineChars="200"/>
      </w:pPr>
      <w:r>
        <w:t>预制构件应按照吊装顺序预先编号，吊装时严格按编号顺序起吊；</w:t>
      </w:r>
    </w:p>
    <w:p>
      <w:pPr>
        <w:pStyle w:val="47"/>
        <w:numPr>
          <w:ilvl w:val="0"/>
          <w:numId w:val="45"/>
        </w:numPr>
        <w:ind w:left="0" w:firstLine="576" w:firstLineChars="200"/>
      </w:pPr>
      <w:r>
        <w:t>吊索、吊具应连接可靠，起吊工作范围内下方严禁站人，作业区域周边应安排专人进行安全监护，无关人员不得进入作业区域；</w:t>
      </w:r>
    </w:p>
    <w:p>
      <w:pPr>
        <w:pStyle w:val="47"/>
        <w:numPr>
          <w:ilvl w:val="0"/>
          <w:numId w:val="45"/>
        </w:numPr>
        <w:ind w:left="0" w:firstLine="576" w:firstLineChars="200"/>
      </w:pPr>
      <w:r>
        <w:t>绳索应合理布置，确保每一吊绳受力均匀；起吊前应先拉紧吊绳，保持预制构件水平起吊，再解开固定绳带或安全锚栓；确保解开固定绳带或安全锚栓后，构件不会发生侧向倾覆；</w:t>
      </w:r>
    </w:p>
    <w:p>
      <w:pPr>
        <w:pStyle w:val="47"/>
        <w:numPr>
          <w:ilvl w:val="0"/>
          <w:numId w:val="45"/>
        </w:numPr>
        <w:ind w:left="0" w:firstLine="576" w:firstLineChars="200"/>
      </w:pPr>
      <w:r>
        <w:t>预制构件吊运时应缓慢匀速提升和平移。</w:t>
      </w:r>
    </w:p>
    <w:p>
      <w:pPr>
        <w:rPr>
          <w:rFonts w:eastAsia="仿宋"/>
          <w:i/>
          <w:spacing w:val="10"/>
          <w:szCs w:val="24"/>
        </w:rPr>
      </w:pPr>
      <w:r>
        <w:rPr>
          <w:rFonts w:eastAsia="仿宋"/>
          <w:i/>
          <w:spacing w:val="10"/>
          <w:szCs w:val="24"/>
        </w:rPr>
        <w:t>【条文说明】10.2.4 本条中的“吊运”包括预制构件的起吊、平吊及现场吊装等。预制构件的安全吊运是装配式结构工程施工中最重要的环节之一。“吊具”是起重设备主钩与预制构件之间连接的专用吊装工具。“起重设备”包括起吊、平吊及现场吊装用到的各种门式起重机、汽车起重机、塔式起重机等。尺寸较大的预制构件常采用分配梁或分配桁架作为吊具，此时分配梁、分配桁架要有足够的刚度。吊索要有足够长度满足吊装时水平夹角要求，以保证吊索和各吊点受力均匀。自制、改造、修复和新购置的吊具需按国家现行标准的有关规定进行设计验算或试验检验，并经认定合格后方可投入使用。预制构件的吊运尚应参照现行行业标准《建筑施工高处作业安全技术规范》JGJ 80 的有关规定执行。</w:t>
      </w:r>
    </w:p>
    <w:p>
      <w:pPr>
        <w:pStyle w:val="3"/>
      </w:pPr>
      <w:r>
        <w:t xml:space="preserve"> </w:t>
      </w:r>
      <w:bookmarkStart w:id="224" w:name="_Toc45313952"/>
      <w:bookmarkStart w:id="225" w:name="_Toc45574557"/>
      <w:r>
        <w:t>预制构件安装</w:t>
      </w:r>
      <w:bookmarkEnd w:id="224"/>
      <w:bookmarkEnd w:id="225"/>
    </w:p>
    <w:p>
      <w:r>
        <w:rPr>
          <w:b/>
          <w:bCs/>
        </w:rPr>
        <w:t xml:space="preserve">10.3.1 </w:t>
      </w:r>
      <w:r>
        <w:t>预制构件安装施工前，应进行测量放线、设置构件安装定位标识、核实预留钢筋定位及混凝土完成面标高，不满足要求时应提前进行处理。</w:t>
      </w:r>
    </w:p>
    <w:p>
      <w:r>
        <w:rPr>
          <w:b/>
          <w:bCs/>
        </w:rPr>
        <w:t xml:space="preserve">10.3.2 </w:t>
      </w:r>
      <w:r>
        <w:t>预制构安装施工前，应核对已施工完成结构的外观质量和尺寸偏差，确认混凝土强度和预留预埋符合设计要求，并应核对预制构件的混凝土强度及预制构件和配件的型号、规格、数量等符合设计要求。</w:t>
      </w:r>
    </w:p>
    <w:p>
      <w:pPr>
        <w:pStyle w:val="47"/>
        <w:widowControl/>
        <w:ind w:firstLine="0"/>
        <w:rPr>
          <w:rFonts w:eastAsia="仿宋"/>
          <w:i/>
          <w:spacing w:val="10"/>
          <w:szCs w:val="24"/>
        </w:rPr>
      </w:pPr>
      <w:r>
        <w:rPr>
          <w:rFonts w:eastAsia="仿宋"/>
          <w:i/>
          <w:spacing w:val="10"/>
          <w:szCs w:val="24"/>
        </w:rPr>
        <w:t>【条文说明】10.3.1、10.3.2 构件安装前的准备工作对构件的能否顺利安装影响很大，应该引起足够的重视，安装施工前，应结合深化设计图纸核对已施工完成结构或基础的外观质量、尺寸偏差、混凝土强度和预留预埋等条件是否具备上层构件的安装，并应核对待安装预制构件的混凝土强度及预制构件和配件的型号、规格、数量等是否符合设计要求，对于不满足要求的位置应在构件安装前处理到位。</w:t>
      </w:r>
    </w:p>
    <w:p>
      <w:r>
        <w:rPr>
          <w:b/>
          <w:bCs/>
        </w:rPr>
        <w:t xml:space="preserve">10.3.3 </w:t>
      </w:r>
      <w:r>
        <w:t>预制叠合墙板的安装应符合下列规定：</w:t>
      </w:r>
    </w:p>
    <w:p>
      <w:pPr>
        <w:pStyle w:val="47"/>
        <w:numPr>
          <w:ilvl w:val="0"/>
          <w:numId w:val="46"/>
        </w:numPr>
        <w:ind w:left="0" w:firstLine="576" w:firstLineChars="200"/>
      </w:pPr>
      <w:r>
        <w:t>吊钩应采用弹簧防开钩措施；</w:t>
      </w:r>
    </w:p>
    <w:p>
      <w:pPr>
        <w:pStyle w:val="47"/>
        <w:numPr>
          <w:ilvl w:val="0"/>
          <w:numId w:val="46"/>
        </w:numPr>
        <w:ind w:left="0" w:firstLine="576" w:firstLineChars="200"/>
      </w:pPr>
      <w:r>
        <w:t>安装就位前，应在叠合墙板底部设置水平标高控制垫块，水平标高控制垫块宜布置在斜支撑的正下方；</w:t>
      </w:r>
    </w:p>
    <w:p>
      <w:pPr>
        <w:pStyle w:val="47"/>
        <w:numPr>
          <w:ilvl w:val="0"/>
          <w:numId w:val="46"/>
        </w:numPr>
        <w:ind w:left="0" w:firstLine="576" w:firstLineChars="200"/>
      </w:pPr>
      <w:r>
        <w:t>安装就位后，应按专项施工方案要求设置斜支撑，上部斜支撑宜设置2道，斜支撑与水平地面的夹角宜为45</w:t>
      </w:r>
      <m:oMath>
        <m:r>
          <m:rPr>
            <m:sty m:val="p"/>
          </m:rPr>
          <w:rPr>
            <w:rFonts w:ascii="Cambria Math" w:hAnsi="Cambria Math"/>
          </w:rPr>
          <m:t>°~</m:t>
        </m:r>
      </m:oMath>
      <w:r>
        <w:t>60</w:t>
      </w:r>
      <m:oMath>
        <m:r>
          <m:rPr>
            <m:sty m:val="p"/>
          </m:rPr>
          <w:rPr>
            <w:rFonts w:ascii="Cambria Math" w:hAnsi="Cambria Math"/>
          </w:rPr>
          <m:t>°</m:t>
        </m:r>
      </m:oMath>
      <w:r>
        <w:t>。上支撑点与板底的距离不宜小于构件高度的2</w:t>
      </w:r>
      <m:oMath>
        <m:r>
          <m:rPr>
            <m:sty m:val="p"/>
          </m:rPr>
          <w:rPr>
            <w:rFonts w:ascii="Cambria Math" w:hAnsi="Cambria Math"/>
          </w:rPr>
          <m:t>/</m:t>
        </m:r>
      </m:oMath>
      <w:r>
        <w:t>3，且不应小于构件高度的1</w:t>
      </w:r>
      <m:oMath>
        <m:r>
          <m:rPr>
            <m:sty m:val="p"/>
          </m:rPr>
          <w:rPr>
            <w:rFonts w:ascii="Cambria Math" w:hAnsi="Cambria Math"/>
          </w:rPr>
          <m:t>/</m:t>
        </m:r>
      </m:oMath>
      <w:r>
        <w:t>2；斜支撑底部应可靠连接，宜采用膨胀螺栓进行可靠连接；</w:t>
      </w:r>
    </w:p>
    <w:p>
      <w:pPr>
        <w:pStyle w:val="47"/>
        <w:numPr>
          <w:ilvl w:val="0"/>
          <w:numId w:val="46"/>
        </w:numPr>
        <w:ind w:left="0" w:firstLine="576" w:firstLineChars="200"/>
      </w:pPr>
      <w:r>
        <w:t>斜支撑安装就位后，方可松开吊钩；</w:t>
      </w:r>
    </w:p>
    <w:p>
      <w:pPr>
        <w:pStyle w:val="47"/>
        <w:numPr>
          <w:ilvl w:val="0"/>
          <w:numId w:val="46"/>
        </w:numPr>
        <w:ind w:left="0" w:firstLine="576" w:firstLineChars="200"/>
      </w:pPr>
      <w:r>
        <w:t>后浇混凝土达到设计或施工方案规定的强度要求后，方可拆除预制墙板斜支撑。</w:t>
      </w:r>
    </w:p>
    <w:p>
      <w:pPr>
        <w:rPr>
          <w:rFonts w:eastAsia="仿宋"/>
          <w:i/>
          <w:spacing w:val="10"/>
          <w:szCs w:val="24"/>
        </w:rPr>
      </w:pPr>
      <w:r>
        <w:rPr>
          <w:rFonts w:eastAsia="仿宋"/>
          <w:i/>
          <w:spacing w:val="10"/>
          <w:szCs w:val="24"/>
        </w:rPr>
        <w:t>【条文说明】10.3.3 叠合剪力墙安装应按施工方案要求进行，其中应重点注意以下几个方面的问题：</w:t>
      </w:r>
    </w:p>
    <w:p>
      <w:pPr>
        <w:pStyle w:val="47"/>
        <w:numPr>
          <w:ilvl w:val="0"/>
          <w:numId w:val="47"/>
        </w:numPr>
        <w:ind w:left="0" w:firstLine="600" w:firstLineChars="200"/>
        <w:rPr>
          <w:rFonts w:eastAsia="仿宋"/>
          <w:i/>
          <w:spacing w:val="10"/>
          <w:szCs w:val="24"/>
        </w:rPr>
      </w:pPr>
      <w:r>
        <w:rPr>
          <w:rFonts w:eastAsia="仿宋"/>
          <w:i/>
          <w:spacing w:val="10"/>
          <w:szCs w:val="24"/>
        </w:rPr>
        <w:t>水平标高控制垫块应布置在斜支撑的支撑点正下方，与两个支撑点形成稳定的受力体系；同时，便于利用斜支撑调整墙板；</w:t>
      </w:r>
    </w:p>
    <w:p>
      <w:pPr>
        <w:pStyle w:val="47"/>
        <w:numPr>
          <w:ilvl w:val="0"/>
          <w:numId w:val="47"/>
        </w:numPr>
        <w:ind w:left="0" w:firstLine="600" w:firstLineChars="200"/>
        <w:rPr>
          <w:rFonts w:eastAsia="仿宋"/>
          <w:i/>
          <w:spacing w:val="10"/>
          <w:szCs w:val="24"/>
        </w:rPr>
      </w:pPr>
      <w:r>
        <w:rPr>
          <w:rFonts w:eastAsia="仿宋"/>
          <w:i/>
          <w:spacing w:val="10"/>
          <w:szCs w:val="24"/>
        </w:rPr>
        <w:t>考虑到安全，在墙板未完全安装固定前，不得松开吊钩，且在利用斜支撑调整墙板时，不得同时松开两道斜支撑，一次只能调整一道支撑；</w:t>
      </w:r>
    </w:p>
    <w:p>
      <w:r>
        <w:rPr>
          <w:b/>
          <w:bCs/>
        </w:rPr>
        <w:t xml:space="preserve">10.3.4 </w:t>
      </w:r>
      <w:r>
        <w:t>钢筋桁架叠合板的安装应符合下列规定：</w:t>
      </w:r>
    </w:p>
    <w:p>
      <w:pPr>
        <w:pStyle w:val="47"/>
        <w:numPr>
          <w:ilvl w:val="0"/>
          <w:numId w:val="48"/>
        </w:numPr>
        <w:ind w:left="0" w:firstLine="576" w:firstLineChars="200"/>
      </w:pPr>
      <w:r>
        <w:t>吊装完后应对板底接缝高差进行校核，宜采用工具式支撑的可调托座进行调节；</w:t>
      </w:r>
    </w:p>
    <w:p>
      <w:pPr>
        <w:pStyle w:val="47"/>
        <w:numPr>
          <w:ilvl w:val="0"/>
          <w:numId w:val="48"/>
        </w:numPr>
        <w:ind w:left="0" w:firstLine="576" w:firstLineChars="200"/>
      </w:pPr>
      <w:r>
        <w:t>叠合板底部的支撑梁应垂直于相应楼板的钢筋桁架设置，其支撑梁间距应计算确定；</w:t>
      </w:r>
    </w:p>
    <w:p>
      <w:pPr>
        <w:pStyle w:val="47"/>
        <w:numPr>
          <w:ilvl w:val="0"/>
          <w:numId w:val="48"/>
        </w:numPr>
        <w:ind w:left="0" w:firstLine="576" w:firstLineChars="200"/>
      </w:pPr>
      <w:r>
        <w:t xml:space="preserve">采用铝模工具式模板施工时，铝模设计应统一考虑板底支撑系统。 </w:t>
      </w:r>
    </w:p>
    <w:p>
      <w:pPr>
        <w:pStyle w:val="3"/>
      </w:pPr>
      <w:bookmarkStart w:id="226" w:name="_Toc45313953"/>
      <w:bookmarkStart w:id="227" w:name="_Toc45574558"/>
      <w:r>
        <w:t>后浇混凝土施工</w:t>
      </w:r>
      <w:bookmarkEnd w:id="226"/>
      <w:bookmarkEnd w:id="227"/>
    </w:p>
    <w:p>
      <w:r>
        <w:rPr>
          <w:b/>
          <w:bCs/>
        </w:rPr>
        <w:t xml:space="preserve">10.4.1 </w:t>
      </w:r>
      <w:r>
        <w:t>后浇混凝土部分的模板与支架应符合下列规定：</w:t>
      </w:r>
    </w:p>
    <w:p>
      <w:pPr>
        <w:pStyle w:val="47"/>
        <w:numPr>
          <w:ilvl w:val="0"/>
          <w:numId w:val="49"/>
        </w:numPr>
        <w:ind w:left="0" w:firstLine="576" w:firstLineChars="200"/>
      </w:pPr>
      <w:r>
        <w:t>宜采用工具式支架和定型模板；</w:t>
      </w:r>
    </w:p>
    <w:p>
      <w:pPr>
        <w:pStyle w:val="47"/>
        <w:numPr>
          <w:ilvl w:val="0"/>
          <w:numId w:val="49"/>
        </w:numPr>
        <w:ind w:left="0" w:firstLine="576" w:firstLineChars="200"/>
      </w:pPr>
      <w:r>
        <w:t>模板应保证后浇混凝土部分形状、尺寸和位置准确；</w:t>
      </w:r>
    </w:p>
    <w:p>
      <w:pPr>
        <w:pStyle w:val="47"/>
        <w:numPr>
          <w:ilvl w:val="0"/>
          <w:numId w:val="49"/>
        </w:numPr>
        <w:ind w:left="0" w:firstLine="576" w:firstLineChars="200"/>
      </w:pPr>
      <w:r>
        <w:t>模板与预制构件接缝处应采取防止漏浆措施。</w:t>
      </w:r>
    </w:p>
    <w:p>
      <w:r>
        <w:rPr>
          <w:b/>
          <w:bCs/>
        </w:rPr>
        <w:t xml:space="preserve">10.4.2 </w:t>
      </w:r>
      <w:r>
        <w:t>后浇混凝土的施工应符合下列规定：</w:t>
      </w:r>
    </w:p>
    <w:p>
      <w:pPr>
        <w:pStyle w:val="47"/>
        <w:numPr>
          <w:ilvl w:val="0"/>
          <w:numId w:val="50"/>
        </w:numPr>
        <w:ind w:left="0" w:firstLine="576" w:firstLineChars="200"/>
      </w:pPr>
      <w:r>
        <w:t>后浇混凝土强度等级应符合设计文件要求，混凝土强度检查数量及检验方法符合国家现行有关标准的规定；</w:t>
      </w:r>
    </w:p>
    <w:p>
      <w:pPr>
        <w:pStyle w:val="47"/>
        <w:numPr>
          <w:ilvl w:val="0"/>
          <w:numId w:val="50"/>
        </w:numPr>
        <w:ind w:left="0" w:firstLine="576" w:firstLineChars="200"/>
      </w:pPr>
      <w:r>
        <w:t>预制构件叠合面应清理干净并洒水充分湿润；</w:t>
      </w:r>
    </w:p>
    <w:p>
      <w:pPr>
        <w:pStyle w:val="47"/>
        <w:numPr>
          <w:ilvl w:val="0"/>
          <w:numId w:val="50"/>
        </w:numPr>
        <w:ind w:left="0" w:firstLine="576" w:firstLineChars="200"/>
      </w:pPr>
      <w:r>
        <w:t>叠合墙板空腔内后浇混凝土应分层连续浇筑，并确保密实；</w:t>
      </w:r>
    </w:p>
    <w:p>
      <w:pPr>
        <w:pStyle w:val="47"/>
        <w:numPr>
          <w:ilvl w:val="0"/>
          <w:numId w:val="50"/>
        </w:numPr>
        <w:ind w:left="0" w:firstLine="576" w:firstLineChars="200"/>
      </w:pPr>
      <w:r>
        <w:t>楼板混凝土可单独浇筑，也可与墙板混凝土同时浇筑，当与墙板混凝土同时浇筑时，宜待墙板浇筑完成1</w:t>
      </w:r>
      <m:oMath>
        <m:r>
          <m:rPr>
            <m:sty m:val="p"/>
          </m:rPr>
          <w:rPr>
            <w:rFonts w:ascii="Cambria Math" w:hAnsi="Cambria Math" w:eastAsia="MS Gothic"/>
          </w:rPr>
          <m:t>h</m:t>
        </m:r>
      </m:oMath>
      <w:r>
        <w:t>后再进行浇筑</w:t>
      </w:r>
      <w:r>
        <w:rPr>
          <w:rFonts w:hint="eastAsia"/>
        </w:rPr>
        <w:t>。</w:t>
      </w:r>
    </w:p>
    <w:p>
      <w:pPr>
        <w:rPr>
          <w:rFonts w:eastAsia="仿宋"/>
          <w:i/>
          <w:spacing w:val="10"/>
          <w:szCs w:val="24"/>
        </w:rPr>
      </w:pPr>
      <w:r>
        <w:rPr>
          <w:rFonts w:eastAsia="仿宋"/>
          <w:i/>
          <w:spacing w:val="10"/>
          <w:szCs w:val="24"/>
        </w:rPr>
        <w:t>【条文说明】10.4.</w:t>
      </w:r>
      <w:r>
        <w:rPr>
          <w:rFonts w:hint="eastAsia" w:eastAsia="仿宋"/>
          <w:i/>
          <w:spacing w:val="10"/>
          <w:szCs w:val="24"/>
        </w:rPr>
        <w:t>2</w:t>
      </w:r>
      <w:r>
        <w:rPr>
          <w:rFonts w:eastAsia="仿宋"/>
          <w:i/>
          <w:spacing w:val="10"/>
          <w:szCs w:val="24"/>
        </w:rPr>
        <w:t xml:space="preserve"> 叠合墙板空腔内单次连续浇筑高度不应超过800mm，浇筑速度不大于800mm/小时。当采用粗骨料粒径不大于20</w:t>
      </w:r>
      <m:oMath>
        <m:r>
          <w:rPr>
            <w:rFonts w:ascii="Cambria Math" w:hAnsi="Cambria Math" w:eastAsia="仿宋"/>
            <w:spacing w:val="10"/>
            <w:szCs w:val="24"/>
          </w:rPr>
          <m:t>mm</m:t>
        </m:r>
      </m:oMath>
      <w:r>
        <w:rPr>
          <w:rFonts w:eastAsia="仿宋"/>
          <w:i/>
          <w:spacing w:val="10"/>
          <w:szCs w:val="24"/>
        </w:rPr>
        <w:t>的高流态混凝土，且叠合墙体空腔小于150</w:t>
      </w:r>
      <m:oMath>
        <m:r>
          <w:rPr>
            <w:rFonts w:ascii="Cambria Math" w:hAnsi="Cambria Math" w:eastAsia="仿宋"/>
            <w:spacing w:val="10"/>
            <w:szCs w:val="24"/>
          </w:rPr>
          <m:t>mm</m:t>
        </m:r>
      </m:oMath>
      <w:r>
        <w:rPr>
          <w:rFonts w:eastAsia="仿宋"/>
          <w:i/>
          <w:spacing w:val="10"/>
          <w:szCs w:val="24"/>
        </w:rPr>
        <w:t>时，混凝土振捣宜采用直径为25~30</w:t>
      </w:r>
      <m:oMath>
        <m:r>
          <w:rPr>
            <w:rFonts w:ascii="Cambria Math" w:hAnsi="Cambria Math" w:eastAsia="仿宋"/>
            <w:spacing w:val="10"/>
            <w:szCs w:val="24"/>
          </w:rPr>
          <m:t>mm</m:t>
        </m:r>
      </m:oMath>
      <w:r>
        <w:rPr>
          <w:rFonts w:eastAsia="仿宋"/>
          <w:i/>
          <w:spacing w:val="10"/>
          <w:szCs w:val="24"/>
        </w:rPr>
        <w:t>的高频低振幅的振捣棒。</w:t>
      </w:r>
    </w:p>
    <w:p>
      <w:r>
        <w:rPr>
          <w:b/>
          <w:bCs/>
        </w:rPr>
        <w:t xml:space="preserve">10.4.3 </w:t>
      </w:r>
      <w:r>
        <w:t>预制叠合外墙板接缝施工应符合下列规定：</w:t>
      </w:r>
    </w:p>
    <w:p>
      <w:pPr>
        <w:pStyle w:val="47"/>
        <w:numPr>
          <w:ilvl w:val="0"/>
          <w:numId w:val="51"/>
        </w:numPr>
        <w:ind w:left="0" w:firstLine="576" w:firstLineChars="200"/>
      </w:pPr>
      <w:r>
        <w:t>施工前，板缝空腔应清理干净</w:t>
      </w:r>
      <w:r>
        <w:rPr>
          <w:rFonts w:hint="eastAsia"/>
        </w:rPr>
        <w:t>；</w:t>
      </w:r>
    </w:p>
    <w:p>
      <w:pPr>
        <w:pStyle w:val="47"/>
        <w:numPr>
          <w:ilvl w:val="0"/>
          <w:numId w:val="51"/>
        </w:numPr>
        <w:ind w:left="0" w:firstLine="576" w:firstLineChars="200"/>
      </w:pPr>
      <w:r>
        <w:rPr>
          <w:rFonts w:hint="eastAsia"/>
        </w:rPr>
        <w:t>水平缝处现浇混凝土表面应凿毛处理；</w:t>
      </w:r>
    </w:p>
    <w:p>
      <w:pPr>
        <w:pStyle w:val="47"/>
        <w:numPr>
          <w:ilvl w:val="0"/>
          <w:numId w:val="51"/>
        </w:numPr>
        <w:ind w:left="0" w:firstLine="576" w:firstLineChars="200"/>
      </w:pPr>
      <w:r>
        <w:t>夹心保温叠合外墙板间的接缝应填塞防漏浆材料，并用密封材料嵌填</w:t>
      </w:r>
      <w:r>
        <w:rPr>
          <w:rFonts w:hint="eastAsia"/>
        </w:rPr>
        <w:t>；</w:t>
      </w:r>
    </w:p>
    <w:p>
      <w:pPr>
        <w:pStyle w:val="47"/>
        <w:numPr>
          <w:ilvl w:val="0"/>
          <w:numId w:val="51"/>
        </w:numPr>
        <w:ind w:left="0" w:firstLine="576" w:firstLineChars="200"/>
      </w:pPr>
      <w:r>
        <w:t>叠合外墙板间的接缝宜采用聚合物改性水泥砂浆嵌缝</w:t>
      </w:r>
      <w:r>
        <w:rPr>
          <w:rFonts w:hint="eastAsia"/>
        </w:rPr>
        <w:t>；</w:t>
      </w:r>
    </w:p>
    <w:p>
      <w:pPr>
        <w:pStyle w:val="47"/>
        <w:numPr>
          <w:ilvl w:val="0"/>
          <w:numId w:val="51"/>
        </w:numPr>
        <w:ind w:left="0" w:firstLine="576" w:firstLineChars="200"/>
      </w:pPr>
      <w:r>
        <w:t>嵌缝宜饱满、密实、均匀、顺直、表面平滑。</w:t>
      </w:r>
    </w:p>
    <w:p>
      <w:pPr>
        <w:pStyle w:val="4"/>
        <w:sectPr>
          <w:type w:val="continuous"/>
          <w:pgSz w:w="11906" w:h="16838"/>
          <w:pgMar w:top="1440" w:right="1800" w:bottom="1440" w:left="1800" w:header="851" w:footer="992" w:gutter="0"/>
          <w:cols w:space="425" w:num="1"/>
          <w:docGrid w:type="linesAndChars" w:linePitch="312" w:charSpace="0"/>
        </w:sectPr>
      </w:pPr>
    </w:p>
    <w:p>
      <w:pPr>
        <w:pStyle w:val="2"/>
        <w:pageBreakBefore/>
        <w:spacing w:before="312" w:after="312"/>
        <w:ind w:left="425" w:hanging="431"/>
      </w:pPr>
      <w:bookmarkStart w:id="228" w:name="_Toc532543017"/>
      <w:bookmarkStart w:id="229" w:name="_Toc45313954"/>
      <w:bookmarkStart w:id="230" w:name="_Toc45574559"/>
      <w:r>
        <w:t>质量验收</w:t>
      </w:r>
      <w:bookmarkEnd w:id="228"/>
      <w:bookmarkEnd w:id="229"/>
      <w:bookmarkEnd w:id="230"/>
    </w:p>
    <w:p>
      <w:pPr>
        <w:pStyle w:val="3"/>
      </w:pPr>
      <w:bookmarkStart w:id="231" w:name="_Toc45313955"/>
      <w:bookmarkStart w:id="232" w:name="_Toc23498047"/>
      <w:bookmarkStart w:id="233" w:name="_Toc45574560"/>
      <w:r>
        <w:t>一般规定</w:t>
      </w:r>
      <w:bookmarkEnd w:id="231"/>
      <w:bookmarkEnd w:id="232"/>
      <w:bookmarkEnd w:id="233"/>
    </w:p>
    <w:p>
      <w:r>
        <w:rPr>
          <w:b/>
          <w:bCs/>
        </w:rPr>
        <w:t xml:space="preserve">11.1.1 </w:t>
      </w:r>
      <w:r>
        <w:t>叠合剪力墙结构施工应按现行国家标准《建筑工程施工质量验收统一标准》GB 50300</w:t>
      </w:r>
      <w:r>
        <w:rPr>
          <w:rFonts w:hint="eastAsia"/>
        </w:rPr>
        <w:t>、《混凝土结构施工质量验收规范》GB50204、《装配式混凝土建筑技术标准》GB/T51231以</w:t>
      </w:r>
      <w:r>
        <w:t>及广东省《装配式混凝土建筑工程施工质量验收规范》DBJ/T 15/ 171的有关规定进行质量验收。</w:t>
      </w:r>
    </w:p>
    <w:p>
      <w:pPr>
        <w:pStyle w:val="47"/>
        <w:widowControl/>
        <w:ind w:firstLine="0"/>
        <w:rPr>
          <w:rFonts w:eastAsia="仿宋"/>
          <w:i/>
          <w:spacing w:val="10"/>
          <w:szCs w:val="24"/>
        </w:rPr>
      </w:pPr>
      <w:r>
        <w:rPr>
          <w:rFonts w:eastAsia="仿宋"/>
          <w:i/>
          <w:spacing w:val="10"/>
          <w:szCs w:val="24"/>
        </w:rPr>
        <w:t>【条文说明】11.1.1 当装配式混凝土结构工程存在现浇混凝土施工段时，应按现行国家标准《混凝土结构工程施工质量验收规范》GB 50204的有关规定进行其他分项工程和检验批的验收。叠合剪力墙结构的装饰装修、机电安装等应按国家现行有关标准进行质量验收。</w:t>
      </w:r>
    </w:p>
    <w:p>
      <w:r>
        <w:rPr>
          <w:b/>
          <w:bCs/>
        </w:rPr>
        <w:t xml:space="preserve">11.1.2 </w:t>
      </w:r>
      <w:r>
        <w:t>叠合剪力墙结构工程应按装配整体式混凝土结构子分部工程的预制结构分项工程进行验收；当结构中部分采用现浇混凝土时，质量验收应符合现行国家标准《混凝土结构工程施工质量验收规范》GB 50204和《建筑工程施工质量验收统一标准》GB 50300的规定。</w:t>
      </w:r>
    </w:p>
    <w:p>
      <w:r>
        <w:rPr>
          <w:b/>
          <w:bCs/>
        </w:rPr>
        <w:t xml:space="preserve">11.1.3 </w:t>
      </w:r>
      <w:r>
        <w:t>叠合剪力墙结构连接节点及叠合构件浇筑混凝土前，应进行隐蔽工程验收。隐蔽工程验收应包括下列主要内容：</w:t>
      </w:r>
    </w:p>
    <w:p>
      <w:pPr>
        <w:pStyle w:val="47"/>
        <w:numPr>
          <w:ilvl w:val="0"/>
          <w:numId w:val="52"/>
        </w:numPr>
        <w:ind w:left="0" w:firstLine="576" w:firstLineChars="200"/>
      </w:pPr>
      <w:r>
        <w:t>混凝土</w:t>
      </w:r>
      <w:r>
        <w:rPr>
          <w:rFonts w:hint="eastAsia"/>
        </w:rPr>
        <w:t>结合</w:t>
      </w:r>
      <w:r>
        <w:t>面的质量。</w:t>
      </w:r>
    </w:p>
    <w:p>
      <w:pPr>
        <w:pStyle w:val="47"/>
        <w:numPr>
          <w:ilvl w:val="0"/>
          <w:numId w:val="52"/>
        </w:numPr>
        <w:ind w:left="0" w:firstLine="576" w:firstLineChars="200"/>
      </w:pPr>
      <w:r>
        <w:t>钢筋的牌号、规格、数量、位置、间距、箍筋弯钩的弯折角度及平直段长度。</w:t>
      </w:r>
    </w:p>
    <w:p>
      <w:pPr>
        <w:pStyle w:val="47"/>
        <w:numPr>
          <w:ilvl w:val="0"/>
          <w:numId w:val="52"/>
        </w:numPr>
        <w:ind w:left="0" w:firstLine="576" w:firstLineChars="200"/>
      </w:pPr>
      <w:r>
        <w:t>钢筋的连接方式、接头位置、接头数量、接头面积百分率、搭接长度、锚固方式及锚固长度。</w:t>
      </w:r>
    </w:p>
    <w:p>
      <w:pPr>
        <w:pStyle w:val="47"/>
        <w:numPr>
          <w:ilvl w:val="0"/>
          <w:numId w:val="52"/>
        </w:numPr>
        <w:ind w:left="0" w:firstLine="576" w:firstLineChars="200"/>
      </w:pPr>
      <w:r>
        <w:t>预埋件、预埋管线的规格、数量、位置。</w:t>
      </w:r>
    </w:p>
    <w:p>
      <w:pPr>
        <w:pStyle w:val="47"/>
        <w:numPr>
          <w:ilvl w:val="0"/>
          <w:numId w:val="52"/>
        </w:numPr>
        <w:ind w:left="0" w:firstLine="576" w:firstLineChars="200"/>
      </w:pPr>
      <w:r>
        <w:t>预制构件之间及预制构件与后浇混凝土之间隐蔽的节点、接缝。</w:t>
      </w:r>
    </w:p>
    <w:p>
      <w:pPr>
        <w:pStyle w:val="47"/>
        <w:numPr>
          <w:ilvl w:val="0"/>
          <w:numId w:val="52"/>
        </w:numPr>
        <w:ind w:left="0" w:firstLine="576" w:firstLineChars="200"/>
      </w:pPr>
      <w:r>
        <w:t>预制混凝土构件接缝处防水、防火等构造做法。</w:t>
      </w:r>
    </w:p>
    <w:p>
      <w:pPr>
        <w:pStyle w:val="47"/>
        <w:numPr>
          <w:ilvl w:val="0"/>
          <w:numId w:val="52"/>
        </w:numPr>
        <w:ind w:left="0" w:firstLine="576" w:firstLineChars="200"/>
      </w:pPr>
      <w:r>
        <w:t>保温及其节点施工。</w:t>
      </w:r>
    </w:p>
    <w:p>
      <w:pPr>
        <w:pStyle w:val="47"/>
        <w:numPr>
          <w:ilvl w:val="0"/>
          <w:numId w:val="52"/>
        </w:numPr>
        <w:ind w:left="0" w:firstLine="576" w:firstLineChars="200"/>
      </w:pPr>
      <w:r>
        <w:t>其他隐蔽项目。</w:t>
      </w:r>
    </w:p>
    <w:p>
      <w:pPr>
        <w:rPr>
          <w:rFonts w:eastAsia="仿宋"/>
          <w:i/>
          <w:spacing w:val="10"/>
          <w:szCs w:val="24"/>
        </w:rPr>
      </w:pPr>
      <w:r>
        <w:rPr>
          <w:rFonts w:eastAsia="仿宋"/>
          <w:i/>
          <w:spacing w:val="10"/>
          <w:szCs w:val="24"/>
        </w:rPr>
        <w:t>【条文说明】11.1.3 验收内容涉及采用后浇混凝土连接及采用叠合构件的装配整体式结构，隐蔽工程反映钢筋、现浇结构分项工程施工的综合质量，后浇混凝土处的钢筋既包括预制构件外伸的钢筋，也包括后浇混凝土中设置的纵向钢筋和箍筋。在浇筑混凝土之前进行隐蔽工程验收是为了确保其连接构造性能满足设计要求。</w:t>
      </w:r>
    </w:p>
    <w:p>
      <w:r>
        <w:rPr>
          <w:b/>
          <w:bCs/>
        </w:rPr>
        <w:t xml:space="preserve">11.1.5 </w:t>
      </w:r>
      <w:r>
        <w:t>叠合剪力墙结构验收时，除应按现行</w:t>
      </w:r>
      <w:r>
        <w:rPr>
          <w:szCs w:val="24"/>
        </w:rPr>
        <w:t>广东省</w:t>
      </w:r>
      <w:bookmarkStart w:id="234" w:name="_Hlk42469028"/>
      <w:r>
        <w:rPr>
          <w:szCs w:val="24"/>
        </w:rPr>
        <w:t>《装配式混凝土建筑工程施工质量验收规范》DBJ/T15-171</w:t>
      </w:r>
      <w:bookmarkEnd w:id="234"/>
      <w:r>
        <w:t>的要求提供文件和记录外，尚应提供下列文件和记录：</w:t>
      </w:r>
    </w:p>
    <w:p>
      <w:pPr>
        <w:pStyle w:val="47"/>
        <w:numPr>
          <w:ilvl w:val="0"/>
          <w:numId w:val="53"/>
        </w:numPr>
        <w:ind w:left="0" w:firstLine="576" w:firstLineChars="200"/>
      </w:pPr>
      <w:r>
        <w:t>后浇混凝土部位的隐蔽工程检查验收文件；</w:t>
      </w:r>
    </w:p>
    <w:p>
      <w:pPr>
        <w:pStyle w:val="47"/>
        <w:numPr>
          <w:ilvl w:val="0"/>
          <w:numId w:val="53"/>
        </w:numPr>
        <w:ind w:left="0" w:firstLine="576" w:firstLineChars="200"/>
      </w:pPr>
      <w:r>
        <w:t>后浇混凝土强度检验报告；</w:t>
      </w:r>
    </w:p>
    <w:p>
      <w:pPr>
        <w:pStyle w:val="47"/>
        <w:numPr>
          <w:ilvl w:val="0"/>
          <w:numId w:val="53"/>
        </w:numPr>
        <w:ind w:left="0" w:firstLine="576" w:firstLineChars="200"/>
      </w:pPr>
      <w:r>
        <w:t>叠合剪力墙结构分项工程质量验收文件；</w:t>
      </w:r>
    </w:p>
    <w:p>
      <w:pPr>
        <w:pStyle w:val="47"/>
        <w:numPr>
          <w:ilvl w:val="0"/>
          <w:numId w:val="53"/>
        </w:numPr>
        <w:ind w:left="0" w:firstLine="576" w:firstLineChars="200"/>
      </w:pPr>
      <w:r>
        <w:t>叠合剪力墙结构工程的重大质量问题的处理方案和验收记录；</w:t>
      </w:r>
    </w:p>
    <w:p>
      <w:pPr>
        <w:pStyle w:val="47"/>
        <w:numPr>
          <w:ilvl w:val="0"/>
          <w:numId w:val="53"/>
        </w:numPr>
        <w:ind w:left="0" w:firstLine="576" w:firstLineChars="200"/>
      </w:pPr>
      <w:r>
        <w:t>叠合剪力墙结构工程的其他文件和记录。</w:t>
      </w:r>
    </w:p>
    <w:p>
      <w:r>
        <w:rPr>
          <w:b/>
          <w:bCs/>
        </w:rPr>
        <w:t xml:space="preserve">11.1.6 </w:t>
      </w:r>
      <w:r>
        <w:t>质量验收的主控项目和一般项除满足设计和本规程要求外，还应满足现行</w:t>
      </w:r>
      <w:r>
        <w:rPr>
          <w:szCs w:val="24"/>
        </w:rPr>
        <w:t>《混凝土结构工程施工质量验收规范》GB 5020</w:t>
      </w:r>
      <w:r>
        <w:rPr>
          <w:rFonts w:hint="eastAsia"/>
          <w:szCs w:val="24"/>
        </w:rPr>
        <w:t>4、</w:t>
      </w:r>
      <w:r>
        <w:rPr>
          <w:rFonts w:hint="eastAsia"/>
        </w:rPr>
        <w:t>《装配式混凝土建筑技术标准》GB/T51231</w:t>
      </w:r>
      <w:r>
        <w:rPr>
          <w:szCs w:val="24"/>
        </w:rPr>
        <w:t>和《装配式混凝土建筑工程施工质量验收规范》DBJ/T15-171</w:t>
      </w:r>
      <w:r>
        <w:t>的相关规定。</w:t>
      </w:r>
    </w:p>
    <w:p/>
    <w:p>
      <w:pPr>
        <w:pStyle w:val="3"/>
      </w:pPr>
      <w:bookmarkStart w:id="235" w:name="_Toc23498048"/>
      <w:r>
        <w:t xml:space="preserve"> </w:t>
      </w:r>
      <w:bookmarkStart w:id="236" w:name="_Toc38289932"/>
      <w:bookmarkStart w:id="237" w:name="_Toc45313956"/>
      <w:bookmarkStart w:id="238" w:name="_Toc45574561"/>
      <w:r>
        <w:t>预制构件</w:t>
      </w:r>
      <w:bookmarkEnd w:id="235"/>
      <w:bookmarkEnd w:id="236"/>
      <w:bookmarkEnd w:id="237"/>
      <w:bookmarkEnd w:id="238"/>
    </w:p>
    <w:p>
      <w:r>
        <w:rPr>
          <w:b/>
          <w:bCs/>
        </w:rPr>
        <w:t>11.2.1</w:t>
      </w:r>
      <w:r>
        <w:t>叠合墙板和钢筋桁架叠合板可不进行结构性能检验，但应采取下列措施：</w:t>
      </w:r>
    </w:p>
    <w:p>
      <w:pPr>
        <w:pStyle w:val="47"/>
        <w:numPr>
          <w:ilvl w:val="0"/>
          <w:numId w:val="54"/>
        </w:numPr>
        <w:ind w:left="0" w:firstLine="576" w:firstLineChars="200"/>
      </w:pPr>
      <w:r>
        <w:t>施工单位或监理单位代表宜驻厂监督生产过程；</w:t>
      </w:r>
    </w:p>
    <w:p>
      <w:pPr>
        <w:pStyle w:val="47"/>
        <w:numPr>
          <w:ilvl w:val="0"/>
          <w:numId w:val="54"/>
        </w:numPr>
        <w:ind w:left="0" w:firstLine="576" w:firstLineChars="200"/>
      </w:pPr>
      <w:r>
        <w:t>当无驻厂监督时，预制构件进场时应对其主要受力钢筋数量、规格、间距、保护层厚度及混凝土强度等进行实体检验。</w:t>
      </w:r>
    </w:p>
    <w:p>
      <w:r>
        <w:rPr>
          <w:b/>
          <w:bCs/>
        </w:rPr>
        <w:t>11.2.2</w:t>
      </w:r>
      <w:r>
        <w:t>预制构件的外观质量不应有严重缺陷，且不应有影响结构性能和安装、使用功能的尺寸偏差，对出现的一般缺陷应要求构件生产单位按技术处理方案进行处理，并重新检查验收。</w:t>
      </w:r>
    </w:p>
    <w:p>
      <w:pPr>
        <w:ind w:firstLine="576" w:firstLineChars="200"/>
      </w:pPr>
      <w:r>
        <w:t>检查数量：全数检查。</w:t>
      </w:r>
    </w:p>
    <w:p>
      <w:pPr>
        <w:ind w:firstLine="576" w:firstLineChars="200"/>
      </w:pPr>
      <w:r>
        <w:t>检查方法：观察、尺量；检查处理记录。</w:t>
      </w:r>
    </w:p>
    <w:p>
      <w:pPr>
        <w:rPr>
          <w:rFonts w:eastAsia="仿宋"/>
          <w:i/>
          <w:spacing w:val="10"/>
          <w:szCs w:val="24"/>
        </w:rPr>
      </w:pPr>
      <w:r>
        <w:rPr>
          <w:rFonts w:eastAsia="仿宋"/>
          <w:i/>
          <w:spacing w:val="10"/>
          <w:szCs w:val="24"/>
        </w:rPr>
        <w:t>【条文说明】11.2.2 对于出现的外观质量严重缺陷、影响结构性能和安装、使用功能的尺寸偏差，以及连接件类别、数量和位置有不符合设计要求的情形应作退场处理。如经设计同意可以进行修理使用，则应制定处理方案并获得监理确认后，预制构件生产单位应按技术处理方案处理，修理后应重新验收。</w:t>
      </w:r>
    </w:p>
    <w:p>
      <w:pPr>
        <w:pStyle w:val="3"/>
      </w:pPr>
      <w:bookmarkStart w:id="239" w:name="_Toc23498049"/>
      <w:bookmarkStart w:id="240" w:name="_Toc38289933"/>
      <w:bookmarkStart w:id="241" w:name="_Toc45574562"/>
      <w:bookmarkStart w:id="242" w:name="_Toc45313957"/>
      <w:r>
        <w:t>安装与连接</w:t>
      </w:r>
      <w:bookmarkEnd w:id="239"/>
      <w:bookmarkEnd w:id="240"/>
      <w:bookmarkEnd w:id="241"/>
      <w:bookmarkEnd w:id="242"/>
    </w:p>
    <w:p>
      <w:r>
        <w:rPr>
          <w:b/>
          <w:bCs/>
        </w:rPr>
        <w:t>11.3.1</w:t>
      </w:r>
      <w:r>
        <w:t xml:space="preserve"> 叠合墙板底部水平拼缝处的混凝土必须浇捣密实，养护充分，其强度必须达到设计要求。</w:t>
      </w:r>
    </w:p>
    <w:p>
      <w:pPr>
        <w:ind w:firstLine="576" w:firstLineChars="200"/>
      </w:pPr>
      <w:r>
        <w:t>检查数量：全数检查。</w:t>
      </w:r>
    </w:p>
    <w:p>
      <w:pPr>
        <w:ind w:firstLine="576" w:firstLineChars="200"/>
      </w:pPr>
      <w:r>
        <w:t>检查方法：观察、检查标准养护试块报告及施工记录。</w:t>
      </w:r>
    </w:p>
    <w:p>
      <w:pPr>
        <w:pStyle w:val="47"/>
        <w:widowControl/>
        <w:ind w:firstLine="0"/>
        <w:rPr>
          <w:rFonts w:eastAsia="仿宋"/>
          <w:i/>
          <w:spacing w:val="10"/>
          <w:szCs w:val="24"/>
        </w:rPr>
      </w:pPr>
      <w:r>
        <w:rPr>
          <w:rFonts w:eastAsia="仿宋"/>
          <w:i/>
          <w:spacing w:val="10"/>
          <w:szCs w:val="24"/>
        </w:rPr>
        <w:t>【条文说明】11.3.1 装配式混凝土结构的接缝防水施工是非常关键的质量检验内容，是保证装配式外墙防水性能的关键，施工时应按设计要求进行选材和施工，并采取严格的检验验证措施。考虑到此项验收内容与结构施工密切相关，应按设计及有关防水施工要求进行验收。</w:t>
      </w:r>
    </w:p>
    <w:p>
      <w:r>
        <w:rPr>
          <w:b/>
          <w:bCs/>
        </w:rPr>
        <w:t xml:space="preserve">11.3.2 </w:t>
      </w:r>
      <w:r>
        <w:t>双面叠合墙板空腔内的混凝土必须浇捣密实，其强度必须达到设计要求及现行国家标准《混凝土结构工程施工质量验收规范》GB 50204的规定。</w:t>
      </w:r>
    </w:p>
    <w:p>
      <w:pPr>
        <w:ind w:firstLine="576" w:firstLineChars="200"/>
      </w:pPr>
      <w:r>
        <w:t>检查数量：按批检验。</w:t>
      </w:r>
    </w:p>
    <w:p>
      <w:pPr>
        <w:ind w:firstLine="576" w:firstLineChars="200"/>
      </w:pPr>
      <w:r>
        <w:t>检查方法：按现行国家标准《混凝土强度检测评定标准》GB/T 50107的要求进行。</w:t>
      </w:r>
    </w:p>
    <w:p>
      <w:pPr>
        <w:pStyle w:val="47"/>
        <w:widowControl/>
        <w:ind w:firstLine="0"/>
        <w:rPr>
          <w:rFonts w:eastAsia="仿宋"/>
          <w:i/>
          <w:spacing w:val="10"/>
          <w:szCs w:val="24"/>
        </w:rPr>
      </w:pPr>
      <w:r>
        <w:rPr>
          <w:rFonts w:eastAsia="仿宋"/>
          <w:i/>
          <w:spacing w:val="10"/>
          <w:szCs w:val="24"/>
        </w:rPr>
        <w:t>【条文说明】11.3.</w:t>
      </w:r>
      <w:r>
        <w:rPr>
          <w:rFonts w:hint="eastAsia" w:eastAsia="仿宋"/>
          <w:i/>
          <w:spacing w:val="10"/>
          <w:szCs w:val="24"/>
        </w:rPr>
        <w:t>2空腔内混凝土强度等级检测位置可选择现浇部位。</w:t>
      </w:r>
    </w:p>
    <w:p>
      <w:r>
        <w:rPr>
          <w:b/>
          <w:bCs/>
        </w:rPr>
        <w:t>11.3.</w:t>
      </w:r>
      <w:r>
        <w:rPr>
          <w:rFonts w:hint="eastAsia"/>
          <w:b/>
          <w:bCs/>
        </w:rPr>
        <w:t>3</w:t>
      </w:r>
      <w:r>
        <w:rPr>
          <w:b/>
          <w:bCs/>
        </w:rPr>
        <w:t xml:space="preserve"> </w:t>
      </w:r>
      <w:r>
        <w:t>叠合剪力墙结构施工后，其外观质量不应有严重缺陷，且不应有影响结构性能和安装、使用功能的尺寸偏差。</w:t>
      </w:r>
    </w:p>
    <w:p>
      <w:pPr>
        <w:ind w:firstLine="576" w:firstLineChars="200"/>
      </w:pPr>
      <w:r>
        <w:t>检查数量：全数检查。</w:t>
      </w:r>
    </w:p>
    <w:p>
      <w:pPr>
        <w:ind w:firstLine="576" w:firstLineChars="200"/>
      </w:pPr>
      <w:r>
        <w:t>检查方法：观察、量测、检查处理记录。</w:t>
      </w:r>
    </w:p>
    <w:p>
      <w:r>
        <w:rPr>
          <w:b/>
          <w:bCs/>
        </w:rPr>
        <w:t>11.3.</w:t>
      </w:r>
      <w:r>
        <w:rPr>
          <w:rFonts w:hint="eastAsia"/>
          <w:b/>
          <w:bCs/>
        </w:rPr>
        <w:t>4</w:t>
      </w:r>
      <w:r>
        <w:rPr>
          <w:b/>
          <w:bCs/>
        </w:rPr>
        <w:t xml:space="preserve"> </w:t>
      </w:r>
      <w:r>
        <w:t>叠合墙的</w:t>
      </w:r>
      <w:r>
        <w:rPr>
          <w:rFonts w:hint="eastAsia"/>
        </w:rPr>
        <w:t>位置和</w:t>
      </w:r>
      <w:r>
        <w:t>尺寸允许偏差及检验方法应符合设计要求；当设计无要求时，应符合表11.3.</w:t>
      </w:r>
      <w:r>
        <w:rPr>
          <w:rFonts w:hint="eastAsia"/>
        </w:rPr>
        <w:t>4</w:t>
      </w:r>
      <w:r>
        <w:t>中的规定。</w:t>
      </w:r>
    </w:p>
    <w:p>
      <w:pPr>
        <w:ind w:firstLine="576" w:firstLineChars="200"/>
      </w:pPr>
      <w:r>
        <w:t>检查数量：按楼层、结构缝或施工段划分检验批。在同一检验批内，对叠合墙应按有代表性的自然间抽查10</w:t>
      </w:r>
      <m:oMath>
        <m:r>
          <w:rPr>
            <w:rFonts w:ascii="Cambria Math" w:hAnsi="Cambria Math"/>
          </w:rPr>
          <m:t>%</m:t>
        </m:r>
      </m:oMath>
      <w:r>
        <w:t>，且不少于3间。对大空间结构，叠合墙可按相邻轴线间高度5</w:t>
      </w:r>
      <m:oMath>
        <m:r>
          <m:rPr>
            <m:sty m:val="p"/>
          </m:rPr>
          <w:rPr>
            <w:rFonts w:ascii="Cambria Math" w:hAnsi="Cambria Math"/>
          </w:rPr>
          <m:t>m</m:t>
        </m:r>
      </m:oMath>
      <w:r>
        <w:t>左右划分检查面，抽查10</w:t>
      </w:r>
      <m:oMath>
        <m:r>
          <w:rPr>
            <w:rFonts w:ascii="Cambria Math" w:hAnsi="Cambria Math"/>
          </w:rPr>
          <m:t>%</m:t>
        </m:r>
      </m:oMath>
      <w:r>
        <w:t>，且均不少于3面。</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279"/>
        <w:gridCol w:w="992"/>
        <w:gridCol w:w="2127"/>
        <w:gridCol w:w="1417"/>
        <w:gridCol w:w="1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6"/>
            <w:tcBorders>
              <w:top w:val="nil"/>
              <w:left w:val="nil"/>
              <w:bottom w:val="single" w:color="auto" w:sz="12" w:space="0"/>
              <w:right w:val="nil"/>
            </w:tcBorders>
          </w:tcPr>
          <w:p>
            <w:pPr>
              <w:jc w:val="center"/>
              <w:rPr>
                <w:b/>
                <w:bCs/>
              </w:rPr>
            </w:pPr>
            <w:r>
              <w:rPr>
                <w:b/>
                <w:bCs/>
              </w:rPr>
              <w:t>表</w:t>
            </w:r>
            <w:r>
              <w:rPr>
                <w:rFonts w:hint="eastAsia"/>
                <w:b/>
                <w:bCs/>
              </w:rPr>
              <w:t>11.3.4</w:t>
            </w:r>
            <w:r>
              <w:rPr>
                <w:b/>
                <w:bCs/>
              </w:rPr>
              <w:t>叠合墙</w:t>
            </w:r>
            <w:r>
              <w:rPr>
                <w:rFonts w:hint="eastAsia"/>
                <w:b/>
                <w:bCs/>
              </w:rPr>
              <w:t>位置和</w:t>
            </w:r>
            <w:r>
              <w:rPr>
                <w:b/>
                <w:bCs/>
              </w:rPr>
              <w:t>尺寸允许偏差及检验方法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Borders>
              <w:top w:val="single" w:color="auto" w:sz="12" w:space="0"/>
              <w:left w:val="single" w:color="auto" w:sz="12" w:space="0"/>
              <w:bottom w:val="single" w:color="auto" w:sz="12" w:space="0"/>
            </w:tcBorders>
            <w:vAlign w:val="center"/>
          </w:tcPr>
          <w:p>
            <w:pPr>
              <w:jc w:val="center"/>
              <w:rPr>
                <w:sz w:val="24"/>
                <w:szCs w:val="24"/>
              </w:rPr>
            </w:pPr>
            <w:r>
              <w:rPr>
                <w:sz w:val="24"/>
                <w:szCs w:val="24"/>
              </w:rPr>
              <w:t>项次</w:t>
            </w:r>
          </w:p>
        </w:tc>
        <w:tc>
          <w:tcPr>
            <w:tcW w:w="4398" w:type="dxa"/>
            <w:gridSpan w:val="3"/>
            <w:tcBorders>
              <w:top w:val="single" w:color="auto" w:sz="12" w:space="0"/>
              <w:bottom w:val="single" w:color="auto" w:sz="12" w:space="0"/>
            </w:tcBorders>
            <w:vAlign w:val="center"/>
          </w:tcPr>
          <w:p>
            <w:pPr>
              <w:jc w:val="center"/>
              <w:rPr>
                <w:sz w:val="24"/>
                <w:szCs w:val="24"/>
              </w:rPr>
            </w:pPr>
            <w:r>
              <w:rPr>
                <w:sz w:val="24"/>
                <w:szCs w:val="24"/>
              </w:rPr>
              <w:t>项目</w:t>
            </w:r>
          </w:p>
        </w:tc>
        <w:tc>
          <w:tcPr>
            <w:tcW w:w="1417" w:type="dxa"/>
            <w:tcBorders>
              <w:top w:val="single" w:color="auto" w:sz="12" w:space="0"/>
              <w:bottom w:val="single" w:color="auto" w:sz="12" w:space="0"/>
            </w:tcBorders>
            <w:vAlign w:val="center"/>
          </w:tcPr>
          <w:p>
            <w:pPr>
              <w:spacing w:line="240" w:lineRule="auto"/>
              <w:jc w:val="center"/>
              <w:rPr>
                <w:sz w:val="24"/>
                <w:szCs w:val="24"/>
              </w:rPr>
            </w:pPr>
            <w:r>
              <w:rPr>
                <w:sz w:val="24"/>
                <w:szCs w:val="24"/>
              </w:rPr>
              <w:t>允许偏差（</w:t>
            </w:r>
            <m:oMath>
              <m:r>
                <m:rPr>
                  <m:sty m:val="p"/>
                </m:rPr>
                <w:rPr>
                  <w:rFonts w:ascii="Cambria Math" w:hAnsi="Cambria Math"/>
                  <w:sz w:val="24"/>
                  <w:szCs w:val="24"/>
                </w:rPr>
                <m:t>mm</m:t>
              </m:r>
            </m:oMath>
            <w:r>
              <w:rPr>
                <w:sz w:val="24"/>
                <w:szCs w:val="24"/>
              </w:rPr>
              <w:t>）</w:t>
            </w:r>
          </w:p>
        </w:tc>
        <w:tc>
          <w:tcPr>
            <w:tcW w:w="1927" w:type="dxa"/>
            <w:tcBorders>
              <w:top w:val="single" w:color="auto" w:sz="12" w:space="0"/>
              <w:bottom w:val="single" w:color="auto" w:sz="12" w:space="0"/>
              <w:right w:val="single" w:color="auto" w:sz="12" w:space="0"/>
            </w:tcBorders>
            <w:vAlign w:val="center"/>
          </w:tcPr>
          <w:p>
            <w:pPr>
              <w:jc w:val="center"/>
              <w:rPr>
                <w:sz w:val="24"/>
                <w:szCs w:val="24"/>
              </w:rPr>
            </w:pPr>
            <w:r>
              <w:rPr>
                <w:sz w:val="24"/>
                <w:szCs w:val="24"/>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564" w:type="dxa"/>
            <w:tcBorders>
              <w:top w:val="single" w:color="auto" w:sz="12" w:space="0"/>
              <w:left w:val="single" w:color="auto" w:sz="12" w:space="0"/>
            </w:tcBorders>
            <w:vAlign w:val="center"/>
          </w:tcPr>
          <w:p>
            <w:pPr>
              <w:jc w:val="center"/>
              <w:rPr>
                <w:sz w:val="24"/>
                <w:szCs w:val="24"/>
              </w:rPr>
            </w:pPr>
            <w:r>
              <w:rPr>
                <w:sz w:val="24"/>
                <w:szCs w:val="24"/>
              </w:rPr>
              <w:t>1</w:t>
            </w:r>
          </w:p>
        </w:tc>
        <w:tc>
          <w:tcPr>
            <w:tcW w:w="4398" w:type="dxa"/>
            <w:gridSpan w:val="3"/>
            <w:tcBorders>
              <w:top w:val="single" w:color="auto" w:sz="12" w:space="0"/>
            </w:tcBorders>
            <w:vAlign w:val="center"/>
          </w:tcPr>
          <w:p>
            <w:pPr>
              <w:jc w:val="center"/>
              <w:rPr>
                <w:sz w:val="24"/>
                <w:szCs w:val="24"/>
              </w:rPr>
            </w:pPr>
            <w:r>
              <w:rPr>
                <w:sz w:val="24"/>
                <w:szCs w:val="24"/>
              </w:rPr>
              <w:t>构件中心线对轴线位置</w:t>
            </w:r>
          </w:p>
        </w:tc>
        <w:tc>
          <w:tcPr>
            <w:tcW w:w="1417" w:type="dxa"/>
            <w:tcBorders>
              <w:top w:val="single" w:color="auto" w:sz="12" w:space="0"/>
            </w:tcBorders>
            <w:vAlign w:val="center"/>
          </w:tcPr>
          <w:p>
            <w:pPr>
              <w:jc w:val="center"/>
              <w:rPr>
                <w:sz w:val="24"/>
                <w:szCs w:val="24"/>
              </w:rPr>
            </w:pPr>
            <w:r>
              <w:rPr>
                <w:sz w:val="24"/>
                <w:szCs w:val="24"/>
              </w:rPr>
              <w:t>5</w:t>
            </w:r>
          </w:p>
        </w:tc>
        <w:tc>
          <w:tcPr>
            <w:tcW w:w="1927" w:type="dxa"/>
            <w:tcBorders>
              <w:top w:val="single" w:color="auto" w:sz="12" w:space="0"/>
              <w:right w:val="single" w:color="auto" w:sz="12" w:space="0"/>
            </w:tcBorders>
            <w:vAlign w:val="center"/>
          </w:tcPr>
          <w:p>
            <w:pPr>
              <w:jc w:val="center"/>
              <w:rPr>
                <w:sz w:val="24"/>
                <w:szCs w:val="24"/>
              </w:rPr>
            </w:pPr>
            <w:r>
              <w:rPr>
                <w:sz w:val="24"/>
                <w:szCs w:val="24"/>
              </w:rPr>
              <w:t>用经纬仪</w:t>
            </w:r>
            <w:r>
              <w:rPr>
                <w:rFonts w:hint="eastAsia"/>
                <w:sz w:val="24"/>
                <w:szCs w:val="24"/>
              </w:rPr>
              <w:t>或吊线</w:t>
            </w:r>
            <w:r>
              <w:rPr>
                <w:sz w:val="24"/>
                <w:szCs w:val="24"/>
              </w:rPr>
              <w:t>及尺量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4" w:type="dxa"/>
            <w:tcBorders>
              <w:left w:val="single" w:color="auto" w:sz="12" w:space="0"/>
            </w:tcBorders>
            <w:vAlign w:val="center"/>
          </w:tcPr>
          <w:p>
            <w:pPr>
              <w:jc w:val="center"/>
              <w:rPr>
                <w:sz w:val="24"/>
                <w:szCs w:val="24"/>
              </w:rPr>
            </w:pPr>
            <w:r>
              <w:rPr>
                <w:sz w:val="24"/>
                <w:szCs w:val="24"/>
              </w:rPr>
              <w:t>2</w:t>
            </w:r>
          </w:p>
        </w:tc>
        <w:tc>
          <w:tcPr>
            <w:tcW w:w="4398" w:type="dxa"/>
            <w:gridSpan w:val="3"/>
            <w:vAlign w:val="center"/>
          </w:tcPr>
          <w:p>
            <w:pPr>
              <w:jc w:val="center"/>
              <w:rPr>
                <w:sz w:val="24"/>
                <w:szCs w:val="24"/>
              </w:rPr>
            </w:pPr>
            <w:r>
              <w:rPr>
                <w:sz w:val="24"/>
                <w:szCs w:val="24"/>
              </w:rPr>
              <w:t>构件标高</w:t>
            </w:r>
          </w:p>
        </w:tc>
        <w:tc>
          <w:tcPr>
            <w:tcW w:w="1417" w:type="dxa"/>
            <w:vAlign w:val="center"/>
          </w:tcPr>
          <w:p>
            <w:pPr>
              <w:jc w:val="center"/>
              <w:rPr>
                <w:sz w:val="24"/>
                <w:szCs w:val="24"/>
              </w:rPr>
            </w:pPr>
            <w:r>
              <w:rPr>
                <w:rFonts w:hint="eastAsia"/>
                <w:sz w:val="24"/>
                <w:szCs w:val="24"/>
              </w:rPr>
              <w:t>±</w:t>
            </w:r>
            <w:r>
              <w:rPr>
                <w:sz w:val="24"/>
                <w:szCs w:val="24"/>
              </w:rPr>
              <w:t>3</w:t>
            </w:r>
          </w:p>
        </w:tc>
        <w:tc>
          <w:tcPr>
            <w:tcW w:w="1927" w:type="dxa"/>
            <w:tcBorders>
              <w:right w:val="single" w:color="auto" w:sz="12" w:space="0"/>
            </w:tcBorders>
            <w:vAlign w:val="center"/>
          </w:tcPr>
          <w:p>
            <w:pPr>
              <w:jc w:val="center"/>
              <w:rPr>
                <w:sz w:val="24"/>
                <w:szCs w:val="24"/>
              </w:rPr>
            </w:pPr>
            <w:r>
              <w:rPr>
                <w:sz w:val="24"/>
                <w:szCs w:val="24"/>
              </w:rPr>
              <w:t>用水准仪或拉线、尺量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vMerge w:val="restart"/>
            <w:tcBorders>
              <w:left w:val="single" w:color="auto" w:sz="12" w:space="0"/>
            </w:tcBorders>
            <w:vAlign w:val="center"/>
          </w:tcPr>
          <w:p>
            <w:pPr>
              <w:jc w:val="center"/>
              <w:rPr>
                <w:sz w:val="24"/>
                <w:szCs w:val="24"/>
              </w:rPr>
            </w:pPr>
            <w:r>
              <w:rPr>
                <w:sz w:val="24"/>
                <w:szCs w:val="24"/>
              </w:rPr>
              <w:t>3</w:t>
            </w:r>
          </w:p>
        </w:tc>
        <w:tc>
          <w:tcPr>
            <w:tcW w:w="2271" w:type="dxa"/>
            <w:gridSpan w:val="2"/>
            <w:vMerge w:val="restart"/>
            <w:vAlign w:val="center"/>
          </w:tcPr>
          <w:p>
            <w:pPr>
              <w:jc w:val="center"/>
              <w:rPr>
                <w:sz w:val="24"/>
                <w:szCs w:val="24"/>
              </w:rPr>
            </w:pPr>
            <w:r>
              <w:rPr>
                <w:sz w:val="24"/>
                <w:szCs w:val="24"/>
              </w:rPr>
              <w:t>构件垂直度</w:t>
            </w:r>
          </w:p>
        </w:tc>
        <w:tc>
          <w:tcPr>
            <w:tcW w:w="2127" w:type="dxa"/>
            <w:vAlign w:val="center"/>
          </w:tcPr>
          <w:p>
            <w:pPr>
              <w:jc w:val="center"/>
              <w:rPr>
                <w:sz w:val="24"/>
                <w:szCs w:val="24"/>
              </w:rPr>
            </w:pPr>
            <m:oMath>
              <m:r>
                <w:rPr>
                  <w:rFonts w:ascii="Cambria Math" w:hAnsi="Cambria Math"/>
                  <w:sz w:val="24"/>
                  <w:szCs w:val="24"/>
                </w:rPr>
                <m:t>&lt;</m:t>
              </m:r>
            </m:oMath>
            <w:r>
              <w:rPr>
                <w:sz w:val="24"/>
                <w:szCs w:val="24"/>
              </w:rPr>
              <w:t>5</w:t>
            </w:r>
            <m:oMath>
              <m:r>
                <m:rPr>
                  <m:sty m:val="p"/>
                </m:rPr>
                <w:rPr>
                  <w:rFonts w:ascii="Cambria Math" w:hAnsi="Cambria Math"/>
                  <w:sz w:val="24"/>
                  <w:szCs w:val="24"/>
                </w:rPr>
                <m:t>m</m:t>
              </m:r>
            </m:oMath>
          </w:p>
        </w:tc>
        <w:tc>
          <w:tcPr>
            <w:tcW w:w="1417" w:type="dxa"/>
            <w:vAlign w:val="center"/>
          </w:tcPr>
          <w:p>
            <w:pPr>
              <w:jc w:val="center"/>
              <w:rPr>
                <w:sz w:val="24"/>
                <w:szCs w:val="24"/>
              </w:rPr>
            </w:pPr>
            <w:r>
              <w:rPr>
                <w:sz w:val="24"/>
                <w:szCs w:val="24"/>
              </w:rPr>
              <w:t>5</w:t>
            </w:r>
          </w:p>
        </w:tc>
        <w:tc>
          <w:tcPr>
            <w:tcW w:w="1927" w:type="dxa"/>
            <w:vMerge w:val="restart"/>
            <w:tcBorders>
              <w:right w:val="single" w:color="auto" w:sz="12" w:space="0"/>
            </w:tcBorders>
            <w:vAlign w:val="center"/>
          </w:tcPr>
          <w:p>
            <w:pPr>
              <w:jc w:val="center"/>
              <w:rPr>
                <w:sz w:val="24"/>
                <w:szCs w:val="24"/>
              </w:rPr>
            </w:pPr>
            <w:r>
              <w:rPr>
                <w:sz w:val="24"/>
                <w:szCs w:val="24"/>
              </w:rPr>
              <w:t>用经纬仪或吊线、尺量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vMerge w:val="continue"/>
            <w:tcBorders>
              <w:left w:val="single" w:color="auto" w:sz="12" w:space="0"/>
            </w:tcBorders>
            <w:vAlign w:val="center"/>
          </w:tcPr>
          <w:p>
            <w:pPr>
              <w:jc w:val="center"/>
              <w:rPr>
                <w:sz w:val="24"/>
                <w:szCs w:val="24"/>
              </w:rPr>
            </w:pPr>
          </w:p>
        </w:tc>
        <w:tc>
          <w:tcPr>
            <w:tcW w:w="2271" w:type="dxa"/>
            <w:gridSpan w:val="2"/>
            <w:vMerge w:val="continue"/>
            <w:vAlign w:val="center"/>
          </w:tcPr>
          <w:p>
            <w:pPr>
              <w:jc w:val="center"/>
              <w:rPr>
                <w:sz w:val="24"/>
                <w:szCs w:val="24"/>
              </w:rPr>
            </w:pPr>
          </w:p>
        </w:tc>
        <w:tc>
          <w:tcPr>
            <w:tcW w:w="2127" w:type="dxa"/>
            <w:vAlign w:val="center"/>
          </w:tcPr>
          <w:p>
            <w:pPr>
              <w:jc w:val="center"/>
              <w:rPr>
                <w:sz w:val="24"/>
                <w:szCs w:val="24"/>
              </w:rPr>
            </w:pPr>
            <m:oMath>
              <m:r>
                <w:rPr>
                  <w:rFonts w:ascii="Cambria Math" w:hAnsi="Cambria Math"/>
                  <w:sz w:val="24"/>
                  <w:szCs w:val="24"/>
                </w:rPr>
                <m:t>≥</m:t>
              </m:r>
            </m:oMath>
            <w:r>
              <w:rPr>
                <w:sz w:val="24"/>
                <w:szCs w:val="24"/>
              </w:rPr>
              <w:t>5</w:t>
            </w:r>
            <m:oMath>
              <m:r>
                <m:rPr>
                  <m:sty m:val="p"/>
                </m:rPr>
                <w:rPr>
                  <w:rFonts w:ascii="Cambria Math" w:hAnsi="Cambria Math"/>
                  <w:sz w:val="24"/>
                  <w:szCs w:val="24"/>
                </w:rPr>
                <m:t>m</m:t>
              </m:r>
            </m:oMath>
            <w:r>
              <w:rPr>
                <w:sz w:val="24"/>
                <w:szCs w:val="24"/>
              </w:rPr>
              <w:t>且</w:t>
            </w:r>
            <m:oMath>
              <m:r>
                <w:rPr>
                  <w:rFonts w:ascii="Cambria Math" w:hAnsi="Cambria Math"/>
                  <w:sz w:val="24"/>
                  <w:szCs w:val="24"/>
                </w:rPr>
                <m:t>&lt;</m:t>
              </m:r>
            </m:oMath>
            <w:r>
              <w:rPr>
                <w:sz w:val="24"/>
                <w:szCs w:val="24"/>
              </w:rPr>
              <w:t>10</w:t>
            </w:r>
            <m:oMath>
              <m:r>
                <m:rPr>
                  <m:sty m:val="p"/>
                </m:rPr>
                <w:rPr>
                  <w:rFonts w:ascii="Cambria Math" w:hAnsi="Cambria Math"/>
                  <w:sz w:val="24"/>
                  <w:szCs w:val="24"/>
                </w:rPr>
                <m:t>m</m:t>
              </m:r>
            </m:oMath>
          </w:p>
        </w:tc>
        <w:tc>
          <w:tcPr>
            <w:tcW w:w="1417" w:type="dxa"/>
            <w:vAlign w:val="center"/>
          </w:tcPr>
          <w:p>
            <w:pPr>
              <w:jc w:val="center"/>
              <w:rPr>
                <w:sz w:val="24"/>
                <w:szCs w:val="24"/>
              </w:rPr>
            </w:pPr>
            <w:r>
              <w:rPr>
                <w:sz w:val="24"/>
                <w:szCs w:val="24"/>
              </w:rPr>
              <w:t>10</w:t>
            </w:r>
          </w:p>
        </w:tc>
        <w:tc>
          <w:tcPr>
            <w:tcW w:w="1927" w:type="dxa"/>
            <w:vMerge w:val="continue"/>
            <w:tcBorders>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vMerge w:val="continue"/>
            <w:tcBorders>
              <w:left w:val="single" w:color="auto" w:sz="12" w:space="0"/>
            </w:tcBorders>
            <w:vAlign w:val="center"/>
          </w:tcPr>
          <w:p>
            <w:pPr>
              <w:jc w:val="center"/>
              <w:rPr>
                <w:sz w:val="24"/>
                <w:szCs w:val="24"/>
              </w:rPr>
            </w:pPr>
          </w:p>
        </w:tc>
        <w:tc>
          <w:tcPr>
            <w:tcW w:w="2271" w:type="dxa"/>
            <w:gridSpan w:val="2"/>
            <w:vMerge w:val="continue"/>
            <w:vAlign w:val="center"/>
          </w:tcPr>
          <w:p>
            <w:pPr>
              <w:jc w:val="center"/>
              <w:rPr>
                <w:sz w:val="24"/>
                <w:szCs w:val="24"/>
              </w:rPr>
            </w:pPr>
          </w:p>
        </w:tc>
        <w:tc>
          <w:tcPr>
            <w:tcW w:w="2127" w:type="dxa"/>
            <w:vAlign w:val="center"/>
          </w:tcPr>
          <w:p>
            <w:pPr>
              <w:jc w:val="center"/>
              <w:rPr>
                <w:sz w:val="24"/>
                <w:szCs w:val="24"/>
              </w:rPr>
            </w:pPr>
            <m:oMath>
              <m:r>
                <w:rPr>
                  <w:rFonts w:ascii="Cambria Math" w:hAnsi="Cambria Math"/>
                  <w:sz w:val="24"/>
                  <w:szCs w:val="24"/>
                </w:rPr>
                <m:t>≥</m:t>
              </m:r>
            </m:oMath>
            <w:r>
              <w:rPr>
                <w:sz w:val="24"/>
                <w:szCs w:val="24"/>
              </w:rPr>
              <w:t>10</w:t>
            </w:r>
            <m:oMath>
              <m:r>
                <m:rPr>
                  <m:sty m:val="p"/>
                </m:rPr>
                <w:rPr>
                  <w:rFonts w:ascii="Cambria Math" w:hAnsi="Cambria Math"/>
                  <w:sz w:val="24"/>
                  <w:szCs w:val="24"/>
                </w:rPr>
                <m:t>m</m:t>
              </m:r>
            </m:oMath>
          </w:p>
        </w:tc>
        <w:tc>
          <w:tcPr>
            <w:tcW w:w="1417" w:type="dxa"/>
            <w:vAlign w:val="center"/>
          </w:tcPr>
          <w:p>
            <w:pPr>
              <w:jc w:val="center"/>
              <w:rPr>
                <w:sz w:val="24"/>
                <w:szCs w:val="24"/>
              </w:rPr>
            </w:pPr>
            <w:r>
              <w:rPr>
                <w:sz w:val="24"/>
                <w:szCs w:val="24"/>
              </w:rPr>
              <w:t>15</w:t>
            </w:r>
          </w:p>
        </w:tc>
        <w:tc>
          <w:tcPr>
            <w:tcW w:w="1927" w:type="dxa"/>
            <w:vMerge w:val="continue"/>
            <w:tcBorders>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64" w:type="dxa"/>
            <w:vMerge w:val="restart"/>
            <w:tcBorders>
              <w:left w:val="single" w:color="auto" w:sz="12" w:space="0"/>
            </w:tcBorders>
            <w:vAlign w:val="center"/>
          </w:tcPr>
          <w:p>
            <w:pPr>
              <w:jc w:val="center"/>
              <w:rPr>
                <w:sz w:val="24"/>
                <w:szCs w:val="24"/>
              </w:rPr>
            </w:pPr>
            <w:r>
              <w:rPr>
                <w:sz w:val="24"/>
                <w:szCs w:val="24"/>
              </w:rPr>
              <w:t>4</w:t>
            </w:r>
          </w:p>
        </w:tc>
        <w:tc>
          <w:tcPr>
            <w:tcW w:w="1279" w:type="dxa"/>
            <w:vMerge w:val="restart"/>
            <w:vAlign w:val="center"/>
          </w:tcPr>
          <w:p>
            <w:pPr>
              <w:jc w:val="center"/>
              <w:rPr>
                <w:sz w:val="24"/>
                <w:szCs w:val="24"/>
              </w:rPr>
            </w:pPr>
            <w:r>
              <w:rPr>
                <w:sz w:val="24"/>
                <w:szCs w:val="24"/>
              </w:rPr>
              <w:t>相邻构件平整度</w:t>
            </w:r>
          </w:p>
        </w:tc>
        <w:tc>
          <w:tcPr>
            <w:tcW w:w="992" w:type="dxa"/>
            <w:vMerge w:val="restart"/>
            <w:vAlign w:val="center"/>
          </w:tcPr>
          <w:p>
            <w:pPr>
              <w:jc w:val="center"/>
              <w:rPr>
                <w:sz w:val="24"/>
                <w:szCs w:val="24"/>
              </w:rPr>
            </w:pPr>
            <w:r>
              <w:rPr>
                <w:sz w:val="24"/>
                <w:szCs w:val="24"/>
              </w:rPr>
              <w:t>墙侧面</w:t>
            </w:r>
          </w:p>
        </w:tc>
        <w:tc>
          <w:tcPr>
            <w:tcW w:w="2127" w:type="dxa"/>
            <w:vAlign w:val="center"/>
          </w:tcPr>
          <w:p>
            <w:pPr>
              <w:jc w:val="center"/>
              <w:rPr>
                <w:sz w:val="24"/>
                <w:szCs w:val="24"/>
              </w:rPr>
            </w:pPr>
            <w:r>
              <w:rPr>
                <w:sz w:val="24"/>
                <w:szCs w:val="24"/>
              </w:rPr>
              <w:t>外露</w:t>
            </w:r>
          </w:p>
        </w:tc>
        <w:tc>
          <w:tcPr>
            <w:tcW w:w="1417" w:type="dxa"/>
            <w:vAlign w:val="center"/>
          </w:tcPr>
          <w:p>
            <w:pPr>
              <w:jc w:val="center"/>
              <w:rPr>
                <w:sz w:val="24"/>
                <w:szCs w:val="24"/>
              </w:rPr>
            </w:pPr>
            <w:r>
              <w:rPr>
                <w:rFonts w:hint="eastAsia"/>
                <w:sz w:val="24"/>
                <w:szCs w:val="24"/>
              </w:rPr>
              <w:t>±</w:t>
            </w:r>
            <w:r>
              <w:rPr>
                <w:sz w:val="24"/>
                <w:szCs w:val="24"/>
              </w:rPr>
              <w:t>3</w:t>
            </w:r>
          </w:p>
        </w:tc>
        <w:tc>
          <w:tcPr>
            <w:tcW w:w="1927" w:type="dxa"/>
            <w:vMerge w:val="restart"/>
            <w:tcBorders>
              <w:right w:val="single" w:color="auto" w:sz="12" w:space="0"/>
            </w:tcBorders>
            <w:vAlign w:val="center"/>
          </w:tcPr>
          <w:p>
            <w:pPr>
              <w:jc w:val="center"/>
              <w:rPr>
                <w:sz w:val="24"/>
                <w:szCs w:val="24"/>
              </w:rPr>
            </w:pPr>
            <w:r>
              <w:rPr>
                <w:sz w:val="24"/>
                <w:szCs w:val="24"/>
              </w:rPr>
              <w:t>用2</w:t>
            </w:r>
            <m:oMath>
              <m:r>
                <m:rPr>
                  <m:sty m:val="p"/>
                </m:rPr>
                <w:rPr>
                  <w:rFonts w:ascii="Cambria Math" w:hAnsi="Cambria Math"/>
                  <w:sz w:val="24"/>
                  <w:szCs w:val="24"/>
                </w:rPr>
                <m:t>m</m:t>
              </m:r>
            </m:oMath>
            <w:r>
              <w:rPr>
                <w:sz w:val="24"/>
                <w:szCs w:val="24"/>
              </w:rPr>
              <w:t>靠尺或塞尺量测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4" w:type="dxa"/>
            <w:vMerge w:val="continue"/>
            <w:tcBorders>
              <w:left w:val="single" w:color="auto" w:sz="12" w:space="0"/>
            </w:tcBorders>
            <w:vAlign w:val="center"/>
          </w:tcPr>
          <w:p>
            <w:pPr>
              <w:jc w:val="center"/>
              <w:rPr>
                <w:sz w:val="24"/>
                <w:szCs w:val="24"/>
              </w:rPr>
            </w:pPr>
          </w:p>
        </w:tc>
        <w:tc>
          <w:tcPr>
            <w:tcW w:w="1279" w:type="dxa"/>
            <w:vMerge w:val="continue"/>
            <w:vAlign w:val="center"/>
          </w:tcPr>
          <w:p>
            <w:pPr>
              <w:jc w:val="center"/>
              <w:rPr>
                <w:sz w:val="24"/>
                <w:szCs w:val="24"/>
              </w:rPr>
            </w:pPr>
          </w:p>
        </w:tc>
        <w:tc>
          <w:tcPr>
            <w:tcW w:w="992" w:type="dxa"/>
            <w:vMerge w:val="continue"/>
            <w:vAlign w:val="center"/>
          </w:tcPr>
          <w:p>
            <w:pPr>
              <w:jc w:val="center"/>
              <w:rPr>
                <w:sz w:val="24"/>
                <w:szCs w:val="24"/>
              </w:rPr>
            </w:pPr>
          </w:p>
        </w:tc>
        <w:tc>
          <w:tcPr>
            <w:tcW w:w="2127" w:type="dxa"/>
            <w:vAlign w:val="center"/>
          </w:tcPr>
          <w:p>
            <w:pPr>
              <w:jc w:val="center"/>
              <w:rPr>
                <w:sz w:val="24"/>
                <w:szCs w:val="24"/>
              </w:rPr>
            </w:pPr>
            <w:r>
              <w:rPr>
                <w:sz w:val="24"/>
                <w:szCs w:val="24"/>
              </w:rPr>
              <w:t>不外露</w:t>
            </w:r>
          </w:p>
        </w:tc>
        <w:tc>
          <w:tcPr>
            <w:tcW w:w="1417" w:type="dxa"/>
            <w:vAlign w:val="center"/>
          </w:tcPr>
          <w:p>
            <w:pPr>
              <w:jc w:val="center"/>
              <w:rPr>
                <w:sz w:val="24"/>
                <w:szCs w:val="24"/>
              </w:rPr>
            </w:pPr>
            <w:r>
              <w:rPr>
                <w:rFonts w:hint="eastAsia"/>
                <w:sz w:val="24"/>
                <w:szCs w:val="24"/>
              </w:rPr>
              <w:t>±</w:t>
            </w:r>
            <w:r>
              <w:rPr>
                <w:sz w:val="24"/>
                <w:szCs w:val="24"/>
              </w:rPr>
              <w:t>5</w:t>
            </w:r>
          </w:p>
        </w:tc>
        <w:tc>
          <w:tcPr>
            <w:tcW w:w="1927" w:type="dxa"/>
            <w:vMerge w:val="continue"/>
            <w:tcBorders>
              <w:right w:val="single" w:color="auto" w:sz="12" w:space="0"/>
            </w:tcBorders>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4" w:type="dxa"/>
            <w:tcBorders>
              <w:left w:val="single" w:color="auto" w:sz="12" w:space="0"/>
              <w:bottom w:val="single" w:color="auto" w:sz="4" w:space="0"/>
            </w:tcBorders>
            <w:vAlign w:val="center"/>
          </w:tcPr>
          <w:p>
            <w:pPr>
              <w:jc w:val="center"/>
              <w:rPr>
                <w:sz w:val="24"/>
                <w:szCs w:val="24"/>
              </w:rPr>
            </w:pPr>
            <w:r>
              <w:rPr>
                <w:sz w:val="24"/>
                <w:szCs w:val="24"/>
              </w:rPr>
              <w:t>5</w:t>
            </w:r>
          </w:p>
        </w:tc>
        <w:tc>
          <w:tcPr>
            <w:tcW w:w="4398" w:type="dxa"/>
            <w:gridSpan w:val="3"/>
            <w:vAlign w:val="center"/>
          </w:tcPr>
          <w:p>
            <w:pPr>
              <w:jc w:val="center"/>
              <w:rPr>
                <w:sz w:val="24"/>
                <w:szCs w:val="24"/>
              </w:rPr>
            </w:pPr>
            <w:r>
              <w:rPr>
                <w:sz w:val="24"/>
                <w:szCs w:val="24"/>
              </w:rPr>
              <w:t>支座、支垫中心位置</w:t>
            </w:r>
          </w:p>
        </w:tc>
        <w:tc>
          <w:tcPr>
            <w:tcW w:w="1417" w:type="dxa"/>
            <w:vAlign w:val="center"/>
          </w:tcPr>
          <w:p>
            <w:pPr>
              <w:jc w:val="center"/>
              <w:rPr>
                <w:sz w:val="24"/>
                <w:szCs w:val="24"/>
              </w:rPr>
            </w:pPr>
            <w:r>
              <w:rPr>
                <w:rFonts w:hint="eastAsia"/>
                <w:sz w:val="24"/>
                <w:szCs w:val="24"/>
              </w:rPr>
              <w:t>±</w:t>
            </w:r>
            <w:r>
              <w:rPr>
                <w:sz w:val="24"/>
                <w:szCs w:val="24"/>
              </w:rPr>
              <w:t>5</w:t>
            </w:r>
          </w:p>
        </w:tc>
        <w:tc>
          <w:tcPr>
            <w:tcW w:w="1927" w:type="dxa"/>
            <w:tcBorders>
              <w:right w:val="single" w:color="auto" w:sz="12" w:space="0"/>
            </w:tcBorders>
            <w:vAlign w:val="center"/>
          </w:tcPr>
          <w:p>
            <w:pPr>
              <w:jc w:val="center"/>
              <w:rPr>
                <w:sz w:val="24"/>
                <w:szCs w:val="24"/>
              </w:rPr>
            </w:pPr>
            <w:r>
              <w:rPr>
                <w:sz w:val="24"/>
                <w:szCs w:val="24"/>
              </w:rPr>
              <w:t>用尺量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564" w:type="dxa"/>
            <w:vMerge w:val="restart"/>
            <w:tcBorders>
              <w:left w:val="single" w:color="auto" w:sz="12" w:space="0"/>
            </w:tcBorders>
            <w:vAlign w:val="center"/>
          </w:tcPr>
          <w:p>
            <w:pPr>
              <w:jc w:val="center"/>
              <w:rPr>
                <w:sz w:val="24"/>
                <w:szCs w:val="24"/>
              </w:rPr>
            </w:pPr>
            <w:r>
              <w:rPr>
                <w:sz w:val="24"/>
                <w:szCs w:val="24"/>
              </w:rPr>
              <w:t>6</w:t>
            </w:r>
          </w:p>
        </w:tc>
        <w:tc>
          <w:tcPr>
            <w:tcW w:w="1279" w:type="dxa"/>
            <w:vMerge w:val="restart"/>
            <w:vAlign w:val="center"/>
          </w:tcPr>
          <w:p>
            <w:pPr>
              <w:jc w:val="center"/>
              <w:rPr>
                <w:sz w:val="24"/>
                <w:szCs w:val="24"/>
              </w:rPr>
            </w:pPr>
            <w:r>
              <w:rPr>
                <w:sz w:val="24"/>
                <w:szCs w:val="24"/>
              </w:rPr>
              <w:t>墙板接缝</w:t>
            </w:r>
          </w:p>
        </w:tc>
        <w:tc>
          <w:tcPr>
            <w:tcW w:w="3119" w:type="dxa"/>
            <w:gridSpan w:val="2"/>
            <w:vAlign w:val="center"/>
          </w:tcPr>
          <w:p>
            <w:pPr>
              <w:jc w:val="center"/>
              <w:rPr>
                <w:sz w:val="24"/>
                <w:szCs w:val="24"/>
              </w:rPr>
            </w:pPr>
            <w:r>
              <w:rPr>
                <w:sz w:val="24"/>
                <w:szCs w:val="24"/>
              </w:rPr>
              <w:t>宽度</w:t>
            </w:r>
          </w:p>
        </w:tc>
        <w:tc>
          <w:tcPr>
            <w:tcW w:w="1417" w:type="dxa"/>
            <w:vMerge w:val="restart"/>
            <w:vAlign w:val="center"/>
          </w:tcPr>
          <w:p>
            <w:pPr>
              <w:jc w:val="center"/>
              <w:rPr>
                <w:sz w:val="24"/>
                <w:szCs w:val="24"/>
              </w:rPr>
            </w:pPr>
            <m:oMath>
              <m:r>
                <w:rPr>
                  <w:rFonts w:ascii="Cambria Math" w:hAnsi="Cambria Math"/>
                  <w:sz w:val="24"/>
                  <w:szCs w:val="24"/>
                </w:rPr>
                <m:t>±</m:t>
              </m:r>
            </m:oMath>
            <w:r>
              <w:rPr>
                <w:sz w:val="24"/>
                <w:szCs w:val="24"/>
              </w:rPr>
              <w:t>5</w:t>
            </w:r>
          </w:p>
        </w:tc>
        <w:tc>
          <w:tcPr>
            <w:tcW w:w="1927" w:type="dxa"/>
            <w:vMerge w:val="restart"/>
            <w:tcBorders>
              <w:right w:val="single" w:color="auto" w:sz="12" w:space="0"/>
            </w:tcBorders>
            <w:vAlign w:val="center"/>
          </w:tcPr>
          <w:p>
            <w:pPr>
              <w:jc w:val="center"/>
              <w:rPr>
                <w:sz w:val="24"/>
                <w:szCs w:val="24"/>
              </w:rPr>
            </w:pPr>
            <w:r>
              <w:rPr>
                <w:sz w:val="24"/>
                <w:szCs w:val="24"/>
              </w:rPr>
              <w:t>用尺量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564" w:type="dxa"/>
            <w:vMerge w:val="continue"/>
            <w:tcBorders>
              <w:left w:val="single" w:color="auto" w:sz="12" w:space="0"/>
              <w:bottom w:val="single" w:color="auto" w:sz="12" w:space="0"/>
            </w:tcBorders>
            <w:vAlign w:val="center"/>
          </w:tcPr>
          <w:p>
            <w:pPr>
              <w:jc w:val="center"/>
              <w:rPr>
                <w:sz w:val="24"/>
                <w:szCs w:val="24"/>
              </w:rPr>
            </w:pPr>
          </w:p>
        </w:tc>
        <w:tc>
          <w:tcPr>
            <w:tcW w:w="1279" w:type="dxa"/>
            <w:vMerge w:val="continue"/>
            <w:tcBorders>
              <w:bottom w:val="single" w:color="auto" w:sz="12" w:space="0"/>
            </w:tcBorders>
            <w:vAlign w:val="center"/>
          </w:tcPr>
          <w:p>
            <w:pPr>
              <w:jc w:val="center"/>
              <w:rPr>
                <w:sz w:val="24"/>
                <w:szCs w:val="24"/>
              </w:rPr>
            </w:pPr>
          </w:p>
        </w:tc>
        <w:tc>
          <w:tcPr>
            <w:tcW w:w="3119" w:type="dxa"/>
            <w:gridSpan w:val="2"/>
            <w:tcBorders>
              <w:bottom w:val="single" w:color="auto" w:sz="12" w:space="0"/>
            </w:tcBorders>
            <w:vAlign w:val="center"/>
          </w:tcPr>
          <w:p>
            <w:pPr>
              <w:jc w:val="center"/>
              <w:rPr>
                <w:sz w:val="24"/>
                <w:szCs w:val="24"/>
              </w:rPr>
            </w:pPr>
            <w:r>
              <w:rPr>
                <w:sz w:val="24"/>
                <w:szCs w:val="24"/>
              </w:rPr>
              <w:t>中心线位置</w:t>
            </w:r>
          </w:p>
        </w:tc>
        <w:tc>
          <w:tcPr>
            <w:tcW w:w="1417" w:type="dxa"/>
            <w:vMerge w:val="continue"/>
            <w:tcBorders>
              <w:bottom w:val="single" w:color="auto" w:sz="12" w:space="0"/>
            </w:tcBorders>
            <w:vAlign w:val="center"/>
          </w:tcPr>
          <w:p>
            <w:pPr>
              <w:jc w:val="center"/>
              <w:rPr>
                <w:rFonts w:eastAsia="等线"/>
                <w:sz w:val="24"/>
                <w:szCs w:val="24"/>
              </w:rPr>
            </w:pPr>
          </w:p>
        </w:tc>
        <w:tc>
          <w:tcPr>
            <w:tcW w:w="1927" w:type="dxa"/>
            <w:vMerge w:val="continue"/>
            <w:tcBorders>
              <w:bottom w:val="single" w:color="auto" w:sz="12" w:space="0"/>
              <w:right w:val="single" w:color="auto" w:sz="12" w:space="0"/>
            </w:tcBorders>
            <w:vAlign w:val="center"/>
          </w:tcPr>
          <w:p>
            <w:pPr>
              <w:jc w:val="center"/>
              <w:rPr>
                <w:sz w:val="24"/>
                <w:szCs w:val="24"/>
              </w:rPr>
            </w:pPr>
          </w:p>
        </w:tc>
      </w:tr>
    </w:tbl>
    <w:p/>
    <w:p>
      <w:pPr>
        <w:pStyle w:val="47"/>
        <w:numPr>
          <w:ilvl w:val="0"/>
          <w:numId w:val="55"/>
        </w:numPr>
        <w:ind w:left="0" w:firstLine="480"/>
        <w:sectPr>
          <w:type w:val="continuous"/>
          <w:pgSz w:w="11906" w:h="16838"/>
          <w:pgMar w:top="1440" w:right="1800" w:bottom="1440" w:left="1800" w:header="851" w:footer="992" w:gutter="0"/>
          <w:cols w:space="425" w:num="1"/>
          <w:docGrid w:type="linesAndChars" w:linePitch="312" w:charSpace="0"/>
        </w:sectPr>
      </w:pPr>
    </w:p>
    <w:p>
      <w:pPr>
        <w:pStyle w:val="2"/>
        <w:pageBreakBefore/>
        <w:numPr>
          <w:ilvl w:val="0"/>
          <w:numId w:val="0"/>
        </w:numPr>
        <w:spacing w:before="312" w:after="312"/>
        <w:ind w:left="431"/>
        <w:rPr>
          <w:b w:val="0"/>
          <w:bCs w:val="0"/>
        </w:rPr>
      </w:pPr>
      <w:bookmarkStart w:id="243" w:name="_Toc532543021"/>
      <w:bookmarkStart w:id="244" w:name="_Toc45313958"/>
      <w:bookmarkStart w:id="245" w:name="_Toc45574563"/>
      <w:r>
        <w:rPr>
          <w:b w:val="0"/>
          <w:bCs w:val="0"/>
        </w:rPr>
        <w:t>本规程用词说明</w:t>
      </w:r>
      <w:bookmarkEnd w:id="243"/>
      <w:bookmarkEnd w:id="244"/>
      <w:bookmarkEnd w:id="245"/>
    </w:p>
    <w:p>
      <w:pPr>
        <w:ind w:firstLine="482"/>
      </w:pPr>
      <w:r>
        <w:rPr>
          <w:b/>
        </w:rPr>
        <w:t>1</w:t>
      </w:r>
      <w:r>
        <w:t xml:space="preserve">  为便于在执行本规程条文时区别对待，对要求严格程度不同的用词说明如下：</w:t>
      </w:r>
    </w:p>
    <w:p>
      <w:pPr>
        <w:ind w:firstLine="482"/>
      </w:pPr>
      <w:r>
        <w:rPr>
          <w:b/>
        </w:rPr>
        <w:t>1）</w:t>
      </w:r>
      <w:r>
        <w:t xml:space="preserve"> 表示很严格，非这样做不可的：</w:t>
      </w:r>
    </w:p>
    <w:p>
      <w:pPr>
        <w:ind w:firstLine="1152" w:firstLineChars="400"/>
      </w:pPr>
      <w:r>
        <w:t>正面词采用“必须”；反面词采用“严禁”；</w:t>
      </w:r>
    </w:p>
    <w:p>
      <w:pPr>
        <w:ind w:firstLine="482"/>
      </w:pPr>
      <w:r>
        <w:rPr>
          <w:b/>
        </w:rPr>
        <w:t>2）</w:t>
      </w:r>
      <w:r>
        <w:t xml:space="preserve"> 表示严格，在正常情况下均应这样做的：</w:t>
      </w:r>
    </w:p>
    <w:p>
      <w:pPr>
        <w:ind w:firstLine="1152" w:firstLineChars="400"/>
      </w:pPr>
      <w:r>
        <w:t>正面词采用“应”；反面词采用“不应”或“不得”；</w:t>
      </w:r>
    </w:p>
    <w:p>
      <w:pPr>
        <w:ind w:firstLine="482"/>
      </w:pPr>
      <w:r>
        <w:rPr>
          <w:b/>
        </w:rPr>
        <w:t>3）</w:t>
      </w:r>
      <w:r>
        <w:t xml:space="preserve"> 表示允许稍有选择，在条件允许时首先这样做的：</w:t>
      </w:r>
    </w:p>
    <w:p>
      <w:pPr>
        <w:ind w:firstLine="1152" w:firstLineChars="400"/>
      </w:pPr>
      <w:r>
        <w:t>正面词采用“宜”；反面词采用“不宜”；</w:t>
      </w:r>
    </w:p>
    <w:p>
      <w:pPr>
        <w:ind w:firstLine="482"/>
      </w:pPr>
      <w:r>
        <w:rPr>
          <w:b/>
        </w:rPr>
        <w:t>4）</w:t>
      </w:r>
      <w:r>
        <w:t xml:space="preserve"> 表示有选择，在一定条件下可以这样做的，采用“可”。</w:t>
      </w:r>
    </w:p>
    <w:p>
      <w:pPr>
        <w:ind w:firstLine="482"/>
        <w:sectPr>
          <w:type w:val="continuous"/>
          <w:pgSz w:w="11906" w:h="16838"/>
          <w:pgMar w:top="1440" w:right="1800" w:bottom="1440" w:left="1800" w:header="851" w:footer="992" w:gutter="0"/>
          <w:cols w:space="425" w:num="1"/>
          <w:docGrid w:type="linesAndChars" w:linePitch="312" w:charSpace="0"/>
        </w:sectPr>
      </w:pPr>
      <w:r>
        <w:rPr>
          <w:b/>
        </w:rPr>
        <w:t>2</w:t>
      </w:r>
      <w:r>
        <w:t xml:space="preserve"> 条文中指明应按其他有关标准、规范执行的写法为：“应符合……的规定”或“应按……执行”。</w:t>
      </w:r>
    </w:p>
    <w:p>
      <w:pPr>
        <w:pStyle w:val="2"/>
        <w:pageBreakBefore/>
        <w:numPr>
          <w:ilvl w:val="0"/>
          <w:numId w:val="0"/>
        </w:numPr>
        <w:spacing w:before="312" w:after="312"/>
        <w:rPr>
          <w:b w:val="0"/>
          <w:bCs w:val="0"/>
        </w:rPr>
      </w:pPr>
      <w:bookmarkStart w:id="246" w:name="_Toc423439533"/>
      <w:bookmarkStart w:id="247" w:name="_Toc532309578"/>
      <w:bookmarkStart w:id="248" w:name="_Toc518395673"/>
      <w:bookmarkStart w:id="249" w:name="_Toc421089437"/>
      <w:bookmarkStart w:id="250" w:name="_Toc437345330"/>
      <w:bookmarkStart w:id="251" w:name="_Toc420920612"/>
      <w:bookmarkStart w:id="252" w:name="_Toc45574564"/>
      <w:bookmarkStart w:id="253" w:name="_Toc532543022"/>
      <w:bookmarkStart w:id="254" w:name="_Toc424215570"/>
      <w:bookmarkStart w:id="255" w:name="_Toc528328024"/>
      <w:bookmarkStart w:id="256" w:name="_Toc420919705"/>
      <w:bookmarkStart w:id="257" w:name="_Toc45313959"/>
      <w:r>
        <w:rPr>
          <w:b w:val="0"/>
          <w:bCs w:val="0"/>
        </w:rPr>
        <w:t>引用标准名录</w:t>
      </w:r>
      <w:bookmarkEnd w:id="246"/>
      <w:bookmarkEnd w:id="247"/>
      <w:bookmarkEnd w:id="248"/>
      <w:bookmarkEnd w:id="249"/>
      <w:bookmarkEnd w:id="250"/>
      <w:bookmarkEnd w:id="251"/>
      <w:bookmarkEnd w:id="252"/>
      <w:bookmarkEnd w:id="253"/>
      <w:bookmarkEnd w:id="254"/>
      <w:bookmarkEnd w:id="255"/>
      <w:bookmarkEnd w:id="256"/>
      <w:bookmarkEnd w:id="257"/>
    </w:p>
    <w:p>
      <w:pPr>
        <w:pStyle w:val="47"/>
        <w:adjustRightInd w:val="0"/>
        <w:snapToGrid w:val="0"/>
        <w:ind w:left="420" w:hanging="420"/>
        <w:rPr>
          <w:szCs w:val="24"/>
        </w:rPr>
      </w:pPr>
      <w:r>
        <w:rPr>
          <w:b/>
          <w:bCs/>
          <w:szCs w:val="24"/>
        </w:rPr>
        <w:t>1</w:t>
      </w:r>
      <w:r>
        <w:rPr>
          <w:szCs w:val="24"/>
        </w:rPr>
        <w:tab/>
      </w:r>
      <w:r>
        <w:rPr>
          <w:szCs w:val="24"/>
        </w:rPr>
        <w:t>《建筑结构荷载规范》GB 50009</w:t>
      </w:r>
    </w:p>
    <w:p>
      <w:pPr>
        <w:pStyle w:val="47"/>
        <w:adjustRightInd w:val="0"/>
        <w:snapToGrid w:val="0"/>
        <w:ind w:left="420" w:hanging="420"/>
        <w:rPr>
          <w:szCs w:val="24"/>
        </w:rPr>
      </w:pPr>
      <w:r>
        <w:rPr>
          <w:b/>
          <w:bCs/>
          <w:szCs w:val="24"/>
        </w:rPr>
        <w:t>2</w:t>
      </w:r>
      <w:r>
        <w:rPr>
          <w:szCs w:val="24"/>
        </w:rPr>
        <w:tab/>
      </w:r>
      <w:r>
        <w:rPr>
          <w:szCs w:val="24"/>
        </w:rPr>
        <w:t>《混凝土结构设计规范》GB 50010</w:t>
      </w:r>
    </w:p>
    <w:p>
      <w:pPr>
        <w:pStyle w:val="47"/>
        <w:adjustRightInd w:val="0"/>
        <w:snapToGrid w:val="0"/>
        <w:ind w:left="420" w:hanging="420"/>
        <w:rPr>
          <w:szCs w:val="24"/>
        </w:rPr>
      </w:pPr>
      <w:r>
        <w:rPr>
          <w:b/>
          <w:bCs/>
          <w:szCs w:val="24"/>
        </w:rPr>
        <w:t>3</w:t>
      </w:r>
      <w:r>
        <w:rPr>
          <w:szCs w:val="24"/>
        </w:rPr>
        <w:tab/>
      </w:r>
      <w:r>
        <w:rPr>
          <w:szCs w:val="24"/>
        </w:rPr>
        <w:t>《建筑抗震设计规范》GB 50011</w:t>
      </w:r>
    </w:p>
    <w:p>
      <w:pPr>
        <w:pStyle w:val="47"/>
        <w:adjustRightInd w:val="0"/>
        <w:snapToGrid w:val="0"/>
        <w:ind w:left="420" w:hanging="420"/>
        <w:rPr>
          <w:szCs w:val="24"/>
        </w:rPr>
      </w:pPr>
      <w:r>
        <w:rPr>
          <w:b/>
          <w:bCs/>
          <w:szCs w:val="24"/>
        </w:rPr>
        <w:t>4</w:t>
      </w:r>
      <w:r>
        <w:rPr>
          <w:szCs w:val="24"/>
        </w:rPr>
        <w:tab/>
      </w:r>
      <w:r>
        <w:rPr>
          <w:szCs w:val="24"/>
        </w:rPr>
        <w:t>《混凝土结构工程施工质量验收规范》GB 50204</w:t>
      </w:r>
    </w:p>
    <w:p>
      <w:pPr>
        <w:pStyle w:val="47"/>
        <w:adjustRightInd w:val="0"/>
        <w:snapToGrid w:val="0"/>
        <w:ind w:left="420" w:hanging="420"/>
        <w:rPr>
          <w:szCs w:val="24"/>
        </w:rPr>
      </w:pPr>
      <w:r>
        <w:rPr>
          <w:b/>
          <w:bCs/>
          <w:szCs w:val="24"/>
        </w:rPr>
        <w:t>5</w:t>
      </w:r>
      <w:r>
        <w:rPr>
          <w:szCs w:val="24"/>
        </w:rPr>
        <w:tab/>
      </w:r>
      <w:r>
        <w:rPr>
          <w:szCs w:val="24"/>
        </w:rPr>
        <w:t>《建筑工程抗震设防分类标准》GB 50223</w:t>
      </w:r>
    </w:p>
    <w:p>
      <w:pPr>
        <w:pStyle w:val="47"/>
        <w:adjustRightInd w:val="0"/>
        <w:snapToGrid w:val="0"/>
        <w:ind w:left="420" w:hanging="420"/>
        <w:rPr>
          <w:szCs w:val="24"/>
        </w:rPr>
      </w:pPr>
      <w:r>
        <w:rPr>
          <w:b/>
          <w:bCs/>
          <w:szCs w:val="24"/>
        </w:rPr>
        <w:t>6</w:t>
      </w:r>
      <w:r>
        <w:rPr>
          <w:szCs w:val="24"/>
        </w:rPr>
        <w:tab/>
      </w:r>
      <w:r>
        <w:rPr>
          <w:szCs w:val="24"/>
        </w:rPr>
        <w:t>《建筑工程施工质量验收统一标准》GB 50300</w:t>
      </w:r>
    </w:p>
    <w:p>
      <w:pPr>
        <w:pStyle w:val="47"/>
        <w:adjustRightInd w:val="0"/>
        <w:snapToGrid w:val="0"/>
        <w:ind w:left="420" w:hanging="420"/>
        <w:rPr>
          <w:szCs w:val="24"/>
        </w:rPr>
      </w:pPr>
      <w:r>
        <w:rPr>
          <w:b/>
          <w:bCs/>
          <w:szCs w:val="24"/>
        </w:rPr>
        <w:t>7</w:t>
      </w:r>
      <w:r>
        <w:rPr>
          <w:szCs w:val="24"/>
        </w:rPr>
        <w:tab/>
      </w:r>
      <w:r>
        <w:rPr>
          <w:szCs w:val="24"/>
        </w:rPr>
        <w:t>《混凝土结构工程施工规范》GB 50666</w:t>
      </w:r>
    </w:p>
    <w:p>
      <w:pPr>
        <w:pStyle w:val="47"/>
        <w:adjustRightInd w:val="0"/>
        <w:snapToGrid w:val="0"/>
        <w:ind w:left="420" w:hanging="420"/>
        <w:rPr>
          <w:szCs w:val="24"/>
        </w:rPr>
      </w:pPr>
      <w:r>
        <w:rPr>
          <w:b/>
          <w:bCs/>
          <w:szCs w:val="24"/>
        </w:rPr>
        <w:t>8</w:t>
      </w:r>
      <w:r>
        <w:rPr>
          <w:szCs w:val="24"/>
        </w:rPr>
        <w:tab/>
      </w:r>
      <w:r>
        <w:rPr>
          <w:szCs w:val="24"/>
        </w:rPr>
        <w:t>《建筑材料及制品燃烧性能分级》GB 8624</w:t>
      </w:r>
    </w:p>
    <w:p>
      <w:pPr>
        <w:pStyle w:val="47"/>
        <w:adjustRightInd w:val="0"/>
        <w:snapToGrid w:val="0"/>
        <w:ind w:left="420" w:hanging="420"/>
        <w:rPr>
          <w:szCs w:val="24"/>
        </w:rPr>
      </w:pPr>
      <w:r>
        <w:rPr>
          <w:b/>
          <w:bCs/>
          <w:szCs w:val="24"/>
        </w:rPr>
        <w:t>9</w:t>
      </w:r>
      <w:r>
        <w:rPr>
          <w:szCs w:val="24"/>
        </w:rPr>
        <w:t xml:space="preserve"> 《混凝土结构耐久性设计规范》GB/T 50476</w:t>
      </w:r>
    </w:p>
    <w:p>
      <w:pPr>
        <w:pStyle w:val="47"/>
        <w:adjustRightInd w:val="0"/>
        <w:snapToGrid w:val="0"/>
        <w:ind w:left="420" w:hanging="420"/>
        <w:rPr>
          <w:szCs w:val="24"/>
        </w:rPr>
      </w:pPr>
      <w:r>
        <w:rPr>
          <w:b/>
          <w:bCs/>
          <w:szCs w:val="24"/>
        </w:rPr>
        <w:t>10</w:t>
      </w:r>
      <w:r>
        <w:rPr>
          <w:szCs w:val="24"/>
        </w:rPr>
        <w:tab/>
      </w:r>
      <w:r>
        <w:rPr>
          <w:szCs w:val="24"/>
        </w:rPr>
        <w:t>《装配式混凝土建筑技术标准》GB/T 51231</w:t>
      </w:r>
    </w:p>
    <w:p>
      <w:pPr>
        <w:pStyle w:val="47"/>
        <w:adjustRightInd w:val="0"/>
        <w:snapToGrid w:val="0"/>
        <w:ind w:left="420" w:hanging="420"/>
        <w:rPr>
          <w:szCs w:val="24"/>
        </w:rPr>
      </w:pPr>
      <w:r>
        <w:rPr>
          <w:b/>
          <w:bCs/>
          <w:szCs w:val="24"/>
        </w:rPr>
        <w:t>11</w:t>
      </w:r>
      <w:r>
        <w:rPr>
          <w:szCs w:val="24"/>
        </w:rPr>
        <w:tab/>
      </w:r>
      <w:r>
        <w:rPr>
          <w:szCs w:val="24"/>
        </w:rPr>
        <w:t>《装配式混凝土结构技术规程》JGJ 1</w:t>
      </w:r>
    </w:p>
    <w:p>
      <w:pPr>
        <w:pStyle w:val="47"/>
        <w:adjustRightInd w:val="0"/>
        <w:snapToGrid w:val="0"/>
        <w:ind w:left="420" w:hanging="420"/>
        <w:rPr>
          <w:szCs w:val="24"/>
        </w:rPr>
      </w:pPr>
      <w:r>
        <w:rPr>
          <w:b/>
          <w:bCs/>
          <w:szCs w:val="24"/>
        </w:rPr>
        <w:t>12</w:t>
      </w:r>
      <w:r>
        <w:rPr>
          <w:szCs w:val="24"/>
        </w:rPr>
        <w:tab/>
      </w:r>
      <w:r>
        <w:rPr>
          <w:szCs w:val="24"/>
        </w:rPr>
        <w:t>《高层建筑混凝土结构技术规程》JGJ 3</w:t>
      </w:r>
    </w:p>
    <w:p>
      <w:pPr>
        <w:pStyle w:val="47"/>
        <w:adjustRightInd w:val="0"/>
        <w:snapToGrid w:val="0"/>
        <w:ind w:left="420" w:hanging="420"/>
        <w:rPr>
          <w:szCs w:val="24"/>
        </w:rPr>
      </w:pPr>
      <w:r>
        <w:rPr>
          <w:b/>
          <w:bCs/>
          <w:szCs w:val="24"/>
        </w:rPr>
        <w:t xml:space="preserve">13 </w:t>
      </w:r>
      <w:r>
        <w:rPr>
          <w:szCs w:val="24"/>
        </w:rPr>
        <w:t>《钢筋焊接及验收规程》JGJ 18</w:t>
      </w:r>
    </w:p>
    <w:p>
      <w:pPr>
        <w:pStyle w:val="47"/>
        <w:adjustRightInd w:val="0"/>
        <w:snapToGrid w:val="0"/>
        <w:ind w:left="420" w:hanging="420"/>
        <w:rPr>
          <w:szCs w:val="24"/>
        </w:rPr>
      </w:pPr>
      <w:r>
        <w:rPr>
          <w:b/>
          <w:bCs/>
          <w:szCs w:val="24"/>
        </w:rPr>
        <w:t>14</w:t>
      </w:r>
      <w:r>
        <w:rPr>
          <w:szCs w:val="24"/>
        </w:rPr>
        <w:tab/>
      </w:r>
      <w:r>
        <w:rPr>
          <w:szCs w:val="24"/>
        </w:rPr>
        <w:t>《钢筋焊接网混凝土结构技术规程》JGJ 114</w:t>
      </w:r>
    </w:p>
    <w:p>
      <w:pPr>
        <w:pStyle w:val="47"/>
        <w:adjustRightInd w:val="0"/>
        <w:snapToGrid w:val="0"/>
        <w:ind w:left="420" w:hanging="420"/>
        <w:rPr>
          <w:szCs w:val="24"/>
        </w:rPr>
      </w:pPr>
      <w:r>
        <w:rPr>
          <w:b/>
          <w:bCs/>
          <w:szCs w:val="24"/>
        </w:rPr>
        <w:t>15</w:t>
      </w:r>
      <w:r>
        <w:rPr>
          <w:szCs w:val="24"/>
        </w:rPr>
        <w:tab/>
      </w:r>
      <w:r>
        <w:rPr>
          <w:szCs w:val="24"/>
        </w:rPr>
        <w:t>《自密实混凝土应用技术规程》JGJ/T 283</w:t>
      </w:r>
    </w:p>
    <w:p>
      <w:pPr>
        <w:pStyle w:val="47"/>
        <w:adjustRightInd w:val="0"/>
        <w:snapToGrid w:val="0"/>
        <w:ind w:left="420" w:hanging="420"/>
        <w:rPr>
          <w:szCs w:val="24"/>
        </w:rPr>
      </w:pPr>
      <w:r>
        <w:rPr>
          <w:b/>
          <w:bCs/>
          <w:szCs w:val="24"/>
        </w:rPr>
        <w:t>16</w:t>
      </w:r>
      <w:r>
        <w:rPr>
          <w:szCs w:val="24"/>
        </w:rPr>
        <w:tab/>
      </w:r>
      <w:r>
        <w:rPr>
          <w:szCs w:val="24"/>
        </w:rPr>
        <w:t>《混凝土接缝用建筑密封胶》JC/T 881</w:t>
      </w:r>
    </w:p>
    <w:p>
      <w:pPr>
        <w:pStyle w:val="47"/>
        <w:adjustRightInd w:val="0"/>
        <w:snapToGrid w:val="0"/>
        <w:ind w:left="420" w:hanging="420"/>
        <w:rPr>
          <w:szCs w:val="24"/>
        </w:rPr>
      </w:pPr>
      <w:r>
        <w:rPr>
          <w:b/>
          <w:bCs/>
          <w:szCs w:val="24"/>
        </w:rPr>
        <w:t>17</w:t>
      </w:r>
      <w:r>
        <w:rPr>
          <w:szCs w:val="24"/>
        </w:rPr>
        <w:tab/>
      </w:r>
      <w:r>
        <w:rPr>
          <w:szCs w:val="24"/>
        </w:rPr>
        <w:t>《聚合物水泥防水砂浆》JC/T 984</w:t>
      </w:r>
    </w:p>
    <w:p>
      <w:pPr>
        <w:pStyle w:val="47"/>
        <w:adjustRightInd w:val="0"/>
        <w:snapToGrid w:val="0"/>
        <w:ind w:left="420" w:hanging="420"/>
        <w:rPr>
          <w:szCs w:val="24"/>
        </w:rPr>
      </w:pPr>
      <w:bookmarkStart w:id="258" w:name="_Hlk42468955"/>
      <w:r>
        <w:rPr>
          <w:b/>
          <w:bCs/>
          <w:szCs w:val="24"/>
        </w:rPr>
        <w:t>18</w:t>
      </w:r>
      <w:r>
        <w:rPr>
          <w:szCs w:val="24"/>
        </w:rPr>
        <w:tab/>
      </w:r>
      <w:r>
        <w:rPr>
          <w:szCs w:val="24"/>
        </w:rPr>
        <w:t xml:space="preserve"> 广东省《高层建筑混凝土结构技术规程》DBJ 15-92</w:t>
      </w:r>
    </w:p>
    <w:p>
      <w:pPr>
        <w:pStyle w:val="47"/>
        <w:adjustRightInd w:val="0"/>
        <w:snapToGrid w:val="0"/>
        <w:ind w:left="420" w:hanging="420"/>
        <w:rPr>
          <w:szCs w:val="24"/>
        </w:rPr>
      </w:pPr>
      <w:r>
        <w:rPr>
          <w:b/>
          <w:bCs/>
          <w:szCs w:val="24"/>
        </w:rPr>
        <w:t>19</w:t>
      </w:r>
      <w:r>
        <w:rPr>
          <w:szCs w:val="24"/>
        </w:rPr>
        <w:tab/>
      </w:r>
      <w:r>
        <w:rPr>
          <w:szCs w:val="24"/>
        </w:rPr>
        <w:t xml:space="preserve"> </w:t>
      </w:r>
      <w:r>
        <w:t>广东省</w:t>
      </w:r>
      <w:r>
        <w:rPr>
          <w:szCs w:val="24"/>
        </w:rPr>
        <w:t>《装配式混凝土建筑结构技术规程》 DBJ 15-107</w:t>
      </w:r>
    </w:p>
    <w:bookmarkEnd w:id="0"/>
    <w:p>
      <w:pPr>
        <w:pStyle w:val="47"/>
        <w:adjustRightInd w:val="0"/>
        <w:snapToGrid w:val="0"/>
        <w:ind w:left="420" w:hanging="420"/>
        <w:rPr>
          <w:szCs w:val="24"/>
        </w:rPr>
      </w:pPr>
      <w:r>
        <w:rPr>
          <w:b/>
          <w:bCs/>
          <w:szCs w:val="24"/>
        </w:rPr>
        <w:t>20</w:t>
      </w:r>
      <w:r>
        <w:rPr>
          <w:szCs w:val="24"/>
        </w:rPr>
        <w:tab/>
      </w:r>
      <w:r>
        <w:rPr>
          <w:szCs w:val="24"/>
        </w:rPr>
        <w:t xml:space="preserve"> </w:t>
      </w:r>
      <w:r>
        <w:t>广东省《装配式混凝土建筑深化设计技术规程》DBJ/T15-155</w:t>
      </w:r>
    </w:p>
    <w:p>
      <w:pPr>
        <w:pStyle w:val="47"/>
        <w:adjustRightInd w:val="0"/>
        <w:snapToGrid w:val="0"/>
        <w:ind w:firstLine="0"/>
        <w:rPr>
          <w:szCs w:val="24"/>
        </w:rPr>
      </w:pPr>
      <w:r>
        <w:rPr>
          <w:b/>
          <w:bCs/>
          <w:szCs w:val="24"/>
        </w:rPr>
        <w:t xml:space="preserve">21 </w:t>
      </w:r>
      <w:r>
        <w:rPr>
          <w:szCs w:val="24"/>
        </w:rPr>
        <w:tab/>
      </w:r>
      <w:r>
        <w:rPr>
          <w:spacing w:val="-4"/>
          <w:szCs w:val="24"/>
        </w:rPr>
        <w:t>广东省《装配式混凝土建筑工程施工质量验收规范》DBJ/T15-171</w:t>
      </w:r>
      <w:bookmarkEnd w:id="258"/>
    </w:p>
    <w:sectPr>
      <w:type w:val="continuous"/>
      <w:pgSz w:w="11906" w:h="16838"/>
      <w:pgMar w:top="1440" w:right="1800" w:bottom="1440" w:left="180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华文仿宋">
    <w:altName w:val="仿宋"/>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8007208"/>
      <w:docPartObj>
        <w:docPartGallery w:val="AutoText"/>
      </w:docPartObj>
    </w:sdtPr>
    <w:sdtContent>
      <w:p>
        <w:pPr>
          <w:pStyle w:val="21"/>
          <w:jc w:val="center"/>
        </w:pPr>
        <w:r>
          <w:fldChar w:fldCharType="begin"/>
        </w:r>
        <w:r>
          <w:instrText xml:space="preserve">PAGE   \* MERGEFORMAT</w:instrText>
        </w:r>
        <w:r>
          <w:fldChar w:fldCharType="separate"/>
        </w:r>
        <w:r>
          <w:rPr>
            <w:lang w:val="zh-CN"/>
          </w:rPr>
          <w:t>98</w:t>
        </w:r>
        <w:r>
          <w:fldChar w:fldCharType="end"/>
        </w:r>
      </w:p>
    </w:sdtContent>
  </w:sdt>
  <w:p>
    <w:pPr>
      <w:pStyle w:val="21"/>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4AE1"/>
    <w:multiLevelType w:val="multilevel"/>
    <w:tmpl w:val="018E4AE1"/>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1A705C4"/>
    <w:multiLevelType w:val="multilevel"/>
    <w:tmpl w:val="01A705C4"/>
    <w:lvl w:ilvl="0" w:tentative="0">
      <w:start w:val="1"/>
      <w:numFmt w:val="decimal"/>
      <w:lvlText w:val="%1"/>
      <w:lvlJc w:val="left"/>
      <w:pPr>
        <w:ind w:left="1276" w:hanging="851"/>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2325B5C"/>
    <w:multiLevelType w:val="multilevel"/>
    <w:tmpl w:val="02325B5C"/>
    <w:lvl w:ilvl="0" w:tentative="0">
      <w:start w:val="1"/>
      <w:numFmt w:val="decimal"/>
      <w:lvlText w:val="%1"/>
      <w:lvlJc w:val="left"/>
      <w:pPr>
        <w:ind w:left="420" w:hanging="420"/>
      </w:pPr>
      <w:rPr>
        <w:rFonts w:hint="default" w:ascii="Times New Roman" w:hAnsi="Times New Roman" w:eastAsia="宋体" w:cs="Times New Roman"/>
        <w:b/>
        <w:i w:val="0"/>
        <w:snapToGrid/>
        <w:sz w:val="28"/>
      </w:rPr>
    </w:lvl>
    <w:lvl w:ilvl="1" w:tentative="0">
      <w:start w:val="2"/>
      <w:numFmt w:val="decimal"/>
      <w:isLgl/>
      <w:lvlText w:val="%1.%2"/>
      <w:lvlJc w:val="left"/>
      <w:pPr>
        <w:ind w:left="730" w:hanging="730"/>
      </w:pPr>
      <w:rPr>
        <w:rFonts w:hint="default"/>
        <w:b/>
      </w:rPr>
    </w:lvl>
    <w:lvl w:ilvl="2" w:tentative="0">
      <w:start w:val="2"/>
      <w:numFmt w:val="decimal"/>
      <w:isLgl/>
      <w:lvlText w:val="%1.%2.%3"/>
      <w:lvlJc w:val="left"/>
      <w:pPr>
        <w:ind w:left="730" w:hanging="730"/>
      </w:pPr>
      <w:rPr>
        <w:rFonts w:hint="default"/>
        <w:b/>
      </w:rPr>
    </w:lvl>
    <w:lvl w:ilvl="3" w:tentative="0">
      <w:start w:val="1"/>
      <w:numFmt w:val="decimal"/>
      <w:isLgl/>
      <w:lvlText w:val="%1.%2.%3.%4"/>
      <w:lvlJc w:val="left"/>
      <w:pPr>
        <w:ind w:left="1080" w:hanging="1080"/>
      </w:pPr>
      <w:rPr>
        <w:rFonts w:hint="default"/>
        <w:b/>
      </w:rPr>
    </w:lvl>
    <w:lvl w:ilvl="4" w:tentative="0">
      <w:start w:val="1"/>
      <w:numFmt w:val="decimal"/>
      <w:isLgl/>
      <w:lvlText w:val="%1.%2.%3.%4.%5"/>
      <w:lvlJc w:val="left"/>
      <w:pPr>
        <w:ind w:left="1080" w:hanging="1080"/>
      </w:pPr>
      <w:rPr>
        <w:rFonts w:hint="default"/>
        <w:b/>
      </w:rPr>
    </w:lvl>
    <w:lvl w:ilvl="5" w:tentative="0">
      <w:start w:val="1"/>
      <w:numFmt w:val="decimal"/>
      <w:isLgl/>
      <w:lvlText w:val="%1.%2.%3.%4.%5.%6"/>
      <w:lvlJc w:val="left"/>
      <w:pPr>
        <w:ind w:left="1440" w:hanging="1440"/>
      </w:pPr>
      <w:rPr>
        <w:rFonts w:hint="default"/>
        <w:b/>
      </w:rPr>
    </w:lvl>
    <w:lvl w:ilvl="6" w:tentative="0">
      <w:start w:val="1"/>
      <w:numFmt w:val="decimal"/>
      <w:isLgl/>
      <w:lvlText w:val="%1.%2.%3.%4.%5.%6.%7"/>
      <w:lvlJc w:val="left"/>
      <w:pPr>
        <w:ind w:left="1800" w:hanging="1800"/>
      </w:pPr>
      <w:rPr>
        <w:rFonts w:hint="default"/>
        <w:b/>
      </w:rPr>
    </w:lvl>
    <w:lvl w:ilvl="7" w:tentative="0">
      <w:start w:val="1"/>
      <w:numFmt w:val="decimal"/>
      <w:isLgl/>
      <w:lvlText w:val="%1.%2.%3.%4.%5.%6.%7.%8"/>
      <w:lvlJc w:val="left"/>
      <w:pPr>
        <w:ind w:left="1800" w:hanging="1800"/>
      </w:pPr>
      <w:rPr>
        <w:rFonts w:hint="default"/>
        <w:b/>
      </w:rPr>
    </w:lvl>
    <w:lvl w:ilvl="8" w:tentative="0">
      <w:start w:val="1"/>
      <w:numFmt w:val="decimal"/>
      <w:isLgl/>
      <w:lvlText w:val="%1.%2.%3.%4.%5.%6.%7.%8.%9"/>
      <w:lvlJc w:val="left"/>
      <w:pPr>
        <w:ind w:left="2160" w:hanging="2160"/>
      </w:pPr>
      <w:rPr>
        <w:rFonts w:hint="default"/>
        <w:b/>
      </w:rPr>
    </w:lvl>
  </w:abstractNum>
  <w:abstractNum w:abstractNumId="3">
    <w:nsid w:val="028E28B5"/>
    <w:multiLevelType w:val="multilevel"/>
    <w:tmpl w:val="028E28B5"/>
    <w:lvl w:ilvl="0" w:tentative="0">
      <w:start w:val="1"/>
      <w:numFmt w:val="decimal"/>
      <w:lvlText w:val="%1"/>
      <w:lvlJc w:val="left"/>
      <w:pPr>
        <w:ind w:left="420" w:hanging="420"/>
      </w:pPr>
      <w:rPr>
        <w:rFonts w:hint="default" w:ascii="Times New Roman" w:hAnsi="Times New Roman" w:eastAsia="宋体" w:cs="Times New Roman"/>
        <w:b/>
        <w:i w:val="0"/>
        <w:snapToGrid/>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BC77A07"/>
    <w:multiLevelType w:val="multilevel"/>
    <w:tmpl w:val="0BC77A07"/>
    <w:lvl w:ilvl="0" w:tentative="0">
      <w:start w:val="1"/>
      <w:numFmt w:val="decimal"/>
      <w:lvlText w:val="%1"/>
      <w:lvlJc w:val="left"/>
      <w:pPr>
        <w:ind w:left="420" w:hanging="420"/>
      </w:pPr>
      <w:rPr>
        <w:rFonts w:hint="default" w:ascii="Times New Roman" w:hAnsi="Times New Roman" w:eastAsia="宋体" w:cs="Times New Roman"/>
        <w:b/>
        <w:i w:val="0"/>
        <w:snapToGrid/>
        <w:sz w:val="28"/>
        <w:szCs w:val="28"/>
      </w:rPr>
    </w:lvl>
    <w:lvl w:ilvl="1" w:tentative="0">
      <w:start w:val="3"/>
      <w:numFmt w:val="decimal"/>
      <w:isLgl/>
      <w:lvlText w:val="%1.%2"/>
      <w:lvlJc w:val="left"/>
      <w:pPr>
        <w:ind w:left="730" w:hanging="730"/>
      </w:pPr>
      <w:rPr>
        <w:rFonts w:hint="default"/>
        <w:b/>
      </w:rPr>
    </w:lvl>
    <w:lvl w:ilvl="2" w:tentative="0">
      <w:start w:val="5"/>
      <w:numFmt w:val="decimal"/>
      <w:isLgl/>
      <w:lvlText w:val="%1.%2.%3"/>
      <w:lvlJc w:val="left"/>
      <w:pPr>
        <w:ind w:left="730" w:hanging="730"/>
      </w:pPr>
      <w:rPr>
        <w:rFonts w:hint="default"/>
        <w:b/>
      </w:rPr>
    </w:lvl>
    <w:lvl w:ilvl="3" w:tentative="0">
      <w:start w:val="1"/>
      <w:numFmt w:val="decimal"/>
      <w:isLgl/>
      <w:lvlText w:val="%1.%2.%3.%4"/>
      <w:lvlJc w:val="left"/>
      <w:pPr>
        <w:ind w:left="1080" w:hanging="1080"/>
      </w:pPr>
      <w:rPr>
        <w:rFonts w:hint="default"/>
        <w:b/>
      </w:rPr>
    </w:lvl>
    <w:lvl w:ilvl="4" w:tentative="0">
      <w:start w:val="1"/>
      <w:numFmt w:val="decimal"/>
      <w:isLgl/>
      <w:lvlText w:val="%1.%2.%3.%4.%5"/>
      <w:lvlJc w:val="left"/>
      <w:pPr>
        <w:ind w:left="1080" w:hanging="1080"/>
      </w:pPr>
      <w:rPr>
        <w:rFonts w:hint="default"/>
        <w:b/>
      </w:rPr>
    </w:lvl>
    <w:lvl w:ilvl="5" w:tentative="0">
      <w:start w:val="1"/>
      <w:numFmt w:val="decimal"/>
      <w:isLgl/>
      <w:lvlText w:val="%1.%2.%3.%4.%5.%6"/>
      <w:lvlJc w:val="left"/>
      <w:pPr>
        <w:ind w:left="1440" w:hanging="1440"/>
      </w:pPr>
      <w:rPr>
        <w:rFonts w:hint="default"/>
        <w:b/>
      </w:rPr>
    </w:lvl>
    <w:lvl w:ilvl="6" w:tentative="0">
      <w:start w:val="1"/>
      <w:numFmt w:val="decimal"/>
      <w:isLgl/>
      <w:lvlText w:val="%1.%2.%3.%4.%5.%6.%7"/>
      <w:lvlJc w:val="left"/>
      <w:pPr>
        <w:ind w:left="1800" w:hanging="1800"/>
      </w:pPr>
      <w:rPr>
        <w:rFonts w:hint="default"/>
        <w:b/>
      </w:rPr>
    </w:lvl>
    <w:lvl w:ilvl="7" w:tentative="0">
      <w:start w:val="1"/>
      <w:numFmt w:val="decimal"/>
      <w:isLgl/>
      <w:lvlText w:val="%1.%2.%3.%4.%5.%6.%7.%8"/>
      <w:lvlJc w:val="left"/>
      <w:pPr>
        <w:ind w:left="1800" w:hanging="1800"/>
      </w:pPr>
      <w:rPr>
        <w:rFonts w:hint="default"/>
        <w:b/>
      </w:rPr>
    </w:lvl>
    <w:lvl w:ilvl="8" w:tentative="0">
      <w:start w:val="1"/>
      <w:numFmt w:val="decimal"/>
      <w:isLgl/>
      <w:lvlText w:val="%1.%2.%3.%4.%5.%6.%7.%8.%9"/>
      <w:lvlJc w:val="left"/>
      <w:pPr>
        <w:ind w:left="2160" w:hanging="2160"/>
      </w:pPr>
      <w:rPr>
        <w:rFonts w:hint="default"/>
        <w:b/>
      </w:rPr>
    </w:lvl>
  </w:abstractNum>
  <w:abstractNum w:abstractNumId="5">
    <w:nsid w:val="0E7010EF"/>
    <w:multiLevelType w:val="multilevel"/>
    <w:tmpl w:val="0E7010E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E7F52A4"/>
    <w:multiLevelType w:val="multilevel"/>
    <w:tmpl w:val="0E7F52A4"/>
    <w:lvl w:ilvl="0" w:tentative="0">
      <w:start w:val="1"/>
      <w:numFmt w:val="decimal"/>
      <w:lvlText w:val="%1"/>
      <w:lvlJc w:val="left"/>
      <w:pPr>
        <w:ind w:left="127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03022F5"/>
    <w:multiLevelType w:val="multilevel"/>
    <w:tmpl w:val="103022F5"/>
    <w:lvl w:ilvl="0" w:tentative="0">
      <w:start w:val="1"/>
      <w:numFmt w:val="lowerLetter"/>
      <w:pStyle w:val="57"/>
      <w:lvlText w:val="%1)"/>
      <w:lvlJc w:val="left"/>
      <w:pPr>
        <w:tabs>
          <w:tab w:val="left" w:pos="840"/>
        </w:tabs>
        <w:ind w:left="839" w:hanging="419"/>
      </w:pPr>
      <w:rPr>
        <w:rFonts w:hint="eastAsia" w:ascii="宋体" w:eastAsia="宋体"/>
        <w:b w:val="0"/>
        <w:i w:val="0"/>
        <w:sz w:val="21"/>
        <w:szCs w:val="21"/>
      </w:rPr>
    </w:lvl>
    <w:lvl w:ilvl="1" w:tentative="0">
      <w:start w:val="1"/>
      <w:numFmt w:val="decimal"/>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8">
    <w:nsid w:val="118E164A"/>
    <w:multiLevelType w:val="multilevel"/>
    <w:tmpl w:val="118E164A"/>
    <w:lvl w:ilvl="0" w:tentative="0">
      <w:start w:val="1"/>
      <w:numFmt w:val="decimal"/>
      <w:lvlText w:val="%1"/>
      <w:lvlJc w:val="left"/>
      <w:pPr>
        <w:ind w:left="900" w:hanging="420"/>
      </w:pPr>
      <w:rPr>
        <w:rFonts w:hint="default" w:ascii="Times New Roman" w:hAnsi="Times New Roman" w:eastAsia="宋体" w:cs="Times New Roman"/>
        <w:b/>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96F7D7A"/>
    <w:multiLevelType w:val="multilevel"/>
    <w:tmpl w:val="196F7D7A"/>
    <w:lvl w:ilvl="0" w:tentative="0">
      <w:start w:val="1"/>
      <w:numFmt w:val="decimal"/>
      <w:lvlText w:val="%1"/>
      <w:lvlJc w:val="left"/>
      <w:pPr>
        <w:ind w:left="124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1A2C458C"/>
    <w:multiLevelType w:val="multilevel"/>
    <w:tmpl w:val="1A2C458C"/>
    <w:lvl w:ilvl="0" w:tentative="0">
      <w:start w:val="1"/>
      <w:numFmt w:val="decimal"/>
      <w:lvlText w:val="%1"/>
      <w:lvlJc w:val="left"/>
      <w:pPr>
        <w:ind w:left="127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1F680A82"/>
    <w:multiLevelType w:val="multilevel"/>
    <w:tmpl w:val="1F680A82"/>
    <w:lvl w:ilvl="0" w:tentative="0">
      <w:start w:val="1"/>
      <w:numFmt w:val="decimal"/>
      <w:lvlText w:val="%1）"/>
      <w:lvlJc w:val="left"/>
      <w:pPr>
        <w:ind w:left="996" w:hanging="420"/>
      </w:pPr>
      <w:rPr>
        <w:rFonts w:hint="default"/>
      </w:rPr>
    </w:lvl>
    <w:lvl w:ilvl="1" w:tentative="0">
      <w:start w:val="1"/>
      <w:numFmt w:val="lowerLetter"/>
      <w:lvlText w:val="%2)"/>
      <w:lvlJc w:val="left"/>
      <w:pPr>
        <w:ind w:left="1416" w:hanging="420"/>
      </w:pPr>
    </w:lvl>
    <w:lvl w:ilvl="2" w:tentative="0">
      <w:start w:val="1"/>
      <w:numFmt w:val="lowerRoman"/>
      <w:lvlText w:val="%3."/>
      <w:lvlJc w:val="right"/>
      <w:pPr>
        <w:ind w:left="1836" w:hanging="420"/>
      </w:pPr>
    </w:lvl>
    <w:lvl w:ilvl="3" w:tentative="0">
      <w:start w:val="1"/>
      <w:numFmt w:val="decimal"/>
      <w:lvlText w:val="%4."/>
      <w:lvlJc w:val="left"/>
      <w:pPr>
        <w:ind w:left="2256" w:hanging="420"/>
      </w:pPr>
    </w:lvl>
    <w:lvl w:ilvl="4" w:tentative="0">
      <w:start w:val="1"/>
      <w:numFmt w:val="lowerLetter"/>
      <w:lvlText w:val="%5)"/>
      <w:lvlJc w:val="left"/>
      <w:pPr>
        <w:ind w:left="2676" w:hanging="420"/>
      </w:pPr>
    </w:lvl>
    <w:lvl w:ilvl="5" w:tentative="0">
      <w:start w:val="1"/>
      <w:numFmt w:val="lowerRoman"/>
      <w:lvlText w:val="%6."/>
      <w:lvlJc w:val="right"/>
      <w:pPr>
        <w:ind w:left="3096" w:hanging="420"/>
      </w:pPr>
    </w:lvl>
    <w:lvl w:ilvl="6" w:tentative="0">
      <w:start w:val="1"/>
      <w:numFmt w:val="decimal"/>
      <w:lvlText w:val="%7."/>
      <w:lvlJc w:val="left"/>
      <w:pPr>
        <w:ind w:left="3516" w:hanging="420"/>
      </w:pPr>
    </w:lvl>
    <w:lvl w:ilvl="7" w:tentative="0">
      <w:start w:val="1"/>
      <w:numFmt w:val="lowerLetter"/>
      <w:lvlText w:val="%8)"/>
      <w:lvlJc w:val="left"/>
      <w:pPr>
        <w:ind w:left="3936" w:hanging="420"/>
      </w:pPr>
    </w:lvl>
    <w:lvl w:ilvl="8" w:tentative="0">
      <w:start w:val="1"/>
      <w:numFmt w:val="lowerRoman"/>
      <w:lvlText w:val="%9."/>
      <w:lvlJc w:val="right"/>
      <w:pPr>
        <w:ind w:left="4356" w:hanging="420"/>
      </w:pPr>
    </w:lvl>
  </w:abstractNum>
  <w:abstractNum w:abstractNumId="12">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8"/>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59"/>
      <w:suff w:val="nothing"/>
      <w:lvlText w:val="%1.%2.%3　"/>
      <w:lvlJc w:val="left"/>
      <w:pPr>
        <w:ind w:left="709"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3">
    <w:nsid w:val="22F42AFE"/>
    <w:multiLevelType w:val="multilevel"/>
    <w:tmpl w:val="22F42AFE"/>
    <w:lvl w:ilvl="0" w:tentative="0">
      <w:start w:val="1"/>
      <w:numFmt w:val="decimal"/>
      <w:lvlText w:val="%1"/>
      <w:lvlJc w:val="left"/>
      <w:pPr>
        <w:ind w:left="420" w:hanging="420"/>
      </w:pPr>
      <w:rPr>
        <w:rFonts w:hint="default" w:ascii="Times New Roman" w:hAnsi="Times New Roman" w:eastAsia="宋体" w:cs="Times New Roman"/>
        <w:b/>
        <w:i w:val="0"/>
        <w:snapToGrid/>
        <w:sz w:val="28"/>
      </w:rPr>
    </w:lvl>
    <w:lvl w:ilvl="1" w:tentative="0">
      <w:start w:val="2"/>
      <w:numFmt w:val="decimal"/>
      <w:isLgl/>
      <w:lvlText w:val="%1.%2"/>
      <w:lvlJc w:val="left"/>
      <w:pPr>
        <w:ind w:left="730" w:hanging="730"/>
      </w:pPr>
      <w:rPr>
        <w:rFonts w:hint="default"/>
        <w:b/>
      </w:rPr>
    </w:lvl>
    <w:lvl w:ilvl="2" w:tentative="0">
      <w:start w:val="2"/>
      <w:numFmt w:val="decimal"/>
      <w:isLgl/>
      <w:lvlText w:val="%1.%2.%3"/>
      <w:lvlJc w:val="left"/>
      <w:pPr>
        <w:ind w:left="730" w:hanging="730"/>
      </w:pPr>
      <w:rPr>
        <w:rFonts w:hint="default"/>
        <w:b/>
      </w:rPr>
    </w:lvl>
    <w:lvl w:ilvl="3" w:tentative="0">
      <w:start w:val="1"/>
      <w:numFmt w:val="decimal"/>
      <w:isLgl/>
      <w:lvlText w:val="%1.%2.%3.%4"/>
      <w:lvlJc w:val="left"/>
      <w:pPr>
        <w:ind w:left="1080" w:hanging="1080"/>
      </w:pPr>
      <w:rPr>
        <w:rFonts w:hint="default"/>
        <w:b/>
      </w:rPr>
    </w:lvl>
    <w:lvl w:ilvl="4" w:tentative="0">
      <w:start w:val="1"/>
      <w:numFmt w:val="decimal"/>
      <w:isLgl/>
      <w:lvlText w:val="%1.%2.%3.%4.%5"/>
      <w:lvlJc w:val="left"/>
      <w:pPr>
        <w:ind w:left="1080" w:hanging="1080"/>
      </w:pPr>
      <w:rPr>
        <w:rFonts w:hint="default"/>
        <w:b/>
      </w:rPr>
    </w:lvl>
    <w:lvl w:ilvl="5" w:tentative="0">
      <w:start w:val="1"/>
      <w:numFmt w:val="decimal"/>
      <w:isLgl/>
      <w:lvlText w:val="%1.%2.%3.%4.%5.%6"/>
      <w:lvlJc w:val="left"/>
      <w:pPr>
        <w:ind w:left="1440" w:hanging="1440"/>
      </w:pPr>
      <w:rPr>
        <w:rFonts w:hint="default"/>
        <w:b/>
      </w:rPr>
    </w:lvl>
    <w:lvl w:ilvl="6" w:tentative="0">
      <w:start w:val="1"/>
      <w:numFmt w:val="decimal"/>
      <w:isLgl/>
      <w:lvlText w:val="%1.%2.%3.%4.%5.%6.%7"/>
      <w:lvlJc w:val="left"/>
      <w:pPr>
        <w:ind w:left="1800" w:hanging="1800"/>
      </w:pPr>
      <w:rPr>
        <w:rFonts w:hint="default"/>
        <w:b/>
      </w:rPr>
    </w:lvl>
    <w:lvl w:ilvl="7" w:tentative="0">
      <w:start w:val="1"/>
      <w:numFmt w:val="decimal"/>
      <w:isLgl/>
      <w:lvlText w:val="%1.%2.%3.%4.%5.%6.%7.%8"/>
      <w:lvlJc w:val="left"/>
      <w:pPr>
        <w:ind w:left="1800" w:hanging="1800"/>
      </w:pPr>
      <w:rPr>
        <w:rFonts w:hint="default"/>
        <w:b/>
      </w:rPr>
    </w:lvl>
    <w:lvl w:ilvl="8" w:tentative="0">
      <w:start w:val="1"/>
      <w:numFmt w:val="decimal"/>
      <w:isLgl/>
      <w:lvlText w:val="%1.%2.%3.%4.%5.%6.%7.%8.%9"/>
      <w:lvlJc w:val="left"/>
      <w:pPr>
        <w:ind w:left="2160" w:hanging="2160"/>
      </w:pPr>
      <w:rPr>
        <w:rFonts w:hint="default"/>
        <w:b/>
      </w:rPr>
    </w:lvl>
  </w:abstractNum>
  <w:abstractNum w:abstractNumId="14">
    <w:nsid w:val="23C212D4"/>
    <w:multiLevelType w:val="multilevel"/>
    <w:tmpl w:val="23C212D4"/>
    <w:lvl w:ilvl="0" w:tentative="0">
      <w:start w:val="1"/>
      <w:numFmt w:val="decimal"/>
      <w:lvlText w:val="%1"/>
      <w:lvlJc w:val="left"/>
      <w:pPr>
        <w:ind w:left="420" w:hanging="420"/>
      </w:pPr>
      <w:rPr>
        <w:rFonts w:hint="default" w:ascii="Times New Roman" w:hAnsi="Times New Roman" w:eastAsia="宋体" w:cs="Times New Roman"/>
        <w:b/>
        <w:i w:val="0"/>
        <w:snapToGrid/>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4CF4535"/>
    <w:multiLevelType w:val="multilevel"/>
    <w:tmpl w:val="24CF4535"/>
    <w:lvl w:ilvl="0" w:tentative="0">
      <w:start w:val="1"/>
      <w:numFmt w:val="decimal"/>
      <w:lvlText w:val="%1"/>
      <w:lvlJc w:val="left"/>
      <w:pPr>
        <w:ind w:left="420" w:hanging="420"/>
      </w:pPr>
      <w:rPr>
        <w:rFonts w:hint="default" w:ascii="Times New Roman" w:hAnsi="Times New Roman" w:eastAsia="宋体" w:cs="Times New Roman"/>
        <w:b/>
        <w:i w:val="0"/>
        <w:snapToGrid/>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76F010C"/>
    <w:multiLevelType w:val="multilevel"/>
    <w:tmpl w:val="276F010C"/>
    <w:lvl w:ilvl="0" w:tentative="0">
      <w:start w:val="1"/>
      <w:numFmt w:val="decimal"/>
      <w:lvlText w:val="%1"/>
      <w:lvlJc w:val="left"/>
      <w:pPr>
        <w:ind w:left="420" w:hanging="420"/>
      </w:pPr>
      <w:rPr>
        <w:rFonts w:hint="default" w:ascii="Times New Roman" w:hAnsi="Times New Roman" w:eastAsia="宋体" w:cs="Times New Roman"/>
        <w:b/>
        <w:i w:val="0"/>
        <w:snapToGrid/>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A610268"/>
    <w:multiLevelType w:val="multilevel"/>
    <w:tmpl w:val="2A610268"/>
    <w:lvl w:ilvl="0" w:tentative="0">
      <w:start w:val="1"/>
      <w:numFmt w:val="decimal"/>
      <w:lvlText w:val="%1"/>
      <w:lvlJc w:val="left"/>
      <w:pPr>
        <w:ind w:left="900" w:hanging="420"/>
      </w:pPr>
      <w:rPr>
        <w:rFonts w:hint="default" w:ascii="Times New Roman" w:hAnsi="Times New Roman" w:eastAsia="宋体" w:cs="Times New Roman"/>
        <w:b/>
        <w:i w:val="0"/>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BD4175F"/>
    <w:multiLevelType w:val="multilevel"/>
    <w:tmpl w:val="2BD4175F"/>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2C1028CC"/>
    <w:multiLevelType w:val="multilevel"/>
    <w:tmpl w:val="2C1028CC"/>
    <w:lvl w:ilvl="0" w:tentative="0">
      <w:start w:val="1"/>
      <w:numFmt w:val="decimal"/>
      <w:lvlText w:val="%1"/>
      <w:lvlJc w:val="left"/>
      <w:pPr>
        <w:ind w:left="127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2D803C45"/>
    <w:multiLevelType w:val="multilevel"/>
    <w:tmpl w:val="2D803C45"/>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354D78E2"/>
    <w:multiLevelType w:val="multilevel"/>
    <w:tmpl w:val="354D78E2"/>
    <w:lvl w:ilvl="0" w:tentative="0">
      <w:start w:val="1"/>
      <w:numFmt w:val="decimal"/>
      <w:lvlText w:val="%1"/>
      <w:lvlJc w:val="left"/>
      <w:pPr>
        <w:ind w:left="420" w:hanging="420"/>
      </w:pPr>
      <w:rPr>
        <w:rFonts w:hint="default" w:ascii="Times New Roman" w:hAnsi="Times New Roman" w:eastAsia="宋体" w:cs="Times New Roman"/>
        <w:b/>
        <w:i w:val="0"/>
        <w:snapToGrid/>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7125D05"/>
    <w:multiLevelType w:val="multilevel"/>
    <w:tmpl w:val="37125D05"/>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376B5006"/>
    <w:multiLevelType w:val="multilevel"/>
    <w:tmpl w:val="376B5006"/>
    <w:lvl w:ilvl="0" w:tentative="0">
      <w:start w:val="1"/>
      <w:numFmt w:val="decimal"/>
      <w:lvlText w:val="%1"/>
      <w:lvlJc w:val="left"/>
      <w:pPr>
        <w:ind w:left="0" w:firstLine="420"/>
      </w:pPr>
      <w:rPr>
        <w:rFonts w:hint="default" w:ascii="Times New Roman" w:hAnsi="Times New Roman"/>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8E021B8"/>
    <w:multiLevelType w:val="multilevel"/>
    <w:tmpl w:val="38E021B8"/>
    <w:lvl w:ilvl="0" w:tentative="0">
      <w:start w:val="1"/>
      <w:numFmt w:val="decimal"/>
      <w:lvlText w:val="%1"/>
      <w:lvlJc w:val="left"/>
      <w:pPr>
        <w:ind w:left="988" w:hanging="420"/>
      </w:pPr>
      <w:rPr>
        <w:rFonts w:hint="default" w:ascii="Times New Roman" w:hAnsi="Times New Roman" w:eastAsia="宋体" w:cs="Times New Roman"/>
        <w:b/>
        <w:i w:val="0"/>
        <w:snapToGrid/>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392F070C"/>
    <w:multiLevelType w:val="multilevel"/>
    <w:tmpl w:val="392F070C"/>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3D2B6729"/>
    <w:multiLevelType w:val="multilevel"/>
    <w:tmpl w:val="3D2B6729"/>
    <w:lvl w:ilvl="0" w:tentative="0">
      <w:start w:val="1"/>
      <w:numFmt w:val="decimal"/>
      <w:lvlText w:val="%1"/>
      <w:lvlJc w:val="left"/>
      <w:pPr>
        <w:ind w:left="420" w:hanging="420"/>
      </w:pPr>
      <w:rPr>
        <w:rFonts w:hint="default" w:ascii="Times New Roman" w:hAnsi="Times New Roman" w:eastAsia="宋体" w:cs="Times New Roman"/>
        <w:b/>
        <w:i w:val="0"/>
        <w:snapToGrid/>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E503DDF"/>
    <w:multiLevelType w:val="multilevel"/>
    <w:tmpl w:val="3E503DDF"/>
    <w:lvl w:ilvl="0" w:tentative="0">
      <w:start w:val="1"/>
      <w:numFmt w:val="decimal"/>
      <w:lvlText w:val="%1"/>
      <w:lvlJc w:val="left"/>
      <w:pPr>
        <w:ind w:left="9074" w:hanging="851"/>
      </w:pPr>
      <w:rPr>
        <w:rFonts w:hint="eastAsia"/>
        <w:b/>
        <w:bCs/>
      </w:rPr>
    </w:lvl>
    <w:lvl w:ilvl="1" w:tentative="0">
      <w:start w:val="2"/>
      <w:numFmt w:val="decimal"/>
      <w:lvlText w:val="%2）"/>
      <w:lvlJc w:val="left"/>
      <w:pPr>
        <w:ind w:left="9058" w:hanging="420"/>
      </w:pPr>
      <w:rPr>
        <w:b/>
        <w:bCs/>
      </w:rPr>
    </w:lvl>
    <w:lvl w:ilvl="2" w:tentative="0">
      <w:start w:val="1"/>
      <w:numFmt w:val="lowerRoman"/>
      <w:lvlText w:val="%3."/>
      <w:lvlJc w:val="right"/>
      <w:pPr>
        <w:ind w:left="9478" w:hanging="420"/>
      </w:pPr>
    </w:lvl>
    <w:lvl w:ilvl="3" w:tentative="0">
      <w:start w:val="1"/>
      <w:numFmt w:val="decimal"/>
      <w:lvlText w:val="%4."/>
      <w:lvlJc w:val="left"/>
      <w:pPr>
        <w:ind w:left="9898" w:hanging="420"/>
      </w:pPr>
    </w:lvl>
    <w:lvl w:ilvl="4" w:tentative="0">
      <w:start w:val="1"/>
      <w:numFmt w:val="lowerLetter"/>
      <w:lvlText w:val="%5)"/>
      <w:lvlJc w:val="left"/>
      <w:pPr>
        <w:ind w:left="10318" w:hanging="420"/>
      </w:pPr>
    </w:lvl>
    <w:lvl w:ilvl="5" w:tentative="0">
      <w:start w:val="1"/>
      <w:numFmt w:val="lowerRoman"/>
      <w:lvlText w:val="%6."/>
      <w:lvlJc w:val="right"/>
      <w:pPr>
        <w:ind w:left="10738" w:hanging="420"/>
      </w:pPr>
    </w:lvl>
    <w:lvl w:ilvl="6" w:tentative="0">
      <w:start w:val="1"/>
      <w:numFmt w:val="decimal"/>
      <w:lvlText w:val="%7."/>
      <w:lvlJc w:val="left"/>
      <w:pPr>
        <w:ind w:left="11158" w:hanging="420"/>
      </w:pPr>
    </w:lvl>
    <w:lvl w:ilvl="7" w:tentative="0">
      <w:start w:val="1"/>
      <w:numFmt w:val="lowerLetter"/>
      <w:lvlText w:val="%8)"/>
      <w:lvlJc w:val="left"/>
      <w:pPr>
        <w:ind w:left="11578" w:hanging="420"/>
      </w:pPr>
    </w:lvl>
    <w:lvl w:ilvl="8" w:tentative="0">
      <w:start w:val="1"/>
      <w:numFmt w:val="lowerRoman"/>
      <w:lvlText w:val="%9."/>
      <w:lvlJc w:val="right"/>
      <w:pPr>
        <w:ind w:left="11998" w:hanging="420"/>
      </w:pPr>
    </w:lvl>
  </w:abstractNum>
  <w:abstractNum w:abstractNumId="28">
    <w:nsid w:val="3F5267B4"/>
    <w:multiLevelType w:val="multilevel"/>
    <w:tmpl w:val="3F5267B4"/>
    <w:lvl w:ilvl="0" w:tentative="0">
      <w:start w:val="1"/>
      <w:numFmt w:val="decimal"/>
      <w:lvlText w:val="%1"/>
      <w:lvlJc w:val="left"/>
      <w:pPr>
        <w:ind w:left="127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9">
    <w:nsid w:val="40D72CA4"/>
    <w:multiLevelType w:val="multilevel"/>
    <w:tmpl w:val="40D72CA4"/>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0">
    <w:nsid w:val="48EB2AAA"/>
    <w:multiLevelType w:val="multilevel"/>
    <w:tmpl w:val="48EB2AAA"/>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A4B5727"/>
    <w:multiLevelType w:val="multilevel"/>
    <w:tmpl w:val="4A4B5727"/>
    <w:lvl w:ilvl="0" w:tentative="0">
      <w:start w:val="1"/>
      <w:numFmt w:val="decimal"/>
      <w:lvlText w:val="%1"/>
      <w:lvlJc w:val="left"/>
      <w:pPr>
        <w:ind w:left="124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E0D0DF2"/>
    <w:multiLevelType w:val="multilevel"/>
    <w:tmpl w:val="4E0D0DF2"/>
    <w:lvl w:ilvl="0" w:tentative="0">
      <w:start w:val="1"/>
      <w:numFmt w:val="decimal"/>
      <w:lvlText w:val="%1"/>
      <w:lvlJc w:val="left"/>
      <w:pPr>
        <w:ind w:left="127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508D0A71"/>
    <w:multiLevelType w:val="multilevel"/>
    <w:tmpl w:val="508D0A71"/>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4">
    <w:nsid w:val="50CA1837"/>
    <w:multiLevelType w:val="multilevel"/>
    <w:tmpl w:val="50CA1837"/>
    <w:lvl w:ilvl="0" w:tentative="0">
      <w:start w:val="1"/>
      <w:numFmt w:val="decimal"/>
      <w:lvlText w:val="%1"/>
      <w:lvlJc w:val="left"/>
      <w:pPr>
        <w:ind w:left="127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5B481F1D"/>
    <w:multiLevelType w:val="multilevel"/>
    <w:tmpl w:val="5B481F1D"/>
    <w:lvl w:ilvl="0" w:tentative="0">
      <w:start w:val="1"/>
      <w:numFmt w:val="decimal"/>
      <w:lvlText w:val="%1"/>
      <w:lvlJc w:val="left"/>
      <w:pPr>
        <w:ind w:left="127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5B86600D"/>
    <w:multiLevelType w:val="multilevel"/>
    <w:tmpl w:val="5B86600D"/>
    <w:lvl w:ilvl="0" w:tentative="0">
      <w:start w:val="1"/>
      <w:numFmt w:val="decimal"/>
      <w:lvlText w:val="%1"/>
      <w:lvlJc w:val="left"/>
      <w:pPr>
        <w:ind w:left="127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5C433500"/>
    <w:multiLevelType w:val="multilevel"/>
    <w:tmpl w:val="5C433500"/>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5EC20D9E"/>
    <w:multiLevelType w:val="multilevel"/>
    <w:tmpl w:val="5EC20D9E"/>
    <w:lvl w:ilvl="0" w:tentative="0">
      <w:start w:val="1"/>
      <w:numFmt w:val="decimal"/>
      <w:pStyle w:val="2"/>
      <w:lvlText w:val="%1"/>
      <w:lvlJc w:val="left"/>
      <w:pPr>
        <w:ind w:left="6245" w:hanging="432"/>
      </w:pPr>
    </w:lvl>
    <w:lvl w:ilvl="1" w:tentative="0">
      <w:start w:val="1"/>
      <w:numFmt w:val="decimal"/>
      <w:pStyle w:val="3"/>
      <w:lvlText w:val="%1.%2"/>
      <w:lvlJc w:val="left"/>
      <w:pPr>
        <w:ind w:left="2703" w:hanging="576"/>
      </w:pPr>
    </w:lvl>
    <w:lvl w:ilvl="2" w:tentative="0">
      <w:start w:val="1"/>
      <w:numFmt w:val="decimal"/>
      <w:pStyle w:val="4"/>
      <w:lvlText w:val="%1.%2.%3"/>
      <w:lvlJc w:val="left"/>
      <w:pPr>
        <w:ind w:left="1430" w:hanging="720"/>
      </w:pPr>
      <w:rPr>
        <w:b/>
        <w:bCs w:val="0"/>
        <w:color w:val="auto"/>
      </w:r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39">
    <w:nsid w:val="67A14627"/>
    <w:multiLevelType w:val="multilevel"/>
    <w:tmpl w:val="67A14627"/>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6A551B4B"/>
    <w:multiLevelType w:val="multilevel"/>
    <w:tmpl w:val="6A551B4B"/>
    <w:lvl w:ilvl="0" w:tentative="0">
      <w:start w:val="1"/>
      <w:numFmt w:val="decimal"/>
      <w:lvlText w:val="%1"/>
      <w:lvlJc w:val="left"/>
      <w:pPr>
        <w:ind w:left="420" w:hanging="420"/>
      </w:pPr>
      <w:rPr>
        <w:rFonts w:hint="default" w:ascii="Times New Roman" w:hAnsi="Times New Roman" w:eastAsia="宋体" w:cs="Times New Roman"/>
        <w:b/>
        <w:i w:val="0"/>
        <w:snapToGrid/>
        <w:sz w:val="28"/>
        <w:szCs w:val="28"/>
      </w:rPr>
    </w:lvl>
    <w:lvl w:ilvl="1" w:tentative="0">
      <w:start w:val="3"/>
      <w:numFmt w:val="decimal"/>
      <w:isLgl/>
      <w:lvlText w:val="%1.%2"/>
      <w:lvlJc w:val="left"/>
      <w:pPr>
        <w:ind w:left="730" w:hanging="730"/>
      </w:pPr>
      <w:rPr>
        <w:rFonts w:hint="default"/>
        <w:b/>
      </w:rPr>
    </w:lvl>
    <w:lvl w:ilvl="2" w:tentative="0">
      <w:start w:val="5"/>
      <w:numFmt w:val="decimal"/>
      <w:isLgl/>
      <w:lvlText w:val="%1.%2.%3"/>
      <w:lvlJc w:val="left"/>
      <w:pPr>
        <w:ind w:left="730" w:hanging="730"/>
      </w:pPr>
      <w:rPr>
        <w:rFonts w:hint="default"/>
        <w:b/>
      </w:rPr>
    </w:lvl>
    <w:lvl w:ilvl="3" w:tentative="0">
      <w:start w:val="1"/>
      <w:numFmt w:val="decimal"/>
      <w:isLgl/>
      <w:lvlText w:val="%1.%2.%3.%4"/>
      <w:lvlJc w:val="left"/>
      <w:pPr>
        <w:ind w:left="1080" w:hanging="1080"/>
      </w:pPr>
      <w:rPr>
        <w:rFonts w:hint="default"/>
        <w:b/>
      </w:rPr>
    </w:lvl>
    <w:lvl w:ilvl="4" w:tentative="0">
      <w:start w:val="1"/>
      <w:numFmt w:val="decimal"/>
      <w:isLgl/>
      <w:lvlText w:val="%1.%2.%3.%4.%5"/>
      <w:lvlJc w:val="left"/>
      <w:pPr>
        <w:ind w:left="1080" w:hanging="1080"/>
      </w:pPr>
      <w:rPr>
        <w:rFonts w:hint="default"/>
        <w:b/>
      </w:rPr>
    </w:lvl>
    <w:lvl w:ilvl="5" w:tentative="0">
      <w:start w:val="1"/>
      <w:numFmt w:val="decimal"/>
      <w:isLgl/>
      <w:lvlText w:val="%1.%2.%3.%4.%5.%6"/>
      <w:lvlJc w:val="left"/>
      <w:pPr>
        <w:ind w:left="1440" w:hanging="1440"/>
      </w:pPr>
      <w:rPr>
        <w:rFonts w:hint="default"/>
        <w:b/>
      </w:rPr>
    </w:lvl>
    <w:lvl w:ilvl="6" w:tentative="0">
      <w:start w:val="1"/>
      <w:numFmt w:val="decimal"/>
      <w:isLgl/>
      <w:lvlText w:val="%1.%2.%3.%4.%5.%6.%7"/>
      <w:lvlJc w:val="left"/>
      <w:pPr>
        <w:ind w:left="1800" w:hanging="1800"/>
      </w:pPr>
      <w:rPr>
        <w:rFonts w:hint="default"/>
        <w:b/>
      </w:rPr>
    </w:lvl>
    <w:lvl w:ilvl="7" w:tentative="0">
      <w:start w:val="1"/>
      <w:numFmt w:val="decimal"/>
      <w:isLgl/>
      <w:lvlText w:val="%1.%2.%3.%4.%5.%6.%7.%8"/>
      <w:lvlJc w:val="left"/>
      <w:pPr>
        <w:ind w:left="1800" w:hanging="1800"/>
      </w:pPr>
      <w:rPr>
        <w:rFonts w:hint="default"/>
        <w:b/>
      </w:rPr>
    </w:lvl>
    <w:lvl w:ilvl="8" w:tentative="0">
      <w:start w:val="1"/>
      <w:numFmt w:val="decimal"/>
      <w:isLgl/>
      <w:lvlText w:val="%1.%2.%3.%4.%5.%6.%7.%8.%9"/>
      <w:lvlJc w:val="left"/>
      <w:pPr>
        <w:ind w:left="2160" w:hanging="2160"/>
      </w:pPr>
      <w:rPr>
        <w:rFonts w:hint="default"/>
        <w:b/>
      </w:rPr>
    </w:lvl>
  </w:abstractNum>
  <w:abstractNum w:abstractNumId="41">
    <w:nsid w:val="6A73192F"/>
    <w:multiLevelType w:val="multilevel"/>
    <w:tmpl w:val="6A73192F"/>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6AC43481"/>
    <w:multiLevelType w:val="multilevel"/>
    <w:tmpl w:val="6AC43481"/>
    <w:lvl w:ilvl="0" w:tentative="0">
      <w:start w:val="1"/>
      <w:numFmt w:val="decimal"/>
      <w:lvlText w:val="%1"/>
      <w:lvlJc w:val="left"/>
      <w:pPr>
        <w:ind w:left="6233" w:hanging="420"/>
      </w:pPr>
      <w:rPr>
        <w:rFonts w:hint="default" w:ascii="Times New Roman" w:hAnsi="Times New Roman" w:eastAsia="宋体"/>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717B3F32"/>
    <w:multiLevelType w:val="multilevel"/>
    <w:tmpl w:val="717B3F32"/>
    <w:lvl w:ilvl="0" w:tentative="0">
      <w:start w:val="1"/>
      <w:numFmt w:val="decimal"/>
      <w:lvlText w:val="%1"/>
      <w:lvlJc w:val="left"/>
      <w:pPr>
        <w:ind w:left="1701" w:hanging="851"/>
      </w:pPr>
      <w:rPr>
        <w:rFonts w:hint="eastAsia"/>
        <w:b/>
        <w:bCs/>
      </w:rPr>
    </w:lvl>
    <w:lvl w:ilvl="1" w:tentative="0">
      <w:start w:val="2"/>
      <w:numFmt w:val="decimal"/>
      <w:lvlText w:val="%2）"/>
      <w:lvlJc w:val="left"/>
      <w:pPr>
        <w:ind w:left="1685" w:hanging="420"/>
      </w:pPr>
      <w:rPr>
        <w:b/>
        <w:bCs/>
      </w:rPr>
    </w:lvl>
    <w:lvl w:ilvl="2" w:tentative="0">
      <w:start w:val="1"/>
      <w:numFmt w:val="lowerRoman"/>
      <w:lvlText w:val="%3."/>
      <w:lvlJc w:val="right"/>
      <w:pPr>
        <w:ind w:left="2105" w:hanging="420"/>
      </w:pPr>
    </w:lvl>
    <w:lvl w:ilvl="3" w:tentative="0">
      <w:start w:val="1"/>
      <w:numFmt w:val="decimal"/>
      <w:lvlText w:val="%4."/>
      <w:lvlJc w:val="left"/>
      <w:pPr>
        <w:ind w:left="2525" w:hanging="420"/>
      </w:pPr>
    </w:lvl>
    <w:lvl w:ilvl="4" w:tentative="0">
      <w:start w:val="1"/>
      <w:numFmt w:val="lowerLetter"/>
      <w:lvlText w:val="%5)"/>
      <w:lvlJc w:val="left"/>
      <w:pPr>
        <w:ind w:left="2945" w:hanging="420"/>
      </w:pPr>
    </w:lvl>
    <w:lvl w:ilvl="5" w:tentative="0">
      <w:start w:val="1"/>
      <w:numFmt w:val="lowerRoman"/>
      <w:lvlText w:val="%6."/>
      <w:lvlJc w:val="right"/>
      <w:pPr>
        <w:ind w:left="3365" w:hanging="420"/>
      </w:pPr>
    </w:lvl>
    <w:lvl w:ilvl="6" w:tentative="0">
      <w:start w:val="1"/>
      <w:numFmt w:val="decimal"/>
      <w:lvlText w:val="%7."/>
      <w:lvlJc w:val="left"/>
      <w:pPr>
        <w:ind w:left="3785" w:hanging="420"/>
      </w:pPr>
    </w:lvl>
    <w:lvl w:ilvl="7" w:tentative="0">
      <w:start w:val="1"/>
      <w:numFmt w:val="lowerLetter"/>
      <w:lvlText w:val="%8)"/>
      <w:lvlJc w:val="left"/>
      <w:pPr>
        <w:ind w:left="4205" w:hanging="420"/>
      </w:pPr>
    </w:lvl>
    <w:lvl w:ilvl="8" w:tentative="0">
      <w:start w:val="1"/>
      <w:numFmt w:val="lowerRoman"/>
      <w:lvlText w:val="%9."/>
      <w:lvlJc w:val="right"/>
      <w:pPr>
        <w:ind w:left="4625" w:hanging="420"/>
      </w:pPr>
    </w:lvl>
  </w:abstractNum>
  <w:abstractNum w:abstractNumId="44">
    <w:nsid w:val="71D840E6"/>
    <w:multiLevelType w:val="multilevel"/>
    <w:tmpl w:val="71D840E6"/>
    <w:lvl w:ilvl="0" w:tentative="0">
      <w:start w:val="1"/>
      <w:numFmt w:val="decimal"/>
      <w:pStyle w:val="77"/>
      <w:lvlText w:val="%1"/>
      <w:lvlJc w:val="left"/>
      <w:pPr>
        <w:ind w:left="0" w:firstLine="0"/>
      </w:pPr>
      <w:rPr>
        <w:rFonts w:hint="default" w:ascii="Times New Roman" w:hAnsi="Times New Roman" w:eastAsia="宋体"/>
      </w:rPr>
    </w:lvl>
    <w:lvl w:ilvl="1" w:tentative="0">
      <w:start w:val="0"/>
      <w:numFmt w:val="decimal"/>
      <w:pStyle w:val="78"/>
      <w:lvlText w:val="%1.%2"/>
      <w:lvlJc w:val="left"/>
      <w:pPr>
        <w:ind w:left="113" w:hanging="113"/>
      </w:pPr>
      <w:rPr>
        <w:rFonts w:hint="default" w:ascii="Times New Roman" w:hAnsi="Times New Roman" w:eastAsia="宋体"/>
      </w:rPr>
    </w:lvl>
    <w:lvl w:ilvl="2" w:tentative="0">
      <w:start w:val="1"/>
      <w:numFmt w:val="decimal"/>
      <w:pStyle w:val="79"/>
      <w:lvlText w:val="%1.%2.%3"/>
      <w:lvlJc w:val="left"/>
      <w:pPr>
        <w:ind w:left="0" w:firstLine="0"/>
      </w:pPr>
      <w:rPr>
        <w:rFonts w:hint="default" w:ascii="Times New Roman" w:hAnsi="Times New Roman" w:eastAsia="宋体" w:cs="宋体"/>
        <w:b/>
        <w:bCs/>
        <w:spacing w:val="0"/>
        <w:w w:val="99"/>
        <w:sz w:val="28"/>
        <w:szCs w:val="28"/>
      </w:rPr>
    </w:lvl>
    <w:lvl w:ilvl="3" w:tentative="0">
      <w:start w:val="0"/>
      <w:numFmt w:val="bullet"/>
      <w:lvlText w:val="•"/>
      <w:lvlJc w:val="left"/>
      <w:pPr>
        <w:ind w:left="0" w:firstLine="0"/>
      </w:pPr>
      <w:rPr>
        <w:rFonts w:hint="default"/>
      </w:rPr>
    </w:lvl>
    <w:lvl w:ilvl="4" w:tentative="0">
      <w:start w:val="0"/>
      <w:numFmt w:val="bullet"/>
      <w:lvlText w:val="•"/>
      <w:lvlJc w:val="left"/>
      <w:pPr>
        <w:ind w:left="0" w:firstLine="0"/>
      </w:pPr>
      <w:rPr>
        <w:rFonts w:hint="default"/>
      </w:rPr>
    </w:lvl>
    <w:lvl w:ilvl="5" w:tentative="0">
      <w:start w:val="0"/>
      <w:numFmt w:val="bullet"/>
      <w:lvlText w:val="•"/>
      <w:lvlJc w:val="left"/>
      <w:pPr>
        <w:ind w:left="0" w:firstLine="0"/>
      </w:pPr>
      <w:rPr>
        <w:rFonts w:hint="default"/>
      </w:rPr>
    </w:lvl>
    <w:lvl w:ilvl="6" w:tentative="0">
      <w:start w:val="0"/>
      <w:numFmt w:val="bullet"/>
      <w:lvlText w:val="•"/>
      <w:lvlJc w:val="left"/>
      <w:pPr>
        <w:ind w:left="0" w:firstLine="0"/>
      </w:pPr>
      <w:rPr>
        <w:rFonts w:hint="default"/>
      </w:rPr>
    </w:lvl>
    <w:lvl w:ilvl="7" w:tentative="0">
      <w:start w:val="0"/>
      <w:numFmt w:val="bullet"/>
      <w:lvlText w:val="•"/>
      <w:lvlJc w:val="left"/>
      <w:pPr>
        <w:ind w:left="0" w:firstLine="0"/>
      </w:pPr>
      <w:rPr>
        <w:rFonts w:hint="default"/>
      </w:rPr>
    </w:lvl>
    <w:lvl w:ilvl="8" w:tentative="0">
      <w:start w:val="0"/>
      <w:numFmt w:val="bullet"/>
      <w:lvlText w:val="•"/>
      <w:lvlJc w:val="left"/>
      <w:pPr>
        <w:ind w:left="0" w:firstLine="0"/>
      </w:pPr>
      <w:rPr>
        <w:rFonts w:hint="default"/>
      </w:rPr>
    </w:lvl>
  </w:abstractNum>
  <w:abstractNum w:abstractNumId="45">
    <w:nsid w:val="745B0CA8"/>
    <w:multiLevelType w:val="multilevel"/>
    <w:tmpl w:val="745B0CA8"/>
    <w:lvl w:ilvl="0" w:tentative="0">
      <w:start w:val="1"/>
      <w:numFmt w:val="decimal"/>
      <w:lvlText w:val="%1"/>
      <w:lvlJc w:val="left"/>
      <w:pPr>
        <w:ind w:left="420" w:hanging="420"/>
      </w:pPr>
      <w:rPr>
        <w:rFonts w:hint="default" w:ascii="Times New Roman" w:hAnsi="Times New Roman" w:eastAsia="宋体" w:cs="Times New Roman"/>
        <w:b/>
        <w:i w:val="0"/>
        <w:snapToGrid/>
        <w:sz w:val="28"/>
        <w:szCs w:val="28"/>
      </w:rPr>
    </w:lvl>
    <w:lvl w:ilvl="1" w:tentative="0">
      <w:start w:val="0"/>
      <w:numFmt w:val="decimal"/>
      <w:isLgl/>
      <w:lvlText w:val="%1.%2"/>
      <w:lvlJc w:val="left"/>
      <w:pPr>
        <w:ind w:left="860" w:hanging="860"/>
      </w:pPr>
      <w:rPr>
        <w:rFonts w:hint="default"/>
        <w:b/>
      </w:rPr>
    </w:lvl>
    <w:lvl w:ilvl="2" w:tentative="0">
      <w:start w:val="3"/>
      <w:numFmt w:val="decimal"/>
      <w:isLgl/>
      <w:lvlText w:val="%1.%2.%3"/>
      <w:lvlJc w:val="left"/>
      <w:pPr>
        <w:ind w:left="860" w:hanging="860"/>
      </w:pPr>
      <w:rPr>
        <w:rFonts w:hint="default"/>
        <w:b/>
      </w:rPr>
    </w:lvl>
    <w:lvl w:ilvl="3" w:tentative="0">
      <w:start w:val="1"/>
      <w:numFmt w:val="decimal"/>
      <w:isLgl/>
      <w:lvlText w:val="%1.%2.%3.%4"/>
      <w:lvlJc w:val="left"/>
      <w:pPr>
        <w:ind w:left="1080" w:hanging="1080"/>
      </w:pPr>
      <w:rPr>
        <w:rFonts w:hint="default"/>
        <w:b/>
      </w:rPr>
    </w:lvl>
    <w:lvl w:ilvl="4" w:tentative="0">
      <w:start w:val="1"/>
      <w:numFmt w:val="decimal"/>
      <w:isLgl/>
      <w:lvlText w:val="%1.%2.%3.%4.%5"/>
      <w:lvlJc w:val="left"/>
      <w:pPr>
        <w:ind w:left="1080" w:hanging="1080"/>
      </w:pPr>
      <w:rPr>
        <w:rFonts w:hint="default"/>
        <w:b/>
      </w:rPr>
    </w:lvl>
    <w:lvl w:ilvl="5" w:tentative="0">
      <w:start w:val="1"/>
      <w:numFmt w:val="decimal"/>
      <w:isLgl/>
      <w:lvlText w:val="%1.%2.%3.%4.%5.%6"/>
      <w:lvlJc w:val="left"/>
      <w:pPr>
        <w:ind w:left="1440" w:hanging="1440"/>
      </w:pPr>
      <w:rPr>
        <w:rFonts w:hint="default"/>
        <w:b/>
      </w:rPr>
    </w:lvl>
    <w:lvl w:ilvl="6" w:tentative="0">
      <w:start w:val="1"/>
      <w:numFmt w:val="decimal"/>
      <w:isLgl/>
      <w:lvlText w:val="%1.%2.%3.%4.%5.%6.%7"/>
      <w:lvlJc w:val="left"/>
      <w:pPr>
        <w:ind w:left="1800" w:hanging="1800"/>
      </w:pPr>
      <w:rPr>
        <w:rFonts w:hint="default"/>
        <w:b/>
      </w:rPr>
    </w:lvl>
    <w:lvl w:ilvl="7" w:tentative="0">
      <w:start w:val="1"/>
      <w:numFmt w:val="decimal"/>
      <w:isLgl/>
      <w:lvlText w:val="%1.%2.%3.%4.%5.%6.%7.%8"/>
      <w:lvlJc w:val="left"/>
      <w:pPr>
        <w:ind w:left="1800" w:hanging="1800"/>
      </w:pPr>
      <w:rPr>
        <w:rFonts w:hint="default"/>
        <w:b/>
      </w:rPr>
    </w:lvl>
    <w:lvl w:ilvl="8" w:tentative="0">
      <w:start w:val="1"/>
      <w:numFmt w:val="decimal"/>
      <w:isLgl/>
      <w:lvlText w:val="%1.%2.%3.%4.%5.%6.%7.%8.%9"/>
      <w:lvlJc w:val="left"/>
      <w:pPr>
        <w:ind w:left="2160" w:hanging="2160"/>
      </w:pPr>
      <w:rPr>
        <w:rFonts w:hint="default"/>
        <w:b/>
      </w:rPr>
    </w:lvl>
  </w:abstractNum>
  <w:abstractNum w:abstractNumId="46">
    <w:nsid w:val="755B0840"/>
    <w:multiLevelType w:val="multilevel"/>
    <w:tmpl w:val="755B0840"/>
    <w:lvl w:ilvl="0" w:tentative="0">
      <w:start w:val="1"/>
      <w:numFmt w:val="decimal"/>
      <w:lvlText w:val="%1."/>
      <w:lvlJc w:val="left"/>
      <w:pPr>
        <w:ind w:left="708" w:hanging="420"/>
      </w:pPr>
    </w:lvl>
    <w:lvl w:ilvl="1" w:tentative="0">
      <w:start w:val="1"/>
      <w:numFmt w:val="lowerLetter"/>
      <w:lvlText w:val="%2)"/>
      <w:lvlJc w:val="left"/>
      <w:pPr>
        <w:ind w:left="1128" w:hanging="420"/>
      </w:pPr>
    </w:lvl>
    <w:lvl w:ilvl="2" w:tentative="0">
      <w:start w:val="1"/>
      <w:numFmt w:val="lowerRoman"/>
      <w:lvlText w:val="%3."/>
      <w:lvlJc w:val="right"/>
      <w:pPr>
        <w:ind w:left="1548" w:hanging="420"/>
      </w:pPr>
    </w:lvl>
    <w:lvl w:ilvl="3" w:tentative="0">
      <w:start w:val="1"/>
      <w:numFmt w:val="decimal"/>
      <w:lvlText w:val="%4."/>
      <w:lvlJc w:val="left"/>
      <w:pPr>
        <w:ind w:left="1968" w:hanging="420"/>
      </w:pPr>
    </w:lvl>
    <w:lvl w:ilvl="4" w:tentative="0">
      <w:start w:val="1"/>
      <w:numFmt w:val="lowerLetter"/>
      <w:lvlText w:val="%5)"/>
      <w:lvlJc w:val="left"/>
      <w:pPr>
        <w:ind w:left="2388" w:hanging="420"/>
      </w:pPr>
    </w:lvl>
    <w:lvl w:ilvl="5" w:tentative="0">
      <w:start w:val="1"/>
      <w:numFmt w:val="lowerRoman"/>
      <w:lvlText w:val="%6."/>
      <w:lvlJc w:val="right"/>
      <w:pPr>
        <w:ind w:left="2808" w:hanging="420"/>
      </w:pPr>
    </w:lvl>
    <w:lvl w:ilvl="6" w:tentative="0">
      <w:start w:val="1"/>
      <w:numFmt w:val="decimal"/>
      <w:lvlText w:val="%7."/>
      <w:lvlJc w:val="left"/>
      <w:pPr>
        <w:ind w:left="3228" w:hanging="420"/>
      </w:pPr>
    </w:lvl>
    <w:lvl w:ilvl="7" w:tentative="0">
      <w:start w:val="1"/>
      <w:numFmt w:val="lowerLetter"/>
      <w:lvlText w:val="%8)"/>
      <w:lvlJc w:val="left"/>
      <w:pPr>
        <w:ind w:left="3648" w:hanging="420"/>
      </w:pPr>
    </w:lvl>
    <w:lvl w:ilvl="8" w:tentative="0">
      <w:start w:val="1"/>
      <w:numFmt w:val="lowerRoman"/>
      <w:lvlText w:val="%9."/>
      <w:lvlJc w:val="right"/>
      <w:pPr>
        <w:ind w:left="4068" w:hanging="420"/>
      </w:pPr>
    </w:lvl>
  </w:abstractNum>
  <w:abstractNum w:abstractNumId="47">
    <w:nsid w:val="75DD6AF6"/>
    <w:multiLevelType w:val="multilevel"/>
    <w:tmpl w:val="75DD6AF6"/>
    <w:lvl w:ilvl="0" w:tentative="0">
      <w:start w:val="1"/>
      <w:numFmt w:val="decimal"/>
      <w:lvlText w:val="%1"/>
      <w:lvlJc w:val="left"/>
      <w:pPr>
        <w:ind w:left="1703" w:hanging="851"/>
      </w:pPr>
      <w:rPr>
        <w:rFonts w:hint="eastAsia"/>
        <w:b/>
        <w:bCs/>
      </w:rPr>
    </w:lvl>
    <w:lvl w:ilvl="1" w:tentative="0">
      <w:start w:val="1"/>
      <w:numFmt w:val="lowerLetter"/>
      <w:lvlText w:val="%2)"/>
      <w:lvlJc w:val="left"/>
      <w:pPr>
        <w:ind w:left="1687" w:hanging="420"/>
      </w:pPr>
    </w:lvl>
    <w:lvl w:ilvl="2" w:tentative="0">
      <w:start w:val="1"/>
      <w:numFmt w:val="lowerRoman"/>
      <w:lvlText w:val="%3."/>
      <w:lvlJc w:val="right"/>
      <w:pPr>
        <w:ind w:left="2107" w:hanging="420"/>
      </w:pPr>
    </w:lvl>
    <w:lvl w:ilvl="3" w:tentative="0">
      <w:start w:val="1"/>
      <w:numFmt w:val="decimal"/>
      <w:lvlText w:val="%4."/>
      <w:lvlJc w:val="left"/>
      <w:pPr>
        <w:ind w:left="2527" w:hanging="420"/>
      </w:pPr>
    </w:lvl>
    <w:lvl w:ilvl="4" w:tentative="0">
      <w:start w:val="1"/>
      <w:numFmt w:val="lowerLetter"/>
      <w:lvlText w:val="%5)"/>
      <w:lvlJc w:val="left"/>
      <w:pPr>
        <w:ind w:left="2947" w:hanging="420"/>
      </w:pPr>
    </w:lvl>
    <w:lvl w:ilvl="5" w:tentative="0">
      <w:start w:val="1"/>
      <w:numFmt w:val="lowerRoman"/>
      <w:lvlText w:val="%6."/>
      <w:lvlJc w:val="right"/>
      <w:pPr>
        <w:ind w:left="3367" w:hanging="420"/>
      </w:pPr>
    </w:lvl>
    <w:lvl w:ilvl="6" w:tentative="0">
      <w:start w:val="1"/>
      <w:numFmt w:val="decimal"/>
      <w:lvlText w:val="%7."/>
      <w:lvlJc w:val="left"/>
      <w:pPr>
        <w:ind w:left="3787" w:hanging="420"/>
      </w:pPr>
    </w:lvl>
    <w:lvl w:ilvl="7" w:tentative="0">
      <w:start w:val="1"/>
      <w:numFmt w:val="lowerLetter"/>
      <w:lvlText w:val="%8)"/>
      <w:lvlJc w:val="left"/>
      <w:pPr>
        <w:ind w:left="4207" w:hanging="420"/>
      </w:pPr>
    </w:lvl>
    <w:lvl w:ilvl="8" w:tentative="0">
      <w:start w:val="1"/>
      <w:numFmt w:val="lowerRoman"/>
      <w:lvlText w:val="%9."/>
      <w:lvlJc w:val="right"/>
      <w:pPr>
        <w:ind w:left="4627" w:hanging="420"/>
      </w:pPr>
    </w:lvl>
  </w:abstractNum>
  <w:abstractNum w:abstractNumId="48">
    <w:nsid w:val="77194786"/>
    <w:multiLevelType w:val="multilevel"/>
    <w:tmpl w:val="77194786"/>
    <w:lvl w:ilvl="0" w:tentative="0">
      <w:start w:val="1"/>
      <w:numFmt w:val="decimal"/>
      <w:lvlText w:val="%1"/>
      <w:lvlJc w:val="left"/>
      <w:pPr>
        <w:ind w:left="420" w:hanging="420"/>
      </w:pPr>
      <w:rPr>
        <w:rFonts w:hint="default" w:ascii="Times New Roman" w:hAnsi="Times New Roman" w:eastAsia="宋体" w:cs="Times New Roman"/>
        <w:b/>
        <w:i w:val="0"/>
        <w:snapToGrid/>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780D65DF"/>
    <w:multiLevelType w:val="multilevel"/>
    <w:tmpl w:val="780D65DF"/>
    <w:lvl w:ilvl="0" w:tentative="0">
      <w:start w:val="1"/>
      <w:numFmt w:val="decimal"/>
      <w:lvlText w:val="%1"/>
      <w:lvlJc w:val="left"/>
      <w:pPr>
        <w:ind w:left="420" w:hanging="420"/>
      </w:pPr>
      <w:rPr>
        <w:rFonts w:hint="default" w:ascii="Times New Roman" w:hAnsi="Times New Roman" w:eastAsia="宋体" w:cs="Times New Roman"/>
        <w:b/>
        <w:i w:val="0"/>
        <w:snapToGrid/>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79243641"/>
    <w:multiLevelType w:val="multilevel"/>
    <w:tmpl w:val="79243641"/>
    <w:lvl w:ilvl="0" w:tentative="0">
      <w:start w:val="1"/>
      <w:numFmt w:val="decimal"/>
      <w:lvlText w:val="%1"/>
      <w:lvlJc w:val="left"/>
      <w:pPr>
        <w:ind w:left="938" w:hanging="360"/>
      </w:pPr>
      <w:rPr>
        <w:rFonts w:hint="default"/>
        <w:b/>
      </w:rPr>
    </w:lvl>
    <w:lvl w:ilvl="1" w:tentative="0">
      <w:start w:val="2"/>
      <w:numFmt w:val="decimal"/>
      <w:isLgl/>
      <w:lvlText w:val="%1.%2"/>
      <w:lvlJc w:val="left"/>
      <w:pPr>
        <w:ind w:left="1308" w:hanging="730"/>
      </w:pPr>
      <w:rPr>
        <w:rFonts w:hint="default"/>
        <w:b/>
      </w:rPr>
    </w:lvl>
    <w:lvl w:ilvl="2" w:tentative="0">
      <w:start w:val="3"/>
      <w:numFmt w:val="decimal"/>
      <w:isLgl/>
      <w:lvlText w:val="%1.%2.%3"/>
      <w:lvlJc w:val="left"/>
      <w:pPr>
        <w:ind w:left="1308" w:hanging="730"/>
      </w:pPr>
      <w:rPr>
        <w:rFonts w:hint="default"/>
        <w:b/>
      </w:rPr>
    </w:lvl>
    <w:lvl w:ilvl="3" w:tentative="0">
      <w:start w:val="1"/>
      <w:numFmt w:val="decimal"/>
      <w:isLgl/>
      <w:lvlText w:val="%1.%2.%3.%4"/>
      <w:lvlJc w:val="left"/>
      <w:pPr>
        <w:ind w:left="1658" w:hanging="1080"/>
      </w:pPr>
      <w:rPr>
        <w:rFonts w:hint="default"/>
        <w:b/>
      </w:rPr>
    </w:lvl>
    <w:lvl w:ilvl="4" w:tentative="0">
      <w:start w:val="1"/>
      <w:numFmt w:val="decimal"/>
      <w:isLgl/>
      <w:lvlText w:val="%1.%2.%3.%4.%5"/>
      <w:lvlJc w:val="left"/>
      <w:pPr>
        <w:ind w:left="1658" w:hanging="1080"/>
      </w:pPr>
      <w:rPr>
        <w:rFonts w:hint="default"/>
        <w:b/>
      </w:rPr>
    </w:lvl>
    <w:lvl w:ilvl="5" w:tentative="0">
      <w:start w:val="1"/>
      <w:numFmt w:val="decimal"/>
      <w:isLgl/>
      <w:lvlText w:val="%1.%2.%3.%4.%5.%6"/>
      <w:lvlJc w:val="left"/>
      <w:pPr>
        <w:ind w:left="2018" w:hanging="1440"/>
      </w:pPr>
      <w:rPr>
        <w:rFonts w:hint="default"/>
        <w:b/>
      </w:rPr>
    </w:lvl>
    <w:lvl w:ilvl="6" w:tentative="0">
      <w:start w:val="1"/>
      <w:numFmt w:val="decimal"/>
      <w:isLgl/>
      <w:lvlText w:val="%1.%2.%3.%4.%5.%6.%7"/>
      <w:lvlJc w:val="left"/>
      <w:pPr>
        <w:ind w:left="2378" w:hanging="1800"/>
      </w:pPr>
      <w:rPr>
        <w:rFonts w:hint="default"/>
        <w:b/>
      </w:rPr>
    </w:lvl>
    <w:lvl w:ilvl="7" w:tentative="0">
      <w:start w:val="1"/>
      <w:numFmt w:val="decimal"/>
      <w:isLgl/>
      <w:lvlText w:val="%1.%2.%3.%4.%5.%6.%7.%8"/>
      <w:lvlJc w:val="left"/>
      <w:pPr>
        <w:ind w:left="2378" w:hanging="1800"/>
      </w:pPr>
      <w:rPr>
        <w:rFonts w:hint="default"/>
        <w:b/>
      </w:rPr>
    </w:lvl>
    <w:lvl w:ilvl="8" w:tentative="0">
      <w:start w:val="1"/>
      <w:numFmt w:val="decimal"/>
      <w:isLgl/>
      <w:lvlText w:val="%1.%2.%3.%4.%5.%6.%7.%8.%9"/>
      <w:lvlJc w:val="left"/>
      <w:pPr>
        <w:ind w:left="2738" w:hanging="2160"/>
      </w:pPr>
      <w:rPr>
        <w:rFonts w:hint="default"/>
        <w:b/>
      </w:rPr>
    </w:lvl>
  </w:abstractNum>
  <w:abstractNum w:abstractNumId="51">
    <w:nsid w:val="79FE46B3"/>
    <w:multiLevelType w:val="multilevel"/>
    <w:tmpl w:val="79FE46B3"/>
    <w:lvl w:ilvl="0" w:tentative="0">
      <w:start w:val="1"/>
      <w:numFmt w:val="decimal"/>
      <w:lvlText w:val="%1"/>
      <w:lvlJc w:val="left"/>
      <w:pPr>
        <w:ind w:left="1246" w:hanging="851"/>
      </w:pPr>
      <w:rPr>
        <w:rFonts w:hint="eastAsia"/>
        <w:b/>
        <w:bC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2">
    <w:nsid w:val="7BBE7500"/>
    <w:multiLevelType w:val="multilevel"/>
    <w:tmpl w:val="7BBE7500"/>
    <w:lvl w:ilvl="0" w:tentative="0">
      <w:start w:val="1"/>
      <w:numFmt w:val="decimal"/>
      <w:lvlText w:val="%1"/>
      <w:lvlJc w:val="left"/>
      <w:pPr>
        <w:ind w:left="900" w:hanging="420"/>
      </w:pPr>
      <w:rPr>
        <w:rFonts w:hint="default" w:ascii="Times New Roman" w:hAnsi="Times New Roman" w:eastAsia="宋体" w:cs="Times New Roman"/>
        <w:b/>
        <w:i w:val="0"/>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7C9E1E14"/>
    <w:multiLevelType w:val="multilevel"/>
    <w:tmpl w:val="7C9E1E1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7D4F14C0"/>
    <w:multiLevelType w:val="multilevel"/>
    <w:tmpl w:val="7D4F14C0"/>
    <w:lvl w:ilvl="0" w:tentative="0">
      <w:start w:val="1"/>
      <w:numFmt w:val="decimal"/>
      <w:lvlText w:val="%1"/>
      <w:lvlJc w:val="left"/>
      <w:pPr>
        <w:ind w:left="1276" w:hanging="851"/>
      </w:pPr>
      <w:rPr>
        <w:rFonts w:hint="eastAsia"/>
        <w:b/>
        <w:bCs/>
      </w:rPr>
    </w:lvl>
    <w:lvl w:ilvl="1" w:tentative="0">
      <w:start w:val="2"/>
      <w:numFmt w:val="decimal"/>
      <w:lvlText w:val="%2）"/>
      <w:lvlJc w:val="left"/>
      <w:pPr>
        <w:ind w:left="1260" w:hanging="420"/>
      </w:pPr>
      <w:rPr>
        <w:b/>
        <w:bCs/>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8"/>
  </w:num>
  <w:num w:numId="2">
    <w:abstractNumId w:val="7"/>
  </w:num>
  <w:num w:numId="3">
    <w:abstractNumId w:val="12"/>
  </w:num>
  <w:num w:numId="4">
    <w:abstractNumId w:val="44"/>
  </w:num>
  <w:num w:numId="5">
    <w:abstractNumId w:val="45"/>
  </w:num>
  <w:num w:numId="6">
    <w:abstractNumId w:val="14"/>
  </w:num>
  <w:num w:numId="7">
    <w:abstractNumId w:val="21"/>
  </w:num>
  <w:num w:numId="8">
    <w:abstractNumId w:val="24"/>
  </w:num>
  <w:num w:numId="9">
    <w:abstractNumId w:val="40"/>
  </w:num>
  <w:num w:numId="10">
    <w:abstractNumId w:val="4"/>
  </w:num>
  <w:num w:numId="11">
    <w:abstractNumId w:val="26"/>
  </w:num>
  <w:num w:numId="12">
    <w:abstractNumId w:val="23"/>
  </w:num>
  <w:num w:numId="13">
    <w:abstractNumId w:val="46"/>
  </w:num>
  <w:num w:numId="14">
    <w:abstractNumId w:val="50"/>
  </w:num>
  <w:num w:numId="15">
    <w:abstractNumId w:val="49"/>
  </w:num>
  <w:num w:numId="16">
    <w:abstractNumId w:val="13"/>
  </w:num>
  <w:num w:numId="17">
    <w:abstractNumId w:val="2"/>
  </w:num>
  <w:num w:numId="18">
    <w:abstractNumId w:val="16"/>
  </w:num>
  <w:num w:numId="19">
    <w:abstractNumId w:val="15"/>
  </w:num>
  <w:num w:numId="20">
    <w:abstractNumId w:val="48"/>
  </w:num>
  <w:num w:numId="21">
    <w:abstractNumId w:val="5"/>
  </w:num>
  <w:num w:numId="22">
    <w:abstractNumId w:val="34"/>
  </w:num>
  <w:num w:numId="23">
    <w:abstractNumId w:val="10"/>
  </w:num>
  <w:num w:numId="24">
    <w:abstractNumId w:val="3"/>
  </w:num>
  <w:num w:numId="25">
    <w:abstractNumId w:val="17"/>
  </w:num>
  <w:num w:numId="26">
    <w:abstractNumId w:val="52"/>
  </w:num>
  <w:num w:numId="27">
    <w:abstractNumId w:val="28"/>
  </w:num>
  <w:num w:numId="28">
    <w:abstractNumId w:val="32"/>
  </w:num>
  <w:num w:numId="29">
    <w:abstractNumId w:val="35"/>
  </w:num>
  <w:num w:numId="30">
    <w:abstractNumId w:val="19"/>
  </w:num>
  <w:num w:numId="31">
    <w:abstractNumId w:val="11"/>
  </w:num>
  <w:num w:numId="32">
    <w:abstractNumId w:val="47"/>
  </w:num>
  <w:num w:numId="33">
    <w:abstractNumId w:val="51"/>
  </w:num>
  <w:num w:numId="34">
    <w:abstractNumId w:val="9"/>
  </w:num>
  <w:num w:numId="35">
    <w:abstractNumId w:val="31"/>
  </w:num>
  <w:num w:numId="36">
    <w:abstractNumId w:val="6"/>
  </w:num>
  <w:num w:numId="37">
    <w:abstractNumId w:val="42"/>
  </w:num>
  <w:num w:numId="38">
    <w:abstractNumId w:val="36"/>
  </w:num>
  <w:num w:numId="39">
    <w:abstractNumId w:val="53"/>
  </w:num>
  <w:num w:numId="40">
    <w:abstractNumId w:val="54"/>
  </w:num>
  <w:num w:numId="41">
    <w:abstractNumId w:val="43"/>
  </w:num>
  <w:num w:numId="42">
    <w:abstractNumId w:val="18"/>
  </w:num>
  <w:num w:numId="43">
    <w:abstractNumId w:val="33"/>
  </w:num>
  <w:num w:numId="44">
    <w:abstractNumId w:val="27"/>
  </w:num>
  <w:num w:numId="45">
    <w:abstractNumId w:val="30"/>
  </w:num>
  <w:num w:numId="46">
    <w:abstractNumId w:val="20"/>
  </w:num>
  <w:num w:numId="47">
    <w:abstractNumId w:val="37"/>
  </w:num>
  <w:num w:numId="48">
    <w:abstractNumId w:val="1"/>
  </w:num>
  <w:num w:numId="49">
    <w:abstractNumId w:val="0"/>
  </w:num>
  <w:num w:numId="50">
    <w:abstractNumId w:val="25"/>
  </w:num>
  <w:num w:numId="51">
    <w:abstractNumId w:val="41"/>
  </w:num>
  <w:num w:numId="52">
    <w:abstractNumId w:val="29"/>
  </w:num>
  <w:num w:numId="53">
    <w:abstractNumId w:val="39"/>
  </w:num>
  <w:num w:numId="54">
    <w:abstractNumId w:val="22"/>
  </w:num>
  <w:num w:numId="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288"/>
  <w:drawingGridHorizontalSpacing w:val="124"/>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6FE"/>
    <w:rsid w:val="000000D9"/>
    <w:rsid w:val="00000971"/>
    <w:rsid w:val="0000193F"/>
    <w:rsid w:val="00001CB9"/>
    <w:rsid w:val="000027ED"/>
    <w:rsid w:val="000037BA"/>
    <w:rsid w:val="00003B0B"/>
    <w:rsid w:val="00003DF3"/>
    <w:rsid w:val="00004076"/>
    <w:rsid w:val="00004191"/>
    <w:rsid w:val="00004470"/>
    <w:rsid w:val="0000484E"/>
    <w:rsid w:val="00004851"/>
    <w:rsid w:val="00005100"/>
    <w:rsid w:val="00005AA2"/>
    <w:rsid w:val="00005E57"/>
    <w:rsid w:val="0000629B"/>
    <w:rsid w:val="000065FC"/>
    <w:rsid w:val="00006E0F"/>
    <w:rsid w:val="00007491"/>
    <w:rsid w:val="0000783C"/>
    <w:rsid w:val="00007A56"/>
    <w:rsid w:val="000101E5"/>
    <w:rsid w:val="000106E2"/>
    <w:rsid w:val="00010722"/>
    <w:rsid w:val="0001169B"/>
    <w:rsid w:val="0001192B"/>
    <w:rsid w:val="00012DF3"/>
    <w:rsid w:val="000131A1"/>
    <w:rsid w:val="00013A15"/>
    <w:rsid w:val="0001486A"/>
    <w:rsid w:val="00015BA0"/>
    <w:rsid w:val="00016FC8"/>
    <w:rsid w:val="00017467"/>
    <w:rsid w:val="000175E0"/>
    <w:rsid w:val="000208BD"/>
    <w:rsid w:val="00020F21"/>
    <w:rsid w:val="00021182"/>
    <w:rsid w:val="00021F27"/>
    <w:rsid w:val="00022351"/>
    <w:rsid w:val="000224DF"/>
    <w:rsid w:val="0002272C"/>
    <w:rsid w:val="00022E5C"/>
    <w:rsid w:val="000237B5"/>
    <w:rsid w:val="00023E14"/>
    <w:rsid w:val="000241CA"/>
    <w:rsid w:val="0002456C"/>
    <w:rsid w:val="000256D7"/>
    <w:rsid w:val="00025C61"/>
    <w:rsid w:val="00025EC6"/>
    <w:rsid w:val="00026025"/>
    <w:rsid w:val="0002676F"/>
    <w:rsid w:val="00026DD3"/>
    <w:rsid w:val="00026EDC"/>
    <w:rsid w:val="00027A75"/>
    <w:rsid w:val="00030017"/>
    <w:rsid w:val="00030B98"/>
    <w:rsid w:val="0003129E"/>
    <w:rsid w:val="00031AC0"/>
    <w:rsid w:val="00031D1A"/>
    <w:rsid w:val="00031FDE"/>
    <w:rsid w:val="000324B4"/>
    <w:rsid w:val="00032886"/>
    <w:rsid w:val="000328AA"/>
    <w:rsid w:val="00032ADD"/>
    <w:rsid w:val="00034191"/>
    <w:rsid w:val="0003632A"/>
    <w:rsid w:val="00037471"/>
    <w:rsid w:val="0003750E"/>
    <w:rsid w:val="000401EB"/>
    <w:rsid w:val="000406C8"/>
    <w:rsid w:val="0004217C"/>
    <w:rsid w:val="0004221C"/>
    <w:rsid w:val="00042888"/>
    <w:rsid w:val="00043415"/>
    <w:rsid w:val="00043641"/>
    <w:rsid w:val="000438EC"/>
    <w:rsid w:val="0004433A"/>
    <w:rsid w:val="00047264"/>
    <w:rsid w:val="00047739"/>
    <w:rsid w:val="000479E1"/>
    <w:rsid w:val="000512FA"/>
    <w:rsid w:val="000516E6"/>
    <w:rsid w:val="00052227"/>
    <w:rsid w:val="0005230B"/>
    <w:rsid w:val="00052710"/>
    <w:rsid w:val="000533E5"/>
    <w:rsid w:val="00053476"/>
    <w:rsid w:val="00054684"/>
    <w:rsid w:val="00054692"/>
    <w:rsid w:val="000546FA"/>
    <w:rsid w:val="000550BF"/>
    <w:rsid w:val="00056120"/>
    <w:rsid w:val="000562FB"/>
    <w:rsid w:val="00056899"/>
    <w:rsid w:val="0005698A"/>
    <w:rsid w:val="00056A89"/>
    <w:rsid w:val="00057224"/>
    <w:rsid w:val="000573C0"/>
    <w:rsid w:val="000574F0"/>
    <w:rsid w:val="00057D9B"/>
    <w:rsid w:val="000607A1"/>
    <w:rsid w:val="00060A3A"/>
    <w:rsid w:val="00060EEB"/>
    <w:rsid w:val="00061255"/>
    <w:rsid w:val="00061823"/>
    <w:rsid w:val="00062039"/>
    <w:rsid w:val="000631D2"/>
    <w:rsid w:val="000633AE"/>
    <w:rsid w:val="0006395F"/>
    <w:rsid w:val="0006417A"/>
    <w:rsid w:val="00064326"/>
    <w:rsid w:val="00065425"/>
    <w:rsid w:val="00065516"/>
    <w:rsid w:val="00065660"/>
    <w:rsid w:val="00065837"/>
    <w:rsid w:val="00065F07"/>
    <w:rsid w:val="0006640D"/>
    <w:rsid w:val="0006759E"/>
    <w:rsid w:val="000677D4"/>
    <w:rsid w:val="00067D5C"/>
    <w:rsid w:val="00070078"/>
    <w:rsid w:val="0007110E"/>
    <w:rsid w:val="0007153D"/>
    <w:rsid w:val="00071A6B"/>
    <w:rsid w:val="00071DC6"/>
    <w:rsid w:val="00073008"/>
    <w:rsid w:val="0007311B"/>
    <w:rsid w:val="00073293"/>
    <w:rsid w:val="000733F2"/>
    <w:rsid w:val="00073630"/>
    <w:rsid w:val="0007388C"/>
    <w:rsid w:val="00073D32"/>
    <w:rsid w:val="00074189"/>
    <w:rsid w:val="00074A03"/>
    <w:rsid w:val="00074B2D"/>
    <w:rsid w:val="00074C47"/>
    <w:rsid w:val="000753B0"/>
    <w:rsid w:val="00075F4B"/>
    <w:rsid w:val="00075F54"/>
    <w:rsid w:val="00076435"/>
    <w:rsid w:val="000767FD"/>
    <w:rsid w:val="00077731"/>
    <w:rsid w:val="00081432"/>
    <w:rsid w:val="00082CD9"/>
    <w:rsid w:val="00083DE4"/>
    <w:rsid w:val="000841E4"/>
    <w:rsid w:val="00084777"/>
    <w:rsid w:val="00084A2A"/>
    <w:rsid w:val="00084C10"/>
    <w:rsid w:val="00084C72"/>
    <w:rsid w:val="00085026"/>
    <w:rsid w:val="0008559A"/>
    <w:rsid w:val="00085790"/>
    <w:rsid w:val="000862DC"/>
    <w:rsid w:val="00086B9B"/>
    <w:rsid w:val="00086C57"/>
    <w:rsid w:val="00086EAF"/>
    <w:rsid w:val="00087573"/>
    <w:rsid w:val="00087734"/>
    <w:rsid w:val="00087C62"/>
    <w:rsid w:val="0009050B"/>
    <w:rsid w:val="0009071C"/>
    <w:rsid w:val="000921A1"/>
    <w:rsid w:val="000923F1"/>
    <w:rsid w:val="000924C1"/>
    <w:rsid w:val="00092E33"/>
    <w:rsid w:val="00093277"/>
    <w:rsid w:val="00093D34"/>
    <w:rsid w:val="00093DFE"/>
    <w:rsid w:val="00093EA3"/>
    <w:rsid w:val="00093EB3"/>
    <w:rsid w:val="00094AE2"/>
    <w:rsid w:val="00094DE5"/>
    <w:rsid w:val="000956B6"/>
    <w:rsid w:val="00095B94"/>
    <w:rsid w:val="00095ED1"/>
    <w:rsid w:val="000963E5"/>
    <w:rsid w:val="00097085"/>
    <w:rsid w:val="0009717A"/>
    <w:rsid w:val="0009717D"/>
    <w:rsid w:val="000A00AB"/>
    <w:rsid w:val="000A0C64"/>
    <w:rsid w:val="000A0E65"/>
    <w:rsid w:val="000A132B"/>
    <w:rsid w:val="000A1544"/>
    <w:rsid w:val="000A16BA"/>
    <w:rsid w:val="000A18D3"/>
    <w:rsid w:val="000A1FF9"/>
    <w:rsid w:val="000A3113"/>
    <w:rsid w:val="000A4361"/>
    <w:rsid w:val="000A4633"/>
    <w:rsid w:val="000A4B14"/>
    <w:rsid w:val="000A4C67"/>
    <w:rsid w:val="000A5023"/>
    <w:rsid w:val="000A5452"/>
    <w:rsid w:val="000A5600"/>
    <w:rsid w:val="000A5C3C"/>
    <w:rsid w:val="000A5D6E"/>
    <w:rsid w:val="000A61DE"/>
    <w:rsid w:val="000A6C25"/>
    <w:rsid w:val="000A75A4"/>
    <w:rsid w:val="000B0092"/>
    <w:rsid w:val="000B0653"/>
    <w:rsid w:val="000B0983"/>
    <w:rsid w:val="000B1B1C"/>
    <w:rsid w:val="000B2311"/>
    <w:rsid w:val="000B27EA"/>
    <w:rsid w:val="000B29D6"/>
    <w:rsid w:val="000B2C0B"/>
    <w:rsid w:val="000B3092"/>
    <w:rsid w:val="000B3E35"/>
    <w:rsid w:val="000B482E"/>
    <w:rsid w:val="000B4E32"/>
    <w:rsid w:val="000B4E77"/>
    <w:rsid w:val="000B531C"/>
    <w:rsid w:val="000B61CB"/>
    <w:rsid w:val="000B71C6"/>
    <w:rsid w:val="000B74D4"/>
    <w:rsid w:val="000B7AE3"/>
    <w:rsid w:val="000C0ACA"/>
    <w:rsid w:val="000C1226"/>
    <w:rsid w:val="000C16AA"/>
    <w:rsid w:val="000C175F"/>
    <w:rsid w:val="000C1B65"/>
    <w:rsid w:val="000C1C89"/>
    <w:rsid w:val="000C1DFA"/>
    <w:rsid w:val="000C244F"/>
    <w:rsid w:val="000C2859"/>
    <w:rsid w:val="000C3994"/>
    <w:rsid w:val="000C3E28"/>
    <w:rsid w:val="000C4F56"/>
    <w:rsid w:val="000C4FDA"/>
    <w:rsid w:val="000C5698"/>
    <w:rsid w:val="000C5894"/>
    <w:rsid w:val="000C6240"/>
    <w:rsid w:val="000C698A"/>
    <w:rsid w:val="000C6F67"/>
    <w:rsid w:val="000C71E1"/>
    <w:rsid w:val="000C7850"/>
    <w:rsid w:val="000D06BE"/>
    <w:rsid w:val="000D081E"/>
    <w:rsid w:val="000D118F"/>
    <w:rsid w:val="000D1ED6"/>
    <w:rsid w:val="000D2D40"/>
    <w:rsid w:val="000D374D"/>
    <w:rsid w:val="000D3D59"/>
    <w:rsid w:val="000D3EF1"/>
    <w:rsid w:val="000D449E"/>
    <w:rsid w:val="000D5A20"/>
    <w:rsid w:val="000D62AC"/>
    <w:rsid w:val="000D638E"/>
    <w:rsid w:val="000D6F9A"/>
    <w:rsid w:val="000D7342"/>
    <w:rsid w:val="000D76AA"/>
    <w:rsid w:val="000D7970"/>
    <w:rsid w:val="000D7F9A"/>
    <w:rsid w:val="000E08F8"/>
    <w:rsid w:val="000E098C"/>
    <w:rsid w:val="000E09BF"/>
    <w:rsid w:val="000E0AA5"/>
    <w:rsid w:val="000E150C"/>
    <w:rsid w:val="000E1634"/>
    <w:rsid w:val="000E1638"/>
    <w:rsid w:val="000E39A5"/>
    <w:rsid w:val="000E427E"/>
    <w:rsid w:val="000E5D00"/>
    <w:rsid w:val="000E66AC"/>
    <w:rsid w:val="000E752D"/>
    <w:rsid w:val="000F0568"/>
    <w:rsid w:val="000F08C2"/>
    <w:rsid w:val="000F134F"/>
    <w:rsid w:val="000F2148"/>
    <w:rsid w:val="000F2281"/>
    <w:rsid w:val="000F2970"/>
    <w:rsid w:val="000F29A0"/>
    <w:rsid w:val="000F2EAD"/>
    <w:rsid w:val="000F30D7"/>
    <w:rsid w:val="000F3976"/>
    <w:rsid w:val="000F3BBC"/>
    <w:rsid w:val="000F3F6E"/>
    <w:rsid w:val="000F4D5A"/>
    <w:rsid w:val="000F4F96"/>
    <w:rsid w:val="000F4FCF"/>
    <w:rsid w:val="000F61F0"/>
    <w:rsid w:val="000F6E06"/>
    <w:rsid w:val="000F787A"/>
    <w:rsid w:val="0010008F"/>
    <w:rsid w:val="001000FD"/>
    <w:rsid w:val="001003BF"/>
    <w:rsid w:val="001009AD"/>
    <w:rsid w:val="00100D5A"/>
    <w:rsid w:val="001010D8"/>
    <w:rsid w:val="0010119D"/>
    <w:rsid w:val="001017C0"/>
    <w:rsid w:val="001018A0"/>
    <w:rsid w:val="00102132"/>
    <w:rsid w:val="001026EB"/>
    <w:rsid w:val="00102BB4"/>
    <w:rsid w:val="00102D57"/>
    <w:rsid w:val="0010363B"/>
    <w:rsid w:val="00103DC6"/>
    <w:rsid w:val="00103ECD"/>
    <w:rsid w:val="00103ED1"/>
    <w:rsid w:val="001044D5"/>
    <w:rsid w:val="00104D05"/>
    <w:rsid w:val="00105A29"/>
    <w:rsid w:val="00105B67"/>
    <w:rsid w:val="001060BF"/>
    <w:rsid w:val="001068AC"/>
    <w:rsid w:val="00107238"/>
    <w:rsid w:val="00110081"/>
    <w:rsid w:val="001102BF"/>
    <w:rsid w:val="001103AC"/>
    <w:rsid w:val="0011041E"/>
    <w:rsid w:val="001106AA"/>
    <w:rsid w:val="001107BB"/>
    <w:rsid w:val="00111780"/>
    <w:rsid w:val="001120C5"/>
    <w:rsid w:val="00112223"/>
    <w:rsid w:val="0011242F"/>
    <w:rsid w:val="00112B38"/>
    <w:rsid w:val="00113CA7"/>
    <w:rsid w:val="001140C6"/>
    <w:rsid w:val="0011472F"/>
    <w:rsid w:val="00114DAC"/>
    <w:rsid w:val="00114F53"/>
    <w:rsid w:val="00115A20"/>
    <w:rsid w:val="00115AB1"/>
    <w:rsid w:val="00115E9E"/>
    <w:rsid w:val="001160CA"/>
    <w:rsid w:val="001160DE"/>
    <w:rsid w:val="00116617"/>
    <w:rsid w:val="001208FA"/>
    <w:rsid w:val="00121E76"/>
    <w:rsid w:val="00122196"/>
    <w:rsid w:val="00122279"/>
    <w:rsid w:val="00122F96"/>
    <w:rsid w:val="001233B4"/>
    <w:rsid w:val="00123446"/>
    <w:rsid w:val="001235CB"/>
    <w:rsid w:val="00123AE1"/>
    <w:rsid w:val="001242C4"/>
    <w:rsid w:val="00124D89"/>
    <w:rsid w:val="00125620"/>
    <w:rsid w:val="001256BE"/>
    <w:rsid w:val="00125885"/>
    <w:rsid w:val="00126644"/>
    <w:rsid w:val="00126F57"/>
    <w:rsid w:val="00127A0D"/>
    <w:rsid w:val="00127FCF"/>
    <w:rsid w:val="00130B0D"/>
    <w:rsid w:val="00131CF7"/>
    <w:rsid w:val="00131E03"/>
    <w:rsid w:val="00131F65"/>
    <w:rsid w:val="001323B5"/>
    <w:rsid w:val="00133682"/>
    <w:rsid w:val="00133E7D"/>
    <w:rsid w:val="001344EA"/>
    <w:rsid w:val="00134A06"/>
    <w:rsid w:val="00135111"/>
    <w:rsid w:val="001357B9"/>
    <w:rsid w:val="00135B8A"/>
    <w:rsid w:val="00136271"/>
    <w:rsid w:val="00136303"/>
    <w:rsid w:val="00136FB0"/>
    <w:rsid w:val="0013748E"/>
    <w:rsid w:val="001376C9"/>
    <w:rsid w:val="00140E0E"/>
    <w:rsid w:val="0014126F"/>
    <w:rsid w:val="00141892"/>
    <w:rsid w:val="00141BDA"/>
    <w:rsid w:val="00141DD4"/>
    <w:rsid w:val="00142866"/>
    <w:rsid w:val="0014305F"/>
    <w:rsid w:val="001447EB"/>
    <w:rsid w:val="00146436"/>
    <w:rsid w:val="00151ADB"/>
    <w:rsid w:val="001533E5"/>
    <w:rsid w:val="0015354F"/>
    <w:rsid w:val="00153558"/>
    <w:rsid w:val="00154DFD"/>
    <w:rsid w:val="00155434"/>
    <w:rsid w:val="001557FE"/>
    <w:rsid w:val="00156198"/>
    <w:rsid w:val="0015642C"/>
    <w:rsid w:val="00156B4D"/>
    <w:rsid w:val="0015701D"/>
    <w:rsid w:val="001575FD"/>
    <w:rsid w:val="00160665"/>
    <w:rsid w:val="00160BCA"/>
    <w:rsid w:val="001611A5"/>
    <w:rsid w:val="001615DB"/>
    <w:rsid w:val="00162461"/>
    <w:rsid w:val="00162B6A"/>
    <w:rsid w:val="001638C1"/>
    <w:rsid w:val="00163B10"/>
    <w:rsid w:val="00163C5F"/>
    <w:rsid w:val="00164EF4"/>
    <w:rsid w:val="00164F1F"/>
    <w:rsid w:val="001655AE"/>
    <w:rsid w:val="001659A9"/>
    <w:rsid w:val="0016746E"/>
    <w:rsid w:val="001678BB"/>
    <w:rsid w:val="00167A25"/>
    <w:rsid w:val="00170C21"/>
    <w:rsid w:val="00170D6B"/>
    <w:rsid w:val="0017108E"/>
    <w:rsid w:val="0017171D"/>
    <w:rsid w:val="00171823"/>
    <w:rsid w:val="0017185D"/>
    <w:rsid w:val="00172251"/>
    <w:rsid w:val="00172801"/>
    <w:rsid w:val="00173234"/>
    <w:rsid w:val="001739DB"/>
    <w:rsid w:val="00173AB5"/>
    <w:rsid w:val="001764B3"/>
    <w:rsid w:val="00176BB5"/>
    <w:rsid w:val="001777D4"/>
    <w:rsid w:val="00180229"/>
    <w:rsid w:val="00180443"/>
    <w:rsid w:val="001809C9"/>
    <w:rsid w:val="00181984"/>
    <w:rsid w:val="00181A18"/>
    <w:rsid w:val="0018224C"/>
    <w:rsid w:val="001826CE"/>
    <w:rsid w:val="00182715"/>
    <w:rsid w:val="00182B2C"/>
    <w:rsid w:val="001836F0"/>
    <w:rsid w:val="00183E47"/>
    <w:rsid w:val="00184462"/>
    <w:rsid w:val="00185E10"/>
    <w:rsid w:val="00186230"/>
    <w:rsid w:val="00186285"/>
    <w:rsid w:val="001868E7"/>
    <w:rsid w:val="00186947"/>
    <w:rsid w:val="00187DF4"/>
    <w:rsid w:val="0019021C"/>
    <w:rsid w:val="00191D4F"/>
    <w:rsid w:val="00192A54"/>
    <w:rsid w:val="00192C5B"/>
    <w:rsid w:val="00194313"/>
    <w:rsid w:val="00194D8F"/>
    <w:rsid w:val="00195374"/>
    <w:rsid w:val="00195C67"/>
    <w:rsid w:val="00196EE7"/>
    <w:rsid w:val="00197078"/>
    <w:rsid w:val="001970F3"/>
    <w:rsid w:val="00197BBB"/>
    <w:rsid w:val="00197EC4"/>
    <w:rsid w:val="001A0A81"/>
    <w:rsid w:val="001A0D6A"/>
    <w:rsid w:val="001A1C5C"/>
    <w:rsid w:val="001A1D28"/>
    <w:rsid w:val="001A2DB9"/>
    <w:rsid w:val="001A3C47"/>
    <w:rsid w:val="001A4C92"/>
    <w:rsid w:val="001A4E12"/>
    <w:rsid w:val="001A67EF"/>
    <w:rsid w:val="001A6C92"/>
    <w:rsid w:val="001A6FF4"/>
    <w:rsid w:val="001A7C40"/>
    <w:rsid w:val="001B06E2"/>
    <w:rsid w:val="001B100B"/>
    <w:rsid w:val="001B196F"/>
    <w:rsid w:val="001B1CEB"/>
    <w:rsid w:val="001B2C13"/>
    <w:rsid w:val="001B2C4F"/>
    <w:rsid w:val="001B354B"/>
    <w:rsid w:val="001B490B"/>
    <w:rsid w:val="001B4DA6"/>
    <w:rsid w:val="001B50E3"/>
    <w:rsid w:val="001B50FF"/>
    <w:rsid w:val="001B5147"/>
    <w:rsid w:val="001B6EF5"/>
    <w:rsid w:val="001B7760"/>
    <w:rsid w:val="001B7C27"/>
    <w:rsid w:val="001B7DAA"/>
    <w:rsid w:val="001C163D"/>
    <w:rsid w:val="001C2CCE"/>
    <w:rsid w:val="001C3AAF"/>
    <w:rsid w:val="001C4207"/>
    <w:rsid w:val="001C56B3"/>
    <w:rsid w:val="001C5860"/>
    <w:rsid w:val="001C595E"/>
    <w:rsid w:val="001C6189"/>
    <w:rsid w:val="001C657A"/>
    <w:rsid w:val="001C684F"/>
    <w:rsid w:val="001C6EB8"/>
    <w:rsid w:val="001C6EDC"/>
    <w:rsid w:val="001C7DAD"/>
    <w:rsid w:val="001D07BA"/>
    <w:rsid w:val="001D0EEC"/>
    <w:rsid w:val="001D229E"/>
    <w:rsid w:val="001D2809"/>
    <w:rsid w:val="001D3C55"/>
    <w:rsid w:val="001D6250"/>
    <w:rsid w:val="001D6C00"/>
    <w:rsid w:val="001E014D"/>
    <w:rsid w:val="001E0D44"/>
    <w:rsid w:val="001E0F70"/>
    <w:rsid w:val="001E1599"/>
    <w:rsid w:val="001E1CBC"/>
    <w:rsid w:val="001E369C"/>
    <w:rsid w:val="001E3B9B"/>
    <w:rsid w:val="001E79FF"/>
    <w:rsid w:val="001E7CC4"/>
    <w:rsid w:val="001F0E0F"/>
    <w:rsid w:val="001F1661"/>
    <w:rsid w:val="001F199C"/>
    <w:rsid w:val="001F2868"/>
    <w:rsid w:val="001F3191"/>
    <w:rsid w:val="001F3422"/>
    <w:rsid w:val="001F3D82"/>
    <w:rsid w:val="001F43AE"/>
    <w:rsid w:val="001F524C"/>
    <w:rsid w:val="001F547D"/>
    <w:rsid w:val="001F56FF"/>
    <w:rsid w:val="001F6C8F"/>
    <w:rsid w:val="001F715D"/>
    <w:rsid w:val="001F7642"/>
    <w:rsid w:val="00200841"/>
    <w:rsid w:val="00200BFD"/>
    <w:rsid w:val="002016A5"/>
    <w:rsid w:val="002017F1"/>
    <w:rsid w:val="00202088"/>
    <w:rsid w:val="002023F8"/>
    <w:rsid w:val="0020352C"/>
    <w:rsid w:val="002037C3"/>
    <w:rsid w:val="00203FB7"/>
    <w:rsid w:val="0020404A"/>
    <w:rsid w:val="0020446C"/>
    <w:rsid w:val="00205288"/>
    <w:rsid w:val="00205DE7"/>
    <w:rsid w:val="00205F46"/>
    <w:rsid w:val="002066C7"/>
    <w:rsid w:val="00206CE3"/>
    <w:rsid w:val="002070D1"/>
    <w:rsid w:val="00207C32"/>
    <w:rsid w:val="00210C7E"/>
    <w:rsid w:val="00211527"/>
    <w:rsid w:val="00213A05"/>
    <w:rsid w:val="00213E39"/>
    <w:rsid w:val="002140B6"/>
    <w:rsid w:val="00214552"/>
    <w:rsid w:val="002147CC"/>
    <w:rsid w:val="002147E3"/>
    <w:rsid w:val="00214AD2"/>
    <w:rsid w:val="00214D64"/>
    <w:rsid w:val="00214DC3"/>
    <w:rsid w:val="00214ECA"/>
    <w:rsid w:val="00215005"/>
    <w:rsid w:val="0021506A"/>
    <w:rsid w:val="00215F70"/>
    <w:rsid w:val="002160B4"/>
    <w:rsid w:val="00216510"/>
    <w:rsid w:val="00216AF9"/>
    <w:rsid w:val="00216EE2"/>
    <w:rsid w:val="00217DF6"/>
    <w:rsid w:val="00217E58"/>
    <w:rsid w:val="002205D2"/>
    <w:rsid w:val="0022086A"/>
    <w:rsid w:val="0022092E"/>
    <w:rsid w:val="00221476"/>
    <w:rsid w:val="00221A4D"/>
    <w:rsid w:val="00221BEE"/>
    <w:rsid w:val="00222600"/>
    <w:rsid w:val="0022285F"/>
    <w:rsid w:val="002229AF"/>
    <w:rsid w:val="00222AC0"/>
    <w:rsid w:val="00222D12"/>
    <w:rsid w:val="00222D3C"/>
    <w:rsid w:val="00222D77"/>
    <w:rsid w:val="0022357F"/>
    <w:rsid w:val="0022374A"/>
    <w:rsid w:val="0022392E"/>
    <w:rsid w:val="002243EC"/>
    <w:rsid w:val="00224B08"/>
    <w:rsid w:val="0022521C"/>
    <w:rsid w:val="0022628C"/>
    <w:rsid w:val="00226581"/>
    <w:rsid w:val="0022697E"/>
    <w:rsid w:val="00226D8C"/>
    <w:rsid w:val="00230DC9"/>
    <w:rsid w:val="00231003"/>
    <w:rsid w:val="00231026"/>
    <w:rsid w:val="002316B6"/>
    <w:rsid w:val="002322DC"/>
    <w:rsid w:val="00232360"/>
    <w:rsid w:val="002324C5"/>
    <w:rsid w:val="00232AF6"/>
    <w:rsid w:val="00232B00"/>
    <w:rsid w:val="00232EA4"/>
    <w:rsid w:val="00232EAD"/>
    <w:rsid w:val="00233200"/>
    <w:rsid w:val="002340B3"/>
    <w:rsid w:val="00234B09"/>
    <w:rsid w:val="00234BD6"/>
    <w:rsid w:val="002356CA"/>
    <w:rsid w:val="00235806"/>
    <w:rsid w:val="00235E47"/>
    <w:rsid w:val="002360E9"/>
    <w:rsid w:val="00236A32"/>
    <w:rsid w:val="00236A62"/>
    <w:rsid w:val="002376C7"/>
    <w:rsid w:val="00240775"/>
    <w:rsid w:val="00240B3E"/>
    <w:rsid w:val="00241423"/>
    <w:rsid w:val="002416EB"/>
    <w:rsid w:val="00241BCB"/>
    <w:rsid w:val="00244D54"/>
    <w:rsid w:val="002452D6"/>
    <w:rsid w:val="002453EA"/>
    <w:rsid w:val="00245762"/>
    <w:rsid w:val="0024610F"/>
    <w:rsid w:val="002464F7"/>
    <w:rsid w:val="00246A20"/>
    <w:rsid w:val="00250546"/>
    <w:rsid w:val="002511D9"/>
    <w:rsid w:val="0025143B"/>
    <w:rsid w:val="00252047"/>
    <w:rsid w:val="00252095"/>
    <w:rsid w:val="0025271D"/>
    <w:rsid w:val="00253FE8"/>
    <w:rsid w:val="00254575"/>
    <w:rsid w:val="0025471A"/>
    <w:rsid w:val="002548BB"/>
    <w:rsid w:val="00255132"/>
    <w:rsid w:val="0025573B"/>
    <w:rsid w:val="0025576D"/>
    <w:rsid w:val="002559E8"/>
    <w:rsid w:val="00257403"/>
    <w:rsid w:val="00257A4C"/>
    <w:rsid w:val="00260738"/>
    <w:rsid w:val="002610B3"/>
    <w:rsid w:val="002629FC"/>
    <w:rsid w:val="00263885"/>
    <w:rsid w:val="0026397A"/>
    <w:rsid w:val="002649DD"/>
    <w:rsid w:val="00264EAA"/>
    <w:rsid w:val="0026544B"/>
    <w:rsid w:val="00265CD5"/>
    <w:rsid w:val="002663E1"/>
    <w:rsid w:val="00266445"/>
    <w:rsid w:val="00266DA2"/>
    <w:rsid w:val="00267366"/>
    <w:rsid w:val="00267E33"/>
    <w:rsid w:val="00270DE1"/>
    <w:rsid w:val="00270F37"/>
    <w:rsid w:val="00271069"/>
    <w:rsid w:val="00271A35"/>
    <w:rsid w:val="00271B24"/>
    <w:rsid w:val="00272C48"/>
    <w:rsid w:val="0027333B"/>
    <w:rsid w:val="00273458"/>
    <w:rsid w:val="002738C5"/>
    <w:rsid w:val="00273B5E"/>
    <w:rsid w:val="002741DC"/>
    <w:rsid w:val="002743F3"/>
    <w:rsid w:val="002757D5"/>
    <w:rsid w:val="0027649C"/>
    <w:rsid w:val="0027676C"/>
    <w:rsid w:val="00276F44"/>
    <w:rsid w:val="00277210"/>
    <w:rsid w:val="00277236"/>
    <w:rsid w:val="0027776E"/>
    <w:rsid w:val="00280C9F"/>
    <w:rsid w:val="00280D5A"/>
    <w:rsid w:val="002816B8"/>
    <w:rsid w:val="00281DA7"/>
    <w:rsid w:val="0028240F"/>
    <w:rsid w:val="00282B75"/>
    <w:rsid w:val="00282C90"/>
    <w:rsid w:val="002834B6"/>
    <w:rsid w:val="00284497"/>
    <w:rsid w:val="00284D14"/>
    <w:rsid w:val="002856B0"/>
    <w:rsid w:val="002863CE"/>
    <w:rsid w:val="00286907"/>
    <w:rsid w:val="00286ACD"/>
    <w:rsid w:val="00286C26"/>
    <w:rsid w:val="00286CF6"/>
    <w:rsid w:val="00286FF5"/>
    <w:rsid w:val="00287BF7"/>
    <w:rsid w:val="00292392"/>
    <w:rsid w:val="00292843"/>
    <w:rsid w:val="00292CD9"/>
    <w:rsid w:val="00293A7C"/>
    <w:rsid w:val="00294689"/>
    <w:rsid w:val="0029543F"/>
    <w:rsid w:val="00295B02"/>
    <w:rsid w:val="00295EA8"/>
    <w:rsid w:val="00297547"/>
    <w:rsid w:val="002977E8"/>
    <w:rsid w:val="002A04EA"/>
    <w:rsid w:val="002A0E57"/>
    <w:rsid w:val="002A0E79"/>
    <w:rsid w:val="002A1E1E"/>
    <w:rsid w:val="002A22FB"/>
    <w:rsid w:val="002A2AEB"/>
    <w:rsid w:val="002A2D89"/>
    <w:rsid w:val="002A31E9"/>
    <w:rsid w:val="002A34D7"/>
    <w:rsid w:val="002A378F"/>
    <w:rsid w:val="002A3F17"/>
    <w:rsid w:val="002A41B4"/>
    <w:rsid w:val="002A5D4F"/>
    <w:rsid w:val="002A5EFE"/>
    <w:rsid w:val="002A5F68"/>
    <w:rsid w:val="002B08C7"/>
    <w:rsid w:val="002B0A1E"/>
    <w:rsid w:val="002B14A1"/>
    <w:rsid w:val="002B18F0"/>
    <w:rsid w:val="002B2B32"/>
    <w:rsid w:val="002B31A7"/>
    <w:rsid w:val="002B510A"/>
    <w:rsid w:val="002B59FD"/>
    <w:rsid w:val="002B5C33"/>
    <w:rsid w:val="002B7027"/>
    <w:rsid w:val="002B7875"/>
    <w:rsid w:val="002B7B58"/>
    <w:rsid w:val="002C057D"/>
    <w:rsid w:val="002C0616"/>
    <w:rsid w:val="002C0B57"/>
    <w:rsid w:val="002C1057"/>
    <w:rsid w:val="002C11E0"/>
    <w:rsid w:val="002C1EA0"/>
    <w:rsid w:val="002C255C"/>
    <w:rsid w:val="002C28E6"/>
    <w:rsid w:val="002C2C66"/>
    <w:rsid w:val="002C330E"/>
    <w:rsid w:val="002C45DB"/>
    <w:rsid w:val="002C4937"/>
    <w:rsid w:val="002C4F15"/>
    <w:rsid w:val="002C527C"/>
    <w:rsid w:val="002C5D12"/>
    <w:rsid w:val="002C68F7"/>
    <w:rsid w:val="002C6CE8"/>
    <w:rsid w:val="002C710A"/>
    <w:rsid w:val="002C73EE"/>
    <w:rsid w:val="002C76E1"/>
    <w:rsid w:val="002C78D5"/>
    <w:rsid w:val="002C79C0"/>
    <w:rsid w:val="002D00F4"/>
    <w:rsid w:val="002D0DFE"/>
    <w:rsid w:val="002D19A4"/>
    <w:rsid w:val="002D1DBC"/>
    <w:rsid w:val="002D251D"/>
    <w:rsid w:val="002D2DAC"/>
    <w:rsid w:val="002D3386"/>
    <w:rsid w:val="002D3580"/>
    <w:rsid w:val="002D3601"/>
    <w:rsid w:val="002D375D"/>
    <w:rsid w:val="002D473B"/>
    <w:rsid w:val="002D4E7E"/>
    <w:rsid w:val="002D5CD0"/>
    <w:rsid w:val="002D7485"/>
    <w:rsid w:val="002E021C"/>
    <w:rsid w:val="002E096A"/>
    <w:rsid w:val="002E1A38"/>
    <w:rsid w:val="002E1E48"/>
    <w:rsid w:val="002E1E78"/>
    <w:rsid w:val="002E23E1"/>
    <w:rsid w:val="002E2695"/>
    <w:rsid w:val="002E27C9"/>
    <w:rsid w:val="002E2D1D"/>
    <w:rsid w:val="002E2E5C"/>
    <w:rsid w:val="002E30D4"/>
    <w:rsid w:val="002E37EE"/>
    <w:rsid w:val="002E3D20"/>
    <w:rsid w:val="002E432D"/>
    <w:rsid w:val="002E4F16"/>
    <w:rsid w:val="002E5156"/>
    <w:rsid w:val="002E5F28"/>
    <w:rsid w:val="002E70DC"/>
    <w:rsid w:val="002E72E5"/>
    <w:rsid w:val="002E7488"/>
    <w:rsid w:val="002E74D9"/>
    <w:rsid w:val="002E76B0"/>
    <w:rsid w:val="002E76BB"/>
    <w:rsid w:val="002F0379"/>
    <w:rsid w:val="002F1416"/>
    <w:rsid w:val="002F1ED3"/>
    <w:rsid w:val="002F21C7"/>
    <w:rsid w:val="002F2F0E"/>
    <w:rsid w:val="002F3A9D"/>
    <w:rsid w:val="002F5427"/>
    <w:rsid w:val="002F5592"/>
    <w:rsid w:val="002F6327"/>
    <w:rsid w:val="002F6CED"/>
    <w:rsid w:val="002F72CE"/>
    <w:rsid w:val="002F74EB"/>
    <w:rsid w:val="00301129"/>
    <w:rsid w:val="003013F8"/>
    <w:rsid w:val="00301E40"/>
    <w:rsid w:val="00302773"/>
    <w:rsid w:val="00302A71"/>
    <w:rsid w:val="003031F1"/>
    <w:rsid w:val="00303269"/>
    <w:rsid w:val="00303789"/>
    <w:rsid w:val="00303BB9"/>
    <w:rsid w:val="00304857"/>
    <w:rsid w:val="0030504F"/>
    <w:rsid w:val="003052B0"/>
    <w:rsid w:val="00305E91"/>
    <w:rsid w:val="00305F1A"/>
    <w:rsid w:val="00306773"/>
    <w:rsid w:val="00307554"/>
    <w:rsid w:val="003102A4"/>
    <w:rsid w:val="00310674"/>
    <w:rsid w:val="003106DC"/>
    <w:rsid w:val="00310C83"/>
    <w:rsid w:val="003112DB"/>
    <w:rsid w:val="00311533"/>
    <w:rsid w:val="003116F8"/>
    <w:rsid w:val="003135F2"/>
    <w:rsid w:val="00313D8D"/>
    <w:rsid w:val="003149F7"/>
    <w:rsid w:val="00314A40"/>
    <w:rsid w:val="00314D3F"/>
    <w:rsid w:val="003150B2"/>
    <w:rsid w:val="003158B6"/>
    <w:rsid w:val="00316813"/>
    <w:rsid w:val="003170AA"/>
    <w:rsid w:val="003171DC"/>
    <w:rsid w:val="00317403"/>
    <w:rsid w:val="0031779A"/>
    <w:rsid w:val="00317EAF"/>
    <w:rsid w:val="003213C1"/>
    <w:rsid w:val="00321747"/>
    <w:rsid w:val="00321864"/>
    <w:rsid w:val="00322E7B"/>
    <w:rsid w:val="00323628"/>
    <w:rsid w:val="0032372A"/>
    <w:rsid w:val="003239B2"/>
    <w:rsid w:val="00323B72"/>
    <w:rsid w:val="00324465"/>
    <w:rsid w:val="00324F55"/>
    <w:rsid w:val="0032582A"/>
    <w:rsid w:val="00326ACA"/>
    <w:rsid w:val="00326C7C"/>
    <w:rsid w:val="0032768A"/>
    <w:rsid w:val="00327BE5"/>
    <w:rsid w:val="00327FD3"/>
    <w:rsid w:val="00331598"/>
    <w:rsid w:val="0033203E"/>
    <w:rsid w:val="00332175"/>
    <w:rsid w:val="00332632"/>
    <w:rsid w:val="00332A5E"/>
    <w:rsid w:val="00332DB6"/>
    <w:rsid w:val="00332E6D"/>
    <w:rsid w:val="00332F89"/>
    <w:rsid w:val="00333AB0"/>
    <w:rsid w:val="00334B46"/>
    <w:rsid w:val="00334D2D"/>
    <w:rsid w:val="00335711"/>
    <w:rsid w:val="00335AF1"/>
    <w:rsid w:val="0033696C"/>
    <w:rsid w:val="00337284"/>
    <w:rsid w:val="0034104C"/>
    <w:rsid w:val="0034143D"/>
    <w:rsid w:val="00341E04"/>
    <w:rsid w:val="00342A7A"/>
    <w:rsid w:val="00343CF5"/>
    <w:rsid w:val="003444BA"/>
    <w:rsid w:val="0034495F"/>
    <w:rsid w:val="00344DB3"/>
    <w:rsid w:val="003454C4"/>
    <w:rsid w:val="003458E1"/>
    <w:rsid w:val="00345A95"/>
    <w:rsid w:val="003460EE"/>
    <w:rsid w:val="00346F2C"/>
    <w:rsid w:val="0034779B"/>
    <w:rsid w:val="00347FE5"/>
    <w:rsid w:val="00350636"/>
    <w:rsid w:val="00351AD4"/>
    <w:rsid w:val="00351E25"/>
    <w:rsid w:val="00351E87"/>
    <w:rsid w:val="00352469"/>
    <w:rsid w:val="003527A8"/>
    <w:rsid w:val="003527DC"/>
    <w:rsid w:val="00353B6A"/>
    <w:rsid w:val="00353F7F"/>
    <w:rsid w:val="00353FF0"/>
    <w:rsid w:val="0035444D"/>
    <w:rsid w:val="003545D5"/>
    <w:rsid w:val="003548FF"/>
    <w:rsid w:val="00354C04"/>
    <w:rsid w:val="00354C98"/>
    <w:rsid w:val="00355047"/>
    <w:rsid w:val="00355EF6"/>
    <w:rsid w:val="003568AD"/>
    <w:rsid w:val="00356E8B"/>
    <w:rsid w:val="00357B02"/>
    <w:rsid w:val="00357E36"/>
    <w:rsid w:val="003601C3"/>
    <w:rsid w:val="003607D2"/>
    <w:rsid w:val="0036260D"/>
    <w:rsid w:val="00363151"/>
    <w:rsid w:val="00363301"/>
    <w:rsid w:val="00364738"/>
    <w:rsid w:val="003657B2"/>
    <w:rsid w:val="00365C44"/>
    <w:rsid w:val="00365CA9"/>
    <w:rsid w:val="00366420"/>
    <w:rsid w:val="003665E6"/>
    <w:rsid w:val="00371459"/>
    <w:rsid w:val="00371C70"/>
    <w:rsid w:val="00371D61"/>
    <w:rsid w:val="00372207"/>
    <w:rsid w:val="00372AA6"/>
    <w:rsid w:val="00372B61"/>
    <w:rsid w:val="00372DB2"/>
    <w:rsid w:val="0037399C"/>
    <w:rsid w:val="00373A25"/>
    <w:rsid w:val="00374085"/>
    <w:rsid w:val="00375273"/>
    <w:rsid w:val="003754FA"/>
    <w:rsid w:val="00375EB5"/>
    <w:rsid w:val="00375F83"/>
    <w:rsid w:val="00376086"/>
    <w:rsid w:val="00376140"/>
    <w:rsid w:val="003765C0"/>
    <w:rsid w:val="00376A8F"/>
    <w:rsid w:val="003801B0"/>
    <w:rsid w:val="00380F8F"/>
    <w:rsid w:val="00381037"/>
    <w:rsid w:val="003813CF"/>
    <w:rsid w:val="0038183D"/>
    <w:rsid w:val="00381B2D"/>
    <w:rsid w:val="003821BE"/>
    <w:rsid w:val="003832B2"/>
    <w:rsid w:val="00383E2B"/>
    <w:rsid w:val="00383EB6"/>
    <w:rsid w:val="003851F1"/>
    <w:rsid w:val="003855BA"/>
    <w:rsid w:val="00385F46"/>
    <w:rsid w:val="0038729B"/>
    <w:rsid w:val="003874B0"/>
    <w:rsid w:val="003914E4"/>
    <w:rsid w:val="003919B4"/>
    <w:rsid w:val="003924A9"/>
    <w:rsid w:val="00392943"/>
    <w:rsid w:val="00392C72"/>
    <w:rsid w:val="003935AB"/>
    <w:rsid w:val="00393A45"/>
    <w:rsid w:val="00394B9C"/>
    <w:rsid w:val="00395C8D"/>
    <w:rsid w:val="0039689B"/>
    <w:rsid w:val="00397366"/>
    <w:rsid w:val="00397BF1"/>
    <w:rsid w:val="00397E97"/>
    <w:rsid w:val="003A085C"/>
    <w:rsid w:val="003A0D33"/>
    <w:rsid w:val="003A0DE0"/>
    <w:rsid w:val="003A1F26"/>
    <w:rsid w:val="003A2036"/>
    <w:rsid w:val="003A2BF3"/>
    <w:rsid w:val="003A30FD"/>
    <w:rsid w:val="003A3BE4"/>
    <w:rsid w:val="003A3DE8"/>
    <w:rsid w:val="003A3E93"/>
    <w:rsid w:val="003A3F3F"/>
    <w:rsid w:val="003A480B"/>
    <w:rsid w:val="003A5C18"/>
    <w:rsid w:val="003A600E"/>
    <w:rsid w:val="003A60E3"/>
    <w:rsid w:val="003A61F5"/>
    <w:rsid w:val="003A72EB"/>
    <w:rsid w:val="003A76DD"/>
    <w:rsid w:val="003B0C23"/>
    <w:rsid w:val="003B1802"/>
    <w:rsid w:val="003B193D"/>
    <w:rsid w:val="003B22AD"/>
    <w:rsid w:val="003B35B8"/>
    <w:rsid w:val="003B3901"/>
    <w:rsid w:val="003B59AE"/>
    <w:rsid w:val="003B5BFD"/>
    <w:rsid w:val="003B61B0"/>
    <w:rsid w:val="003B61C1"/>
    <w:rsid w:val="003B63A8"/>
    <w:rsid w:val="003B6612"/>
    <w:rsid w:val="003C1365"/>
    <w:rsid w:val="003C13BD"/>
    <w:rsid w:val="003C1594"/>
    <w:rsid w:val="003C183C"/>
    <w:rsid w:val="003C1B87"/>
    <w:rsid w:val="003C1F99"/>
    <w:rsid w:val="003C204C"/>
    <w:rsid w:val="003C2106"/>
    <w:rsid w:val="003C37E1"/>
    <w:rsid w:val="003C37FE"/>
    <w:rsid w:val="003C3B72"/>
    <w:rsid w:val="003C440E"/>
    <w:rsid w:val="003C448C"/>
    <w:rsid w:val="003C47DD"/>
    <w:rsid w:val="003C5261"/>
    <w:rsid w:val="003C5347"/>
    <w:rsid w:val="003C54FB"/>
    <w:rsid w:val="003C5834"/>
    <w:rsid w:val="003C5E36"/>
    <w:rsid w:val="003C63D6"/>
    <w:rsid w:val="003C6A0E"/>
    <w:rsid w:val="003C6DCF"/>
    <w:rsid w:val="003C72BE"/>
    <w:rsid w:val="003D0079"/>
    <w:rsid w:val="003D05C7"/>
    <w:rsid w:val="003D0711"/>
    <w:rsid w:val="003D08CC"/>
    <w:rsid w:val="003D139D"/>
    <w:rsid w:val="003D1E62"/>
    <w:rsid w:val="003D2709"/>
    <w:rsid w:val="003D2863"/>
    <w:rsid w:val="003D3E08"/>
    <w:rsid w:val="003D3F00"/>
    <w:rsid w:val="003D41AB"/>
    <w:rsid w:val="003D4C2B"/>
    <w:rsid w:val="003D575B"/>
    <w:rsid w:val="003D579C"/>
    <w:rsid w:val="003D614B"/>
    <w:rsid w:val="003D6164"/>
    <w:rsid w:val="003D64A8"/>
    <w:rsid w:val="003D6A65"/>
    <w:rsid w:val="003D6D1A"/>
    <w:rsid w:val="003D6FCF"/>
    <w:rsid w:val="003D7331"/>
    <w:rsid w:val="003D768D"/>
    <w:rsid w:val="003D7ADD"/>
    <w:rsid w:val="003E007D"/>
    <w:rsid w:val="003E00EE"/>
    <w:rsid w:val="003E024B"/>
    <w:rsid w:val="003E1155"/>
    <w:rsid w:val="003E11F5"/>
    <w:rsid w:val="003E1A02"/>
    <w:rsid w:val="003E2B9F"/>
    <w:rsid w:val="003E2CBE"/>
    <w:rsid w:val="003E2EC8"/>
    <w:rsid w:val="003E30AF"/>
    <w:rsid w:val="003E3279"/>
    <w:rsid w:val="003E35D7"/>
    <w:rsid w:val="003E3DF5"/>
    <w:rsid w:val="003E5413"/>
    <w:rsid w:val="003E565B"/>
    <w:rsid w:val="003E5FA2"/>
    <w:rsid w:val="003E6687"/>
    <w:rsid w:val="003E7903"/>
    <w:rsid w:val="003F02E2"/>
    <w:rsid w:val="003F0DD2"/>
    <w:rsid w:val="003F1542"/>
    <w:rsid w:val="003F1706"/>
    <w:rsid w:val="003F17DE"/>
    <w:rsid w:val="003F1DBA"/>
    <w:rsid w:val="003F26AC"/>
    <w:rsid w:val="003F27DB"/>
    <w:rsid w:val="003F2EC9"/>
    <w:rsid w:val="003F3A01"/>
    <w:rsid w:val="003F4FAC"/>
    <w:rsid w:val="003F57F4"/>
    <w:rsid w:val="003F5D05"/>
    <w:rsid w:val="003F6113"/>
    <w:rsid w:val="003F6FC4"/>
    <w:rsid w:val="00400223"/>
    <w:rsid w:val="004015AD"/>
    <w:rsid w:val="004018F8"/>
    <w:rsid w:val="00401ECC"/>
    <w:rsid w:val="00401F50"/>
    <w:rsid w:val="00402083"/>
    <w:rsid w:val="00402469"/>
    <w:rsid w:val="00403573"/>
    <w:rsid w:val="00404425"/>
    <w:rsid w:val="00404497"/>
    <w:rsid w:val="00405E4A"/>
    <w:rsid w:val="004069DD"/>
    <w:rsid w:val="00406A83"/>
    <w:rsid w:val="004076B0"/>
    <w:rsid w:val="00407709"/>
    <w:rsid w:val="0041006A"/>
    <w:rsid w:val="004100F6"/>
    <w:rsid w:val="00410C2F"/>
    <w:rsid w:val="00410DAF"/>
    <w:rsid w:val="00411376"/>
    <w:rsid w:val="00411C3F"/>
    <w:rsid w:val="00411D5E"/>
    <w:rsid w:val="00412CCA"/>
    <w:rsid w:val="00412D7B"/>
    <w:rsid w:val="00412EC2"/>
    <w:rsid w:val="00414112"/>
    <w:rsid w:val="00414177"/>
    <w:rsid w:val="004151BD"/>
    <w:rsid w:val="00415B5B"/>
    <w:rsid w:val="00415B8F"/>
    <w:rsid w:val="00417A0B"/>
    <w:rsid w:val="00420319"/>
    <w:rsid w:val="004203D1"/>
    <w:rsid w:val="0042091F"/>
    <w:rsid w:val="00420969"/>
    <w:rsid w:val="004215AB"/>
    <w:rsid w:val="00421646"/>
    <w:rsid w:val="00421A4C"/>
    <w:rsid w:val="00421BF9"/>
    <w:rsid w:val="00421EE3"/>
    <w:rsid w:val="00422549"/>
    <w:rsid w:val="0042311F"/>
    <w:rsid w:val="004232DF"/>
    <w:rsid w:val="004233F3"/>
    <w:rsid w:val="00423721"/>
    <w:rsid w:val="0042372C"/>
    <w:rsid w:val="00423A5C"/>
    <w:rsid w:val="00424A2E"/>
    <w:rsid w:val="00424E84"/>
    <w:rsid w:val="00426AD4"/>
    <w:rsid w:val="00427043"/>
    <w:rsid w:val="004274FB"/>
    <w:rsid w:val="004327DB"/>
    <w:rsid w:val="00433BBF"/>
    <w:rsid w:val="004344FC"/>
    <w:rsid w:val="00434623"/>
    <w:rsid w:val="0043472B"/>
    <w:rsid w:val="0043476B"/>
    <w:rsid w:val="0043580D"/>
    <w:rsid w:val="00435E84"/>
    <w:rsid w:val="004364D9"/>
    <w:rsid w:val="00436965"/>
    <w:rsid w:val="00436B96"/>
    <w:rsid w:val="00436FB4"/>
    <w:rsid w:val="0043786B"/>
    <w:rsid w:val="00437A9A"/>
    <w:rsid w:val="0044013B"/>
    <w:rsid w:val="00441AA0"/>
    <w:rsid w:val="00441AFA"/>
    <w:rsid w:val="00441CD0"/>
    <w:rsid w:val="004421EF"/>
    <w:rsid w:val="00442512"/>
    <w:rsid w:val="00442F90"/>
    <w:rsid w:val="004437DE"/>
    <w:rsid w:val="004455A7"/>
    <w:rsid w:val="00447B9D"/>
    <w:rsid w:val="00447F7E"/>
    <w:rsid w:val="00450023"/>
    <w:rsid w:val="0045040C"/>
    <w:rsid w:val="00450D57"/>
    <w:rsid w:val="00450DA9"/>
    <w:rsid w:val="00450ED0"/>
    <w:rsid w:val="0045159E"/>
    <w:rsid w:val="004518E0"/>
    <w:rsid w:val="00451DFE"/>
    <w:rsid w:val="0045251D"/>
    <w:rsid w:val="00452CBA"/>
    <w:rsid w:val="00453276"/>
    <w:rsid w:val="00454312"/>
    <w:rsid w:val="004543A6"/>
    <w:rsid w:val="00454609"/>
    <w:rsid w:val="00454B31"/>
    <w:rsid w:val="004550AA"/>
    <w:rsid w:val="0045530F"/>
    <w:rsid w:val="00455499"/>
    <w:rsid w:val="0045636B"/>
    <w:rsid w:val="00456A22"/>
    <w:rsid w:val="00456EE7"/>
    <w:rsid w:val="00457112"/>
    <w:rsid w:val="004600EF"/>
    <w:rsid w:val="004606DF"/>
    <w:rsid w:val="004618B6"/>
    <w:rsid w:val="00461AFB"/>
    <w:rsid w:val="00461B67"/>
    <w:rsid w:val="004628B9"/>
    <w:rsid w:val="00463440"/>
    <w:rsid w:val="00463F20"/>
    <w:rsid w:val="00464021"/>
    <w:rsid w:val="00464349"/>
    <w:rsid w:val="00464A44"/>
    <w:rsid w:val="00465345"/>
    <w:rsid w:val="00465A12"/>
    <w:rsid w:val="00465DF4"/>
    <w:rsid w:val="0046638F"/>
    <w:rsid w:val="0046671C"/>
    <w:rsid w:val="0046680C"/>
    <w:rsid w:val="00466D18"/>
    <w:rsid w:val="004674B4"/>
    <w:rsid w:val="00467F0D"/>
    <w:rsid w:val="00470E1B"/>
    <w:rsid w:val="00470F17"/>
    <w:rsid w:val="00471B42"/>
    <w:rsid w:val="00471D3B"/>
    <w:rsid w:val="00472E01"/>
    <w:rsid w:val="004738A5"/>
    <w:rsid w:val="00473EDB"/>
    <w:rsid w:val="00474AAF"/>
    <w:rsid w:val="004753ED"/>
    <w:rsid w:val="00475977"/>
    <w:rsid w:val="00475CBF"/>
    <w:rsid w:val="0047655E"/>
    <w:rsid w:val="0047656C"/>
    <w:rsid w:val="00476A5F"/>
    <w:rsid w:val="00477FB0"/>
    <w:rsid w:val="00480FAE"/>
    <w:rsid w:val="00481745"/>
    <w:rsid w:val="00482064"/>
    <w:rsid w:val="00482450"/>
    <w:rsid w:val="00482C23"/>
    <w:rsid w:val="004832E3"/>
    <w:rsid w:val="00483370"/>
    <w:rsid w:val="00483F15"/>
    <w:rsid w:val="00485E43"/>
    <w:rsid w:val="00485FD7"/>
    <w:rsid w:val="004863CB"/>
    <w:rsid w:val="00487452"/>
    <w:rsid w:val="0048756F"/>
    <w:rsid w:val="0048772A"/>
    <w:rsid w:val="00487E60"/>
    <w:rsid w:val="00487F94"/>
    <w:rsid w:val="00490609"/>
    <w:rsid w:val="00490639"/>
    <w:rsid w:val="00490D56"/>
    <w:rsid w:val="00491397"/>
    <w:rsid w:val="00491987"/>
    <w:rsid w:val="00491C4C"/>
    <w:rsid w:val="004922D9"/>
    <w:rsid w:val="0049267D"/>
    <w:rsid w:val="00492F10"/>
    <w:rsid w:val="00492FF1"/>
    <w:rsid w:val="004931DD"/>
    <w:rsid w:val="004938FF"/>
    <w:rsid w:val="00493C40"/>
    <w:rsid w:val="00493E8E"/>
    <w:rsid w:val="00493FD8"/>
    <w:rsid w:val="004945E8"/>
    <w:rsid w:val="004947F1"/>
    <w:rsid w:val="004948E5"/>
    <w:rsid w:val="00495935"/>
    <w:rsid w:val="0049623B"/>
    <w:rsid w:val="004A0C28"/>
    <w:rsid w:val="004A0E42"/>
    <w:rsid w:val="004A1A29"/>
    <w:rsid w:val="004A2AAD"/>
    <w:rsid w:val="004A2F9D"/>
    <w:rsid w:val="004A3A2C"/>
    <w:rsid w:val="004A47C3"/>
    <w:rsid w:val="004A50EB"/>
    <w:rsid w:val="004A519C"/>
    <w:rsid w:val="004A5581"/>
    <w:rsid w:val="004A57D1"/>
    <w:rsid w:val="004A586E"/>
    <w:rsid w:val="004A59A7"/>
    <w:rsid w:val="004A6273"/>
    <w:rsid w:val="004A64A4"/>
    <w:rsid w:val="004A6514"/>
    <w:rsid w:val="004A6D8D"/>
    <w:rsid w:val="004A7228"/>
    <w:rsid w:val="004A75E6"/>
    <w:rsid w:val="004A77A4"/>
    <w:rsid w:val="004A77FF"/>
    <w:rsid w:val="004A7D43"/>
    <w:rsid w:val="004B04AF"/>
    <w:rsid w:val="004B2651"/>
    <w:rsid w:val="004B2B52"/>
    <w:rsid w:val="004B2FF4"/>
    <w:rsid w:val="004B3670"/>
    <w:rsid w:val="004B495A"/>
    <w:rsid w:val="004B4A5E"/>
    <w:rsid w:val="004B4BD8"/>
    <w:rsid w:val="004B50AD"/>
    <w:rsid w:val="004B5321"/>
    <w:rsid w:val="004B6B96"/>
    <w:rsid w:val="004B71A7"/>
    <w:rsid w:val="004C09CD"/>
    <w:rsid w:val="004C09EC"/>
    <w:rsid w:val="004C2F7B"/>
    <w:rsid w:val="004C3294"/>
    <w:rsid w:val="004C3386"/>
    <w:rsid w:val="004C3F9B"/>
    <w:rsid w:val="004C439F"/>
    <w:rsid w:val="004C50AF"/>
    <w:rsid w:val="004C55C2"/>
    <w:rsid w:val="004C59D5"/>
    <w:rsid w:val="004C5D46"/>
    <w:rsid w:val="004C6311"/>
    <w:rsid w:val="004C667B"/>
    <w:rsid w:val="004C770C"/>
    <w:rsid w:val="004C7B09"/>
    <w:rsid w:val="004D0178"/>
    <w:rsid w:val="004D03F6"/>
    <w:rsid w:val="004D07B2"/>
    <w:rsid w:val="004D0BE1"/>
    <w:rsid w:val="004D0EBB"/>
    <w:rsid w:val="004D2097"/>
    <w:rsid w:val="004D2103"/>
    <w:rsid w:val="004D2520"/>
    <w:rsid w:val="004D2D7B"/>
    <w:rsid w:val="004D3592"/>
    <w:rsid w:val="004D3E0E"/>
    <w:rsid w:val="004D3E7F"/>
    <w:rsid w:val="004D4081"/>
    <w:rsid w:val="004D4176"/>
    <w:rsid w:val="004D5666"/>
    <w:rsid w:val="004D5DE7"/>
    <w:rsid w:val="004D693D"/>
    <w:rsid w:val="004D6B5A"/>
    <w:rsid w:val="004D744D"/>
    <w:rsid w:val="004D78B3"/>
    <w:rsid w:val="004D798E"/>
    <w:rsid w:val="004D7B36"/>
    <w:rsid w:val="004E1FF6"/>
    <w:rsid w:val="004E2784"/>
    <w:rsid w:val="004E28F4"/>
    <w:rsid w:val="004E3178"/>
    <w:rsid w:val="004E3ABA"/>
    <w:rsid w:val="004E3CC8"/>
    <w:rsid w:val="004E42E5"/>
    <w:rsid w:val="004E5B79"/>
    <w:rsid w:val="004E62A2"/>
    <w:rsid w:val="004E62E4"/>
    <w:rsid w:val="004E63F1"/>
    <w:rsid w:val="004E6D72"/>
    <w:rsid w:val="004E6FFF"/>
    <w:rsid w:val="004E7ED4"/>
    <w:rsid w:val="004E7F2A"/>
    <w:rsid w:val="004F0E9C"/>
    <w:rsid w:val="004F158D"/>
    <w:rsid w:val="004F192D"/>
    <w:rsid w:val="004F2D9E"/>
    <w:rsid w:val="004F2F36"/>
    <w:rsid w:val="004F3057"/>
    <w:rsid w:val="004F32BA"/>
    <w:rsid w:val="004F4090"/>
    <w:rsid w:val="004F545A"/>
    <w:rsid w:val="004F56D2"/>
    <w:rsid w:val="004F5BB4"/>
    <w:rsid w:val="004F5C57"/>
    <w:rsid w:val="004F78F6"/>
    <w:rsid w:val="004F7FC3"/>
    <w:rsid w:val="00501EF8"/>
    <w:rsid w:val="00502659"/>
    <w:rsid w:val="00502950"/>
    <w:rsid w:val="005034E3"/>
    <w:rsid w:val="0050398A"/>
    <w:rsid w:val="005048AF"/>
    <w:rsid w:val="0050498D"/>
    <w:rsid w:val="00504EFA"/>
    <w:rsid w:val="0050548B"/>
    <w:rsid w:val="00505ADC"/>
    <w:rsid w:val="00506C72"/>
    <w:rsid w:val="00506E92"/>
    <w:rsid w:val="00507FAC"/>
    <w:rsid w:val="00510427"/>
    <w:rsid w:val="00510C56"/>
    <w:rsid w:val="005114C0"/>
    <w:rsid w:val="00511542"/>
    <w:rsid w:val="005117A8"/>
    <w:rsid w:val="0051184A"/>
    <w:rsid w:val="00513B13"/>
    <w:rsid w:val="00514627"/>
    <w:rsid w:val="005148CD"/>
    <w:rsid w:val="0051507F"/>
    <w:rsid w:val="0051514D"/>
    <w:rsid w:val="005154E1"/>
    <w:rsid w:val="00515705"/>
    <w:rsid w:val="0051620F"/>
    <w:rsid w:val="005162E3"/>
    <w:rsid w:val="00520553"/>
    <w:rsid w:val="00521FD2"/>
    <w:rsid w:val="00522331"/>
    <w:rsid w:val="005228C4"/>
    <w:rsid w:val="00523075"/>
    <w:rsid w:val="00523102"/>
    <w:rsid w:val="00523161"/>
    <w:rsid w:val="00523475"/>
    <w:rsid w:val="00524AA5"/>
    <w:rsid w:val="005255B9"/>
    <w:rsid w:val="005259B5"/>
    <w:rsid w:val="00527911"/>
    <w:rsid w:val="00527EF5"/>
    <w:rsid w:val="00530122"/>
    <w:rsid w:val="00530855"/>
    <w:rsid w:val="0053106D"/>
    <w:rsid w:val="005317ED"/>
    <w:rsid w:val="00531884"/>
    <w:rsid w:val="00533130"/>
    <w:rsid w:val="00533C26"/>
    <w:rsid w:val="00533D05"/>
    <w:rsid w:val="00534C4F"/>
    <w:rsid w:val="00534FA5"/>
    <w:rsid w:val="00535728"/>
    <w:rsid w:val="00535F98"/>
    <w:rsid w:val="00536A52"/>
    <w:rsid w:val="00536E7A"/>
    <w:rsid w:val="005374A0"/>
    <w:rsid w:val="005378CB"/>
    <w:rsid w:val="005379C1"/>
    <w:rsid w:val="00537FE0"/>
    <w:rsid w:val="005402BC"/>
    <w:rsid w:val="00540BDD"/>
    <w:rsid w:val="00541698"/>
    <w:rsid w:val="005419A8"/>
    <w:rsid w:val="00541C68"/>
    <w:rsid w:val="00541EDF"/>
    <w:rsid w:val="0054267B"/>
    <w:rsid w:val="0054298B"/>
    <w:rsid w:val="00542A1D"/>
    <w:rsid w:val="005433BD"/>
    <w:rsid w:val="00543973"/>
    <w:rsid w:val="00543F5E"/>
    <w:rsid w:val="0054435A"/>
    <w:rsid w:val="0054444A"/>
    <w:rsid w:val="005447BF"/>
    <w:rsid w:val="00544AD6"/>
    <w:rsid w:val="00544F58"/>
    <w:rsid w:val="00545531"/>
    <w:rsid w:val="005469C3"/>
    <w:rsid w:val="00546CC0"/>
    <w:rsid w:val="00547553"/>
    <w:rsid w:val="00547A0E"/>
    <w:rsid w:val="00547C02"/>
    <w:rsid w:val="00547D23"/>
    <w:rsid w:val="005506DB"/>
    <w:rsid w:val="005509B0"/>
    <w:rsid w:val="0055120B"/>
    <w:rsid w:val="005518C1"/>
    <w:rsid w:val="00552D94"/>
    <w:rsid w:val="00553183"/>
    <w:rsid w:val="005534FC"/>
    <w:rsid w:val="00554687"/>
    <w:rsid w:val="00554E13"/>
    <w:rsid w:val="00554E30"/>
    <w:rsid w:val="00554FCE"/>
    <w:rsid w:val="00554FE5"/>
    <w:rsid w:val="005558BC"/>
    <w:rsid w:val="00555A78"/>
    <w:rsid w:val="00556132"/>
    <w:rsid w:val="005572D9"/>
    <w:rsid w:val="005577C5"/>
    <w:rsid w:val="00557FDF"/>
    <w:rsid w:val="0056041E"/>
    <w:rsid w:val="0056185A"/>
    <w:rsid w:val="0056195E"/>
    <w:rsid w:val="00562365"/>
    <w:rsid w:val="00562879"/>
    <w:rsid w:val="00563855"/>
    <w:rsid w:val="0056390B"/>
    <w:rsid w:val="00563D27"/>
    <w:rsid w:val="00563D4A"/>
    <w:rsid w:val="005662E1"/>
    <w:rsid w:val="00566884"/>
    <w:rsid w:val="0056698C"/>
    <w:rsid w:val="00567D17"/>
    <w:rsid w:val="00567DA5"/>
    <w:rsid w:val="00570B50"/>
    <w:rsid w:val="00570F14"/>
    <w:rsid w:val="005720E5"/>
    <w:rsid w:val="0057211D"/>
    <w:rsid w:val="00572206"/>
    <w:rsid w:val="005756BA"/>
    <w:rsid w:val="00576A1B"/>
    <w:rsid w:val="00577901"/>
    <w:rsid w:val="00577A14"/>
    <w:rsid w:val="00580253"/>
    <w:rsid w:val="00581173"/>
    <w:rsid w:val="00581943"/>
    <w:rsid w:val="00582B04"/>
    <w:rsid w:val="00582D93"/>
    <w:rsid w:val="00582ED1"/>
    <w:rsid w:val="005834D0"/>
    <w:rsid w:val="0058424B"/>
    <w:rsid w:val="00584DC5"/>
    <w:rsid w:val="005858F4"/>
    <w:rsid w:val="00586717"/>
    <w:rsid w:val="00586757"/>
    <w:rsid w:val="0058676A"/>
    <w:rsid w:val="00586860"/>
    <w:rsid w:val="0058760C"/>
    <w:rsid w:val="005911C0"/>
    <w:rsid w:val="00592759"/>
    <w:rsid w:val="00592A27"/>
    <w:rsid w:val="00592C11"/>
    <w:rsid w:val="00593C67"/>
    <w:rsid w:val="005948F6"/>
    <w:rsid w:val="00594921"/>
    <w:rsid w:val="00594DA3"/>
    <w:rsid w:val="00595556"/>
    <w:rsid w:val="005958B0"/>
    <w:rsid w:val="005972D2"/>
    <w:rsid w:val="00597F89"/>
    <w:rsid w:val="005A03CB"/>
    <w:rsid w:val="005A0B4D"/>
    <w:rsid w:val="005A15DE"/>
    <w:rsid w:val="005A191E"/>
    <w:rsid w:val="005A1A1E"/>
    <w:rsid w:val="005A1B55"/>
    <w:rsid w:val="005A2D32"/>
    <w:rsid w:val="005A31A0"/>
    <w:rsid w:val="005A33DE"/>
    <w:rsid w:val="005A39AA"/>
    <w:rsid w:val="005A46C3"/>
    <w:rsid w:val="005A4D2F"/>
    <w:rsid w:val="005A4EF6"/>
    <w:rsid w:val="005A676C"/>
    <w:rsid w:val="005A6C8B"/>
    <w:rsid w:val="005A79D9"/>
    <w:rsid w:val="005B0F14"/>
    <w:rsid w:val="005B19E7"/>
    <w:rsid w:val="005B1B8E"/>
    <w:rsid w:val="005B1B9B"/>
    <w:rsid w:val="005B1C61"/>
    <w:rsid w:val="005B1E9C"/>
    <w:rsid w:val="005B207F"/>
    <w:rsid w:val="005B2BE4"/>
    <w:rsid w:val="005B2E25"/>
    <w:rsid w:val="005B335A"/>
    <w:rsid w:val="005B4BE9"/>
    <w:rsid w:val="005B50B7"/>
    <w:rsid w:val="005B52F8"/>
    <w:rsid w:val="005B5613"/>
    <w:rsid w:val="005B645B"/>
    <w:rsid w:val="005B6652"/>
    <w:rsid w:val="005B6F84"/>
    <w:rsid w:val="005B7D1E"/>
    <w:rsid w:val="005C040A"/>
    <w:rsid w:val="005C07E5"/>
    <w:rsid w:val="005C0808"/>
    <w:rsid w:val="005C15DD"/>
    <w:rsid w:val="005C1A36"/>
    <w:rsid w:val="005C29E8"/>
    <w:rsid w:val="005C3039"/>
    <w:rsid w:val="005C3563"/>
    <w:rsid w:val="005C35AD"/>
    <w:rsid w:val="005C364E"/>
    <w:rsid w:val="005C3812"/>
    <w:rsid w:val="005C3C74"/>
    <w:rsid w:val="005C3ECD"/>
    <w:rsid w:val="005C4419"/>
    <w:rsid w:val="005C49EF"/>
    <w:rsid w:val="005C525F"/>
    <w:rsid w:val="005C5424"/>
    <w:rsid w:val="005C5B5E"/>
    <w:rsid w:val="005C5D21"/>
    <w:rsid w:val="005C6C03"/>
    <w:rsid w:val="005C7407"/>
    <w:rsid w:val="005D0156"/>
    <w:rsid w:val="005D08DC"/>
    <w:rsid w:val="005D0A4D"/>
    <w:rsid w:val="005D0F9F"/>
    <w:rsid w:val="005D2111"/>
    <w:rsid w:val="005D26C3"/>
    <w:rsid w:val="005D30B3"/>
    <w:rsid w:val="005D31AD"/>
    <w:rsid w:val="005D368F"/>
    <w:rsid w:val="005D4A7B"/>
    <w:rsid w:val="005D5009"/>
    <w:rsid w:val="005D50F5"/>
    <w:rsid w:val="005D539A"/>
    <w:rsid w:val="005D6BDF"/>
    <w:rsid w:val="005D726E"/>
    <w:rsid w:val="005D76EE"/>
    <w:rsid w:val="005E060A"/>
    <w:rsid w:val="005E0E6E"/>
    <w:rsid w:val="005E1680"/>
    <w:rsid w:val="005E31E6"/>
    <w:rsid w:val="005E37C9"/>
    <w:rsid w:val="005E3B3F"/>
    <w:rsid w:val="005E3B80"/>
    <w:rsid w:val="005E3CA7"/>
    <w:rsid w:val="005E4ECC"/>
    <w:rsid w:val="005E5553"/>
    <w:rsid w:val="005E5D03"/>
    <w:rsid w:val="005E6424"/>
    <w:rsid w:val="005E743C"/>
    <w:rsid w:val="005E77A8"/>
    <w:rsid w:val="005F0A09"/>
    <w:rsid w:val="005F0B0E"/>
    <w:rsid w:val="005F1664"/>
    <w:rsid w:val="005F16A6"/>
    <w:rsid w:val="005F179E"/>
    <w:rsid w:val="005F1E4A"/>
    <w:rsid w:val="005F262A"/>
    <w:rsid w:val="005F3F80"/>
    <w:rsid w:val="005F40B9"/>
    <w:rsid w:val="005F5068"/>
    <w:rsid w:val="005F604F"/>
    <w:rsid w:val="005F6603"/>
    <w:rsid w:val="005F6F27"/>
    <w:rsid w:val="005F6FEF"/>
    <w:rsid w:val="005F7C25"/>
    <w:rsid w:val="005F7DCB"/>
    <w:rsid w:val="006002FA"/>
    <w:rsid w:val="00602300"/>
    <w:rsid w:val="00602D7F"/>
    <w:rsid w:val="00602DA3"/>
    <w:rsid w:val="00602EAE"/>
    <w:rsid w:val="006034C2"/>
    <w:rsid w:val="006035B3"/>
    <w:rsid w:val="00603E95"/>
    <w:rsid w:val="006043CD"/>
    <w:rsid w:val="00604774"/>
    <w:rsid w:val="00605A01"/>
    <w:rsid w:val="006102CD"/>
    <w:rsid w:val="006104C4"/>
    <w:rsid w:val="00610D9C"/>
    <w:rsid w:val="00611571"/>
    <w:rsid w:val="006118CC"/>
    <w:rsid w:val="00611AA2"/>
    <w:rsid w:val="00612BCC"/>
    <w:rsid w:val="006133E7"/>
    <w:rsid w:val="00614A3D"/>
    <w:rsid w:val="006157EF"/>
    <w:rsid w:val="006159EB"/>
    <w:rsid w:val="00615E37"/>
    <w:rsid w:val="00616039"/>
    <w:rsid w:val="006161FE"/>
    <w:rsid w:val="006163D8"/>
    <w:rsid w:val="00616B23"/>
    <w:rsid w:val="00616C3A"/>
    <w:rsid w:val="00616FD8"/>
    <w:rsid w:val="0061753B"/>
    <w:rsid w:val="00617F9B"/>
    <w:rsid w:val="0062108A"/>
    <w:rsid w:val="0062163E"/>
    <w:rsid w:val="00621661"/>
    <w:rsid w:val="00621EC0"/>
    <w:rsid w:val="0062232E"/>
    <w:rsid w:val="006226E2"/>
    <w:rsid w:val="0062337C"/>
    <w:rsid w:val="00623703"/>
    <w:rsid w:val="006246DE"/>
    <w:rsid w:val="00624D58"/>
    <w:rsid w:val="00625695"/>
    <w:rsid w:val="006259F6"/>
    <w:rsid w:val="00625B4F"/>
    <w:rsid w:val="00625DB7"/>
    <w:rsid w:val="00625DED"/>
    <w:rsid w:val="00626336"/>
    <w:rsid w:val="00626CF8"/>
    <w:rsid w:val="0062708B"/>
    <w:rsid w:val="0062722D"/>
    <w:rsid w:val="00627662"/>
    <w:rsid w:val="00630B0F"/>
    <w:rsid w:val="00630D88"/>
    <w:rsid w:val="00630E22"/>
    <w:rsid w:val="00630F57"/>
    <w:rsid w:val="00631C49"/>
    <w:rsid w:val="00632530"/>
    <w:rsid w:val="006333B1"/>
    <w:rsid w:val="00633415"/>
    <w:rsid w:val="00633D0C"/>
    <w:rsid w:val="006340ED"/>
    <w:rsid w:val="00634103"/>
    <w:rsid w:val="0063499E"/>
    <w:rsid w:val="0063512C"/>
    <w:rsid w:val="00635A45"/>
    <w:rsid w:val="00636204"/>
    <w:rsid w:val="0063620C"/>
    <w:rsid w:val="00636D3A"/>
    <w:rsid w:val="0063740E"/>
    <w:rsid w:val="00637609"/>
    <w:rsid w:val="0064053E"/>
    <w:rsid w:val="00640551"/>
    <w:rsid w:val="00640D66"/>
    <w:rsid w:val="00641309"/>
    <w:rsid w:val="00641F1D"/>
    <w:rsid w:val="00641F36"/>
    <w:rsid w:val="006424D1"/>
    <w:rsid w:val="00642644"/>
    <w:rsid w:val="00642FF4"/>
    <w:rsid w:val="00643DA5"/>
    <w:rsid w:val="00643E79"/>
    <w:rsid w:val="0064412D"/>
    <w:rsid w:val="006444CB"/>
    <w:rsid w:val="006445B7"/>
    <w:rsid w:val="00644F26"/>
    <w:rsid w:val="006450BF"/>
    <w:rsid w:val="006451FA"/>
    <w:rsid w:val="006456FE"/>
    <w:rsid w:val="00645D0C"/>
    <w:rsid w:val="00645D94"/>
    <w:rsid w:val="006469A5"/>
    <w:rsid w:val="006503DF"/>
    <w:rsid w:val="0065101B"/>
    <w:rsid w:val="0065104F"/>
    <w:rsid w:val="00651779"/>
    <w:rsid w:val="00652C7F"/>
    <w:rsid w:val="00653F59"/>
    <w:rsid w:val="00654E4A"/>
    <w:rsid w:val="00655049"/>
    <w:rsid w:val="006552EF"/>
    <w:rsid w:val="00656037"/>
    <w:rsid w:val="006562AF"/>
    <w:rsid w:val="0065696E"/>
    <w:rsid w:val="00656BC7"/>
    <w:rsid w:val="006574EA"/>
    <w:rsid w:val="0065760C"/>
    <w:rsid w:val="00657738"/>
    <w:rsid w:val="00657F97"/>
    <w:rsid w:val="006614E5"/>
    <w:rsid w:val="00661899"/>
    <w:rsid w:val="00661A4A"/>
    <w:rsid w:val="00661DE8"/>
    <w:rsid w:val="00662155"/>
    <w:rsid w:val="00662403"/>
    <w:rsid w:val="00662639"/>
    <w:rsid w:val="00662F13"/>
    <w:rsid w:val="00664799"/>
    <w:rsid w:val="00664AD8"/>
    <w:rsid w:val="00664B22"/>
    <w:rsid w:val="00664BAA"/>
    <w:rsid w:val="00665C5F"/>
    <w:rsid w:val="00666521"/>
    <w:rsid w:val="00666670"/>
    <w:rsid w:val="00666F97"/>
    <w:rsid w:val="006712EB"/>
    <w:rsid w:val="00671F41"/>
    <w:rsid w:val="006726E9"/>
    <w:rsid w:val="00672D15"/>
    <w:rsid w:val="00672D68"/>
    <w:rsid w:val="00672DDE"/>
    <w:rsid w:val="00674168"/>
    <w:rsid w:val="00674647"/>
    <w:rsid w:val="00674C70"/>
    <w:rsid w:val="00674FD1"/>
    <w:rsid w:val="00675606"/>
    <w:rsid w:val="006756E0"/>
    <w:rsid w:val="00675918"/>
    <w:rsid w:val="00676033"/>
    <w:rsid w:val="00676206"/>
    <w:rsid w:val="00676244"/>
    <w:rsid w:val="0067658B"/>
    <w:rsid w:val="0067690B"/>
    <w:rsid w:val="006771F1"/>
    <w:rsid w:val="006772D6"/>
    <w:rsid w:val="006811D7"/>
    <w:rsid w:val="00681902"/>
    <w:rsid w:val="00681B2A"/>
    <w:rsid w:val="0068282A"/>
    <w:rsid w:val="00683824"/>
    <w:rsid w:val="00683D60"/>
    <w:rsid w:val="00684D7F"/>
    <w:rsid w:val="00686804"/>
    <w:rsid w:val="00686807"/>
    <w:rsid w:val="00687A73"/>
    <w:rsid w:val="00687C4A"/>
    <w:rsid w:val="00690395"/>
    <w:rsid w:val="00690F26"/>
    <w:rsid w:val="00691E0D"/>
    <w:rsid w:val="00692122"/>
    <w:rsid w:val="006926BE"/>
    <w:rsid w:val="00692A2A"/>
    <w:rsid w:val="00692DE1"/>
    <w:rsid w:val="0069334D"/>
    <w:rsid w:val="006935BF"/>
    <w:rsid w:val="00693ADC"/>
    <w:rsid w:val="00695F09"/>
    <w:rsid w:val="0069619A"/>
    <w:rsid w:val="006970E6"/>
    <w:rsid w:val="0069770D"/>
    <w:rsid w:val="006978A5"/>
    <w:rsid w:val="00697A78"/>
    <w:rsid w:val="006A025A"/>
    <w:rsid w:val="006A0DDD"/>
    <w:rsid w:val="006A100A"/>
    <w:rsid w:val="006A1683"/>
    <w:rsid w:val="006A16FD"/>
    <w:rsid w:val="006A1AF4"/>
    <w:rsid w:val="006A3AEB"/>
    <w:rsid w:val="006A403E"/>
    <w:rsid w:val="006A42E5"/>
    <w:rsid w:val="006A47A0"/>
    <w:rsid w:val="006A4C08"/>
    <w:rsid w:val="006A541B"/>
    <w:rsid w:val="006A54FC"/>
    <w:rsid w:val="006A5923"/>
    <w:rsid w:val="006A59AC"/>
    <w:rsid w:val="006A5CDD"/>
    <w:rsid w:val="006A5F1A"/>
    <w:rsid w:val="006A6B40"/>
    <w:rsid w:val="006A6B60"/>
    <w:rsid w:val="006A6E06"/>
    <w:rsid w:val="006B086F"/>
    <w:rsid w:val="006B25D9"/>
    <w:rsid w:val="006B33C2"/>
    <w:rsid w:val="006B34FD"/>
    <w:rsid w:val="006B3675"/>
    <w:rsid w:val="006B5B42"/>
    <w:rsid w:val="006B67A9"/>
    <w:rsid w:val="006B6FBB"/>
    <w:rsid w:val="006B70D9"/>
    <w:rsid w:val="006B7C23"/>
    <w:rsid w:val="006C07DC"/>
    <w:rsid w:val="006C0930"/>
    <w:rsid w:val="006C1AE4"/>
    <w:rsid w:val="006C1C13"/>
    <w:rsid w:val="006C26AF"/>
    <w:rsid w:val="006C296A"/>
    <w:rsid w:val="006C2CBD"/>
    <w:rsid w:val="006C365E"/>
    <w:rsid w:val="006C43AA"/>
    <w:rsid w:val="006C47FB"/>
    <w:rsid w:val="006C4E8D"/>
    <w:rsid w:val="006C4EB1"/>
    <w:rsid w:val="006C4F99"/>
    <w:rsid w:val="006C55D8"/>
    <w:rsid w:val="006C7746"/>
    <w:rsid w:val="006C7BEA"/>
    <w:rsid w:val="006D0A85"/>
    <w:rsid w:val="006D0AFD"/>
    <w:rsid w:val="006D0DC0"/>
    <w:rsid w:val="006D0F3B"/>
    <w:rsid w:val="006D1367"/>
    <w:rsid w:val="006D1A48"/>
    <w:rsid w:val="006D33BD"/>
    <w:rsid w:val="006D422A"/>
    <w:rsid w:val="006D472A"/>
    <w:rsid w:val="006D51F1"/>
    <w:rsid w:val="006D63A6"/>
    <w:rsid w:val="006D6A05"/>
    <w:rsid w:val="006D7BAF"/>
    <w:rsid w:val="006E05F2"/>
    <w:rsid w:val="006E0BD5"/>
    <w:rsid w:val="006E0CBC"/>
    <w:rsid w:val="006E1A81"/>
    <w:rsid w:val="006E1DE9"/>
    <w:rsid w:val="006E20F8"/>
    <w:rsid w:val="006E3717"/>
    <w:rsid w:val="006E379F"/>
    <w:rsid w:val="006E381E"/>
    <w:rsid w:val="006E4606"/>
    <w:rsid w:val="006E538C"/>
    <w:rsid w:val="006E6410"/>
    <w:rsid w:val="006E6472"/>
    <w:rsid w:val="006E68C1"/>
    <w:rsid w:val="006E6BD2"/>
    <w:rsid w:val="006E6F9A"/>
    <w:rsid w:val="006E7AF3"/>
    <w:rsid w:val="006F05B2"/>
    <w:rsid w:val="006F149E"/>
    <w:rsid w:val="006F1F9A"/>
    <w:rsid w:val="006F34C1"/>
    <w:rsid w:val="006F3653"/>
    <w:rsid w:val="006F3949"/>
    <w:rsid w:val="006F4235"/>
    <w:rsid w:val="006F4239"/>
    <w:rsid w:val="006F457D"/>
    <w:rsid w:val="006F5502"/>
    <w:rsid w:val="006F59ED"/>
    <w:rsid w:val="006F5C57"/>
    <w:rsid w:val="006F6238"/>
    <w:rsid w:val="006F6864"/>
    <w:rsid w:val="006F6D4E"/>
    <w:rsid w:val="006F76B3"/>
    <w:rsid w:val="006F7A31"/>
    <w:rsid w:val="00700B78"/>
    <w:rsid w:val="007017BE"/>
    <w:rsid w:val="00701F31"/>
    <w:rsid w:val="0070238A"/>
    <w:rsid w:val="007028AE"/>
    <w:rsid w:val="00702AFB"/>
    <w:rsid w:val="00702D79"/>
    <w:rsid w:val="007039F9"/>
    <w:rsid w:val="00704149"/>
    <w:rsid w:val="0070422A"/>
    <w:rsid w:val="00704596"/>
    <w:rsid w:val="007061DC"/>
    <w:rsid w:val="00706F8E"/>
    <w:rsid w:val="00707551"/>
    <w:rsid w:val="007079FF"/>
    <w:rsid w:val="00707D3A"/>
    <w:rsid w:val="00710480"/>
    <w:rsid w:val="0071112B"/>
    <w:rsid w:val="00711559"/>
    <w:rsid w:val="007116DD"/>
    <w:rsid w:val="0071178E"/>
    <w:rsid w:val="00711E59"/>
    <w:rsid w:val="0071210E"/>
    <w:rsid w:val="00713030"/>
    <w:rsid w:val="00713593"/>
    <w:rsid w:val="00713B0B"/>
    <w:rsid w:val="00714510"/>
    <w:rsid w:val="0071627D"/>
    <w:rsid w:val="00716AB1"/>
    <w:rsid w:val="00716C2B"/>
    <w:rsid w:val="00716E75"/>
    <w:rsid w:val="007174F7"/>
    <w:rsid w:val="00717DE3"/>
    <w:rsid w:val="007203DB"/>
    <w:rsid w:val="00720494"/>
    <w:rsid w:val="0072049A"/>
    <w:rsid w:val="0072183C"/>
    <w:rsid w:val="0072197F"/>
    <w:rsid w:val="00722489"/>
    <w:rsid w:val="007227E1"/>
    <w:rsid w:val="007228F3"/>
    <w:rsid w:val="00722CD5"/>
    <w:rsid w:val="00722E52"/>
    <w:rsid w:val="00722EF3"/>
    <w:rsid w:val="0072308D"/>
    <w:rsid w:val="00723176"/>
    <w:rsid w:val="0072343E"/>
    <w:rsid w:val="007236F7"/>
    <w:rsid w:val="00723795"/>
    <w:rsid w:val="00723979"/>
    <w:rsid w:val="00723AA0"/>
    <w:rsid w:val="00724294"/>
    <w:rsid w:val="007259BC"/>
    <w:rsid w:val="00725E68"/>
    <w:rsid w:val="00726371"/>
    <w:rsid w:val="007266DC"/>
    <w:rsid w:val="00726922"/>
    <w:rsid w:val="00727586"/>
    <w:rsid w:val="007275E1"/>
    <w:rsid w:val="007278D9"/>
    <w:rsid w:val="007279C8"/>
    <w:rsid w:val="00730004"/>
    <w:rsid w:val="007301ED"/>
    <w:rsid w:val="007302FD"/>
    <w:rsid w:val="00730B20"/>
    <w:rsid w:val="007319D5"/>
    <w:rsid w:val="00731A1F"/>
    <w:rsid w:val="007320E6"/>
    <w:rsid w:val="00732FB6"/>
    <w:rsid w:val="00733E74"/>
    <w:rsid w:val="00734F2C"/>
    <w:rsid w:val="00735311"/>
    <w:rsid w:val="00735935"/>
    <w:rsid w:val="00735A4F"/>
    <w:rsid w:val="007360A1"/>
    <w:rsid w:val="00737354"/>
    <w:rsid w:val="00737AC9"/>
    <w:rsid w:val="00737CC6"/>
    <w:rsid w:val="007406F1"/>
    <w:rsid w:val="0074150E"/>
    <w:rsid w:val="00741F88"/>
    <w:rsid w:val="007422D1"/>
    <w:rsid w:val="00742315"/>
    <w:rsid w:val="0074445C"/>
    <w:rsid w:val="0074465D"/>
    <w:rsid w:val="00744ED6"/>
    <w:rsid w:val="00745283"/>
    <w:rsid w:val="00745469"/>
    <w:rsid w:val="007455DD"/>
    <w:rsid w:val="007456B0"/>
    <w:rsid w:val="007459F4"/>
    <w:rsid w:val="0074614D"/>
    <w:rsid w:val="007463C6"/>
    <w:rsid w:val="00746763"/>
    <w:rsid w:val="00746CB0"/>
    <w:rsid w:val="00747A4C"/>
    <w:rsid w:val="00747CC2"/>
    <w:rsid w:val="00747E6A"/>
    <w:rsid w:val="00750FCD"/>
    <w:rsid w:val="007520B6"/>
    <w:rsid w:val="007521AE"/>
    <w:rsid w:val="007523B4"/>
    <w:rsid w:val="007524FE"/>
    <w:rsid w:val="0075271C"/>
    <w:rsid w:val="00752F42"/>
    <w:rsid w:val="007539C7"/>
    <w:rsid w:val="00753AD4"/>
    <w:rsid w:val="00753D65"/>
    <w:rsid w:val="0075477F"/>
    <w:rsid w:val="0075549E"/>
    <w:rsid w:val="0075552A"/>
    <w:rsid w:val="007561B2"/>
    <w:rsid w:val="00756A67"/>
    <w:rsid w:val="007579EE"/>
    <w:rsid w:val="00760098"/>
    <w:rsid w:val="00760305"/>
    <w:rsid w:val="0076153B"/>
    <w:rsid w:val="00761E1C"/>
    <w:rsid w:val="00762102"/>
    <w:rsid w:val="00762367"/>
    <w:rsid w:val="007626CA"/>
    <w:rsid w:val="007644A4"/>
    <w:rsid w:val="007645C6"/>
    <w:rsid w:val="00764A97"/>
    <w:rsid w:val="0076638C"/>
    <w:rsid w:val="007672DC"/>
    <w:rsid w:val="00767704"/>
    <w:rsid w:val="00773B3F"/>
    <w:rsid w:val="00773F31"/>
    <w:rsid w:val="00774BF4"/>
    <w:rsid w:val="00775645"/>
    <w:rsid w:val="00775C3E"/>
    <w:rsid w:val="007764E6"/>
    <w:rsid w:val="0077784A"/>
    <w:rsid w:val="00780B05"/>
    <w:rsid w:val="00780F26"/>
    <w:rsid w:val="0078100B"/>
    <w:rsid w:val="00781598"/>
    <w:rsid w:val="00781C42"/>
    <w:rsid w:val="0078249B"/>
    <w:rsid w:val="0078262F"/>
    <w:rsid w:val="00782A7F"/>
    <w:rsid w:val="0078380B"/>
    <w:rsid w:val="007839F8"/>
    <w:rsid w:val="00784065"/>
    <w:rsid w:val="00784413"/>
    <w:rsid w:val="007845B7"/>
    <w:rsid w:val="00785820"/>
    <w:rsid w:val="007859D2"/>
    <w:rsid w:val="00785AF0"/>
    <w:rsid w:val="00785DD3"/>
    <w:rsid w:val="007864AA"/>
    <w:rsid w:val="00786717"/>
    <w:rsid w:val="00786FCE"/>
    <w:rsid w:val="0078772F"/>
    <w:rsid w:val="007877FF"/>
    <w:rsid w:val="00787AC1"/>
    <w:rsid w:val="007908F6"/>
    <w:rsid w:val="007913A8"/>
    <w:rsid w:val="00791CF5"/>
    <w:rsid w:val="00791F1C"/>
    <w:rsid w:val="00791FC3"/>
    <w:rsid w:val="0079203B"/>
    <w:rsid w:val="007922E4"/>
    <w:rsid w:val="00792386"/>
    <w:rsid w:val="007928F1"/>
    <w:rsid w:val="00792E39"/>
    <w:rsid w:val="00793C1D"/>
    <w:rsid w:val="00793D38"/>
    <w:rsid w:val="0079472D"/>
    <w:rsid w:val="0079490E"/>
    <w:rsid w:val="00794F01"/>
    <w:rsid w:val="00796058"/>
    <w:rsid w:val="00796EBC"/>
    <w:rsid w:val="00796ED0"/>
    <w:rsid w:val="0079767E"/>
    <w:rsid w:val="007A051B"/>
    <w:rsid w:val="007A06FC"/>
    <w:rsid w:val="007A2080"/>
    <w:rsid w:val="007A2D80"/>
    <w:rsid w:val="007A474E"/>
    <w:rsid w:val="007A4CF4"/>
    <w:rsid w:val="007A5899"/>
    <w:rsid w:val="007A68D1"/>
    <w:rsid w:val="007A7537"/>
    <w:rsid w:val="007A7631"/>
    <w:rsid w:val="007A78B6"/>
    <w:rsid w:val="007B0D1A"/>
    <w:rsid w:val="007B1081"/>
    <w:rsid w:val="007B137C"/>
    <w:rsid w:val="007B2994"/>
    <w:rsid w:val="007B3AAA"/>
    <w:rsid w:val="007B3C63"/>
    <w:rsid w:val="007B4749"/>
    <w:rsid w:val="007B5732"/>
    <w:rsid w:val="007B5B4B"/>
    <w:rsid w:val="007B72F9"/>
    <w:rsid w:val="007B7626"/>
    <w:rsid w:val="007B7671"/>
    <w:rsid w:val="007B76E3"/>
    <w:rsid w:val="007C05C6"/>
    <w:rsid w:val="007C0A9F"/>
    <w:rsid w:val="007C0F89"/>
    <w:rsid w:val="007C16D0"/>
    <w:rsid w:val="007C2622"/>
    <w:rsid w:val="007C2874"/>
    <w:rsid w:val="007C2BEB"/>
    <w:rsid w:val="007C2F56"/>
    <w:rsid w:val="007C3BB7"/>
    <w:rsid w:val="007C413E"/>
    <w:rsid w:val="007C4817"/>
    <w:rsid w:val="007C55B8"/>
    <w:rsid w:val="007C57ED"/>
    <w:rsid w:val="007C59C1"/>
    <w:rsid w:val="007C5B70"/>
    <w:rsid w:val="007C65AA"/>
    <w:rsid w:val="007C6ABA"/>
    <w:rsid w:val="007C6C29"/>
    <w:rsid w:val="007C7C2C"/>
    <w:rsid w:val="007D00EC"/>
    <w:rsid w:val="007D053C"/>
    <w:rsid w:val="007D0A05"/>
    <w:rsid w:val="007D0BF6"/>
    <w:rsid w:val="007D153A"/>
    <w:rsid w:val="007D18C5"/>
    <w:rsid w:val="007D1F2E"/>
    <w:rsid w:val="007D22B7"/>
    <w:rsid w:val="007D22D3"/>
    <w:rsid w:val="007D332D"/>
    <w:rsid w:val="007D3FB5"/>
    <w:rsid w:val="007D4975"/>
    <w:rsid w:val="007D5109"/>
    <w:rsid w:val="007D5690"/>
    <w:rsid w:val="007D6117"/>
    <w:rsid w:val="007D6411"/>
    <w:rsid w:val="007D64F6"/>
    <w:rsid w:val="007D66E6"/>
    <w:rsid w:val="007D697E"/>
    <w:rsid w:val="007D77D0"/>
    <w:rsid w:val="007D7B08"/>
    <w:rsid w:val="007D7DB0"/>
    <w:rsid w:val="007E0352"/>
    <w:rsid w:val="007E0DCD"/>
    <w:rsid w:val="007E0EA4"/>
    <w:rsid w:val="007E15A0"/>
    <w:rsid w:val="007E191A"/>
    <w:rsid w:val="007E1963"/>
    <w:rsid w:val="007E2ABF"/>
    <w:rsid w:val="007E2C5C"/>
    <w:rsid w:val="007E331D"/>
    <w:rsid w:val="007E33F4"/>
    <w:rsid w:val="007E342C"/>
    <w:rsid w:val="007E3B35"/>
    <w:rsid w:val="007E41FF"/>
    <w:rsid w:val="007E4526"/>
    <w:rsid w:val="007E47D2"/>
    <w:rsid w:val="007E4B80"/>
    <w:rsid w:val="007E5ABF"/>
    <w:rsid w:val="007E6AA5"/>
    <w:rsid w:val="007E7134"/>
    <w:rsid w:val="007E7881"/>
    <w:rsid w:val="007E7B4E"/>
    <w:rsid w:val="007E7E67"/>
    <w:rsid w:val="007F1317"/>
    <w:rsid w:val="007F1A96"/>
    <w:rsid w:val="007F26AC"/>
    <w:rsid w:val="007F2E16"/>
    <w:rsid w:val="007F2E70"/>
    <w:rsid w:val="007F4332"/>
    <w:rsid w:val="007F4B38"/>
    <w:rsid w:val="007F5111"/>
    <w:rsid w:val="007F52D8"/>
    <w:rsid w:val="007F6364"/>
    <w:rsid w:val="007F64E5"/>
    <w:rsid w:val="007F6D09"/>
    <w:rsid w:val="007F728C"/>
    <w:rsid w:val="007F758A"/>
    <w:rsid w:val="008005DB"/>
    <w:rsid w:val="00800E42"/>
    <w:rsid w:val="0080120F"/>
    <w:rsid w:val="0080299A"/>
    <w:rsid w:val="00802A22"/>
    <w:rsid w:val="008032BB"/>
    <w:rsid w:val="008038B6"/>
    <w:rsid w:val="00803DCD"/>
    <w:rsid w:val="0080405D"/>
    <w:rsid w:val="008042AD"/>
    <w:rsid w:val="0080476A"/>
    <w:rsid w:val="00804773"/>
    <w:rsid w:val="00804818"/>
    <w:rsid w:val="00805170"/>
    <w:rsid w:val="00805530"/>
    <w:rsid w:val="008057A0"/>
    <w:rsid w:val="00805950"/>
    <w:rsid w:val="00805E91"/>
    <w:rsid w:val="00806BB3"/>
    <w:rsid w:val="00806E49"/>
    <w:rsid w:val="00806ED6"/>
    <w:rsid w:val="00807748"/>
    <w:rsid w:val="0080788D"/>
    <w:rsid w:val="0080792E"/>
    <w:rsid w:val="00810180"/>
    <w:rsid w:val="00810586"/>
    <w:rsid w:val="0081083E"/>
    <w:rsid w:val="008108EE"/>
    <w:rsid w:val="008109BC"/>
    <w:rsid w:val="00810B21"/>
    <w:rsid w:val="0081150B"/>
    <w:rsid w:val="008116B5"/>
    <w:rsid w:val="00811B2C"/>
    <w:rsid w:val="00811ECC"/>
    <w:rsid w:val="00812447"/>
    <w:rsid w:val="0081251F"/>
    <w:rsid w:val="00812DA8"/>
    <w:rsid w:val="00813E7E"/>
    <w:rsid w:val="00814104"/>
    <w:rsid w:val="00815479"/>
    <w:rsid w:val="008156B8"/>
    <w:rsid w:val="008161D6"/>
    <w:rsid w:val="00817B27"/>
    <w:rsid w:val="008200B3"/>
    <w:rsid w:val="008203BE"/>
    <w:rsid w:val="00820A14"/>
    <w:rsid w:val="00820B85"/>
    <w:rsid w:val="00821334"/>
    <w:rsid w:val="00821594"/>
    <w:rsid w:val="00822619"/>
    <w:rsid w:val="008231D4"/>
    <w:rsid w:val="008233FF"/>
    <w:rsid w:val="00823E23"/>
    <w:rsid w:val="008244C3"/>
    <w:rsid w:val="00824580"/>
    <w:rsid w:val="00824F08"/>
    <w:rsid w:val="00824F9D"/>
    <w:rsid w:val="00825CA9"/>
    <w:rsid w:val="00826DE1"/>
    <w:rsid w:val="00826F6F"/>
    <w:rsid w:val="008270FF"/>
    <w:rsid w:val="00827405"/>
    <w:rsid w:val="00827599"/>
    <w:rsid w:val="00827DEB"/>
    <w:rsid w:val="008300B1"/>
    <w:rsid w:val="0083017E"/>
    <w:rsid w:val="0083023C"/>
    <w:rsid w:val="00830270"/>
    <w:rsid w:val="00830442"/>
    <w:rsid w:val="00830769"/>
    <w:rsid w:val="00830BBF"/>
    <w:rsid w:val="00831174"/>
    <w:rsid w:val="008313D7"/>
    <w:rsid w:val="00832379"/>
    <w:rsid w:val="008323DA"/>
    <w:rsid w:val="0083298E"/>
    <w:rsid w:val="00832AB2"/>
    <w:rsid w:val="00833382"/>
    <w:rsid w:val="00833945"/>
    <w:rsid w:val="0083492C"/>
    <w:rsid w:val="00834FF3"/>
    <w:rsid w:val="008351B1"/>
    <w:rsid w:val="00835676"/>
    <w:rsid w:val="00835A8C"/>
    <w:rsid w:val="008362EC"/>
    <w:rsid w:val="008365DE"/>
    <w:rsid w:val="0083681D"/>
    <w:rsid w:val="0083755D"/>
    <w:rsid w:val="00840FE1"/>
    <w:rsid w:val="00841180"/>
    <w:rsid w:val="00841C56"/>
    <w:rsid w:val="008421FD"/>
    <w:rsid w:val="00842BCC"/>
    <w:rsid w:val="00843B42"/>
    <w:rsid w:val="00843C3F"/>
    <w:rsid w:val="00843F36"/>
    <w:rsid w:val="00844477"/>
    <w:rsid w:val="008445B7"/>
    <w:rsid w:val="008445F6"/>
    <w:rsid w:val="0084496C"/>
    <w:rsid w:val="008453DD"/>
    <w:rsid w:val="008468DC"/>
    <w:rsid w:val="00846EDA"/>
    <w:rsid w:val="00847162"/>
    <w:rsid w:val="0084742B"/>
    <w:rsid w:val="00847980"/>
    <w:rsid w:val="00847AC6"/>
    <w:rsid w:val="00847D64"/>
    <w:rsid w:val="0085033E"/>
    <w:rsid w:val="00850ED3"/>
    <w:rsid w:val="0085112B"/>
    <w:rsid w:val="0085151E"/>
    <w:rsid w:val="00851BEE"/>
    <w:rsid w:val="00851DBC"/>
    <w:rsid w:val="008527C3"/>
    <w:rsid w:val="00852C7A"/>
    <w:rsid w:val="00852FC9"/>
    <w:rsid w:val="008538EE"/>
    <w:rsid w:val="00853E0F"/>
    <w:rsid w:val="00854046"/>
    <w:rsid w:val="0085506F"/>
    <w:rsid w:val="00855429"/>
    <w:rsid w:val="00855C6D"/>
    <w:rsid w:val="008564D2"/>
    <w:rsid w:val="00856784"/>
    <w:rsid w:val="00856859"/>
    <w:rsid w:val="00856ED8"/>
    <w:rsid w:val="00856F56"/>
    <w:rsid w:val="00857BE8"/>
    <w:rsid w:val="008601C2"/>
    <w:rsid w:val="00860CC9"/>
    <w:rsid w:val="008616DD"/>
    <w:rsid w:val="00861891"/>
    <w:rsid w:val="0086284E"/>
    <w:rsid w:val="00862C70"/>
    <w:rsid w:val="00862E01"/>
    <w:rsid w:val="008634B3"/>
    <w:rsid w:val="00863E20"/>
    <w:rsid w:val="0086437D"/>
    <w:rsid w:val="008652C5"/>
    <w:rsid w:val="0086605C"/>
    <w:rsid w:val="0086644D"/>
    <w:rsid w:val="00866624"/>
    <w:rsid w:val="00866D7C"/>
    <w:rsid w:val="00867C0E"/>
    <w:rsid w:val="00867E97"/>
    <w:rsid w:val="00870AB6"/>
    <w:rsid w:val="008710CA"/>
    <w:rsid w:val="0087189B"/>
    <w:rsid w:val="00872004"/>
    <w:rsid w:val="00872C60"/>
    <w:rsid w:val="0087440B"/>
    <w:rsid w:val="00874954"/>
    <w:rsid w:val="00875416"/>
    <w:rsid w:val="0087566F"/>
    <w:rsid w:val="00875CB7"/>
    <w:rsid w:val="00876753"/>
    <w:rsid w:val="008773A7"/>
    <w:rsid w:val="00877E70"/>
    <w:rsid w:val="0088009B"/>
    <w:rsid w:val="008803D6"/>
    <w:rsid w:val="00880CA2"/>
    <w:rsid w:val="008818E6"/>
    <w:rsid w:val="00882D96"/>
    <w:rsid w:val="008835BF"/>
    <w:rsid w:val="00883931"/>
    <w:rsid w:val="00883BE3"/>
    <w:rsid w:val="00884576"/>
    <w:rsid w:val="008854E5"/>
    <w:rsid w:val="00885530"/>
    <w:rsid w:val="0088560C"/>
    <w:rsid w:val="00885987"/>
    <w:rsid w:val="00885C66"/>
    <w:rsid w:val="008871EA"/>
    <w:rsid w:val="00887878"/>
    <w:rsid w:val="00887B5C"/>
    <w:rsid w:val="00890DB4"/>
    <w:rsid w:val="00890F9D"/>
    <w:rsid w:val="008921F6"/>
    <w:rsid w:val="0089221C"/>
    <w:rsid w:val="008922E7"/>
    <w:rsid w:val="008926B9"/>
    <w:rsid w:val="008928D7"/>
    <w:rsid w:val="00892FCB"/>
    <w:rsid w:val="00893E08"/>
    <w:rsid w:val="008940FD"/>
    <w:rsid w:val="008945AA"/>
    <w:rsid w:val="008948C2"/>
    <w:rsid w:val="00894B41"/>
    <w:rsid w:val="00895094"/>
    <w:rsid w:val="00896C76"/>
    <w:rsid w:val="008A091E"/>
    <w:rsid w:val="008A0B94"/>
    <w:rsid w:val="008A0CA3"/>
    <w:rsid w:val="008A10EF"/>
    <w:rsid w:val="008A13DD"/>
    <w:rsid w:val="008A16DA"/>
    <w:rsid w:val="008A1939"/>
    <w:rsid w:val="008A1A7D"/>
    <w:rsid w:val="008A211C"/>
    <w:rsid w:val="008A21CF"/>
    <w:rsid w:val="008A3245"/>
    <w:rsid w:val="008A3354"/>
    <w:rsid w:val="008A3A28"/>
    <w:rsid w:val="008A424A"/>
    <w:rsid w:val="008A4428"/>
    <w:rsid w:val="008A452B"/>
    <w:rsid w:val="008A4A30"/>
    <w:rsid w:val="008A4A3A"/>
    <w:rsid w:val="008A5248"/>
    <w:rsid w:val="008A55C9"/>
    <w:rsid w:val="008A56A1"/>
    <w:rsid w:val="008A5DDE"/>
    <w:rsid w:val="008A65C2"/>
    <w:rsid w:val="008A70F3"/>
    <w:rsid w:val="008A74B4"/>
    <w:rsid w:val="008B0A4C"/>
    <w:rsid w:val="008B0A4F"/>
    <w:rsid w:val="008B0CF6"/>
    <w:rsid w:val="008B11C3"/>
    <w:rsid w:val="008B13EF"/>
    <w:rsid w:val="008B1459"/>
    <w:rsid w:val="008B1A2E"/>
    <w:rsid w:val="008B2376"/>
    <w:rsid w:val="008B25F7"/>
    <w:rsid w:val="008B264E"/>
    <w:rsid w:val="008B2AF3"/>
    <w:rsid w:val="008B2FE8"/>
    <w:rsid w:val="008B3ACD"/>
    <w:rsid w:val="008B3CF2"/>
    <w:rsid w:val="008B40C9"/>
    <w:rsid w:val="008B41E1"/>
    <w:rsid w:val="008B42B3"/>
    <w:rsid w:val="008B435A"/>
    <w:rsid w:val="008B5110"/>
    <w:rsid w:val="008B67E9"/>
    <w:rsid w:val="008B707D"/>
    <w:rsid w:val="008B719B"/>
    <w:rsid w:val="008B74E6"/>
    <w:rsid w:val="008B76FB"/>
    <w:rsid w:val="008C15F5"/>
    <w:rsid w:val="008C1756"/>
    <w:rsid w:val="008C1788"/>
    <w:rsid w:val="008C18CF"/>
    <w:rsid w:val="008C1D14"/>
    <w:rsid w:val="008C2680"/>
    <w:rsid w:val="008C39EC"/>
    <w:rsid w:val="008C3F88"/>
    <w:rsid w:val="008C4138"/>
    <w:rsid w:val="008C4F4A"/>
    <w:rsid w:val="008C5495"/>
    <w:rsid w:val="008C5EC2"/>
    <w:rsid w:val="008C62A8"/>
    <w:rsid w:val="008C6D60"/>
    <w:rsid w:val="008C76DA"/>
    <w:rsid w:val="008C793C"/>
    <w:rsid w:val="008D0DA4"/>
    <w:rsid w:val="008D0F38"/>
    <w:rsid w:val="008D16A8"/>
    <w:rsid w:val="008D3085"/>
    <w:rsid w:val="008D384D"/>
    <w:rsid w:val="008D3E2A"/>
    <w:rsid w:val="008D3F29"/>
    <w:rsid w:val="008D3FC8"/>
    <w:rsid w:val="008D43EA"/>
    <w:rsid w:val="008D46D7"/>
    <w:rsid w:val="008D50DE"/>
    <w:rsid w:val="008D6623"/>
    <w:rsid w:val="008D66FA"/>
    <w:rsid w:val="008D6981"/>
    <w:rsid w:val="008D69FB"/>
    <w:rsid w:val="008D6CFB"/>
    <w:rsid w:val="008D7189"/>
    <w:rsid w:val="008E01CD"/>
    <w:rsid w:val="008E0564"/>
    <w:rsid w:val="008E05B8"/>
    <w:rsid w:val="008E05FB"/>
    <w:rsid w:val="008E1373"/>
    <w:rsid w:val="008E138A"/>
    <w:rsid w:val="008E2B20"/>
    <w:rsid w:val="008E30AF"/>
    <w:rsid w:val="008E3523"/>
    <w:rsid w:val="008E448F"/>
    <w:rsid w:val="008E4C7F"/>
    <w:rsid w:val="008E4E63"/>
    <w:rsid w:val="008E51FF"/>
    <w:rsid w:val="008E5549"/>
    <w:rsid w:val="008E5844"/>
    <w:rsid w:val="008E5D48"/>
    <w:rsid w:val="008E5F61"/>
    <w:rsid w:val="008E64FC"/>
    <w:rsid w:val="008E6C57"/>
    <w:rsid w:val="008F0F5A"/>
    <w:rsid w:val="008F13DF"/>
    <w:rsid w:val="008F195B"/>
    <w:rsid w:val="008F2498"/>
    <w:rsid w:val="008F3A0C"/>
    <w:rsid w:val="008F3F41"/>
    <w:rsid w:val="008F3FC9"/>
    <w:rsid w:val="008F4624"/>
    <w:rsid w:val="008F4C8D"/>
    <w:rsid w:val="008F4DFB"/>
    <w:rsid w:val="008F573E"/>
    <w:rsid w:val="008F6FCD"/>
    <w:rsid w:val="008F7058"/>
    <w:rsid w:val="008F7D09"/>
    <w:rsid w:val="00900618"/>
    <w:rsid w:val="009008A5"/>
    <w:rsid w:val="009008D4"/>
    <w:rsid w:val="0090152E"/>
    <w:rsid w:val="00902F52"/>
    <w:rsid w:val="0090334F"/>
    <w:rsid w:val="00904834"/>
    <w:rsid w:val="00905387"/>
    <w:rsid w:val="009060A6"/>
    <w:rsid w:val="0090716C"/>
    <w:rsid w:val="00907680"/>
    <w:rsid w:val="0090783D"/>
    <w:rsid w:val="00910CC9"/>
    <w:rsid w:val="00910D92"/>
    <w:rsid w:val="0091106D"/>
    <w:rsid w:val="00911246"/>
    <w:rsid w:val="00911920"/>
    <w:rsid w:val="00911CC9"/>
    <w:rsid w:val="00912664"/>
    <w:rsid w:val="009128D7"/>
    <w:rsid w:val="009134BB"/>
    <w:rsid w:val="0091355F"/>
    <w:rsid w:val="00913801"/>
    <w:rsid w:val="00913EE5"/>
    <w:rsid w:val="0091421E"/>
    <w:rsid w:val="009150C2"/>
    <w:rsid w:val="00915507"/>
    <w:rsid w:val="00916C72"/>
    <w:rsid w:val="00916D98"/>
    <w:rsid w:val="00916E0A"/>
    <w:rsid w:val="009206D2"/>
    <w:rsid w:val="00920726"/>
    <w:rsid w:val="009208B2"/>
    <w:rsid w:val="00920A84"/>
    <w:rsid w:val="00920C9C"/>
    <w:rsid w:val="009210BA"/>
    <w:rsid w:val="0092126B"/>
    <w:rsid w:val="009213A2"/>
    <w:rsid w:val="00921CE5"/>
    <w:rsid w:val="0092269A"/>
    <w:rsid w:val="00922975"/>
    <w:rsid w:val="00922CD5"/>
    <w:rsid w:val="009236D4"/>
    <w:rsid w:val="00923C5A"/>
    <w:rsid w:val="00923E02"/>
    <w:rsid w:val="00924AF5"/>
    <w:rsid w:val="00924F75"/>
    <w:rsid w:val="009260A2"/>
    <w:rsid w:val="0092618A"/>
    <w:rsid w:val="009262BA"/>
    <w:rsid w:val="00926698"/>
    <w:rsid w:val="00926791"/>
    <w:rsid w:val="009269B2"/>
    <w:rsid w:val="00926C67"/>
    <w:rsid w:val="00926E5E"/>
    <w:rsid w:val="009276B4"/>
    <w:rsid w:val="009279EF"/>
    <w:rsid w:val="0093078D"/>
    <w:rsid w:val="00930AF4"/>
    <w:rsid w:val="00930F14"/>
    <w:rsid w:val="00931864"/>
    <w:rsid w:val="00932397"/>
    <w:rsid w:val="009323AA"/>
    <w:rsid w:val="0093462A"/>
    <w:rsid w:val="00936538"/>
    <w:rsid w:val="00937423"/>
    <w:rsid w:val="00937BDA"/>
    <w:rsid w:val="00937C49"/>
    <w:rsid w:val="00937D91"/>
    <w:rsid w:val="009407A3"/>
    <w:rsid w:val="009408EE"/>
    <w:rsid w:val="009411AD"/>
    <w:rsid w:val="0094154F"/>
    <w:rsid w:val="009424CE"/>
    <w:rsid w:val="00942B38"/>
    <w:rsid w:val="00942CA0"/>
    <w:rsid w:val="00942DC6"/>
    <w:rsid w:val="00943119"/>
    <w:rsid w:val="0094355E"/>
    <w:rsid w:val="00943DBB"/>
    <w:rsid w:val="00944F40"/>
    <w:rsid w:val="009459F4"/>
    <w:rsid w:val="009469A7"/>
    <w:rsid w:val="00946BB0"/>
    <w:rsid w:val="00947018"/>
    <w:rsid w:val="0095091C"/>
    <w:rsid w:val="009521E2"/>
    <w:rsid w:val="0095240E"/>
    <w:rsid w:val="00952C6E"/>
    <w:rsid w:val="00952FC7"/>
    <w:rsid w:val="00953027"/>
    <w:rsid w:val="00953294"/>
    <w:rsid w:val="00953C3E"/>
    <w:rsid w:val="00953EF0"/>
    <w:rsid w:val="00954112"/>
    <w:rsid w:val="0095567D"/>
    <w:rsid w:val="00955D33"/>
    <w:rsid w:val="0095704A"/>
    <w:rsid w:val="0095746A"/>
    <w:rsid w:val="009575D8"/>
    <w:rsid w:val="009579A0"/>
    <w:rsid w:val="009579DC"/>
    <w:rsid w:val="00957DF2"/>
    <w:rsid w:val="00960042"/>
    <w:rsid w:val="0096033F"/>
    <w:rsid w:val="009609C3"/>
    <w:rsid w:val="00960AE0"/>
    <w:rsid w:val="00960C08"/>
    <w:rsid w:val="009619B8"/>
    <w:rsid w:val="00962CEF"/>
    <w:rsid w:val="00963231"/>
    <w:rsid w:val="00963742"/>
    <w:rsid w:val="0096393B"/>
    <w:rsid w:val="00963A1E"/>
    <w:rsid w:val="00963BBF"/>
    <w:rsid w:val="00963BEF"/>
    <w:rsid w:val="00965542"/>
    <w:rsid w:val="009658C0"/>
    <w:rsid w:val="009660A1"/>
    <w:rsid w:val="00966111"/>
    <w:rsid w:val="00966CEB"/>
    <w:rsid w:val="00970BE3"/>
    <w:rsid w:val="00970E61"/>
    <w:rsid w:val="00971D13"/>
    <w:rsid w:val="009721EE"/>
    <w:rsid w:val="00972236"/>
    <w:rsid w:val="00972FC8"/>
    <w:rsid w:val="00973577"/>
    <w:rsid w:val="009740C4"/>
    <w:rsid w:val="009740D7"/>
    <w:rsid w:val="00974F4B"/>
    <w:rsid w:val="0097506A"/>
    <w:rsid w:val="00975BFF"/>
    <w:rsid w:val="0097648F"/>
    <w:rsid w:val="009776E2"/>
    <w:rsid w:val="00977E65"/>
    <w:rsid w:val="00977FB5"/>
    <w:rsid w:val="0098036A"/>
    <w:rsid w:val="00982064"/>
    <w:rsid w:val="00982751"/>
    <w:rsid w:val="00983E22"/>
    <w:rsid w:val="00984D70"/>
    <w:rsid w:val="00985298"/>
    <w:rsid w:val="009858E5"/>
    <w:rsid w:val="00985B15"/>
    <w:rsid w:val="0098665F"/>
    <w:rsid w:val="00986781"/>
    <w:rsid w:val="00986A43"/>
    <w:rsid w:val="00986C6B"/>
    <w:rsid w:val="009870DE"/>
    <w:rsid w:val="009878F4"/>
    <w:rsid w:val="00987C3B"/>
    <w:rsid w:val="00987C6D"/>
    <w:rsid w:val="00990488"/>
    <w:rsid w:val="00991334"/>
    <w:rsid w:val="009914AA"/>
    <w:rsid w:val="00993D4A"/>
    <w:rsid w:val="0099511C"/>
    <w:rsid w:val="009957B8"/>
    <w:rsid w:val="009962A0"/>
    <w:rsid w:val="0099699D"/>
    <w:rsid w:val="00996B34"/>
    <w:rsid w:val="00997B80"/>
    <w:rsid w:val="00997D69"/>
    <w:rsid w:val="009A0512"/>
    <w:rsid w:val="009A0BFA"/>
    <w:rsid w:val="009A105E"/>
    <w:rsid w:val="009A1CA9"/>
    <w:rsid w:val="009A359F"/>
    <w:rsid w:val="009A3901"/>
    <w:rsid w:val="009A3D9F"/>
    <w:rsid w:val="009A4047"/>
    <w:rsid w:val="009A442B"/>
    <w:rsid w:val="009A481B"/>
    <w:rsid w:val="009A4D13"/>
    <w:rsid w:val="009A5C9B"/>
    <w:rsid w:val="009A5E03"/>
    <w:rsid w:val="009A5F54"/>
    <w:rsid w:val="009A75E7"/>
    <w:rsid w:val="009B0430"/>
    <w:rsid w:val="009B070E"/>
    <w:rsid w:val="009B19EC"/>
    <w:rsid w:val="009B1BCC"/>
    <w:rsid w:val="009B1EC8"/>
    <w:rsid w:val="009B2550"/>
    <w:rsid w:val="009B3949"/>
    <w:rsid w:val="009B4DE0"/>
    <w:rsid w:val="009B509D"/>
    <w:rsid w:val="009B565A"/>
    <w:rsid w:val="009B5881"/>
    <w:rsid w:val="009B5ACC"/>
    <w:rsid w:val="009B626D"/>
    <w:rsid w:val="009B656B"/>
    <w:rsid w:val="009B76BB"/>
    <w:rsid w:val="009B7807"/>
    <w:rsid w:val="009B7840"/>
    <w:rsid w:val="009B7E5F"/>
    <w:rsid w:val="009C060D"/>
    <w:rsid w:val="009C1773"/>
    <w:rsid w:val="009C2D54"/>
    <w:rsid w:val="009C329A"/>
    <w:rsid w:val="009C3C57"/>
    <w:rsid w:val="009C420A"/>
    <w:rsid w:val="009C4630"/>
    <w:rsid w:val="009C4BAF"/>
    <w:rsid w:val="009C4BF5"/>
    <w:rsid w:val="009C4F5E"/>
    <w:rsid w:val="009C55A3"/>
    <w:rsid w:val="009C5D0D"/>
    <w:rsid w:val="009C62CB"/>
    <w:rsid w:val="009C6711"/>
    <w:rsid w:val="009C6768"/>
    <w:rsid w:val="009C6A78"/>
    <w:rsid w:val="009C6E32"/>
    <w:rsid w:val="009C7D2A"/>
    <w:rsid w:val="009D0822"/>
    <w:rsid w:val="009D086C"/>
    <w:rsid w:val="009D1449"/>
    <w:rsid w:val="009D19F9"/>
    <w:rsid w:val="009D1E0A"/>
    <w:rsid w:val="009D224D"/>
    <w:rsid w:val="009D2A22"/>
    <w:rsid w:val="009D2AF6"/>
    <w:rsid w:val="009D2CCE"/>
    <w:rsid w:val="009D2E53"/>
    <w:rsid w:val="009D32A0"/>
    <w:rsid w:val="009D32F1"/>
    <w:rsid w:val="009D3344"/>
    <w:rsid w:val="009D3865"/>
    <w:rsid w:val="009D3BD9"/>
    <w:rsid w:val="009D3F7F"/>
    <w:rsid w:val="009D4B1F"/>
    <w:rsid w:val="009D517E"/>
    <w:rsid w:val="009D5AEB"/>
    <w:rsid w:val="009D65A4"/>
    <w:rsid w:val="009D6B31"/>
    <w:rsid w:val="009D6D3F"/>
    <w:rsid w:val="009D70FB"/>
    <w:rsid w:val="009D7691"/>
    <w:rsid w:val="009D7ED7"/>
    <w:rsid w:val="009E030F"/>
    <w:rsid w:val="009E12CE"/>
    <w:rsid w:val="009E1BE9"/>
    <w:rsid w:val="009E1DDF"/>
    <w:rsid w:val="009E201E"/>
    <w:rsid w:val="009E204E"/>
    <w:rsid w:val="009E2AC2"/>
    <w:rsid w:val="009E2DCD"/>
    <w:rsid w:val="009E2FDB"/>
    <w:rsid w:val="009E3493"/>
    <w:rsid w:val="009E34A0"/>
    <w:rsid w:val="009E362F"/>
    <w:rsid w:val="009E390E"/>
    <w:rsid w:val="009E4062"/>
    <w:rsid w:val="009E5104"/>
    <w:rsid w:val="009E517E"/>
    <w:rsid w:val="009E542A"/>
    <w:rsid w:val="009E59F2"/>
    <w:rsid w:val="009E5CD9"/>
    <w:rsid w:val="009E5D8B"/>
    <w:rsid w:val="009E5DD4"/>
    <w:rsid w:val="009E6652"/>
    <w:rsid w:val="009E6C31"/>
    <w:rsid w:val="009E6C5D"/>
    <w:rsid w:val="009E75FF"/>
    <w:rsid w:val="009E76F0"/>
    <w:rsid w:val="009E79BF"/>
    <w:rsid w:val="009F1711"/>
    <w:rsid w:val="009F17A3"/>
    <w:rsid w:val="009F1A6A"/>
    <w:rsid w:val="009F223C"/>
    <w:rsid w:val="009F22FF"/>
    <w:rsid w:val="009F2FCA"/>
    <w:rsid w:val="009F4C35"/>
    <w:rsid w:val="009F6EE5"/>
    <w:rsid w:val="009F7176"/>
    <w:rsid w:val="009F74D2"/>
    <w:rsid w:val="009F7884"/>
    <w:rsid w:val="009F7DC6"/>
    <w:rsid w:val="009F7FD2"/>
    <w:rsid w:val="00A00243"/>
    <w:rsid w:val="00A002AB"/>
    <w:rsid w:val="00A0054C"/>
    <w:rsid w:val="00A006A6"/>
    <w:rsid w:val="00A0078C"/>
    <w:rsid w:val="00A009F6"/>
    <w:rsid w:val="00A017BC"/>
    <w:rsid w:val="00A02222"/>
    <w:rsid w:val="00A02559"/>
    <w:rsid w:val="00A02598"/>
    <w:rsid w:val="00A03E91"/>
    <w:rsid w:val="00A04AE0"/>
    <w:rsid w:val="00A05D7D"/>
    <w:rsid w:val="00A075E4"/>
    <w:rsid w:val="00A07CC5"/>
    <w:rsid w:val="00A07EE1"/>
    <w:rsid w:val="00A10B7C"/>
    <w:rsid w:val="00A11288"/>
    <w:rsid w:val="00A126E0"/>
    <w:rsid w:val="00A12DE7"/>
    <w:rsid w:val="00A136A9"/>
    <w:rsid w:val="00A137C9"/>
    <w:rsid w:val="00A13DDF"/>
    <w:rsid w:val="00A13DF7"/>
    <w:rsid w:val="00A14B31"/>
    <w:rsid w:val="00A15220"/>
    <w:rsid w:val="00A152F3"/>
    <w:rsid w:val="00A15546"/>
    <w:rsid w:val="00A15737"/>
    <w:rsid w:val="00A158D2"/>
    <w:rsid w:val="00A15ACF"/>
    <w:rsid w:val="00A15AE3"/>
    <w:rsid w:val="00A15BEA"/>
    <w:rsid w:val="00A16195"/>
    <w:rsid w:val="00A16289"/>
    <w:rsid w:val="00A1650C"/>
    <w:rsid w:val="00A206C8"/>
    <w:rsid w:val="00A208D4"/>
    <w:rsid w:val="00A20F3D"/>
    <w:rsid w:val="00A2153F"/>
    <w:rsid w:val="00A21A1A"/>
    <w:rsid w:val="00A21C64"/>
    <w:rsid w:val="00A22304"/>
    <w:rsid w:val="00A2234B"/>
    <w:rsid w:val="00A23DDD"/>
    <w:rsid w:val="00A246B6"/>
    <w:rsid w:val="00A2555B"/>
    <w:rsid w:val="00A2586A"/>
    <w:rsid w:val="00A2699A"/>
    <w:rsid w:val="00A274C4"/>
    <w:rsid w:val="00A27583"/>
    <w:rsid w:val="00A303BB"/>
    <w:rsid w:val="00A30402"/>
    <w:rsid w:val="00A30406"/>
    <w:rsid w:val="00A30479"/>
    <w:rsid w:val="00A3130D"/>
    <w:rsid w:val="00A313AF"/>
    <w:rsid w:val="00A31598"/>
    <w:rsid w:val="00A3228C"/>
    <w:rsid w:val="00A32BBC"/>
    <w:rsid w:val="00A33215"/>
    <w:rsid w:val="00A33BCF"/>
    <w:rsid w:val="00A3465A"/>
    <w:rsid w:val="00A34E4D"/>
    <w:rsid w:val="00A351D0"/>
    <w:rsid w:val="00A35AAB"/>
    <w:rsid w:val="00A35DCC"/>
    <w:rsid w:val="00A35E0E"/>
    <w:rsid w:val="00A36730"/>
    <w:rsid w:val="00A3674B"/>
    <w:rsid w:val="00A368A4"/>
    <w:rsid w:val="00A36EA0"/>
    <w:rsid w:val="00A36FE7"/>
    <w:rsid w:val="00A37890"/>
    <w:rsid w:val="00A37ABA"/>
    <w:rsid w:val="00A37E87"/>
    <w:rsid w:val="00A4059A"/>
    <w:rsid w:val="00A41615"/>
    <w:rsid w:val="00A41AC5"/>
    <w:rsid w:val="00A41DD3"/>
    <w:rsid w:val="00A41F5B"/>
    <w:rsid w:val="00A4228E"/>
    <w:rsid w:val="00A434D5"/>
    <w:rsid w:val="00A43C2D"/>
    <w:rsid w:val="00A43D16"/>
    <w:rsid w:val="00A4443C"/>
    <w:rsid w:val="00A4483C"/>
    <w:rsid w:val="00A45B4E"/>
    <w:rsid w:val="00A45B69"/>
    <w:rsid w:val="00A467E4"/>
    <w:rsid w:val="00A47FB8"/>
    <w:rsid w:val="00A5044A"/>
    <w:rsid w:val="00A51C51"/>
    <w:rsid w:val="00A525D8"/>
    <w:rsid w:val="00A52CC7"/>
    <w:rsid w:val="00A53939"/>
    <w:rsid w:val="00A53972"/>
    <w:rsid w:val="00A53B22"/>
    <w:rsid w:val="00A53F6B"/>
    <w:rsid w:val="00A545FC"/>
    <w:rsid w:val="00A54C94"/>
    <w:rsid w:val="00A55CAF"/>
    <w:rsid w:val="00A560E1"/>
    <w:rsid w:val="00A56209"/>
    <w:rsid w:val="00A56294"/>
    <w:rsid w:val="00A56643"/>
    <w:rsid w:val="00A5671E"/>
    <w:rsid w:val="00A56EAD"/>
    <w:rsid w:val="00A5715A"/>
    <w:rsid w:val="00A57760"/>
    <w:rsid w:val="00A578E9"/>
    <w:rsid w:val="00A60CB5"/>
    <w:rsid w:val="00A61165"/>
    <w:rsid w:val="00A61C38"/>
    <w:rsid w:val="00A62086"/>
    <w:rsid w:val="00A62565"/>
    <w:rsid w:val="00A62628"/>
    <w:rsid w:val="00A62D22"/>
    <w:rsid w:val="00A631E3"/>
    <w:rsid w:val="00A63947"/>
    <w:rsid w:val="00A640F7"/>
    <w:rsid w:val="00A645AE"/>
    <w:rsid w:val="00A6492C"/>
    <w:rsid w:val="00A6571D"/>
    <w:rsid w:val="00A67297"/>
    <w:rsid w:val="00A672E8"/>
    <w:rsid w:val="00A67D74"/>
    <w:rsid w:val="00A701DB"/>
    <w:rsid w:val="00A70568"/>
    <w:rsid w:val="00A70844"/>
    <w:rsid w:val="00A70C18"/>
    <w:rsid w:val="00A7178D"/>
    <w:rsid w:val="00A71A82"/>
    <w:rsid w:val="00A71C04"/>
    <w:rsid w:val="00A71F02"/>
    <w:rsid w:val="00A72E01"/>
    <w:rsid w:val="00A73476"/>
    <w:rsid w:val="00A737EC"/>
    <w:rsid w:val="00A75273"/>
    <w:rsid w:val="00A76866"/>
    <w:rsid w:val="00A76D89"/>
    <w:rsid w:val="00A771DE"/>
    <w:rsid w:val="00A774C1"/>
    <w:rsid w:val="00A77622"/>
    <w:rsid w:val="00A77645"/>
    <w:rsid w:val="00A77F2C"/>
    <w:rsid w:val="00A77F51"/>
    <w:rsid w:val="00A77F6D"/>
    <w:rsid w:val="00A800F4"/>
    <w:rsid w:val="00A811A3"/>
    <w:rsid w:val="00A818AB"/>
    <w:rsid w:val="00A8281E"/>
    <w:rsid w:val="00A82844"/>
    <w:rsid w:val="00A82ADE"/>
    <w:rsid w:val="00A82BE2"/>
    <w:rsid w:val="00A832E1"/>
    <w:rsid w:val="00A844C0"/>
    <w:rsid w:val="00A85E56"/>
    <w:rsid w:val="00A85F36"/>
    <w:rsid w:val="00A86499"/>
    <w:rsid w:val="00A86B52"/>
    <w:rsid w:val="00A8776E"/>
    <w:rsid w:val="00A909C0"/>
    <w:rsid w:val="00A90DBD"/>
    <w:rsid w:val="00A913B8"/>
    <w:rsid w:val="00A91C25"/>
    <w:rsid w:val="00A91F70"/>
    <w:rsid w:val="00A92291"/>
    <w:rsid w:val="00A92406"/>
    <w:rsid w:val="00A92AA7"/>
    <w:rsid w:val="00A92D72"/>
    <w:rsid w:val="00A92D8B"/>
    <w:rsid w:val="00A93069"/>
    <w:rsid w:val="00A93661"/>
    <w:rsid w:val="00A93BDE"/>
    <w:rsid w:val="00A94684"/>
    <w:rsid w:val="00A95EAE"/>
    <w:rsid w:val="00A96083"/>
    <w:rsid w:val="00A9703C"/>
    <w:rsid w:val="00A970FB"/>
    <w:rsid w:val="00A97CA3"/>
    <w:rsid w:val="00AA0737"/>
    <w:rsid w:val="00AA0A65"/>
    <w:rsid w:val="00AA0CD1"/>
    <w:rsid w:val="00AA0D82"/>
    <w:rsid w:val="00AA1235"/>
    <w:rsid w:val="00AA13D7"/>
    <w:rsid w:val="00AA14D3"/>
    <w:rsid w:val="00AA1591"/>
    <w:rsid w:val="00AA2734"/>
    <w:rsid w:val="00AA2BE6"/>
    <w:rsid w:val="00AA2EE1"/>
    <w:rsid w:val="00AA2FE4"/>
    <w:rsid w:val="00AA3B1A"/>
    <w:rsid w:val="00AA401F"/>
    <w:rsid w:val="00AA411D"/>
    <w:rsid w:val="00AA4606"/>
    <w:rsid w:val="00AA464A"/>
    <w:rsid w:val="00AA492B"/>
    <w:rsid w:val="00AA51DB"/>
    <w:rsid w:val="00AA5AA3"/>
    <w:rsid w:val="00AA5E3C"/>
    <w:rsid w:val="00AA657D"/>
    <w:rsid w:val="00AA6864"/>
    <w:rsid w:val="00AA6CC8"/>
    <w:rsid w:val="00AA73EB"/>
    <w:rsid w:val="00AA747F"/>
    <w:rsid w:val="00AB0245"/>
    <w:rsid w:val="00AB07FA"/>
    <w:rsid w:val="00AB10CE"/>
    <w:rsid w:val="00AB1863"/>
    <w:rsid w:val="00AB1B6B"/>
    <w:rsid w:val="00AB23E1"/>
    <w:rsid w:val="00AB2817"/>
    <w:rsid w:val="00AB3710"/>
    <w:rsid w:val="00AB3945"/>
    <w:rsid w:val="00AB4BB1"/>
    <w:rsid w:val="00AB4E7F"/>
    <w:rsid w:val="00AB4ED2"/>
    <w:rsid w:val="00AB5106"/>
    <w:rsid w:val="00AB52B3"/>
    <w:rsid w:val="00AB6A78"/>
    <w:rsid w:val="00AB6D5A"/>
    <w:rsid w:val="00AB726B"/>
    <w:rsid w:val="00AB74D4"/>
    <w:rsid w:val="00AB77B2"/>
    <w:rsid w:val="00AC03DE"/>
    <w:rsid w:val="00AC10ED"/>
    <w:rsid w:val="00AC2DC1"/>
    <w:rsid w:val="00AC30D3"/>
    <w:rsid w:val="00AC434F"/>
    <w:rsid w:val="00AC5634"/>
    <w:rsid w:val="00AC689B"/>
    <w:rsid w:val="00AC759A"/>
    <w:rsid w:val="00AC7919"/>
    <w:rsid w:val="00AD0075"/>
    <w:rsid w:val="00AD0B37"/>
    <w:rsid w:val="00AD12C9"/>
    <w:rsid w:val="00AD1413"/>
    <w:rsid w:val="00AD1765"/>
    <w:rsid w:val="00AD1F90"/>
    <w:rsid w:val="00AD3322"/>
    <w:rsid w:val="00AD3DC0"/>
    <w:rsid w:val="00AD482B"/>
    <w:rsid w:val="00AD5317"/>
    <w:rsid w:val="00AD575F"/>
    <w:rsid w:val="00AD5819"/>
    <w:rsid w:val="00AD62A6"/>
    <w:rsid w:val="00AD63E6"/>
    <w:rsid w:val="00AD6A11"/>
    <w:rsid w:val="00AD7093"/>
    <w:rsid w:val="00AD7672"/>
    <w:rsid w:val="00AD76E2"/>
    <w:rsid w:val="00AD7DED"/>
    <w:rsid w:val="00AE0033"/>
    <w:rsid w:val="00AE1F24"/>
    <w:rsid w:val="00AE2743"/>
    <w:rsid w:val="00AE2D6F"/>
    <w:rsid w:val="00AE30A1"/>
    <w:rsid w:val="00AE320D"/>
    <w:rsid w:val="00AE488A"/>
    <w:rsid w:val="00AE568C"/>
    <w:rsid w:val="00AE581C"/>
    <w:rsid w:val="00AE5EEF"/>
    <w:rsid w:val="00AE6314"/>
    <w:rsid w:val="00AE7603"/>
    <w:rsid w:val="00AE7ED5"/>
    <w:rsid w:val="00AF030E"/>
    <w:rsid w:val="00AF08E3"/>
    <w:rsid w:val="00AF149B"/>
    <w:rsid w:val="00AF15BE"/>
    <w:rsid w:val="00AF15D9"/>
    <w:rsid w:val="00AF3CEB"/>
    <w:rsid w:val="00AF46F0"/>
    <w:rsid w:val="00AF4F4C"/>
    <w:rsid w:val="00AF625D"/>
    <w:rsid w:val="00AF6BCE"/>
    <w:rsid w:val="00AF7827"/>
    <w:rsid w:val="00B01107"/>
    <w:rsid w:val="00B01869"/>
    <w:rsid w:val="00B022C0"/>
    <w:rsid w:val="00B02F19"/>
    <w:rsid w:val="00B03587"/>
    <w:rsid w:val="00B036B8"/>
    <w:rsid w:val="00B03EB2"/>
    <w:rsid w:val="00B04066"/>
    <w:rsid w:val="00B044C8"/>
    <w:rsid w:val="00B0530D"/>
    <w:rsid w:val="00B05992"/>
    <w:rsid w:val="00B066FB"/>
    <w:rsid w:val="00B068ED"/>
    <w:rsid w:val="00B069E4"/>
    <w:rsid w:val="00B07472"/>
    <w:rsid w:val="00B105CA"/>
    <w:rsid w:val="00B11B9E"/>
    <w:rsid w:val="00B12A1B"/>
    <w:rsid w:val="00B12A26"/>
    <w:rsid w:val="00B12FB6"/>
    <w:rsid w:val="00B131F8"/>
    <w:rsid w:val="00B13860"/>
    <w:rsid w:val="00B13FE1"/>
    <w:rsid w:val="00B14430"/>
    <w:rsid w:val="00B15263"/>
    <w:rsid w:val="00B1554F"/>
    <w:rsid w:val="00B15C01"/>
    <w:rsid w:val="00B16419"/>
    <w:rsid w:val="00B16540"/>
    <w:rsid w:val="00B176EC"/>
    <w:rsid w:val="00B227D4"/>
    <w:rsid w:val="00B24542"/>
    <w:rsid w:val="00B247FC"/>
    <w:rsid w:val="00B24DBE"/>
    <w:rsid w:val="00B26F2F"/>
    <w:rsid w:val="00B3046F"/>
    <w:rsid w:val="00B30EA1"/>
    <w:rsid w:val="00B3137C"/>
    <w:rsid w:val="00B31E21"/>
    <w:rsid w:val="00B31FEC"/>
    <w:rsid w:val="00B320E9"/>
    <w:rsid w:val="00B32573"/>
    <w:rsid w:val="00B32AAB"/>
    <w:rsid w:val="00B35088"/>
    <w:rsid w:val="00B3552B"/>
    <w:rsid w:val="00B35AC1"/>
    <w:rsid w:val="00B35EDC"/>
    <w:rsid w:val="00B36909"/>
    <w:rsid w:val="00B37842"/>
    <w:rsid w:val="00B37C7F"/>
    <w:rsid w:val="00B4087A"/>
    <w:rsid w:val="00B40E0D"/>
    <w:rsid w:val="00B41602"/>
    <w:rsid w:val="00B41F57"/>
    <w:rsid w:val="00B4242C"/>
    <w:rsid w:val="00B427E5"/>
    <w:rsid w:val="00B42DA8"/>
    <w:rsid w:val="00B42DB4"/>
    <w:rsid w:val="00B43469"/>
    <w:rsid w:val="00B45022"/>
    <w:rsid w:val="00B451E6"/>
    <w:rsid w:val="00B45615"/>
    <w:rsid w:val="00B4608F"/>
    <w:rsid w:val="00B4613B"/>
    <w:rsid w:val="00B46583"/>
    <w:rsid w:val="00B46AE6"/>
    <w:rsid w:val="00B46F1D"/>
    <w:rsid w:val="00B4786E"/>
    <w:rsid w:val="00B47911"/>
    <w:rsid w:val="00B47B4A"/>
    <w:rsid w:val="00B50791"/>
    <w:rsid w:val="00B50BDC"/>
    <w:rsid w:val="00B50C6B"/>
    <w:rsid w:val="00B5156B"/>
    <w:rsid w:val="00B51872"/>
    <w:rsid w:val="00B51C00"/>
    <w:rsid w:val="00B52D5F"/>
    <w:rsid w:val="00B53DFE"/>
    <w:rsid w:val="00B55779"/>
    <w:rsid w:val="00B55A2C"/>
    <w:rsid w:val="00B55E4A"/>
    <w:rsid w:val="00B5604A"/>
    <w:rsid w:val="00B56360"/>
    <w:rsid w:val="00B56A2A"/>
    <w:rsid w:val="00B56BB8"/>
    <w:rsid w:val="00B57D20"/>
    <w:rsid w:val="00B57FEA"/>
    <w:rsid w:val="00B612DD"/>
    <w:rsid w:val="00B617F5"/>
    <w:rsid w:val="00B61C98"/>
    <w:rsid w:val="00B6339A"/>
    <w:rsid w:val="00B640CF"/>
    <w:rsid w:val="00B6451D"/>
    <w:rsid w:val="00B64E4F"/>
    <w:rsid w:val="00B6594A"/>
    <w:rsid w:val="00B65B4D"/>
    <w:rsid w:val="00B65B67"/>
    <w:rsid w:val="00B65D4C"/>
    <w:rsid w:val="00B65DDE"/>
    <w:rsid w:val="00B660A7"/>
    <w:rsid w:val="00B666FE"/>
    <w:rsid w:val="00B66A5C"/>
    <w:rsid w:val="00B67218"/>
    <w:rsid w:val="00B679FF"/>
    <w:rsid w:val="00B67A27"/>
    <w:rsid w:val="00B67B85"/>
    <w:rsid w:val="00B70243"/>
    <w:rsid w:val="00B709A0"/>
    <w:rsid w:val="00B70DC3"/>
    <w:rsid w:val="00B70FB9"/>
    <w:rsid w:val="00B712A5"/>
    <w:rsid w:val="00B7145D"/>
    <w:rsid w:val="00B7209F"/>
    <w:rsid w:val="00B72402"/>
    <w:rsid w:val="00B731CE"/>
    <w:rsid w:val="00B735F9"/>
    <w:rsid w:val="00B74DAF"/>
    <w:rsid w:val="00B75715"/>
    <w:rsid w:val="00B76118"/>
    <w:rsid w:val="00B7656D"/>
    <w:rsid w:val="00B80B9A"/>
    <w:rsid w:val="00B811A2"/>
    <w:rsid w:val="00B811EC"/>
    <w:rsid w:val="00B81325"/>
    <w:rsid w:val="00B818F9"/>
    <w:rsid w:val="00B827A7"/>
    <w:rsid w:val="00B82DA7"/>
    <w:rsid w:val="00B83B03"/>
    <w:rsid w:val="00B83B86"/>
    <w:rsid w:val="00B8442E"/>
    <w:rsid w:val="00B85DD9"/>
    <w:rsid w:val="00B863BF"/>
    <w:rsid w:val="00B868EB"/>
    <w:rsid w:val="00B86C7A"/>
    <w:rsid w:val="00B8776C"/>
    <w:rsid w:val="00B87BFF"/>
    <w:rsid w:val="00B9008E"/>
    <w:rsid w:val="00B90D57"/>
    <w:rsid w:val="00B915E3"/>
    <w:rsid w:val="00B9189C"/>
    <w:rsid w:val="00B91AE5"/>
    <w:rsid w:val="00B91B46"/>
    <w:rsid w:val="00B9207E"/>
    <w:rsid w:val="00B931F9"/>
    <w:rsid w:val="00B93234"/>
    <w:rsid w:val="00B93D6E"/>
    <w:rsid w:val="00B93E29"/>
    <w:rsid w:val="00B95828"/>
    <w:rsid w:val="00B96481"/>
    <w:rsid w:val="00B96D93"/>
    <w:rsid w:val="00B97877"/>
    <w:rsid w:val="00B978FA"/>
    <w:rsid w:val="00BA075E"/>
    <w:rsid w:val="00BA0C10"/>
    <w:rsid w:val="00BA0C21"/>
    <w:rsid w:val="00BA1875"/>
    <w:rsid w:val="00BA1A90"/>
    <w:rsid w:val="00BA22F3"/>
    <w:rsid w:val="00BA2D89"/>
    <w:rsid w:val="00BA2E5A"/>
    <w:rsid w:val="00BA57F9"/>
    <w:rsid w:val="00BA5CC7"/>
    <w:rsid w:val="00BA5F32"/>
    <w:rsid w:val="00BA6238"/>
    <w:rsid w:val="00BA679A"/>
    <w:rsid w:val="00BA69A7"/>
    <w:rsid w:val="00BA6BC3"/>
    <w:rsid w:val="00BA6BE0"/>
    <w:rsid w:val="00BA6BE1"/>
    <w:rsid w:val="00BA73AA"/>
    <w:rsid w:val="00BA75C7"/>
    <w:rsid w:val="00BA7719"/>
    <w:rsid w:val="00BA7AE6"/>
    <w:rsid w:val="00BA7C5B"/>
    <w:rsid w:val="00BB01CE"/>
    <w:rsid w:val="00BB0727"/>
    <w:rsid w:val="00BB078B"/>
    <w:rsid w:val="00BB163E"/>
    <w:rsid w:val="00BB1EFE"/>
    <w:rsid w:val="00BB37DE"/>
    <w:rsid w:val="00BB4471"/>
    <w:rsid w:val="00BB4E20"/>
    <w:rsid w:val="00BB5013"/>
    <w:rsid w:val="00BB6886"/>
    <w:rsid w:val="00BB69F7"/>
    <w:rsid w:val="00BB7E82"/>
    <w:rsid w:val="00BC02D9"/>
    <w:rsid w:val="00BC05EB"/>
    <w:rsid w:val="00BC1266"/>
    <w:rsid w:val="00BC1974"/>
    <w:rsid w:val="00BC1BB0"/>
    <w:rsid w:val="00BC1CFC"/>
    <w:rsid w:val="00BC1D55"/>
    <w:rsid w:val="00BC4D43"/>
    <w:rsid w:val="00BC50FD"/>
    <w:rsid w:val="00BC53AC"/>
    <w:rsid w:val="00BC5C94"/>
    <w:rsid w:val="00BC68A7"/>
    <w:rsid w:val="00BC6F8B"/>
    <w:rsid w:val="00BD0BBE"/>
    <w:rsid w:val="00BD0FB1"/>
    <w:rsid w:val="00BD3A9A"/>
    <w:rsid w:val="00BD3FAD"/>
    <w:rsid w:val="00BD404B"/>
    <w:rsid w:val="00BD47F1"/>
    <w:rsid w:val="00BD5131"/>
    <w:rsid w:val="00BD635D"/>
    <w:rsid w:val="00BD648E"/>
    <w:rsid w:val="00BD691C"/>
    <w:rsid w:val="00BD6B9E"/>
    <w:rsid w:val="00BD7A1F"/>
    <w:rsid w:val="00BD7AF0"/>
    <w:rsid w:val="00BD7CCD"/>
    <w:rsid w:val="00BE00C3"/>
    <w:rsid w:val="00BE0923"/>
    <w:rsid w:val="00BE12CA"/>
    <w:rsid w:val="00BE1A42"/>
    <w:rsid w:val="00BE2F24"/>
    <w:rsid w:val="00BE34CA"/>
    <w:rsid w:val="00BE3CE2"/>
    <w:rsid w:val="00BE3D53"/>
    <w:rsid w:val="00BE6020"/>
    <w:rsid w:val="00BE6618"/>
    <w:rsid w:val="00BE6674"/>
    <w:rsid w:val="00BE6A85"/>
    <w:rsid w:val="00BE6A89"/>
    <w:rsid w:val="00BE6A9C"/>
    <w:rsid w:val="00BE6B25"/>
    <w:rsid w:val="00BE7146"/>
    <w:rsid w:val="00BF0485"/>
    <w:rsid w:val="00BF152C"/>
    <w:rsid w:val="00BF26DB"/>
    <w:rsid w:val="00BF28A2"/>
    <w:rsid w:val="00BF3433"/>
    <w:rsid w:val="00BF3F97"/>
    <w:rsid w:val="00BF410F"/>
    <w:rsid w:val="00BF4639"/>
    <w:rsid w:val="00BF4F5F"/>
    <w:rsid w:val="00BF57AC"/>
    <w:rsid w:val="00BF5AE4"/>
    <w:rsid w:val="00BF5DDB"/>
    <w:rsid w:val="00BF67FC"/>
    <w:rsid w:val="00BF6849"/>
    <w:rsid w:val="00BF6D6E"/>
    <w:rsid w:val="00BF726A"/>
    <w:rsid w:val="00C00995"/>
    <w:rsid w:val="00C01EC5"/>
    <w:rsid w:val="00C02FF1"/>
    <w:rsid w:val="00C03863"/>
    <w:rsid w:val="00C03D92"/>
    <w:rsid w:val="00C03E60"/>
    <w:rsid w:val="00C03F1B"/>
    <w:rsid w:val="00C04078"/>
    <w:rsid w:val="00C0525B"/>
    <w:rsid w:val="00C057FC"/>
    <w:rsid w:val="00C05934"/>
    <w:rsid w:val="00C06ED9"/>
    <w:rsid w:val="00C06EF7"/>
    <w:rsid w:val="00C079DE"/>
    <w:rsid w:val="00C07FE5"/>
    <w:rsid w:val="00C103F7"/>
    <w:rsid w:val="00C107DB"/>
    <w:rsid w:val="00C11D41"/>
    <w:rsid w:val="00C121D2"/>
    <w:rsid w:val="00C12A54"/>
    <w:rsid w:val="00C136D1"/>
    <w:rsid w:val="00C1399B"/>
    <w:rsid w:val="00C1408F"/>
    <w:rsid w:val="00C14115"/>
    <w:rsid w:val="00C14348"/>
    <w:rsid w:val="00C145DB"/>
    <w:rsid w:val="00C149BA"/>
    <w:rsid w:val="00C15B21"/>
    <w:rsid w:val="00C15DAA"/>
    <w:rsid w:val="00C16352"/>
    <w:rsid w:val="00C164A1"/>
    <w:rsid w:val="00C16DC9"/>
    <w:rsid w:val="00C16F90"/>
    <w:rsid w:val="00C17589"/>
    <w:rsid w:val="00C17860"/>
    <w:rsid w:val="00C21739"/>
    <w:rsid w:val="00C233AF"/>
    <w:rsid w:val="00C23744"/>
    <w:rsid w:val="00C23B6B"/>
    <w:rsid w:val="00C2409A"/>
    <w:rsid w:val="00C24121"/>
    <w:rsid w:val="00C24272"/>
    <w:rsid w:val="00C244CC"/>
    <w:rsid w:val="00C254AC"/>
    <w:rsid w:val="00C2551F"/>
    <w:rsid w:val="00C27F63"/>
    <w:rsid w:val="00C315FB"/>
    <w:rsid w:val="00C31B0B"/>
    <w:rsid w:val="00C3308F"/>
    <w:rsid w:val="00C330EC"/>
    <w:rsid w:val="00C33641"/>
    <w:rsid w:val="00C3389D"/>
    <w:rsid w:val="00C33E8C"/>
    <w:rsid w:val="00C340D6"/>
    <w:rsid w:val="00C35B15"/>
    <w:rsid w:val="00C35B63"/>
    <w:rsid w:val="00C3694B"/>
    <w:rsid w:val="00C376E2"/>
    <w:rsid w:val="00C41167"/>
    <w:rsid w:val="00C414BA"/>
    <w:rsid w:val="00C42B4A"/>
    <w:rsid w:val="00C42E75"/>
    <w:rsid w:val="00C44363"/>
    <w:rsid w:val="00C44BAB"/>
    <w:rsid w:val="00C46969"/>
    <w:rsid w:val="00C46F9B"/>
    <w:rsid w:val="00C47381"/>
    <w:rsid w:val="00C47613"/>
    <w:rsid w:val="00C47CC7"/>
    <w:rsid w:val="00C5032B"/>
    <w:rsid w:val="00C50D63"/>
    <w:rsid w:val="00C518F3"/>
    <w:rsid w:val="00C520E6"/>
    <w:rsid w:val="00C523BC"/>
    <w:rsid w:val="00C52689"/>
    <w:rsid w:val="00C530F6"/>
    <w:rsid w:val="00C56C9F"/>
    <w:rsid w:val="00C57FCA"/>
    <w:rsid w:val="00C605AA"/>
    <w:rsid w:val="00C61207"/>
    <w:rsid w:val="00C621CF"/>
    <w:rsid w:val="00C62466"/>
    <w:rsid w:val="00C6286A"/>
    <w:rsid w:val="00C63467"/>
    <w:rsid w:val="00C63785"/>
    <w:rsid w:val="00C63AF7"/>
    <w:rsid w:val="00C6421C"/>
    <w:rsid w:val="00C64689"/>
    <w:rsid w:val="00C64F42"/>
    <w:rsid w:val="00C6594A"/>
    <w:rsid w:val="00C664FC"/>
    <w:rsid w:val="00C66A93"/>
    <w:rsid w:val="00C66E33"/>
    <w:rsid w:val="00C70C0A"/>
    <w:rsid w:val="00C710C3"/>
    <w:rsid w:val="00C719A9"/>
    <w:rsid w:val="00C71CBF"/>
    <w:rsid w:val="00C72C2A"/>
    <w:rsid w:val="00C7302E"/>
    <w:rsid w:val="00C731E4"/>
    <w:rsid w:val="00C735BE"/>
    <w:rsid w:val="00C7419F"/>
    <w:rsid w:val="00C74A0F"/>
    <w:rsid w:val="00C7599B"/>
    <w:rsid w:val="00C76367"/>
    <w:rsid w:val="00C76E99"/>
    <w:rsid w:val="00C770FD"/>
    <w:rsid w:val="00C771C0"/>
    <w:rsid w:val="00C77D16"/>
    <w:rsid w:val="00C8043C"/>
    <w:rsid w:val="00C80F4D"/>
    <w:rsid w:val="00C815D0"/>
    <w:rsid w:val="00C81D26"/>
    <w:rsid w:val="00C8401D"/>
    <w:rsid w:val="00C84251"/>
    <w:rsid w:val="00C843EA"/>
    <w:rsid w:val="00C84A1A"/>
    <w:rsid w:val="00C84D06"/>
    <w:rsid w:val="00C858C6"/>
    <w:rsid w:val="00C85ECF"/>
    <w:rsid w:val="00C85F55"/>
    <w:rsid w:val="00C85FF9"/>
    <w:rsid w:val="00C870A6"/>
    <w:rsid w:val="00C87616"/>
    <w:rsid w:val="00C87C43"/>
    <w:rsid w:val="00C87DE3"/>
    <w:rsid w:val="00C901F2"/>
    <w:rsid w:val="00C90A78"/>
    <w:rsid w:val="00C91639"/>
    <w:rsid w:val="00C917CC"/>
    <w:rsid w:val="00C91985"/>
    <w:rsid w:val="00C91BFE"/>
    <w:rsid w:val="00C91D53"/>
    <w:rsid w:val="00C923BE"/>
    <w:rsid w:val="00C927F9"/>
    <w:rsid w:val="00C9293B"/>
    <w:rsid w:val="00C92C1D"/>
    <w:rsid w:val="00C93225"/>
    <w:rsid w:val="00C93774"/>
    <w:rsid w:val="00C939C0"/>
    <w:rsid w:val="00C93B02"/>
    <w:rsid w:val="00C941BD"/>
    <w:rsid w:val="00C95270"/>
    <w:rsid w:val="00C96092"/>
    <w:rsid w:val="00C96530"/>
    <w:rsid w:val="00C96971"/>
    <w:rsid w:val="00C96EE7"/>
    <w:rsid w:val="00C97315"/>
    <w:rsid w:val="00C97827"/>
    <w:rsid w:val="00C97965"/>
    <w:rsid w:val="00C97B88"/>
    <w:rsid w:val="00C97C61"/>
    <w:rsid w:val="00C97FCE"/>
    <w:rsid w:val="00CA0EF9"/>
    <w:rsid w:val="00CA10BD"/>
    <w:rsid w:val="00CA1C7D"/>
    <w:rsid w:val="00CA1CD3"/>
    <w:rsid w:val="00CA1F3D"/>
    <w:rsid w:val="00CA1F86"/>
    <w:rsid w:val="00CA24FF"/>
    <w:rsid w:val="00CA2BC9"/>
    <w:rsid w:val="00CA2CA8"/>
    <w:rsid w:val="00CA2E6B"/>
    <w:rsid w:val="00CA370C"/>
    <w:rsid w:val="00CA42E6"/>
    <w:rsid w:val="00CA4A8F"/>
    <w:rsid w:val="00CA4E50"/>
    <w:rsid w:val="00CA6004"/>
    <w:rsid w:val="00CA62E2"/>
    <w:rsid w:val="00CA6568"/>
    <w:rsid w:val="00CA6C2B"/>
    <w:rsid w:val="00CA6EFF"/>
    <w:rsid w:val="00CA74C8"/>
    <w:rsid w:val="00CA7F71"/>
    <w:rsid w:val="00CB0106"/>
    <w:rsid w:val="00CB2531"/>
    <w:rsid w:val="00CB2CB2"/>
    <w:rsid w:val="00CB42F3"/>
    <w:rsid w:val="00CB4F73"/>
    <w:rsid w:val="00CB5640"/>
    <w:rsid w:val="00CB5745"/>
    <w:rsid w:val="00CB5A00"/>
    <w:rsid w:val="00CB5EDC"/>
    <w:rsid w:val="00CB6173"/>
    <w:rsid w:val="00CB6336"/>
    <w:rsid w:val="00CB68DC"/>
    <w:rsid w:val="00CB6F41"/>
    <w:rsid w:val="00CB7699"/>
    <w:rsid w:val="00CB79E6"/>
    <w:rsid w:val="00CB7C0C"/>
    <w:rsid w:val="00CC0A84"/>
    <w:rsid w:val="00CC0E06"/>
    <w:rsid w:val="00CC19C1"/>
    <w:rsid w:val="00CC2F60"/>
    <w:rsid w:val="00CC4ECC"/>
    <w:rsid w:val="00CC4F4F"/>
    <w:rsid w:val="00CC5089"/>
    <w:rsid w:val="00CC5102"/>
    <w:rsid w:val="00CC5231"/>
    <w:rsid w:val="00CC58F6"/>
    <w:rsid w:val="00CC6778"/>
    <w:rsid w:val="00CC6841"/>
    <w:rsid w:val="00CC6EA0"/>
    <w:rsid w:val="00CC75C7"/>
    <w:rsid w:val="00CC7C3D"/>
    <w:rsid w:val="00CD0002"/>
    <w:rsid w:val="00CD0278"/>
    <w:rsid w:val="00CD0395"/>
    <w:rsid w:val="00CD0BE1"/>
    <w:rsid w:val="00CD0E40"/>
    <w:rsid w:val="00CD19F5"/>
    <w:rsid w:val="00CD1DF7"/>
    <w:rsid w:val="00CD1E59"/>
    <w:rsid w:val="00CD1ECA"/>
    <w:rsid w:val="00CD250D"/>
    <w:rsid w:val="00CD258E"/>
    <w:rsid w:val="00CD27B4"/>
    <w:rsid w:val="00CD34B9"/>
    <w:rsid w:val="00CD3AA9"/>
    <w:rsid w:val="00CD49C1"/>
    <w:rsid w:val="00CD62C6"/>
    <w:rsid w:val="00CD696A"/>
    <w:rsid w:val="00CD6ECE"/>
    <w:rsid w:val="00CD79CD"/>
    <w:rsid w:val="00CE072B"/>
    <w:rsid w:val="00CE5571"/>
    <w:rsid w:val="00CE5723"/>
    <w:rsid w:val="00CE5BB5"/>
    <w:rsid w:val="00CE66DA"/>
    <w:rsid w:val="00CE7481"/>
    <w:rsid w:val="00CE776E"/>
    <w:rsid w:val="00CF0AD9"/>
    <w:rsid w:val="00CF1216"/>
    <w:rsid w:val="00CF131C"/>
    <w:rsid w:val="00CF19AD"/>
    <w:rsid w:val="00CF2771"/>
    <w:rsid w:val="00CF29B7"/>
    <w:rsid w:val="00CF30E6"/>
    <w:rsid w:val="00CF3A82"/>
    <w:rsid w:val="00CF3C49"/>
    <w:rsid w:val="00CF3C4B"/>
    <w:rsid w:val="00CF463D"/>
    <w:rsid w:val="00CF4CB6"/>
    <w:rsid w:val="00CF5939"/>
    <w:rsid w:val="00CF64A1"/>
    <w:rsid w:val="00CF7029"/>
    <w:rsid w:val="00D00A31"/>
    <w:rsid w:val="00D0101F"/>
    <w:rsid w:val="00D013CB"/>
    <w:rsid w:val="00D02241"/>
    <w:rsid w:val="00D0254E"/>
    <w:rsid w:val="00D0281D"/>
    <w:rsid w:val="00D02CB9"/>
    <w:rsid w:val="00D03E95"/>
    <w:rsid w:val="00D03F4D"/>
    <w:rsid w:val="00D0460A"/>
    <w:rsid w:val="00D06DA5"/>
    <w:rsid w:val="00D0792D"/>
    <w:rsid w:val="00D10F0B"/>
    <w:rsid w:val="00D11154"/>
    <w:rsid w:val="00D1391E"/>
    <w:rsid w:val="00D14AEB"/>
    <w:rsid w:val="00D156D5"/>
    <w:rsid w:val="00D15FD1"/>
    <w:rsid w:val="00D163A7"/>
    <w:rsid w:val="00D169B1"/>
    <w:rsid w:val="00D16C01"/>
    <w:rsid w:val="00D177A9"/>
    <w:rsid w:val="00D2024F"/>
    <w:rsid w:val="00D202CC"/>
    <w:rsid w:val="00D228E9"/>
    <w:rsid w:val="00D22B11"/>
    <w:rsid w:val="00D22B51"/>
    <w:rsid w:val="00D22C07"/>
    <w:rsid w:val="00D22D8F"/>
    <w:rsid w:val="00D23740"/>
    <w:rsid w:val="00D244FE"/>
    <w:rsid w:val="00D24DC2"/>
    <w:rsid w:val="00D258A0"/>
    <w:rsid w:val="00D25908"/>
    <w:rsid w:val="00D25C47"/>
    <w:rsid w:val="00D26694"/>
    <w:rsid w:val="00D26944"/>
    <w:rsid w:val="00D26B1D"/>
    <w:rsid w:val="00D271E4"/>
    <w:rsid w:val="00D3097F"/>
    <w:rsid w:val="00D30B46"/>
    <w:rsid w:val="00D30F5C"/>
    <w:rsid w:val="00D31AFE"/>
    <w:rsid w:val="00D320DE"/>
    <w:rsid w:val="00D321DD"/>
    <w:rsid w:val="00D327CC"/>
    <w:rsid w:val="00D332EB"/>
    <w:rsid w:val="00D33876"/>
    <w:rsid w:val="00D34324"/>
    <w:rsid w:val="00D365DB"/>
    <w:rsid w:val="00D36A39"/>
    <w:rsid w:val="00D37714"/>
    <w:rsid w:val="00D37C2A"/>
    <w:rsid w:val="00D40398"/>
    <w:rsid w:val="00D409A7"/>
    <w:rsid w:val="00D40A91"/>
    <w:rsid w:val="00D412CF"/>
    <w:rsid w:val="00D41482"/>
    <w:rsid w:val="00D430B2"/>
    <w:rsid w:val="00D43D1E"/>
    <w:rsid w:val="00D44385"/>
    <w:rsid w:val="00D45098"/>
    <w:rsid w:val="00D45632"/>
    <w:rsid w:val="00D45F5B"/>
    <w:rsid w:val="00D468CE"/>
    <w:rsid w:val="00D5024C"/>
    <w:rsid w:val="00D517B2"/>
    <w:rsid w:val="00D518AB"/>
    <w:rsid w:val="00D5260D"/>
    <w:rsid w:val="00D53170"/>
    <w:rsid w:val="00D53211"/>
    <w:rsid w:val="00D53DEC"/>
    <w:rsid w:val="00D54B81"/>
    <w:rsid w:val="00D54C7B"/>
    <w:rsid w:val="00D55975"/>
    <w:rsid w:val="00D55F54"/>
    <w:rsid w:val="00D56AAC"/>
    <w:rsid w:val="00D56CF2"/>
    <w:rsid w:val="00D57025"/>
    <w:rsid w:val="00D57A3F"/>
    <w:rsid w:val="00D57EFE"/>
    <w:rsid w:val="00D6020B"/>
    <w:rsid w:val="00D60EF7"/>
    <w:rsid w:val="00D611C8"/>
    <w:rsid w:val="00D61E73"/>
    <w:rsid w:val="00D62E78"/>
    <w:rsid w:val="00D634AE"/>
    <w:rsid w:val="00D637C0"/>
    <w:rsid w:val="00D63800"/>
    <w:rsid w:val="00D63E36"/>
    <w:rsid w:val="00D648F3"/>
    <w:rsid w:val="00D65056"/>
    <w:rsid w:val="00D652BF"/>
    <w:rsid w:val="00D659EA"/>
    <w:rsid w:val="00D65E54"/>
    <w:rsid w:val="00D66DF7"/>
    <w:rsid w:val="00D67181"/>
    <w:rsid w:val="00D701AA"/>
    <w:rsid w:val="00D70A65"/>
    <w:rsid w:val="00D71EBB"/>
    <w:rsid w:val="00D72108"/>
    <w:rsid w:val="00D72754"/>
    <w:rsid w:val="00D74481"/>
    <w:rsid w:val="00D7456C"/>
    <w:rsid w:val="00D7479C"/>
    <w:rsid w:val="00D75130"/>
    <w:rsid w:val="00D7550B"/>
    <w:rsid w:val="00D75BC3"/>
    <w:rsid w:val="00D76436"/>
    <w:rsid w:val="00D767D2"/>
    <w:rsid w:val="00D767EA"/>
    <w:rsid w:val="00D77752"/>
    <w:rsid w:val="00D8024F"/>
    <w:rsid w:val="00D802B3"/>
    <w:rsid w:val="00D806C2"/>
    <w:rsid w:val="00D80859"/>
    <w:rsid w:val="00D80D9B"/>
    <w:rsid w:val="00D80DB3"/>
    <w:rsid w:val="00D81433"/>
    <w:rsid w:val="00D8195E"/>
    <w:rsid w:val="00D827CA"/>
    <w:rsid w:val="00D8347C"/>
    <w:rsid w:val="00D83621"/>
    <w:rsid w:val="00D8398C"/>
    <w:rsid w:val="00D846B0"/>
    <w:rsid w:val="00D8532F"/>
    <w:rsid w:val="00D85408"/>
    <w:rsid w:val="00D8586C"/>
    <w:rsid w:val="00D86242"/>
    <w:rsid w:val="00D86B5B"/>
    <w:rsid w:val="00D873F4"/>
    <w:rsid w:val="00D87F04"/>
    <w:rsid w:val="00D91090"/>
    <w:rsid w:val="00D9116A"/>
    <w:rsid w:val="00D914F2"/>
    <w:rsid w:val="00D917F4"/>
    <w:rsid w:val="00D9276E"/>
    <w:rsid w:val="00D92C3E"/>
    <w:rsid w:val="00D92C42"/>
    <w:rsid w:val="00D935A4"/>
    <w:rsid w:val="00D939C6"/>
    <w:rsid w:val="00D94041"/>
    <w:rsid w:val="00D94C18"/>
    <w:rsid w:val="00D965D0"/>
    <w:rsid w:val="00D966C4"/>
    <w:rsid w:val="00D976B2"/>
    <w:rsid w:val="00D97A3F"/>
    <w:rsid w:val="00D97AF1"/>
    <w:rsid w:val="00D97D83"/>
    <w:rsid w:val="00DA0D13"/>
    <w:rsid w:val="00DA1851"/>
    <w:rsid w:val="00DA1A04"/>
    <w:rsid w:val="00DA24DE"/>
    <w:rsid w:val="00DA256E"/>
    <w:rsid w:val="00DA2EE1"/>
    <w:rsid w:val="00DA3C0E"/>
    <w:rsid w:val="00DA441F"/>
    <w:rsid w:val="00DA4DC7"/>
    <w:rsid w:val="00DA4ED9"/>
    <w:rsid w:val="00DA6746"/>
    <w:rsid w:val="00DA70BC"/>
    <w:rsid w:val="00DA7602"/>
    <w:rsid w:val="00DA7619"/>
    <w:rsid w:val="00DA7AA7"/>
    <w:rsid w:val="00DB0C32"/>
    <w:rsid w:val="00DB102B"/>
    <w:rsid w:val="00DB1052"/>
    <w:rsid w:val="00DB165C"/>
    <w:rsid w:val="00DB3A94"/>
    <w:rsid w:val="00DB7035"/>
    <w:rsid w:val="00DB71B5"/>
    <w:rsid w:val="00DB72F5"/>
    <w:rsid w:val="00DB734A"/>
    <w:rsid w:val="00DC06DB"/>
    <w:rsid w:val="00DC0FD5"/>
    <w:rsid w:val="00DC1094"/>
    <w:rsid w:val="00DC15EA"/>
    <w:rsid w:val="00DC204F"/>
    <w:rsid w:val="00DC2CC5"/>
    <w:rsid w:val="00DC3304"/>
    <w:rsid w:val="00DC3513"/>
    <w:rsid w:val="00DC3659"/>
    <w:rsid w:val="00DC3CE8"/>
    <w:rsid w:val="00DC3D74"/>
    <w:rsid w:val="00DC4203"/>
    <w:rsid w:val="00DC455F"/>
    <w:rsid w:val="00DC4730"/>
    <w:rsid w:val="00DC4A97"/>
    <w:rsid w:val="00DC5826"/>
    <w:rsid w:val="00DC64C0"/>
    <w:rsid w:val="00DC66FF"/>
    <w:rsid w:val="00DC6A63"/>
    <w:rsid w:val="00DC6CD6"/>
    <w:rsid w:val="00DC7005"/>
    <w:rsid w:val="00DC7278"/>
    <w:rsid w:val="00DD0E06"/>
    <w:rsid w:val="00DD1232"/>
    <w:rsid w:val="00DD15BA"/>
    <w:rsid w:val="00DD1DDD"/>
    <w:rsid w:val="00DD1EE0"/>
    <w:rsid w:val="00DD21C4"/>
    <w:rsid w:val="00DD2271"/>
    <w:rsid w:val="00DD3625"/>
    <w:rsid w:val="00DD3E5F"/>
    <w:rsid w:val="00DD3FF4"/>
    <w:rsid w:val="00DD4100"/>
    <w:rsid w:val="00DD4141"/>
    <w:rsid w:val="00DD43F1"/>
    <w:rsid w:val="00DD489F"/>
    <w:rsid w:val="00DD5B60"/>
    <w:rsid w:val="00DD6FCA"/>
    <w:rsid w:val="00DD7B91"/>
    <w:rsid w:val="00DE0896"/>
    <w:rsid w:val="00DE0ACC"/>
    <w:rsid w:val="00DE161D"/>
    <w:rsid w:val="00DE17F5"/>
    <w:rsid w:val="00DE18F5"/>
    <w:rsid w:val="00DE2D30"/>
    <w:rsid w:val="00DE2F6E"/>
    <w:rsid w:val="00DE3E80"/>
    <w:rsid w:val="00DE453E"/>
    <w:rsid w:val="00DE46CE"/>
    <w:rsid w:val="00DE4A0A"/>
    <w:rsid w:val="00DE4B4E"/>
    <w:rsid w:val="00DE61C3"/>
    <w:rsid w:val="00DE636D"/>
    <w:rsid w:val="00DE6855"/>
    <w:rsid w:val="00DF28B8"/>
    <w:rsid w:val="00DF2928"/>
    <w:rsid w:val="00DF2FA2"/>
    <w:rsid w:val="00DF39A8"/>
    <w:rsid w:val="00DF463E"/>
    <w:rsid w:val="00DF476B"/>
    <w:rsid w:val="00DF4CE1"/>
    <w:rsid w:val="00DF4F74"/>
    <w:rsid w:val="00DF61F0"/>
    <w:rsid w:val="00DF6661"/>
    <w:rsid w:val="00DF7143"/>
    <w:rsid w:val="00DF7D6E"/>
    <w:rsid w:val="00E00CF9"/>
    <w:rsid w:val="00E022C6"/>
    <w:rsid w:val="00E027C8"/>
    <w:rsid w:val="00E03853"/>
    <w:rsid w:val="00E04056"/>
    <w:rsid w:val="00E0483C"/>
    <w:rsid w:val="00E04933"/>
    <w:rsid w:val="00E04C5A"/>
    <w:rsid w:val="00E0517C"/>
    <w:rsid w:val="00E052E9"/>
    <w:rsid w:val="00E0538B"/>
    <w:rsid w:val="00E05A1B"/>
    <w:rsid w:val="00E05D5F"/>
    <w:rsid w:val="00E0612E"/>
    <w:rsid w:val="00E06506"/>
    <w:rsid w:val="00E0664B"/>
    <w:rsid w:val="00E067D2"/>
    <w:rsid w:val="00E07FBD"/>
    <w:rsid w:val="00E10619"/>
    <w:rsid w:val="00E11FF8"/>
    <w:rsid w:val="00E12495"/>
    <w:rsid w:val="00E124E4"/>
    <w:rsid w:val="00E13655"/>
    <w:rsid w:val="00E13A7E"/>
    <w:rsid w:val="00E14076"/>
    <w:rsid w:val="00E14BFC"/>
    <w:rsid w:val="00E15195"/>
    <w:rsid w:val="00E1557F"/>
    <w:rsid w:val="00E158EA"/>
    <w:rsid w:val="00E15F0D"/>
    <w:rsid w:val="00E1727D"/>
    <w:rsid w:val="00E1754D"/>
    <w:rsid w:val="00E17B1F"/>
    <w:rsid w:val="00E17C03"/>
    <w:rsid w:val="00E17E41"/>
    <w:rsid w:val="00E204F6"/>
    <w:rsid w:val="00E20982"/>
    <w:rsid w:val="00E2114F"/>
    <w:rsid w:val="00E21960"/>
    <w:rsid w:val="00E21BA1"/>
    <w:rsid w:val="00E21C96"/>
    <w:rsid w:val="00E227F5"/>
    <w:rsid w:val="00E24655"/>
    <w:rsid w:val="00E250F7"/>
    <w:rsid w:val="00E25268"/>
    <w:rsid w:val="00E25846"/>
    <w:rsid w:val="00E262FA"/>
    <w:rsid w:val="00E2720C"/>
    <w:rsid w:val="00E30388"/>
    <w:rsid w:val="00E30A7C"/>
    <w:rsid w:val="00E317AD"/>
    <w:rsid w:val="00E31B72"/>
    <w:rsid w:val="00E31BC0"/>
    <w:rsid w:val="00E32875"/>
    <w:rsid w:val="00E32AC1"/>
    <w:rsid w:val="00E32C26"/>
    <w:rsid w:val="00E33EA8"/>
    <w:rsid w:val="00E344B8"/>
    <w:rsid w:val="00E34595"/>
    <w:rsid w:val="00E34B08"/>
    <w:rsid w:val="00E34F7B"/>
    <w:rsid w:val="00E35541"/>
    <w:rsid w:val="00E3565C"/>
    <w:rsid w:val="00E35824"/>
    <w:rsid w:val="00E368C6"/>
    <w:rsid w:val="00E36951"/>
    <w:rsid w:val="00E37B46"/>
    <w:rsid w:val="00E37D64"/>
    <w:rsid w:val="00E402E3"/>
    <w:rsid w:val="00E406CA"/>
    <w:rsid w:val="00E412C7"/>
    <w:rsid w:val="00E41ADA"/>
    <w:rsid w:val="00E41B73"/>
    <w:rsid w:val="00E4262B"/>
    <w:rsid w:val="00E42B3F"/>
    <w:rsid w:val="00E444D6"/>
    <w:rsid w:val="00E44A52"/>
    <w:rsid w:val="00E451C6"/>
    <w:rsid w:val="00E45486"/>
    <w:rsid w:val="00E454B8"/>
    <w:rsid w:val="00E46415"/>
    <w:rsid w:val="00E46FE1"/>
    <w:rsid w:val="00E47076"/>
    <w:rsid w:val="00E5086D"/>
    <w:rsid w:val="00E50D92"/>
    <w:rsid w:val="00E50F6E"/>
    <w:rsid w:val="00E516D7"/>
    <w:rsid w:val="00E5192D"/>
    <w:rsid w:val="00E51F01"/>
    <w:rsid w:val="00E534C4"/>
    <w:rsid w:val="00E53A42"/>
    <w:rsid w:val="00E53C3D"/>
    <w:rsid w:val="00E54057"/>
    <w:rsid w:val="00E544D7"/>
    <w:rsid w:val="00E5551C"/>
    <w:rsid w:val="00E5609E"/>
    <w:rsid w:val="00E560CE"/>
    <w:rsid w:val="00E5622E"/>
    <w:rsid w:val="00E5650E"/>
    <w:rsid w:val="00E57F73"/>
    <w:rsid w:val="00E601A8"/>
    <w:rsid w:val="00E60532"/>
    <w:rsid w:val="00E60746"/>
    <w:rsid w:val="00E61641"/>
    <w:rsid w:val="00E61FBE"/>
    <w:rsid w:val="00E62373"/>
    <w:rsid w:val="00E62DA5"/>
    <w:rsid w:val="00E6321F"/>
    <w:rsid w:val="00E63BD9"/>
    <w:rsid w:val="00E63FC6"/>
    <w:rsid w:val="00E643F1"/>
    <w:rsid w:val="00E6475A"/>
    <w:rsid w:val="00E64E71"/>
    <w:rsid w:val="00E64F48"/>
    <w:rsid w:val="00E65534"/>
    <w:rsid w:val="00E656FD"/>
    <w:rsid w:val="00E65AA4"/>
    <w:rsid w:val="00E6604A"/>
    <w:rsid w:val="00E66252"/>
    <w:rsid w:val="00E66A8B"/>
    <w:rsid w:val="00E66D6F"/>
    <w:rsid w:val="00E67A0A"/>
    <w:rsid w:val="00E67E02"/>
    <w:rsid w:val="00E7041D"/>
    <w:rsid w:val="00E705DA"/>
    <w:rsid w:val="00E705E9"/>
    <w:rsid w:val="00E7060A"/>
    <w:rsid w:val="00E70E26"/>
    <w:rsid w:val="00E73163"/>
    <w:rsid w:val="00E73847"/>
    <w:rsid w:val="00E74177"/>
    <w:rsid w:val="00E747FB"/>
    <w:rsid w:val="00E74F03"/>
    <w:rsid w:val="00E7564C"/>
    <w:rsid w:val="00E76C57"/>
    <w:rsid w:val="00E76EF3"/>
    <w:rsid w:val="00E76F9C"/>
    <w:rsid w:val="00E77FE8"/>
    <w:rsid w:val="00E77FF1"/>
    <w:rsid w:val="00E80926"/>
    <w:rsid w:val="00E80A2E"/>
    <w:rsid w:val="00E80A99"/>
    <w:rsid w:val="00E816EA"/>
    <w:rsid w:val="00E81BDD"/>
    <w:rsid w:val="00E82F67"/>
    <w:rsid w:val="00E8342A"/>
    <w:rsid w:val="00E83B98"/>
    <w:rsid w:val="00E854FB"/>
    <w:rsid w:val="00E85E1D"/>
    <w:rsid w:val="00E861B0"/>
    <w:rsid w:val="00E867D7"/>
    <w:rsid w:val="00E87457"/>
    <w:rsid w:val="00E904F3"/>
    <w:rsid w:val="00E90895"/>
    <w:rsid w:val="00E909D6"/>
    <w:rsid w:val="00E920B6"/>
    <w:rsid w:val="00E9215D"/>
    <w:rsid w:val="00E9296A"/>
    <w:rsid w:val="00E930EB"/>
    <w:rsid w:val="00E942F8"/>
    <w:rsid w:val="00E9443A"/>
    <w:rsid w:val="00E944FD"/>
    <w:rsid w:val="00E9584A"/>
    <w:rsid w:val="00E95D27"/>
    <w:rsid w:val="00E96F73"/>
    <w:rsid w:val="00E97625"/>
    <w:rsid w:val="00E976D2"/>
    <w:rsid w:val="00EA0A25"/>
    <w:rsid w:val="00EA16EC"/>
    <w:rsid w:val="00EA1F99"/>
    <w:rsid w:val="00EA27C9"/>
    <w:rsid w:val="00EA2885"/>
    <w:rsid w:val="00EA28CD"/>
    <w:rsid w:val="00EA2A77"/>
    <w:rsid w:val="00EA3B5C"/>
    <w:rsid w:val="00EA3CAC"/>
    <w:rsid w:val="00EA43D5"/>
    <w:rsid w:val="00EA46A5"/>
    <w:rsid w:val="00EA59EC"/>
    <w:rsid w:val="00EA7231"/>
    <w:rsid w:val="00EA7B60"/>
    <w:rsid w:val="00EA7E17"/>
    <w:rsid w:val="00EB0250"/>
    <w:rsid w:val="00EB1911"/>
    <w:rsid w:val="00EB2F04"/>
    <w:rsid w:val="00EB35D4"/>
    <w:rsid w:val="00EB39EF"/>
    <w:rsid w:val="00EB3EDC"/>
    <w:rsid w:val="00EB5382"/>
    <w:rsid w:val="00EB6088"/>
    <w:rsid w:val="00EB67B7"/>
    <w:rsid w:val="00EB7533"/>
    <w:rsid w:val="00EB7540"/>
    <w:rsid w:val="00EB7710"/>
    <w:rsid w:val="00EB7A45"/>
    <w:rsid w:val="00EC0031"/>
    <w:rsid w:val="00EC14C9"/>
    <w:rsid w:val="00EC2207"/>
    <w:rsid w:val="00EC2720"/>
    <w:rsid w:val="00EC2B2E"/>
    <w:rsid w:val="00EC3975"/>
    <w:rsid w:val="00EC4325"/>
    <w:rsid w:val="00EC4A58"/>
    <w:rsid w:val="00EC5020"/>
    <w:rsid w:val="00EC5796"/>
    <w:rsid w:val="00EC5934"/>
    <w:rsid w:val="00EC6933"/>
    <w:rsid w:val="00EC719E"/>
    <w:rsid w:val="00EC71EE"/>
    <w:rsid w:val="00EC771D"/>
    <w:rsid w:val="00EC787B"/>
    <w:rsid w:val="00EC7F42"/>
    <w:rsid w:val="00ED00B5"/>
    <w:rsid w:val="00ED0392"/>
    <w:rsid w:val="00ED1C1B"/>
    <w:rsid w:val="00ED1E83"/>
    <w:rsid w:val="00ED234D"/>
    <w:rsid w:val="00ED2392"/>
    <w:rsid w:val="00ED29F9"/>
    <w:rsid w:val="00ED44F4"/>
    <w:rsid w:val="00ED5C6A"/>
    <w:rsid w:val="00ED63CA"/>
    <w:rsid w:val="00ED7BD0"/>
    <w:rsid w:val="00EE066C"/>
    <w:rsid w:val="00EE0693"/>
    <w:rsid w:val="00EE0BCA"/>
    <w:rsid w:val="00EE134E"/>
    <w:rsid w:val="00EE158B"/>
    <w:rsid w:val="00EE15E2"/>
    <w:rsid w:val="00EE17B8"/>
    <w:rsid w:val="00EE1BC1"/>
    <w:rsid w:val="00EE1C46"/>
    <w:rsid w:val="00EE2684"/>
    <w:rsid w:val="00EE306F"/>
    <w:rsid w:val="00EE320F"/>
    <w:rsid w:val="00EE35C8"/>
    <w:rsid w:val="00EE3944"/>
    <w:rsid w:val="00EE3B5E"/>
    <w:rsid w:val="00EE4CE1"/>
    <w:rsid w:val="00EE5029"/>
    <w:rsid w:val="00EE5E47"/>
    <w:rsid w:val="00EE6E3E"/>
    <w:rsid w:val="00EE719E"/>
    <w:rsid w:val="00EE74FE"/>
    <w:rsid w:val="00EE7AEE"/>
    <w:rsid w:val="00EF008E"/>
    <w:rsid w:val="00EF3303"/>
    <w:rsid w:val="00EF3577"/>
    <w:rsid w:val="00EF41A6"/>
    <w:rsid w:val="00EF514F"/>
    <w:rsid w:val="00EF59AE"/>
    <w:rsid w:val="00EF68D2"/>
    <w:rsid w:val="00EF76EC"/>
    <w:rsid w:val="00EF7891"/>
    <w:rsid w:val="00EF7BD4"/>
    <w:rsid w:val="00EF7F98"/>
    <w:rsid w:val="00F012E3"/>
    <w:rsid w:val="00F01833"/>
    <w:rsid w:val="00F01838"/>
    <w:rsid w:val="00F025A5"/>
    <w:rsid w:val="00F02B84"/>
    <w:rsid w:val="00F02F06"/>
    <w:rsid w:val="00F03369"/>
    <w:rsid w:val="00F03798"/>
    <w:rsid w:val="00F037D9"/>
    <w:rsid w:val="00F039ED"/>
    <w:rsid w:val="00F04A64"/>
    <w:rsid w:val="00F04CD1"/>
    <w:rsid w:val="00F071C0"/>
    <w:rsid w:val="00F072FC"/>
    <w:rsid w:val="00F07729"/>
    <w:rsid w:val="00F0790D"/>
    <w:rsid w:val="00F07DCD"/>
    <w:rsid w:val="00F1031C"/>
    <w:rsid w:val="00F10B33"/>
    <w:rsid w:val="00F10E70"/>
    <w:rsid w:val="00F11902"/>
    <w:rsid w:val="00F11E08"/>
    <w:rsid w:val="00F11F25"/>
    <w:rsid w:val="00F125E3"/>
    <w:rsid w:val="00F1267D"/>
    <w:rsid w:val="00F135DB"/>
    <w:rsid w:val="00F138D4"/>
    <w:rsid w:val="00F13CD1"/>
    <w:rsid w:val="00F14685"/>
    <w:rsid w:val="00F15D3A"/>
    <w:rsid w:val="00F16456"/>
    <w:rsid w:val="00F16CD1"/>
    <w:rsid w:val="00F172AD"/>
    <w:rsid w:val="00F1790D"/>
    <w:rsid w:val="00F17964"/>
    <w:rsid w:val="00F207D3"/>
    <w:rsid w:val="00F20927"/>
    <w:rsid w:val="00F21867"/>
    <w:rsid w:val="00F21912"/>
    <w:rsid w:val="00F22EA9"/>
    <w:rsid w:val="00F2352A"/>
    <w:rsid w:val="00F23DD4"/>
    <w:rsid w:val="00F24510"/>
    <w:rsid w:val="00F24D3E"/>
    <w:rsid w:val="00F254EB"/>
    <w:rsid w:val="00F25A29"/>
    <w:rsid w:val="00F266A9"/>
    <w:rsid w:val="00F26ED4"/>
    <w:rsid w:val="00F27254"/>
    <w:rsid w:val="00F275C0"/>
    <w:rsid w:val="00F279EB"/>
    <w:rsid w:val="00F27F80"/>
    <w:rsid w:val="00F3077E"/>
    <w:rsid w:val="00F307A1"/>
    <w:rsid w:val="00F30990"/>
    <w:rsid w:val="00F309BF"/>
    <w:rsid w:val="00F30D67"/>
    <w:rsid w:val="00F320D5"/>
    <w:rsid w:val="00F32795"/>
    <w:rsid w:val="00F32E50"/>
    <w:rsid w:val="00F3369A"/>
    <w:rsid w:val="00F337EF"/>
    <w:rsid w:val="00F33AAA"/>
    <w:rsid w:val="00F341EE"/>
    <w:rsid w:val="00F342B7"/>
    <w:rsid w:val="00F345E9"/>
    <w:rsid w:val="00F3460C"/>
    <w:rsid w:val="00F34F64"/>
    <w:rsid w:val="00F351ED"/>
    <w:rsid w:val="00F35C87"/>
    <w:rsid w:val="00F362C7"/>
    <w:rsid w:val="00F37AC4"/>
    <w:rsid w:val="00F37AE9"/>
    <w:rsid w:val="00F37B3D"/>
    <w:rsid w:val="00F37E37"/>
    <w:rsid w:val="00F4037B"/>
    <w:rsid w:val="00F409DB"/>
    <w:rsid w:val="00F40F15"/>
    <w:rsid w:val="00F419DB"/>
    <w:rsid w:val="00F41BA2"/>
    <w:rsid w:val="00F426AD"/>
    <w:rsid w:val="00F42C21"/>
    <w:rsid w:val="00F430C3"/>
    <w:rsid w:val="00F43C31"/>
    <w:rsid w:val="00F43F2F"/>
    <w:rsid w:val="00F45161"/>
    <w:rsid w:val="00F4548E"/>
    <w:rsid w:val="00F4765E"/>
    <w:rsid w:val="00F47761"/>
    <w:rsid w:val="00F4789A"/>
    <w:rsid w:val="00F478AC"/>
    <w:rsid w:val="00F479B8"/>
    <w:rsid w:val="00F5006C"/>
    <w:rsid w:val="00F50119"/>
    <w:rsid w:val="00F504C7"/>
    <w:rsid w:val="00F50847"/>
    <w:rsid w:val="00F50DDD"/>
    <w:rsid w:val="00F51F7C"/>
    <w:rsid w:val="00F52356"/>
    <w:rsid w:val="00F52487"/>
    <w:rsid w:val="00F531EC"/>
    <w:rsid w:val="00F53207"/>
    <w:rsid w:val="00F5337C"/>
    <w:rsid w:val="00F54265"/>
    <w:rsid w:val="00F5566A"/>
    <w:rsid w:val="00F55716"/>
    <w:rsid w:val="00F557F1"/>
    <w:rsid w:val="00F5619C"/>
    <w:rsid w:val="00F56893"/>
    <w:rsid w:val="00F604B1"/>
    <w:rsid w:val="00F6097F"/>
    <w:rsid w:val="00F60B32"/>
    <w:rsid w:val="00F61347"/>
    <w:rsid w:val="00F6186C"/>
    <w:rsid w:val="00F61923"/>
    <w:rsid w:val="00F62832"/>
    <w:rsid w:val="00F6375F"/>
    <w:rsid w:val="00F63840"/>
    <w:rsid w:val="00F63FEA"/>
    <w:rsid w:val="00F640EE"/>
    <w:rsid w:val="00F64C1A"/>
    <w:rsid w:val="00F65700"/>
    <w:rsid w:val="00F65F88"/>
    <w:rsid w:val="00F66324"/>
    <w:rsid w:val="00F663B2"/>
    <w:rsid w:val="00F6690C"/>
    <w:rsid w:val="00F66C81"/>
    <w:rsid w:val="00F67424"/>
    <w:rsid w:val="00F67684"/>
    <w:rsid w:val="00F67834"/>
    <w:rsid w:val="00F67C5F"/>
    <w:rsid w:val="00F704DD"/>
    <w:rsid w:val="00F70791"/>
    <w:rsid w:val="00F70E75"/>
    <w:rsid w:val="00F71440"/>
    <w:rsid w:val="00F723E8"/>
    <w:rsid w:val="00F72665"/>
    <w:rsid w:val="00F72A4C"/>
    <w:rsid w:val="00F74646"/>
    <w:rsid w:val="00F748D4"/>
    <w:rsid w:val="00F749B1"/>
    <w:rsid w:val="00F749F0"/>
    <w:rsid w:val="00F75D5D"/>
    <w:rsid w:val="00F76029"/>
    <w:rsid w:val="00F77253"/>
    <w:rsid w:val="00F77BAC"/>
    <w:rsid w:val="00F8055F"/>
    <w:rsid w:val="00F81688"/>
    <w:rsid w:val="00F81AEC"/>
    <w:rsid w:val="00F81E81"/>
    <w:rsid w:val="00F82418"/>
    <w:rsid w:val="00F8277A"/>
    <w:rsid w:val="00F82974"/>
    <w:rsid w:val="00F83796"/>
    <w:rsid w:val="00F83AD4"/>
    <w:rsid w:val="00F83E95"/>
    <w:rsid w:val="00F83F61"/>
    <w:rsid w:val="00F842DF"/>
    <w:rsid w:val="00F8490E"/>
    <w:rsid w:val="00F849EA"/>
    <w:rsid w:val="00F85527"/>
    <w:rsid w:val="00F8673E"/>
    <w:rsid w:val="00F86974"/>
    <w:rsid w:val="00F914EF"/>
    <w:rsid w:val="00F923DC"/>
    <w:rsid w:val="00F9366C"/>
    <w:rsid w:val="00F938FA"/>
    <w:rsid w:val="00F94DB4"/>
    <w:rsid w:val="00F94F95"/>
    <w:rsid w:val="00F94FA7"/>
    <w:rsid w:val="00F95514"/>
    <w:rsid w:val="00F95AAA"/>
    <w:rsid w:val="00F95C75"/>
    <w:rsid w:val="00F95F83"/>
    <w:rsid w:val="00F9603E"/>
    <w:rsid w:val="00F96050"/>
    <w:rsid w:val="00F96911"/>
    <w:rsid w:val="00F971A0"/>
    <w:rsid w:val="00F9772F"/>
    <w:rsid w:val="00FA059E"/>
    <w:rsid w:val="00FA09B3"/>
    <w:rsid w:val="00FA10F6"/>
    <w:rsid w:val="00FA2582"/>
    <w:rsid w:val="00FA3347"/>
    <w:rsid w:val="00FA3428"/>
    <w:rsid w:val="00FA3E90"/>
    <w:rsid w:val="00FA3F4C"/>
    <w:rsid w:val="00FA3FF9"/>
    <w:rsid w:val="00FA4056"/>
    <w:rsid w:val="00FA5791"/>
    <w:rsid w:val="00FA5DA3"/>
    <w:rsid w:val="00FA5FB6"/>
    <w:rsid w:val="00FA66B5"/>
    <w:rsid w:val="00FA6A23"/>
    <w:rsid w:val="00FA6EFF"/>
    <w:rsid w:val="00FA7696"/>
    <w:rsid w:val="00FA7DDC"/>
    <w:rsid w:val="00FB1080"/>
    <w:rsid w:val="00FB129D"/>
    <w:rsid w:val="00FB15C1"/>
    <w:rsid w:val="00FB1671"/>
    <w:rsid w:val="00FB2598"/>
    <w:rsid w:val="00FB2D0B"/>
    <w:rsid w:val="00FB39F7"/>
    <w:rsid w:val="00FB416A"/>
    <w:rsid w:val="00FB43A9"/>
    <w:rsid w:val="00FB505E"/>
    <w:rsid w:val="00FB54F5"/>
    <w:rsid w:val="00FB5A76"/>
    <w:rsid w:val="00FB5AC5"/>
    <w:rsid w:val="00FB5D82"/>
    <w:rsid w:val="00FB6038"/>
    <w:rsid w:val="00FB68A0"/>
    <w:rsid w:val="00FB68CA"/>
    <w:rsid w:val="00FB6A4C"/>
    <w:rsid w:val="00FB6D93"/>
    <w:rsid w:val="00FB72B9"/>
    <w:rsid w:val="00FB7680"/>
    <w:rsid w:val="00FB7731"/>
    <w:rsid w:val="00FC0FA7"/>
    <w:rsid w:val="00FC2797"/>
    <w:rsid w:val="00FC3D5B"/>
    <w:rsid w:val="00FC4727"/>
    <w:rsid w:val="00FC4AA9"/>
    <w:rsid w:val="00FC53F2"/>
    <w:rsid w:val="00FC672B"/>
    <w:rsid w:val="00FC6A3C"/>
    <w:rsid w:val="00FC7B7D"/>
    <w:rsid w:val="00FC7C29"/>
    <w:rsid w:val="00FD03FE"/>
    <w:rsid w:val="00FD1F6E"/>
    <w:rsid w:val="00FD2E39"/>
    <w:rsid w:val="00FD4649"/>
    <w:rsid w:val="00FD4EA9"/>
    <w:rsid w:val="00FD5428"/>
    <w:rsid w:val="00FD5A96"/>
    <w:rsid w:val="00FD5EF2"/>
    <w:rsid w:val="00FD6306"/>
    <w:rsid w:val="00FD6BCA"/>
    <w:rsid w:val="00FD7A50"/>
    <w:rsid w:val="00FE0B96"/>
    <w:rsid w:val="00FE1972"/>
    <w:rsid w:val="00FE2134"/>
    <w:rsid w:val="00FE2CE8"/>
    <w:rsid w:val="00FE322A"/>
    <w:rsid w:val="00FE487D"/>
    <w:rsid w:val="00FE4A3A"/>
    <w:rsid w:val="00FE4A44"/>
    <w:rsid w:val="00FE5174"/>
    <w:rsid w:val="00FE539D"/>
    <w:rsid w:val="00FE5DDC"/>
    <w:rsid w:val="00FE65F3"/>
    <w:rsid w:val="00FE68E8"/>
    <w:rsid w:val="00FE713B"/>
    <w:rsid w:val="00FE728A"/>
    <w:rsid w:val="00FE7657"/>
    <w:rsid w:val="00FF0F87"/>
    <w:rsid w:val="00FF1768"/>
    <w:rsid w:val="00FF195E"/>
    <w:rsid w:val="00FF2059"/>
    <w:rsid w:val="00FF3004"/>
    <w:rsid w:val="00FF335C"/>
    <w:rsid w:val="00FF49DB"/>
    <w:rsid w:val="00FF5C61"/>
    <w:rsid w:val="00FF6760"/>
    <w:rsid w:val="00FF689B"/>
    <w:rsid w:val="00FF6AD7"/>
    <w:rsid w:val="00FF7B84"/>
    <w:rsid w:val="00FF7F71"/>
    <w:rsid w:val="64305B9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39" w:semiHidden="0" w:name="toc 4"/>
    <w:lsdException w:qFormat="1" w:uiPriority="39" w:semiHidden="0" w:name="toc 5"/>
    <w:lsdException w:qFormat="1"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spacing w:val="4"/>
      <w:kern w:val="2"/>
      <w:sz w:val="28"/>
      <w:szCs w:val="22"/>
      <w:lang w:val="en-US" w:eastAsia="zh-CN" w:bidi="ar-SA"/>
    </w:rPr>
  </w:style>
  <w:style w:type="paragraph" w:styleId="2">
    <w:name w:val="heading 1"/>
    <w:basedOn w:val="1"/>
    <w:next w:val="1"/>
    <w:link w:val="35"/>
    <w:qFormat/>
    <w:uiPriority w:val="9"/>
    <w:pPr>
      <w:keepNext/>
      <w:keepLines/>
      <w:numPr>
        <w:ilvl w:val="0"/>
        <w:numId w:val="1"/>
      </w:numPr>
      <w:spacing w:beforeLines="100" w:afterLines="100" w:line="240" w:lineRule="auto"/>
      <w:jc w:val="center"/>
      <w:outlineLvl w:val="0"/>
    </w:pPr>
    <w:rPr>
      <w:b/>
      <w:bCs/>
      <w:kern w:val="44"/>
      <w:sz w:val="44"/>
      <w:szCs w:val="44"/>
    </w:rPr>
  </w:style>
  <w:style w:type="paragraph" w:styleId="3">
    <w:name w:val="heading 2"/>
    <w:basedOn w:val="1"/>
    <w:next w:val="1"/>
    <w:link w:val="36"/>
    <w:unhideWhenUsed/>
    <w:qFormat/>
    <w:uiPriority w:val="9"/>
    <w:pPr>
      <w:keepNext/>
      <w:keepLines/>
      <w:widowControl/>
      <w:numPr>
        <w:ilvl w:val="1"/>
        <w:numId w:val="1"/>
      </w:numPr>
      <w:spacing w:before="312" w:beforeLines="100" w:after="312" w:afterLines="100"/>
      <w:ind w:left="0" w:firstLine="0"/>
      <w:jc w:val="center"/>
      <w:outlineLvl w:val="1"/>
    </w:pPr>
    <w:rPr>
      <w:b/>
      <w:bCs/>
      <w:sz w:val="32"/>
      <w:szCs w:val="32"/>
    </w:rPr>
  </w:style>
  <w:style w:type="paragraph" w:styleId="4">
    <w:name w:val="heading 3"/>
    <w:basedOn w:val="1"/>
    <w:next w:val="1"/>
    <w:link w:val="37"/>
    <w:unhideWhenUsed/>
    <w:qFormat/>
    <w:uiPriority w:val="9"/>
    <w:pPr>
      <w:numPr>
        <w:ilvl w:val="2"/>
        <w:numId w:val="1"/>
      </w:numPr>
      <w:ind w:left="1146"/>
      <w:contextualSpacing/>
      <w:outlineLvl w:val="2"/>
    </w:pPr>
    <w:rPr>
      <w:bCs/>
      <w:szCs w:val="24"/>
    </w:rPr>
  </w:style>
  <w:style w:type="paragraph" w:styleId="5">
    <w:name w:val="heading 4"/>
    <w:basedOn w:val="1"/>
    <w:next w:val="1"/>
    <w:link w:val="38"/>
    <w:semiHidden/>
    <w:unhideWhenUsed/>
    <w:qFormat/>
    <w:uiPriority w:val="9"/>
    <w:pPr>
      <w:numPr>
        <w:ilvl w:val="3"/>
        <w:numId w:val="1"/>
      </w:numPr>
      <w:spacing w:before="280" w:after="290" w:line="376" w:lineRule="atLeast"/>
      <w:outlineLvl w:val="3"/>
    </w:pPr>
    <w:rPr>
      <w:rFonts w:ascii="等线 Light" w:hAnsi="等线 Light" w:eastAsia="等线 Light"/>
      <w:b/>
      <w:bCs/>
      <w:szCs w:val="28"/>
    </w:rPr>
  </w:style>
  <w:style w:type="paragraph" w:styleId="6">
    <w:name w:val="heading 5"/>
    <w:basedOn w:val="1"/>
    <w:next w:val="1"/>
    <w:link w:val="39"/>
    <w:semiHidden/>
    <w:unhideWhenUsed/>
    <w:qFormat/>
    <w:uiPriority w:val="9"/>
    <w:pPr>
      <w:numPr>
        <w:ilvl w:val="4"/>
        <w:numId w:val="1"/>
      </w:numPr>
      <w:spacing w:before="280" w:after="290" w:line="376" w:lineRule="atLeast"/>
      <w:outlineLvl w:val="4"/>
    </w:pPr>
    <w:rPr>
      <w:b/>
      <w:bCs/>
      <w:szCs w:val="28"/>
    </w:rPr>
  </w:style>
  <w:style w:type="paragraph" w:styleId="7">
    <w:name w:val="heading 6"/>
    <w:basedOn w:val="1"/>
    <w:next w:val="1"/>
    <w:link w:val="40"/>
    <w:semiHidden/>
    <w:unhideWhenUsed/>
    <w:qFormat/>
    <w:uiPriority w:val="9"/>
    <w:pPr>
      <w:numPr>
        <w:ilvl w:val="5"/>
        <w:numId w:val="1"/>
      </w:numPr>
      <w:spacing w:before="240" w:after="64" w:line="320" w:lineRule="atLeast"/>
      <w:outlineLvl w:val="5"/>
    </w:pPr>
    <w:rPr>
      <w:rFonts w:ascii="等线 Light" w:hAnsi="等线 Light" w:eastAsia="等线 Light"/>
      <w:b/>
      <w:bCs/>
      <w:szCs w:val="24"/>
    </w:rPr>
  </w:style>
  <w:style w:type="paragraph" w:styleId="8">
    <w:name w:val="heading 7"/>
    <w:basedOn w:val="1"/>
    <w:next w:val="1"/>
    <w:link w:val="41"/>
    <w:semiHidden/>
    <w:unhideWhenUsed/>
    <w:qFormat/>
    <w:uiPriority w:val="9"/>
    <w:pPr>
      <w:numPr>
        <w:ilvl w:val="6"/>
        <w:numId w:val="1"/>
      </w:numPr>
      <w:spacing w:before="240" w:after="64" w:line="320" w:lineRule="atLeast"/>
      <w:outlineLvl w:val="6"/>
    </w:pPr>
    <w:rPr>
      <w:b/>
      <w:bCs/>
      <w:szCs w:val="24"/>
    </w:rPr>
  </w:style>
  <w:style w:type="paragraph" w:styleId="9">
    <w:name w:val="heading 8"/>
    <w:basedOn w:val="1"/>
    <w:next w:val="1"/>
    <w:link w:val="42"/>
    <w:semiHidden/>
    <w:unhideWhenUsed/>
    <w:qFormat/>
    <w:uiPriority w:val="9"/>
    <w:pPr>
      <w:numPr>
        <w:ilvl w:val="7"/>
        <w:numId w:val="1"/>
      </w:numPr>
      <w:spacing w:before="240" w:after="64" w:line="320" w:lineRule="atLeast"/>
      <w:outlineLvl w:val="7"/>
    </w:pPr>
    <w:rPr>
      <w:rFonts w:ascii="等线 Light" w:hAnsi="等线 Light" w:eastAsia="等线 Light"/>
      <w:szCs w:val="24"/>
    </w:rPr>
  </w:style>
  <w:style w:type="paragraph" w:styleId="10">
    <w:name w:val="heading 9"/>
    <w:basedOn w:val="1"/>
    <w:next w:val="1"/>
    <w:link w:val="43"/>
    <w:semiHidden/>
    <w:unhideWhenUsed/>
    <w:qFormat/>
    <w:uiPriority w:val="9"/>
    <w:pPr>
      <w:numPr>
        <w:ilvl w:val="8"/>
        <w:numId w:val="1"/>
      </w:numPr>
      <w:spacing w:before="240" w:after="64" w:line="320" w:lineRule="atLeast"/>
      <w:outlineLvl w:val="8"/>
    </w:pPr>
    <w:rPr>
      <w:rFonts w:ascii="等线 Light" w:hAnsi="等线 Light" w:eastAsia="等线 Light"/>
      <w:sz w:val="21"/>
      <w:szCs w:val="21"/>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uiPriority w:val="39"/>
    <w:pPr>
      <w:ind w:left="1440"/>
      <w:jc w:val="left"/>
    </w:pPr>
    <w:rPr>
      <w:rFonts w:ascii="等线" w:eastAsia="等线"/>
      <w:sz w:val="18"/>
      <w:szCs w:val="18"/>
    </w:rPr>
  </w:style>
  <w:style w:type="paragraph" w:styleId="12">
    <w:name w:val="caption"/>
    <w:basedOn w:val="1"/>
    <w:next w:val="1"/>
    <w:link w:val="50"/>
    <w:unhideWhenUsed/>
    <w:qFormat/>
    <w:uiPriority w:val="35"/>
    <w:pPr>
      <w:spacing w:beforeLines="50"/>
      <w:jc w:val="center"/>
    </w:pPr>
    <w:rPr>
      <w:b/>
      <w:sz w:val="21"/>
      <w:szCs w:val="20"/>
    </w:rPr>
  </w:style>
  <w:style w:type="paragraph" w:styleId="13">
    <w:name w:val="annotation text"/>
    <w:basedOn w:val="1"/>
    <w:link w:val="61"/>
    <w:unhideWhenUsed/>
    <w:qFormat/>
    <w:uiPriority w:val="99"/>
    <w:pPr>
      <w:jc w:val="left"/>
    </w:pPr>
  </w:style>
  <w:style w:type="paragraph" w:styleId="14">
    <w:name w:val="Body Text"/>
    <w:basedOn w:val="1"/>
    <w:link w:val="68"/>
    <w:qFormat/>
    <w:uiPriority w:val="1"/>
    <w:pPr>
      <w:autoSpaceDE w:val="0"/>
      <w:autoSpaceDN w:val="0"/>
      <w:spacing w:line="240" w:lineRule="auto"/>
      <w:jc w:val="left"/>
    </w:pPr>
    <w:rPr>
      <w:rFonts w:ascii="宋体" w:hAnsi="宋体" w:cs="宋体"/>
      <w:spacing w:val="0"/>
      <w:kern w:val="0"/>
      <w:sz w:val="21"/>
      <w:szCs w:val="21"/>
      <w:lang w:eastAsia="en-US"/>
    </w:rPr>
  </w:style>
  <w:style w:type="paragraph" w:styleId="15">
    <w:name w:val="toc 5"/>
    <w:basedOn w:val="1"/>
    <w:next w:val="1"/>
    <w:unhideWhenUsed/>
    <w:qFormat/>
    <w:uiPriority w:val="39"/>
    <w:pPr>
      <w:ind w:left="960"/>
      <w:jc w:val="left"/>
    </w:pPr>
    <w:rPr>
      <w:rFonts w:ascii="等线" w:eastAsia="等线"/>
      <w:sz w:val="18"/>
      <w:szCs w:val="18"/>
    </w:rPr>
  </w:style>
  <w:style w:type="paragraph" w:styleId="16">
    <w:name w:val="toc 3"/>
    <w:basedOn w:val="1"/>
    <w:next w:val="1"/>
    <w:unhideWhenUsed/>
    <w:uiPriority w:val="39"/>
    <w:pPr>
      <w:ind w:left="480"/>
      <w:jc w:val="left"/>
    </w:pPr>
    <w:rPr>
      <w:rFonts w:ascii="等线" w:eastAsia="等线"/>
      <w:i/>
      <w:iCs/>
      <w:sz w:val="20"/>
      <w:szCs w:val="20"/>
    </w:rPr>
  </w:style>
  <w:style w:type="paragraph" w:styleId="17">
    <w:name w:val="Plain Text"/>
    <w:basedOn w:val="1"/>
    <w:link w:val="55"/>
    <w:unhideWhenUsed/>
    <w:qFormat/>
    <w:uiPriority w:val="0"/>
    <w:pPr>
      <w:spacing w:line="240" w:lineRule="auto"/>
    </w:pPr>
    <w:rPr>
      <w:rFonts w:hAnsi="Courier New"/>
      <w:kern w:val="0"/>
      <w:sz w:val="20"/>
      <w:szCs w:val="21"/>
    </w:rPr>
  </w:style>
  <w:style w:type="paragraph" w:styleId="18">
    <w:name w:val="toc 8"/>
    <w:basedOn w:val="1"/>
    <w:next w:val="1"/>
    <w:unhideWhenUsed/>
    <w:uiPriority w:val="39"/>
    <w:pPr>
      <w:ind w:left="1680"/>
      <w:jc w:val="left"/>
    </w:pPr>
    <w:rPr>
      <w:rFonts w:ascii="等线" w:eastAsia="等线"/>
      <w:sz w:val="18"/>
      <w:szCs w:val="18"/>
    </w:rPr>
  </w:style>
  <w:style w:type="paragraph" w:styleId="19">
    <w:name w:val="Date"/>
    <w:basedOn w:val="1"/>
    <w:next w:val="1"/>
    <w:link w:val="85"/>
    <w:semiHidden/>
    <w:unhideWhenUsed/>
    <w:qFormat/>
    <w:uiPriority w:val="99"/>
    <w:pPr>
      <w:ind w:left="100" w:leftChars="2500"/>
    </w:pPr>
  </w:style>
  <w:style w:type="paragraph" w:styleId="20">
    <w:name w:val="Balloon Text"/>
    <w:basedOn w:val="1"/>
    <w:link w:val="63"/>
    <w:semiHidden/>
    <w:unhideWhenUsed/>
    <w:uiPriority w:val="99"/>
    <w:pPr>
      <w:spacing w:line="240" w:lineRule="auto"/>
    </w:pPr>
    <w:rPr>
      <w:sz w:val="18"/>
      <w:szCs w:val="18"/>
    </w:rPr>
  </w:style>
  <w:style w:type="paragraph" w:styleId="21">
    <w:name w:val="footer"/>
    <w:basedOn w:val="1"/>
    <w:link w:val="45"/>
    <w:unhideWhenUsed/>
    <w:qFormat/>
    <w:uiPriority w:val="99"/>
    <w:pPr>
      <w:tabs>
        <w:tab w:val="center" w:pos="4153"/>
        <w:tab w:val="right" w:pos="8306"/>
      </w:tabs>
      <w:snapToGrid w:val="0"/>
      <w:jc w:val="left"/>
    </w:pPr>
    <w:rPr>
      <w:sz w:val="18"/>
      <w:szCs w:val="18"/>
    </w:rPr>
  </w:style>
  <w:style w:type="paragraph" w:styleId="22">
    <w:name w:val="header"/>
    <w:basedOn w:val="1"/>
    <w:link w:val="44"/>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uiPriority w:val="39"/>
    <w:pPr>
      <w:tabs>
        <w:tab w:val="left" w:pos="480"/>
        <w:tab w:val="right" w:leader="dot" w:pos="8296"/>
      </w:tabs>
      <w:spacing w:line="240" w:lineRule="auto"/>
      <w:jc w:val="left"/>
    </w:pPr>
    <w:rPr>
      <w:b/>
      <w:bCs/>
      <w:caps/>
      <w:szCs w:val="24"/>
    </w:rPr>
  </w:style>
  <w:style w:type="paragraph" w:styleId="24">
    <w:name w:val="toc 4"/>
    <w:basedOn w:val="1"/>
    <w:next w:val="1"/>
    <w:unhideWhenUsed/>
    <w:uiPriority w:val="39"/>
    <w:pPr>
      <w:ind w:left="720"/>
      <w:jc w:val="left"/>
    </w:pPr>
    <w:rPr>
      <w:rFonts w:ascii="等线" w:eastAsia="等线"/>
      <w:sz w:val="18"/>
      <w:szCs w:val="18"/>
    </w:rPr>
  </w:style>
  <w:style w:type="paragraph" w:styleId="25">
    <w:name w:val="toc 6"/>
    <w:basedOn w:val="1"/>
    <w:next w:val="1"/>
    <w:unhideWhenUsed/>
    <w:qFormat/>
    <w:uiPriority w:val="39"/>
    <w:pPr>
      <w:ind w:left="1200"/>
      <w:jc w:val="left"/>
    </w:pPr>
    <w:rPr>
      <w:rFonts w:ascii="等线" w:eastAsia="等线"/>
      <w:sz w:val="18"/>
      <w:szCs w:val="18"/>
    </w:rPr>
  </w:style>
  <w:style w:type="paragraph" w:styleId="26">
    <w:name w:val="toc 2"/>
    <w:basedOn w:val="1"/>
    <w:next w:val="1"/>
    <w:unhideWhenUsed/>
    <w:qFormat/>
    <w:uiPriority w:val="39"/>
    <w:pPr>
      <w:tabs>
        <w:tab w:val="left" w:pos="1200"/>
        <w:tab w:val="right" w:leader="dot" w:pos="8296"/>
      </w:tabs>
      <w:ind w:firstLine="378" w:firstLineChars="157"/>
      <w:jc w:val="left"/>
    </w:pPr>
    <w:rPr>
      <w:b/>
      <w:smallCaps/>
      <w:szCs w:val="24"/>
    </w:rPr>
  </w:style>
  <w:style w:type="paragraph" w:styleId="27">
    <w:name w:val="toc 9"/>
    <w:basedOn w:val="1"/>
    <w:next w:val="1"/>
    <w:unhideWhenUsed/>
    <w:uiPriority w:val="39"/>
    <w:pPr>
      <w:ind w:left="1920"/>
      <w:jc w:val="left"/>
    </w:pPr>
    <w:rPr>
      <w:rFonts w:ascii="等线" w:eastAsia="等线"/>
      <w:sz w:val="18"/>
      <w:szCs w:val="18"/>
    </w:rPr>
  </w:style>
  <w:style w:type="paragraph" w:styleId="28">
    <w:name w:val="Title"/>
    <w:basedOn w:val="1"/>
    <w:next w:val="1"/>
    <w:link w:val="49"/>
    <w:qFormat/>
    <w:uiPriority w:val="10"/>
    <w:pPr>
      <w:pageBreakBefore/>
      <w:spacing w:beforeLines="100" w:afterLines="100" w:line="480" w:lineRule="auto"/>
      <w:jc w:val="center"/>
      <w:outlineLvl w:val="0"/>
    </w:pPr>
    <w:rPr>
      <w:b/>
      <w:bCs/>
      <w:sz w:val="30"/>
      <w:szCs w:val="32"/>
    </w:rPr>
  </w:style>
  <w:style w:type="paragraph" w:styleId="29">
    <w:name w:val="annotation subject"/>
    <w:basedOn w:val="13"/>
    <w:next w:val="13"/>
    <w:link w:val="62"/>
    <w:semiHidden/>
    <w:unhideWhenUsed/>
    <w:uiPriority w:val="99"/>
    <w:rPr>
      <w:b/>
      <w:bCs/>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Hyperlink"/>
    <w:unhideWhenUsed/>
    <w:qFormat/>
    <w:uiPriority w:val="99"/>
    <w:rPr>
      <w:color w:val="0563C1"/>
      <w:u w:val="single"/>
    </w:rPr>
  </w:style>
  <w:style w:type="character" w:styleId="34">
    <w:name w:val="annotation reference"/>
    <w:semiHidden/>
    <w:unhideWhenUsed/>
    <w:qFormat/>
    <w:uiPriority w:val="99"/>
    <w:rPr>
      <w:sz w:val="21"/>
      <w:szCs w:val="21"/>
    </w:rPr>
  </w:style>
  <w:style w:type="character" w:customStyle="1" w:styleId="35">
    <w:name w:val="标题 1 字符"/>
    <w:link w:val="2"/>
    <w:uiPriority w:val="9"/>
    <w:rPr>
      <w:rFonts w:ascii="Times New Roman" w:hAnsi="Times New Roman" w:eastAsia="宋体"/>
      <w:b/>
      <w:bCs/>
      <w:spacing w:val="4"/>
      <w:kern w:val="44"/>
      <w:sz w:val="44"/>
      <w:szCs w:val="44"/>
    </w:rPr>
  </w:style>
  <w:style w:type="character" w:customStyle="1" w:styleId="36">
    <w:name w:val="标题 2 字符"/>
    <w:link w:val="3"/>
    <w:uiPriority w:val="9"/>
    <w:rPr>
      <w:rFonts w:ascii="Times New Roman" w:hAnsi="Times New Roman" w:eastAsia="宋体"/>
      <w:b/>
      <w:bCs/>
      <w:spacing w:val="4"/>
      <w:kern w:val="2"/>
      <w:sz w:val="32"/>
      <w:szCs w:val="32"/>
    </w:rPr>
  </w:style>
  <w:style w:type="character" w:customStyle="1" w:styleId="37">
    <w:name w:val="标题 3 字符"/>
    <w:link w:val="4"/>
    <w:qFormat/>
    <w:uiPriority w:val="9"/>
    <w:rPr>
      <w:rFonts w:ascii="Times New Roman" w:hAnsi="Times New Roman" w:eastAsia="宋体"/>
      <w:bCs/>
      <w:spacing w:val="4"/>
      <w:kern w:val="2"/>
      <w:sz w:val="28"/>
      <w:szCs w:val="24"/>
    </w:rPr>
  </w:style>
  <w:style w:type="character" w:customStyle="1" w:styleId="38">
    <w:name w:val="标题 4 字符"/>
    <w:link w:val="5"/>
    <w:semiHidden/>
    <w:uiPriority w:val="9"/>
    <w:rPr>
      <w:rFonts w:ascii="等线 Light" w:hAnsi="等线 Light" w:eastAsia="等线 Light"/>
      <w:b/>
      <w:bCs/>
      <w:spacing w:val="4"/>
      <w:kern w:val="2"/>
      <w:sz w:val="28"/>
      <w:szCs w:val="28"/>
    </w:rPr>
  </w:style>
  <w:style w:type="character" w:customStyle="1" w:styleId="39">
    <w:name w:val="标题 5 字符"/>
    <w:link w:val="6"/>
    <w:semiHidden/>
    <w:uiPriority w:val="9"/>
    <w:rPr>
      <w:rFonts w:ascii="Times New Roman" w:hAnsi="Times New Roman" w:eastAsia="宋体"/>
      <w:b/>
      <w:bCs/>
      <w:spacing w:val="4"/>
      <w:kern w:val="2"/>
      <w:sz w:val="28"/>
      <w:szCs w:val="28"/>
    </w:rPr>
  </w:style>
  <w:style w:type="character" w:customStyle="1" w:styleId="40">
    <w:name w:val="标题 6 字符"/>
    <w:link w:val="7"/>
    <w:semiHidden/>
    <w:qFormat/>
    <w:uiPriority w:val="9"/>
    <w:rPr>
      <w:rFonts w:ascii="等线 Light" w:hAnsi="等线 Light" w:eastAsia="等线 Light"/>
      <w:b/>
      <w:bCs/>
      <w:spacing w:val="4"/>
      <w:kern w:val="2"/>
      <w:sz w:val="28"/>
      <w:szCs w:val="24"/>
    </w:rPr>
  </w:style>
  <w:style w:type="character" w:customStyle="1" w:styleId="41">
    <w:name w:val="标题 7 字符"/>
    <w:link w:val="8"/>
    <w:semiHidden/>
    <w:qFormat/>
    <w:uiPriority w:val="9"/>
    <w:rPr>
      <w:rFonts w:ascii="Times New Roman" w:hAnsi="Times New Roman" w:eastAsia="宋体"/>
      <w:b/>
      <w:bCs/>
      <w:spacing w:val="4"/>
      <w:kern w:val="2"/>
      <w:sz w:val="28"/>
      <w:szCs w:val="24"/>
    </w:rPr>
  </w:style>
  <w:style w:type="character" w:customStyle="1" w:styleId="42">
    <w:name w:val="标题 8 字符"/>
    <w:link w:val="9"/>
    <w:semiHidden/>
    <w:qFormat/>
    <w:uiPriority w:val="9"/>
    <w:rPr>
      <w:rFonts w:ascii="等线 Light" w:hAnsi="等线 Light" w:eastAsia="等线 Light"/>
      <w:spacing w:val="4"/>
      <w:kern w:val="2"/>
      <w:sz w:val="28"/>
      <w:szCs w:val="24"/>
    </w:rPr>
  </w:style>
  <w:style w:type="character" w:customStyle="1" w:styleId="43">
    <w:name w:val="标题 9 字符"/>
    <w:link w:val="10"/>
    <w:semiHidden/>
    <w:uiPriority w:val="9"/>
    <w:rPr>
      <w:rFonts w:ascii="等线 Light" w:hAnsi="等线 Light" w:eastAsia="等线 Light"/>
      <w:spacing w:val="4"/>
      <w:kern w:val="2"/>
      <w:sz w:val="21"/>
      <w:szCs w:val="21"/>
    </w:rPr>
  </w:style>
  <w:style w:type="character" w:customStyle="1" w:styleId="44">
    <w:name w:val="页眉 字符"/>
    <w:link w:val="22"/>
    <w:qFormat/>
    <w:uiPriority w:val="0"/>
    <w:rPr>
      <w:sz w:val="18"/>
      <w:szCs w:val="18"/>
    </w:rPr>
  </w:style>
  <w:style w:type="character" w:customStyle="1" w:styleId="45">
    <w:name w:val="页脚 字符"/>
    <w:link w:val="21"/>
    <w:qFormat/>
    <w:uiPriority w:val="99"/>
    <w:rPr>
      <w:sz w:val="18"/>
      <w:szCs w:val="18"/>
    </w:rPr>
  </w:style>
  <w:style w:type="character" w:styleId="46">
    <w:name w:val="Placeholder Text"/>
    <w:semiHidden/>
    <w:qFormat/>
    <w:uiPriority w:val="99"/>
    <w:rPr>
      <w:color w:val="808080"/>
    </w:rPr>
  </w:style>
  <w:style w:type="paragraph" w:styleId="47">
    <w:name w:val="List Paragraph"/>
    <w:basedOn w:val="1"/>
    <w:link w:val="48"/>
    <w:qFormat/>
    <w:uiPriority w:val="34"/>
    <w:pPr>
      <w:ind w:firstLine="420"/>
    </w:pPr>
  </w:style>
  <w:style w:type="character" w:customStyle="1" w:styleId="48">
    <w:name w:val="列表段落 字符"/>
    <w:link w:val="47"/>
    <w:qFormat/>
    <w:uiPriority w:val="34"/>
    <w:rPr>
      <w:rFonts w:ascii="Times New Roman" w:hAnsi="Times New Roman" w:eastAsia="宋体"/>
      <w:kern w:val="2"/>
      <w:sz w:val="24"/>
      <w:szCs w:val="22"/>
    </w:rPr>
  </w:style>
  <w:style w:type="character" w:customStyle="1" w:styleId="49">
    <w:name w:val="标题 字符"/>
    <w:link w:val="28"/>
    <w:qFormat/>
    <w:uiPriority w:val="10"/>
    <w:rPr>
      <w:rFonts w:ascii="Times New Roman" w:hAnsi="Times New Roman" w:eastAsia="宋体" w:cs="Times New Roman"/>
      <w:b/>
      <w:bCs/>
      <w:sz w:val="30"/>
      <w:szCs w:val="32"/>
    </w:rPr>
  </w:style>
  <w:style w:type="character" w:customStyle="1" w:styleId="50">
    <w:name w:val="题注 字符"/>
    <w:link w:val="12"/>
    <w:uiPriority w:val="35"/>
    <w:rPr>
      <w:rFonts w:ascii="Times New Roman" w:hAnsi="Times New Roman" w:eastAsia="宋体" w:cs="Times New Roman"/>
      <w:b/>
      <w:szCs w:val="20"/>
    </w:rPr>
  </w:style>
  <w:style w:type="paragraph" w:customStyle="1" w:styleId="51">
    <w:name w:val="表格内容"/>
    <w:basedOn w:val="12"/>
    <w:link w:val="52"/>
    <w:uiPriority w:val="0"/>
    <w:pPr>
      <w:spacing w:beforeLines="0"/>
    </w:pPr>
  </w:style>
  <w:style w:type="character" w:customStyle="1" w:styleId="52">
    <w:name w:val="表格内容 字符"/>
    <w:link w:val="51"/>
    <w:qFormat/>
    <w:uiPriority w:val="0"/>
    <w:rPr>
      <w:rFonts w:ascii="宋体" w:hAnsi="宋体" w:eastAsia="宋体" w:cs="Times New Roman"/>
      <w:szCs w:val="20"/>
    </w:rPr>
  </w:style>
  <w:style w:type="character" w:customStyle="1" w:styleId="53">
    <w:name w:val="文本正文 Char"/>
    <w:link w:val="54"/>
    <w:qFormat/>
    <w:locked/>
    <w:uiPriority w:val="0"/>
    <w:rPr>
      <w:rFonts w:ascii="Times New Roman" w:hAnsi="Times New Roman" w:eastAsia="仿宋"/>
      <w:spacing w:val="10"/>
      <w:kern w:val="2"/>
      <w:sz w:val="28"/>
      <w:szCs w:val="21"/>
    </w:rPr>
  </w:style>
  <w:style w:type="paragraph" w:customStyle="1" w:styleId="54">
    <w:name w:val="文本正文"/>
    <w:basedOn w:val="1"/>
    <w:link w:val="53"/>
    <w:qFormat/>
    <w:uiPriority w:val="0"/>
    <w:pPr>
      <w:jc w:val="center"/>
    </w:pPr>
    <w:rPr>
      <w:rFonts w:eastAsia="仿宋"/>
      <w:spacing w:val="10"/>
      <w:szCs w:val="21"/>
    </w:rPr>
  </w:style>
  <w:style w:type="character" w:customStyle="1" w:styleId="55">
    <w:name w:val="纯文本 字符"/>
    <w:link w:val="17"/>
    <w:qFormat/>
    <w:uiPriority w:val="0"/>
    <w:rPr>
      <w:rFonts w:ascii="宋体" w:hAnsi="Courier New" w:eastAsia="宋体" w:cs="Times New Roman"/>
      <w:kern w:val="0"/>
      <w:sz w:val="20"/>
      <w:szCs w:val="21"/>
    </w:rPr>
  </w:style>
  <w:style w:type="paragraph" w:styleId="56">
    <w:name w:val="No Spacing"/>
    <w:qFormat/>
    <w:uiPriority w:val="99"/>
    <w:pPr>
      <w:widowControl w:val="0"/>
      <w:jc w:val="both"/>
    </w:pPr>
    <w:rPr>
      <w:rFonts w:ascii="Times New Roman" w:hAnsi="Times New Roman" w:eastAsia="等线" w:cs="Times New Roman"/>
      <w:kern w:val="2"/>
      <w:sz w:val="24"/>
      <w:szCs w:val="22"/>
      <w:lang w:val="en-US" w:eastAsia="zh-CN" w:bidi="ar-SA"/>
    </w:rPr>
  </w:style>
  <w:style w:type="paragraph" w:customStyle="1" w:styleId="57">
    <w:name w:val="字母编号列项（一级）"/>
    <w:uiPriority w:val="0"/>
    <w:pPr>
      <w:numPr>
        <w:ilvl w:val="0"/>
        <w:numId w:val="2"/>
      </w:numPr>
      <w:jc w:val="both"/>
    </w:pPr>
    <w:rPr>
      <w:rFonts w:ascii="宋体" w:hAnsi="Times New Roman" w:eastAsia="宋体" w:cs="Times New Roman"/>
      <w:sz w:val="21"/>
      <w:lang w:val="en-US" w:eastAsia="zh-CN" w:bidi="ar-SA"/>
    </w:rPr>
  </w:style>
  <w:style w:type="paragraph" w:customStyle="1" w:styleId="58">
    <w:name w:val="一级条标题"/>
    <w:next w:val="1"/>
    <w:qFormat/>
    <w:uiPriority w:val="99"/>
    <w:pPr>
      <w:numPr>
        <w:ilvl w:val="1"/>
        <w:numId w:val="3"/>
      </w:numPr>
      <w:spacing w:beforeLines="50" w:afterLines="50"/>
      <w:outlineLvl w:val="2"/>
    </w:pPr>
    <w:rPr>
      <w:rFonts w:ascii="黑体" w:hAnsi="Calibri" w:eastAsia="黑体" w:cs="Times New Roman"/>
      <w:sz w:val="21"/>
      <w:szCs w:val="21"/>
      <w:lang w:val="en-US" w:eastAsia="zh-CN" w:bidi="ar-SA"/>
    </w:rPr>
  </w:style>
  <w:style w:type="paragraph" w:customStyle="1" w:styleId="59">
    <w:name w:val="二级条标题"/>
    <w:basedOn w:val="58"/>
    <w:next w:val="1"/>
    <w:uiPriority w:val="0"/>
    <w:pPr>
      <w:numPr>
        <w:ilvl w:val="2"/>
      </w:numPr>
      <w:spacing w:before="50" w:after="50"/>
      <w:ind w:left="568"/>
      <w:outlineLvl w:val="3"/>
    </w:pPr>
  </w:style>
  <w:style w:type="paragraph" w:customStyle="1" w:styleId="60">
    <w:name w:val="TOC Heading"/>
    <w:basedOn w:val="2"/>
    <w:next w:val="1"/>
    <w:unhideWhenUsed/>
    <w:qFormat/>
    <w:uiPriority w:val="39"/>
    <w:pPr>
      <w:widowControl/>
      <w:numPr>
        <w:numId w:val="0"/>
      </w:numPr>
      <w:spacing w:beforeLines="0" w:afterLines="0" w:line="259" w:lineRule="auto"/>
      <w:jc w:val="left"/>
      <w:outlineLvl w:val="9"/>
    </w:pPr>
    <w:rPr>
      <w:rFonts w:ascii="等线 Light" w:hAnsi="等线 Light" w:eastAsia="等线 Light"/>
      <w:b w:val="0"/>
      <w:bCs w:val="0"/>
      <w:color w:val="2F5496"/>
      <w:kern w:val="0"/>
      <w:sz w:val="32"/>
      <w:szCs w:val="32"/>
    </w:rPr>
  </w:style>
  <w:style w:type="character" w:customStyle="1" w:styleId="61">
    <w:name w:val="批注文字 字符"/>
    <w:link w:val="13"/>
    <w:uiPriority w:val="99"/>
    <w:rPr>
      <w:rFonts w:ascii="Times New Roman" w:hAnsi="Times New Roman" w:eastAsia="宋体"/>
      <w:sz w:val="24"/>
    </w:rPr>
  </w:style>
  <w:style w:type="character" w:customStyle="1" w:styleId="62">
    <w:name w:val="批注主题 字符"/>
    <w:link w:val="29"/>
    <w:semiHidden/>
    <w:uiPriority w:val="99"/>
    <w:rPr>
      <w:rFonts w:ascii="Times New Roman" w:hAnsi="Times New Roman" w:eastAsia="宋体"/>
      <w:b/>
      <w:bCs/>
      <w:sz w:val="24"/>
    </w:rPr>
  </w:style>
  <w:style w:type="character" w:customStyle="1" w:styleId="63">
    <w:name w:val="批注框文本 字符"/>
    <w:link w:val="20"/>
    <w:semiHidden/>
    <w:uiPriority w:val="99"/>
    <w:rPr>
      <w:rFonts w:ascii="Times New Roman" w:hAnsi="Times New Roman" w:eastAsia="宋体"/>
      <w:sz w:val="18"/>
      <w:szCs w:val="18"/>
    </w:rPr>
  </w:style>
  <w:style w:type="paragraph" w:customStyle="1" w:styleId="64">
    <w:name w:val="Revision"/>
    <w:hidden/>
    <w:semiHidden/>
    <w:uiPriority w:val="99"/>
    <w:rPr>
      <w:rFonts w:ascii="Times New Roman" w:hAnsi="Times New Roman" w:eastAsia="宋体" w:cs="Times New Roman"/>
      <w:kern w:val="2"/>
      <w:sz w:val="24"/>
      <w:szCs w:val="22"/>
      <w:lang w:val="en-US" w:eastAsia="zh-CN" w:bidi="ar-SA"/>
    </w:rPr>
  </w:style>
  <w:style w:type="character" w:customStyle="1" w:styleId="65">
    <w:name w:val="未处理的提及1"/>
    <w:semiHidden/>
    <w:unhideWhenUsed/>
    <w:uiPriority w:val="99"/>
    <w:rPr>
      <w:color w:val="605E5C"/>
      <w:shd w:val="clear" w:color="auto" w:fill="E1DFDD"/>
    </w:rPr>
  </w:style>
  <w:style w:type="paragraph" w:customStyle="1" w:styleId="66">
    <w:name w:val="parts"/>
    <w:basedOn w:val="4"/>
    <w:link w:val="67"/>
    <w:uiPriority w:val="0"/>
    <w:pPr>
      <w:numPr>
        <w:ilvl w:val="0"/>
        <w:numId w:val="0"/>
      </w:numPr>
    </w:pPr>
  </w:style>
  <w:style w:type="character" w:customStyle="1" w:styleId="67">
    <w:name w:val="parts 字符"/>
    <w:link w:val="66"/>
    <w:uiPriority w:val="0"/>
    <w:rPr>
      <w:rFonts w:ascii="宋体" w:hAnsi="宋体" w:eastAsia="宋体"/>
      <w:sz w:val="24"/>
      <w:szCs w:val="32"/>
    </w:rPr>
  </w:style>
  <w:style w:type="character" w:customStyle="1" w:styleId="68">
    <w:name w:val="正文文本 字符"/>
    <w:basedOn w:val="32"/>
    <w:link w:val="14"/>
    <w:uiPriority w:val="1"/>
    <w:rPr>
      <w:rFonts w:ascii="宋体" w:hAnsi="宋体" w:eastAsia="宋体" w:cs="宋体"/>
      <w:sz w:val="21"/>
      <w:szCs w:val="21"/>
      <w:lang w:eastAsia="en-US"/>
    </w:rPr>
  </w:style>
  <w:style w:type="character" w:customStyle="1" w:styleId="69">
    <w:name w:val="纯文本 字符1"/>
    <w:uiPriority w:val="0"/>
    <w:rPr>
      <w:rFonts w:ascii="Times New Roman" w:hAnsi="Times New Roman" w:eastAsia="宋体" w:cs="Times New Roman"/>
      <w:kern w:val="0"/>
      <w:sz w:val="28"/>
      <w:szCs w:val="21"/>
    </w:rPr>
  </w:style>
  <w:style w:type="paragraph" w:customStyle="1" w:styleId="70">
    <w:name w:val="无间隔1"/>
    <w:qFormat/>
    <w:uiPriority w:val="99"/>
    <w:rPr>
      <w:rFonts w:ascii="Times New Roman" w:hAnsi="Times New Roman" w:eastAsia="宋体" w:cs="Times New Roman"/>
      <w:kern w:val="2"/>
      <w:sz w:val="21"/>
      <w:szCs w:val="24"/>
      <w:lang w:val="en-US" w:eastAsia="zh-CN" w:bidi="ar-SA"/>
    </w:rPr>
  </w:style>
  <w:style w:type="character" w:customStyle="1" w:styleId="71">
    <w:name w:val="图表名 Char"/>
    <w:link w:val="72"/>
    <w:qFormat/>
    <w:uiPriority w:val="0"/>
    <w:rPr>
      <w:rFonts w:eastAsia="黑体"/>
      <w:color w:val="000000"/>
      <w:szCs w:val="21"/>
    </w:rPr>
  </w:style>
  <w:style w:type="paragraph" w:customStyle="1" w:styleId="72">
    <w:name w:val="图表名"/>
    <w:basedOn w:val="1"/>
    <w:link w:val="71"/>
    <w:uiPriority w:val="0"/>
    <w:pPr>
      <w:spacing w:line="240" w:lineRule="auto"/>
      <w:jc w:val="center"/>
    </w:pPr>
    <w:rPr>
      <w:rFonts w:ascii="等线" w:hAnsi="等线" w:eastAsia="黑体"/>
      <w:color w:val="000000"/>
      <w:spacing w:val="0"/>
      <w:kern w:val="0"/>
      <w:sz w:val="20"/>
      <w:szCs w:val="21"/>
    </w:rPr>
  </w:style>
  <w:style w:type="character" w:customStyle="1" w:styleId="73">
    <w:name w:val="图解 Char"/>
    <w:link w:val="74"/>
    <w:qFormat/>
    <w:uiPriority w:val="0"/>
    <w:rPr>
      <w:color w:val="000000"/>
      <w:sz w:val="18"/>
      <w:szCs w:val="18"/>
    </w:rPr>
  </w:style>
  <w:style w:type="paragraph" w:customStyle="1" w:styleId="74">
    <w:name w:val="图解"/>
    <w:basedOn w:val="1"/>
    <w:link w:val="73"/>
    <w:uiPriority w:val="0"/>
    <w:pPr>
      <w:spacing w:line="240" w:lineRule="auto"/>
      <w:jc w:val="center"/>
    </w:pPr>
    <w:rPr>
      <w:rFonts w:ascii="等线" w:hAnsi="等线" w:eastAsia="等线"/>
      <w:color w:val="000000"/>
      <w:spacing w:val="0"/>
      <w:kern w:val="0"/>
      <w:sz w:val="18"/>
      <w:szCs w:val="18"/>
    </w:rPr>
  </w:style>
  <w:style w:type="paragraph" w:customStyle="1" w:styleId="75">
    <w:name w:val="无章节正文"/>
    <w:basedOn w:val="1"/>
    <w:link w:val="76"/>
    <w:qFormat/>
    <w:uiPriority w:val="1"/>
    <w:pPr>
      <w:tabs>
        <w:tab w:val="left" w:pos="1110"/>
        <w:tab w:val="left" w:pos="1111"/>
      </w:tabs>
      <w:autoSpaceDE w:val="0"/>
      <w:autoSpaceDN w:val="0"/>
      <w:textAlignment w:val="baseline"/>
    </w:pPr>
    <w:rPr>
      <w:rFonts w:cs="宋体"/>
      <w:spacing w:val="2"/>
      <w:w w:val="99"/>
      <w:kern w:val="0"/>
    </w:rPr>
  </w:style>
  <w:style w:type="character" w:customStyle="1" w:styleId="76">
    <w:name w:val="无章节正文 字符"/>
    <w:basedOn w:val="32"/>
    <w:link w:val="75"/>
    <w:uiPriority w:val="1"/>
    <w:rPr>
      <w:rFonts w:ascii="Times New Roman" w:hAnsi="Times New Roman" w:eastAsia="宋体" w:cs="宋体"/>
      <w:spacing w:val="2"/>
      <w:w w:val="99"/>
      <w:sz w:val="28"/>
      <w:szCs w:val="22"/>
    </w:rPr>
  </w:style>
  <w:style w:type="paragraph" w:customStyle="1" w:styleId="77">
    <w:name w:val="一级标题"/>
    <w:basedOn w:val="2"/>
    <w:uiPriority w:val="1"/>
    <w:pPr>
      <w:keepNext w:val="0"/>
      <w:keepLines w:val="0"/>
      <w:numPr>
        <w:numId w:val="4"/>
      </w:numPr>
      <w:autoSpaceDE w:val="0"/>
      <w:autoSpaceDN w:val="0"/>
      <w:spacing w:beforeLines="0" w:afterLines="0" w:line="360" w:lineRule="auto"/>
    </w:pPr>
    <w:rPr>
      <w:rFonts w:ascii="黑体" w:hAnsi="黑体" w:eastAsia="黑体" w:cs="黑体"/>
      <w:spacing w:val="0"/>
      <w:kern w:val="0"/>
      <w:lang w:eastAsia="en-US"/>
    </w:rPr>
  </w:style>
  <w:style w:type="paragraph" w:customStyle="1" w:styleId="78">
    <w:name w:val="二级标题"/>
    <w:basedOn w:val="3"/>
    <w:uiPriority w:val="1"/>
    <w:pPr>
      <w:keepNext w:val="0"/>
      <w:keepLines w:val="0"/>
      <w:widowControl w:val="0"/>
      <w:numPr>
        <w:numId w:val="4"/>
      </w:numPr>
      <w:autoSpaceDE w:val="0"/>
      <w:autoSpaceDN w:val="0"/>
      <w:spacing w:before="0" w:beforeLines="0" w:after="0" w:afterLines="0"/>
    </w:pPr>
    <w:rPr>
      <w:rFonts w:ascii="黑体" w:hAnsi="黑体" w:eastAsia="黑体" w:cs="黑体"/>
      <w:spacing w:val="0"/>
      <w:kern w:val="0"/>
      <w:sz w:val="36"/>
      <w:szCs w:val="36"/>
      <w:lang w:eastAsia="en-US"/>
    </w:rPr>
  </w:style>
  <w:style w:type="paragraph" w:customStyle="1" w:styleId="79">
    <w:name w:val="带章节正文"/>
    <w:basedOn w:val="1"/>
    <w:link w:val="80"/>
    <w:uiPriority w:val="1"/>
    <w:pPr>
      <w:numPr>
        <w:ilvl w:val="2"/>
        <w:numId w:val="4"/>
      </w:numPr>
      <w:tabs>
        <w:tab w:val="left" w:pos="1110"/>
        <w:tab w:val="left" w:pos="1111"/>
      </w:tabs>
      <w:autoSpaceDE w:val="0"/>
      <w:autoSpaceDN w:val="0"/>
    </w:pPr>
    <w:rPr>
      <w:rFonts w:cs="宋体"/>
      <w:spacing w:val="2"/>
      <w:kern w:val="0"/>
      <w:lang w:eastAsia="en-US"/>
    </w:rPr>
  </w:style>
  <w:style w:type="character" w:customStyle="1" w:styleId="80">
    <w:name w:val="带章节正文 字符"/>
    <w:basedOn w:val="32"/>
    <w:link w:val="79"/>
    <w:uiPriority w:val="1"/>
    <w:rPr>
      <w:rFonts w:ascii="Times New Roman" w:hAnsi="Times New Roman" w:eastAsia="宋体" w:cs="宋体"/>
      <w:spacing w:val="2"/>
      <w:sz w:val="28"/>
      <w:szCs w:val="22"/>
      <w:lang w:eastAsia="en-US"/>
    </w:rPr>
  </w:style>
  <w:style w:type="character" w:customStyle="1" w:styleId="81">
    <w:name w:val="未处理的提及2"/>
    <w:basedOn w:val="32"/>
    <w:semiHidden/>
    <w:unhideWhenUsed/>
    <w:uiPriority w:val="99"/>
    <w:rPr>
      <w:color w:val="605E5C"/>
      <w:shd w:val="clear" w:color="auto" w:fill="E1DFDD"/>
    </w:rPr>
  </w:style>
  <w:style w:type="character" w:customStyle="1" w:styleId="82">
    <w:name w:val="三级标题标题无缩进 Char"/>
    <w:link w:val="83"/>
    <w:uiPriority w:val="0"/>
    <w:rPr>
      <w:rFonts w:eastAsia="宋体"/>
      <w:sz w:val="28"/>
      <w:szCs w:val="24"/>
    </w:rPr>
  </w:style>
  <w:style w:type="paragraph" w:customStyle="1" w:styleId="83">
    <w:name w:val="三级标题标题无缩进"/>
    <w:basedOn w:val="1"/>
    <w:link w:val="82"/>
    <w:qFormat/>
    <w:uiPriority w:val="0"/>
    <w:pPr>
      <w:snapToGrid w:val="0"/>
      <w:spacing w:line="400" w:lineRule="exact"/>
    </w:pPr>
    <w:rPr>
      <w:rFonts w:ascii="等线" w:hAnsi="等线"/>
      <w:spacing w:val="0"/>
      <w:kern w:val="0"/>
      <w:szCs w:val="24"/>
    </w:rPr>
  </w:style>
  <w:style w:type="paragraph" w:customStyle="1" w:styleId="84">
    <w:name w:val="条文中图名"/>
    <w:basedOn w:val="1"/>
    <w:qFormat/>
    <w:uiPriority w:val="99"/>
    <w:pPr>
      <w:spacing w:line="240" w:lineRule="auto"/>
      <w:jc w:val="center"/>
    </w:pPr>
    <w:rPr>
      <w:rFonts w:ascii="宋体" w:hAnsi="宋体"/>
      <w:spacing w:val="0"/>
      <w:sz w:val="18"/>
      <w:szCs w:val="18"/>
    </w:rPr>
  </w:style>
  <w:style w:type="character" w:customStyle="1" w:styleId="85">
    <w:name w:val="日期 字符"/>
    <w:basedOn w:val="32"/>
    <w:link w:val="19"/>
    <w:semiHidden/>
    <w:qFormat/>
    <w:uiPriority w:val="99"/>
    <w:rPr>
      <w:rFonts w:ascii="Times New Roman" w:hAnsi="Times New Roman" w:eastAsia="宋体"/>
      <w:spacing w:val="4"/>
      <w:kern w:val="2"/>
      <w:sz w:val="28"/>
      <w:szCs w:val="22"/>
    </w:rPr>
  </w:style>
  <w:style w:type="table" w:customStyle="1" w:styleId="86">
    <w:name w:val="网格型浅色1"/>
    <w:basedOn w:val="30"/>
    <w:qFormat/>
    <w:uiPriority w:val="40"/>
    <w:rPr>
      <w:rFonts w:asciiTheme="minorHAnsi" w:hAnsiTheme="minorHAnsi" w:eastAsiaTheme="minorEastAsia" w:cstheme="minorBidi"/>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7">
    <w:name w:val="缩进正文"/>
    <w:basedOn w:val="1"/>
    <w:link w:val="88"/>
    <w:qFormat/>
    <w:uiPriority w:val="0"/>
    <w:pPr>
      <w:widowControl/>
      <w:adjustRightInd w:val="0"/>
      <w:snapToGrid w:val="0"/>
      <w:spacing w:line="400" w:lineRule="exact"/>
      <w:ind w:firstLine="200" w:firstLineChars="200"/>
      <w:jc w:val="left"/>
    </w:pPr>
    <w:rPr>
      <w:spacing w:val="0"/>
      <w:sz w:val="24"/>
      <w:szCs w:val="24"/>
    </w:rPr>
  </w:style>
  <w:style w:type="character" w:customStyle="1" w:styleId="88">
    <w:name w:val="缩进正文 字符"/>
    <w:basedOn w:val="32"/>
    <w:link w:val="87"/>
    <w:qFormat/>
    <w:uiPriority w:val="0"/>
    <w:rPr>
      <w:rFonts w:ascii="Times New Roman" w:hAnsi="Times New Roman" w:eastAsia="宋体"/>
      <w:kern w:val="2"/>
      <w:sz w:val="24"/>
      <w:szCs w:val="24"/>
    </w:rPr>
  </w:style>
  <w:style w:type="character" w:customStyle="1" w:styleId="89">
    <w:name w:val="批注文字 Char1"/>
    <w:qFormat/>
    <w:uiPriority w:val="0"/>
    <w:rPr>
      <w:kern w:val="2"/>
      <w:sz w:val="21"/>
    </w:rPr>
  </w:style>
  <w:style w:type="paragraph" w:customStyle="1" w:styleId="90">
    <w:name w:val="Table Paragraph"/>
    <w:basedOn w:val="1"/>
    <w:qFormat/>
    <w:uiPriority w:val="1"/>
    <w:pPr>
      <w:autoSpaceDE w:val="0"/>
      <w:autoSpaceDN w:val="0"/>
      <w:spacing w:line="240" w:lineRule="auto"/>
      <w:jc w:val="left"/>
    </w:pPr>
    <w:rPr>
      <w:rFonts w:ascii="宋体" w:hAnsi="宋体" w:cs="宋体"/>
      <w:spacing w:val="0"/>
      <w:kern w:val="0"/>
      <w:sz w:val="22"/>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2.emf"/><Relationship Id="rId98" Type="http://schemas.openxmlformats.org/officeDocument/2006/relationships/image" Target="media/image81.emf"/><Relationship Id="rId97" Type="http://schemas.openxmlformats.org/officeDocument/2006/relationships/image" Target="media/image80.emf"/><Relationship Id="rId96" Type="http://schemas.openxmlformats.org/officeDocument/2006/relationships/image" Target="media/image79.emf"/><Relationship Id="rId95" Type="http://schemas.openxmlformats.org/officeDocument/2006/relationships/image" Target="media/image78.emf"/><Relationship Id="rId94" Type="http://schemas.openxmlformats.org/officeDocument/2006/relationships/image" Target="media/image77.emf"/><Relationship Id="rId93" Type="http://schemas.openxmlformats.org/officeDocument/2006/relationships/image" Target="media/image76.emf"/><Relationship Id="rId92" Type="http://schemas.openxmlformats.org/officeDocument/2006/relationships/image" Target="media/image75.emf"/><Relationship Id="rId91" Type="http://schemas.openxmlformats.org/officeDocument/2006/relationships/image" Target="media/image74.emf"/><Relationship Id="rId90" Type="http://schemas.openxmlformats.org/officeDocument/2006/relationships/image" Target="media/image73.emf"/><Relationship Id="rId9" Type="http://schemas.openxmlformats.org/officeDocument/2006/relationships/footer" Target="footer3.xml"/><Relationship Id="rId89" Type="http://schemas.openxmlformats.org/officeDocument/2006/relationships/image" Target="media/image72.emf"/><Relationship Id="rId88" Type="http://schemas.openxmlformats.org/officeDocument/2006/relationships/image" Target="media/image71.emf"/><Relationship Id="rId87" Type="http://schemas.openxmlformats.org/officeDocument/2006/relationships/image" Target="media/image70.emf"/><Relationship Id="rId86" Type="http://schemas.openxmlformats.org/officeDocument/2006/relationships/image" Target="media/image69.emf"/><Relationship Id="rId85" Type="http://schemas.openxmlformats.org/officeDocument/2006/relationships/image" Target="media/image68.emf"/><Relationship Id="rId84" Type="http://schemas.openxmlformats.org/officeDocument/2006/relationships/image" Target="media/image67.emf"/><Relationship Id="rId83" Type="http://schemas.openxmlformats.org/officeDocument/2006/relationships/image" Target="media/image66.wmf"/><Relationship Id="rId82" Type="http://schemas.openxmlformats.org/officeDocument/2006/relationships/oleObject" Target="embeddings/oleObject7.bin"/><Relationship Id="rId81" Type="http://schemas.openxmlformats.org/officeDocument/2006/relationships/image" Target="media/image65.wmf"/><Relationship Id="rId80" Type="http://schemas.openxmlformats.org/officeDocument/2006/relationships/oleObject" Target="embeddings/oleObject6.bin"/><Relationship Id="rId8" Type="http://schemas.openxmlformats.org/officeDocument/2006/relationships/header" Target="header4.xml"/><Relationship Id="rId79" Type="http://schemas.openxmlformats.org/officeDocument/2006/relationships/image" Target="media/image64.emf"/><Relationship Id="rId78" Type="http://schemas.openxmlformats.org/officeDocument/2006/relationships/image" Target="media/image63.emf"/><Relationship Id="rId77" Type="http://schemas.openxmlformats.org/officeDocument/2006/relationships/image" Target="media/image62.wmf"/><Relationship Id="rId76" Type="http://schemas.openxmlformats.org/officeDocument/2006/relationships/oleObject" Target="embeddings/oleObject5.bin"/><Relationship Id="rId75" Type="http://schemas.openxmlformats.org/officeDocument/2006/relationships/image" Target="media/image61.wmf"/><Relationship Id="rId74" Type="http://schemas.openxmlformats.org/officeDocument/2006/relationships/oleObject" Target="embeddings/oleObject4.bin"/><Relationship Id="rId73" Type="http://schemas.openxmlformats.org/officeDocument/2006/relationships/image" Target="media/image60.emf"/><Relationship Id="rId72" Type="http://schemas.openxmlformats.org/officeDocument/2006/relationships/image" Target="media/image59.emf"/><Relationship Id="rId71" Type="http://schemas.openxmlformats.org/officeDocument/2006/relationships/image" Target="media/image58.emf"/><Relationship Id="rId70" Type="http://schemas.openxmlformats.org/officeDocument/2006/relationships/image" Target="media/image57.png"/><Relationship Id="rId7" Type="http://schemas.openxmlformats.org/officeDocument/2006/relationships/footer" Target="footer2.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wmf"/><Relationship Id="rId65" Type="http://schemas.openxmlformats.org/officeDocument/2006/relationships/oleObject" Target="embeddings/oleObject3.bin"/><Relationship Id="rId64" Type="http://schemas.openxmlformats.org/officeDocument/2006/relationships/image" Target="media/image52.wmf"/><Relationship Id="rId63" Type="http://schemas.openxmlformats.org/officeDocument/2006/relationships/oleObject" Target="embeddings/oleObject2.bin"/><Relationship Id="rId62" Type="http://schemas.openxmlformats.org/officeDocument/2006/relationships/image" Target="media/image51.wmf"/><Relationship Id="rId61" Type="http://schemas.openxmlformats.org/officeDocument/2006/relationships/oleObject" Target="embeddings/oleObject1.bin"/><Relationship Id="rId60" Type="http://schemas.openxmlformats.org/officeDocument/2006/relationships/image" Target="media/image50.emf"/><Relationship Id="rId6" Type="http://schemas.openxmlformats.org/officeDocument/2006/relationships/footer" Target="footer1.xml"/><Relationship Id="rId59" Type="http://schemas.openxmlformats.org/officeDocument/2006/relationships/image" Target="media/image49.emf"/><Relationship Id="rId58" Type="http://schemas.openxmlformats.org/officeDocument/2006/relationships/image" Target="media/image48.emf"/><Relationship Id="rId57" Type="http://schemas.openxmlformats.org/officeDocument/2006/relationships/image" Target="media/image47.emf"/><Relationship Id="rId56" Type="http://schemas.openxmlformats.org/officeDocument/2006/relationships/image" Target="media/image46.emf"/><Relationship Id="rId55" Type="http://schemas.openxmlformats.org/officeDocument/2006/relationships/image" Target="media/image45.emf"/><Relationship Id="rId54" Type="http://schemas.openxmlformats.org/officeDocument/2006/relationships/image" Target="media/image44.emf"/><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3.xml"/><Relationship Id="rId49" Type="http://schemas.openxmlformats.org/officeDocument/2006/relationships/image" Target="media/image39.emf"/><Relationship Id="rId48" Type="http://schemas.openxmlformats.org/officeDocument/2006/relationships/image" Target="media/image38.emf"/><Relationship Id="rId47" Type="http://schemas.openxmlformats.org/officeDocument/2006/relationships/image" Target="media/image37.emf"/><Relationship Id="rId46" Type="http://schemas.openxmlformats.org/officeDocument/2006/relationships/image" Target="media/image36.emf"/><Relationship Id="rId45" Type="http://schemas.openxmlformats.org/officeDocument/2006/relationships/image" Target="media/image35.emf"/><Relationship Id="rId44" Type="http://schemas.openxmlformats.org/officeDocument/2006/relationships/image" Target="media/image34.emf"/><Relationship Id="rId43" Type="http://schemas.openxmlformats.org/officeDocument/2006/relationships/image" Target="media/image33.emf"/><Relationship Id="rId42" Type="http://schemas.openxmlformats.org/officeDocument/2006/relationships/image" Target="media/image32.emf"/><Relationship Id="rId41" Type="http://schemas.openxmlformats.org/officeDocument/2006/relationships/image" Target="media/image31.emf"/><Relationship Id="rId40" Type="http://schemas.openxmlformats.org/officeDocument/2006/relationships/image" Target="media/image30.emf"/><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emf"/><Relationship Id="rId34" Type="http://schemas.openxmlformats.org/officeDocument/2006/relationships/image" Target="media/image24.emf"/><Relationship Id="rId33" Type="http://schemas.openxmlformats.org/officeDocument/2006/relationships/image" Target="media/image23.emf"/><Relationship Id="rId32" Type="http://schemas.openxmlformats.org/officeDocument/2006/relationships/image" Target="media/image22.emf"/><Relationship Id="rId31" Type="http://schemas.openxmlformats.org/officeDocument/2006/relationships/image" Target="media/image21.emf"/><Relationship Id="rId30" Type="http://schemas.openxmlformats.org/officeDocument/2006/relationships/image" Target="media/image20.emf"/><Relationship Id="rId3" Type="http://schemas.openxmlformats.org/officeDocument/2006/relationships/header" Target="header1.xml"/><Relationship Id="rId29" Type="http://schemas.openxmlformats.org/officeDocument/2006/relationships/image" Target="media/image19.emf"/><Relationship Id="rId28" Type="http://schemas.openxmlformats.org/officeDocument/2006/relationships/image" Target="media/image18.emf"/><Relationship Id="rId27" Type="http://schemas.openxmlformats.org/officeDocument/2006/relationships/image" Target="media/image17.emf"/><Relationship Id="rId26" Type="http://schemas.openxmlformats.org/officeDocument/2006/relationships/image" Target="media/image16.emf"/><Relationship Id="rId25" Type="http://schemas.openxmlformats.org/officeDocument/2006/relationships/image" Target="media/image15.emf"/><Relationship Id="rId24" Type="http://schemas.openxmlformats.org/officeDocument/2006/relationships/image" Target="media/image14.emf"/><Relationship Id="rId23" Type="http://schemas.openxmlformats.org/officeDocument/2006/relationships/image" Target="media/image13.emf"/><Relationship Id="rId22" Type="http://schemas.openxmlformats.org/officeDocument/2006/relationships/image" Target="media/image12.emf"/><Relationship Id="rId21" Type="http://schemas.openxmlformats.org/officeDocument/2006/relationships/image" Target="media/image11.emf"/><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image" Target="media/image8.emf"/><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image" Target="media/image5.emf"/><Relationship Id="rId14" Type="http://schemas.openxmlformats.org/officeDocument/2006/relationships/image" Target="media/image4.emf"/><Relationship Id="rId13" Type="http://schemas.openxmlformats.org/officeDocument/2006/relationships/image" Target="media/image3.emf"/><Relationship Id="rId12" Type="http://schemas.openxmlformats.org/officeDocument/2006/relationships/image" Target="media/image2.emf"/><Relationship Id="rId11" Type="http://schemas.openxmlformats.org/officeDocument/2006/relationships/image" Target="media/image1.jpeg"/><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88.emf"/><Relationship Id="rId104" Type="http://schemas.openxmlformats.org/officeDocument/2006/relationships/image" Target="media/image87.emf"/><Relationship Id="rId103" Type="http://schemas.openxmlformats.org/officeDocument/2006/relationships/image" Target="media/image86.emf"/><Relationship Id="rId102" Type="http://schemas.openxmlformats.org/officeDocument/2006/relationships/image" Target="media/image85.emf"/><Relationship Id="rId101" Type="http://schemas.openxmlformats.org/officeDocument/2006/relationships/image" Target="media/image84.emf"/><Relationship Id="rId100" Type="http://schemas.openxmlformats.org/officeDocument/2006/relationships/image" Target="media/image83.emf"/><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B7C55D-0B26-4964-BEC0-50291E23595C}">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107</Pages>
  <Words>7916</Words>
  <Characters>45126</Characters>
  <Lines>376</Lines>
  <Paragraphs>105</Paragraphs>
  <TotalTime>10641</TotalTime>
  <ScaleCrop>false</ScaleCrop>
  <LinksUpToDate>false</LinksUpToDate>
  <CharactersWithSpaces>52937</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2020-05-30T08:32:00Z</dcterms:created>
  <dc:creator>Eric_Lee</dc:creator>
  <cp:lastModifiedBy>阿水</cp:lastModifiedBy>
  <cp:lastPrinted>2020-07-14T00:14:00Z</cp:lastPrinted>
  <dcterms:modified xsi:type="dcterms:W3CDTF">2020-08-18T14:57:33Z</dcterms:modified>
  <cp:revision>486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