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附件1</w:t>
      </w:r>
    </w:p>
    <w:p>
      <w:pPr>
        <w:widowControl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2022年度职业卫生技术服务机构实验室检测能力验证登记表</w:t>
      </w:r>
    </w:p>
    <w:tbl>
      <w:tblPr>
        <w:tblStyle w:val="7"/>
        <w:tblW w:w="1491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202"/>
        <w:gridCol w:w="2229"/>
        <w:gridCol w:w="1051"/>
        <w:gridCol w:w="1072"/>
        <w:gridCol w:w="1460"/>
        <w:gridCol w:w="1265"/>
        <w:gridCol w:w="1417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资质类型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专票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普票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专票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普票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注：1.增值税普通发票为电子发票，发票信息仅开单位名称+税号。增值税专用发票需提供完整开票信息。</w:t>
      </w:r>
    </w:p>
    <w:p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2.</w:t>
      </w:r>
      <w:r>
        <w:rPr>
          <w:rFonts w:ascii="仿宋_GB2312" w:eastAsia="仿宋_GB2312"/>
          <w:b/>
          <w:sz w:val="28"/>
        </w:rPr>
        <w:t>将</w:t>
      </w:r>
      <w:r>
        <w:rPr>
          <w:rFonts w:hint="eastAsia" w:ascii="仿宋_GB2312" w:eastAsia="仿宋_GB2312"/>
          <w:b/>
          <w:sz w:val="28"/>
        </w:rPr>
        <w:t>登记</w:t>
      </w:r>
      <w:r>
        <w:rPr>
          <w:rFonts w:ascii="仿宋_GB2312" w:eastAsia="仿宋_GB2312"/>
          <w:b/>
          <w:sz w:val="28"/>
        </w:rPr>
        <w:t>表电子版</w:t>
      </w:r>
      <w:r>
        <w:rPr>
          <w:rFonts w:hint="eastAsia" w:ascii="仿宋_GB2312" w:eastAsia="仿宋_GB2312"/>
          <w:b/>
          <w:sz w:val="28"/>
        </w:rPr>
        <w:t>和扫描版（加盖单位公章）</w:t>
      </w:r>
      <w:r>
        <w:rPr>
          <w:rFonts w:ascii="仿宋_GB2312" w:eastAsia="仿宋_GB2312"/>
          <w:b/>
          <w:sz w:val="28"/>
        </w:rPr>
        <w:t>发送至联系邮箱：zyws</w:t>
      </w:r>
      <w:r>
        <w:rPr>
          <w:rFonts w:hint="eastAsia" w:ascii="仿宋_GB2312" w:eastAsia="仿宋_GB2312"/>
          <w:b/>
          <w:sz w:val="28"/>
        </w:rPr>
        <w:t>fh</w:t>
      </w:r>
      <w:r>
        <w:rPr>
          <w:rFonts w:ascii="仿宋_GB2312" w:eastAsia="仿宋_GB2312"/>
          <w:b/>
          <w:sz w:val="28"/>
        </w:rPr>
        <w:t>@163.com</w:t>
      </w:r>
      <w:r>
        <w:rPr>
          <w:rFonts w:hint="eastAsia" w:ascii="仿宋_GB2312" w:eastAsia="仿宋_GB2312"/>
          <w:b/>
          <w:sz w:val="28"/>
        </w:rPr>
        <w:t>。</w:t>
      </w:r>
    </w:p>
    <w:p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</w:t>
      </w:r>
      <w:r>
        <w:rPr>
          <w:rFonts w:ascii="仿宋_GB2312" w:eastAsia="仿宋_GB2312"/>
          <w:b/>
          <w:sz w:val="28"/>
        </w:rPr>
        <w:t xml:space="preserve"> 3</w:t>
      </w:r>
      <w:r>
        <w:rPr>
          <w:rFonts w:hint="eastAsia" w:ascii="仿宋_GB2312" w:eastAsia="仿宋_GB2312"/>
          <w:b/>
          <w:sz w:val="28"/>
        </w:rPr>
        <w:t>.报名</w:t>
      </w:r>
      <w:r>
        <w:rPr>
          <w:rFonts w:ascii="仿宋_GB2312" w:eastAsia="仿宋_GB2312"/>
          <w:b/>
          <w:sz w:val="28"/>
        </w:rPr>
        <w:t>后将汇款回执发送至联系邮箱：zyws</w:t>
      </w:r>
      <w:r>
        <w:rPr>
          <w:rFonts w:hint="eastAsia" w:ascii="仿宋_GB2312" w:eastAsia="仿宋_GB2312"/>
          <w:b/>
          <w:sz w:val="28"/>
        </w:rPr>
        <w:t>fh</w:t>
      </w:r>
      <w:r>
        <w:rPr>
          <w:rFonts w:ascii="仿宋_GB2312" w:eastAsia="仿宋_GB2312"/>
          <w:b/>
          <w:sz w:val="28"/>
        </w:rPr>
        <w:t>@163.com</w:t>
      </w:r>
      <w:r>
        <w:rPr>
          <w:rFonts w:hint="eastAsia" w:ascii="仿宋_GB2312" w:eastAsia="仿宋_GB2312"/>
          <w:b/>
          <w:sz w:val="28"/>
        </w:rPr>
        <w:t>。</w:t>
      </w:r>
    </w:p>
    <w:p>
      <w:pPr>
        <w:widowControl/>
        <w:shd w:val="clear" w:color="auto" w:fill="FFFFFF"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实验室能力验证工作程序</w:t>
      </w:r>
    </w:p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各参加单位收到样品后，请认真查收样品，样品包括1支活性炭管样品、1张滤膜样品和1支安瓶，确认无误后按下述程序开展比对工作。如核查样品有破损或缺失，请于7天内联系分会，逾期不再办理。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1.比对样品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样品包括活性炭管中苯乙烯含量测定样品、滤膜中锡含量测定样品、溶液中氨含量测定样品，共3个样品。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2.分析方法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参加单位可自行选择本单位常用的职业卫生分析标准方法。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3.报告要求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（1）比对样品的分析结果请填在检测结果报告表(附件3)上，加盖单位公章后同实验室检测原始记录复印件、检测报告原件一同寄至分会秘书处。同时将检测报告表电子版(word版)发送至zywsfh@163.com。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（2）检测结果值要表示为μg/支（活性炭管样品）、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μg/张（滤膜样品）和μg/ml（溶液样品）。</w:t>
      </w:r>
      <w:r>
        <w:rPr>
          <w:rFonts w:hint="eastAsia" w:ascii="仿宋_GB2312" w:eastAsia="仿宋_GB2312"/>
          <w:b/>
          <w:sz w:val="32"/>
          <w:szCs w:val="32"/>
        </w:rPr>
        <w:t>活性炭管样品、滤膜样品结果保留1位小数，溶液样品结果保留2位小数</w:t>
      </w:r>
      <w:r>
        <w:rPr>
          <w:rFonts w:hint="eastAsia" w:ascii="仿宋_GB2312" w:eastAsia="仿宋_GB2312"/>
          <w:b/>
          <w:sz w:val="28"/>
          <w:szCs w:val="28"/>
        </w:rPr>
        <w:t>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（3）表格中的所有信息应认真填写，不得漏项。</w:t>
      </w:r>
    </w:p>
    <w:p>
      <w:pPr>
        <w:spacing w:line="560" w:lineRule="exact"/>
        <w:ind w:firstLine="570"/>
        <w:rPr>
          <w:rFonts w:ascii="仿宋_GB2312" w:hAnsi="Times New Roman" w:eastAsia="仿宋_GB2312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start="5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/>
          <w:sz w:val="32"/>
          <w:szCs w:val="32"/>
        </w:rPr>
        <w:t>（4）提交比对结果的截止日期为2022年4月22日。</w:t>
      </w:r>
    </w:p>
    <w:p>
      <w:pPr>
        <w:widowControl/>
        <w:jc w:val="left"/>
        <w:rPr>
          <w:rFonts w:ascii="仿宋_GB2312" w:eastAsia="仿宋_GB2312"/>
          <w:bCs/>
          <w:sz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附件3</w:t>
      </w:r>
    </w:p>
    <w:p>
      <w:pPr>
        <w:widowControl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</w:rPr>
        <w:t>单位编号：YZ202</w:t>
      </w:r>
      <w:r>
        <w:rPr>
          <w:rFonts w:ascii="仿宋_GB2312" w:eastAsia="仿宋_GB2312"/>
          <w:bCs/>
          <w:sz w:val="28"/>
        </w:rPr>
        <w:t>2</w:t>
      </w:r>
    </w:p>
    <w:p>
      <w:pPr>
        <w:widowControl/>
        <w:jc w:val="center"/>
        <w:rPr>
          <w:rFonts w:ascii="仿宋_GB2312" w:eastAsia="仿宋_GB2312"/>
          <w:b/>
          <w:sz w:val="52"/>
          <w:szCs w:val="52"/>
        </w:rPr>
      </w:pPr>
    </w:p>
    <w:p>
      <w:pPr>
        <w:widowControl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检测结果报告表</w:t>
      </w:r>
    </w:p>
    <w:p>
      <w:pPr>
        <w:widowControl/>
        <w:jc w:val="left"/>
        <w:rPr>
          <w:rFonts w:ascii="仿宋_GB2312" w:eastAsia="仿宋_GB2312"/>
          <w:sz w:val="28"/>
        </w:rPr>
      </w:pPr>
    </w:p>
    <w:p>
      <w:pPr>
        <w:widowControl/>
        <w:ind w:firstLine="2249" w:firstLineChars="800"/>
        <w:jc w:val="left"/>
        <w:rPr>
          <w:rFonts w:ascii="仿宋_GB2312" w:eastAsia="仿宋_GB2312"/>
          <w:b/>
          <w:bCs/>
          <w:sz w:val="28"/>
        </w:rPr>
      </w:pPr>
    </w:p>
    <w:p>
      <w:pPr>
        <w:widowControl/>
        <w:ind w:firstLine="2249" w:firstLineChars="800"/>
        <w:jc w:val="left"/>
        <w:rPr>
          <w:rFonts w:ascii="仿宋_GB2312" w:eastAsia="仿宋_GB2312"/>
          <w:b/>
          <w:bCs/>
          <w:sz w:val="28"/>
        </w:rPr>
      </w:pPr>
    </w:p>
    <w:p>
      <w:pPr>
        <w:widowControl/>
        <w:ind w:firstLine="2249" w:firstLineChars="800"/>
        <w:jc w:val="left"/>
        <w:rPr>
          <w:rFonts w:ascii="仿宋_GB2312" w:eastAsia="仿宋_GB2312"/>
          <w:b/>
          <w:bCs/>
          <w:sz w:val="28"/>
        </w:rPr>
      </w:pP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单位名称（盖章）：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样品检测分析人：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实验室部门负责人：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通讯地址：      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联系电话：      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传真：          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E-mail：        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填表人签名：     </w:t>
      </w:r>
    </w:p>
    <w:p>
      <w:pPr>
        <w:widowControl/>
        <w:spacing w:line="480" w:lineRule="auto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日期：</w:t>
      </w:r>
    </w:p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活性炭管中苯乙烯含量的测定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检测结果报告单</w:t>
      </w: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7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96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0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检测方法名称及其所依据的标准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4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主要分析仪器设备名称与型号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样品检测人员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85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苯乙烯（μg/支）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滤膜中锡含量的测定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检测结果报告单</w:t>
      </w: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7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67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检测方法名称及其所依据的标准</w:t>
            </w:r>
          </w:p>
        </w:tc>
        <w:tc>
          <w:tcPr>
            <w:tcW w:w="8080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主要分析仪器设备名称与型号</w:t>
            </w:r>
          </w:p>
        </w:tc>
        <w:tc>
          <w:tcPr>
            <w:tcW w:w="8080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样品检测人员</w:t>
            </w:r>
          </w:p>
        </w:tc>
        <w:tc>
          <w:tcPr>
            <w:tcW w:w="8080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锡（μg/张）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27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溶液中氨含量的测定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检测结果报告单</w:t>
      </w: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7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04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检测方法名称及其所依据的标准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主要分析仪器设备名称与型号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样品检测人员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5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41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氨（μg/ml）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182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9</w:t>
    </w:r>
    <w:r>
      <w:rPr>
        <w:rStyle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DA0"/>
    <w:rsid w:val="00000D0F"/>
    <w:rsid w:val="000067B5"/>
    <w:rsid w:val="00013AEE"/>
    <w:rsid w:val="0001603C"/>
    <w:rsid w:val="00023FAC"/>
    <w:rsid w:val="00044967"/>
    <w:rsid w:val="000504FB"/>
    <w:rsid w:val="00062FC4"/>
    <w:rsid w:val="00063EC3"/>
    <w:rsid w:val="00084DA0"/>
    <w:rsid w:val="0009499B"/>
    <w:rsid w:val="00096771"/>
    <w:rsid w:val="00096A2E"/>
    <w:rsid w:val="000C4C32"/>
    <w:rsid w:val="000E0D3B"/>
    <w:rsid w:val="001055CE"/>
    <w:rsid w:val="00116115"/>
    <w:rsid w:val="00130984"/>
    <w:rsid w:val="00135715"/>
    <w:rsid w:val="00141997"/>
    <w:rsid w:val="00153F7C"/>
    <w:rsid w:val="00162399"/>
    <w:rsid w:val="0016254F"/>
    <w:rsid w:val="001857EC"/>
    <w:rsid w:val="001A5F6E"/>
    <w:rsid w:val="001A6F3F"/>
    <w:rsid w:val="001C2B4D"/>
    <w:rsid w:val="001E7335"/>
    <w:rsid w:val="001F0469"/>
    <w:rsid w:val="00205F8F"/>
    <w:rsid w:val="0021291D"/>
    <w:rsid w:val="0023605E"/>
    <w:rsid w:val="0026023F"/>
    <w:rsid w:val="0026123B"/>
    <w:rsid w:val="00274B1C"/>
    <w:rsid w:val="00293702"/>
    <w:rsid w:val="002A6645"/>
    <w:rsid w:val="002B52A5"/>
    <w:rsid w:val="002C6E04"/>
    <w:rsid w:val="002E0C59"/>
    <w:rsid w:val="002F7E23"/>
    <w:rsid w:val="00303749"/>
    <w:rsid w:val="00312421"/>
    <w:rsid w:val="00354872"/>
    <w:rsid w:val="00355D7E"/>
    <w:rsid w:val="00357ACD"/>
    <w:rsid w:val="00380D4A"/>
    <w:rsid w:val="003859A6"/>
    <w:rsid w:val="003872AA"/>
    <w:rsid w:val="003973ED"/>
    <w:rsid w:val="003B7003"/>
    <w:rsid w:val="003C06EF"/>
    <w:rsid w:val="003D4D61"/>
    <w:rsid w:val="003E29F6"/>
    <w:rsid w:val="003E6197"/>
    <w:rsid w:val="00424708"/>
    <w:rsid w:val="00444321"/>
    <w:rsid w:val="00451D40"/>
    <w:rsid w:val="0045251F"/>
    <w:rsid w:val="00453FBA"/>
    <w:rsid w:val="004757BE"/>
    <w:rsid w:val="00491632"/>
    <w:rsid w:val="004C0C5D"/>
    <w:rsid w:val="004C5B3E"/>
    <w:rsid w:val="004D23F7"/>
    <w:rsid w:val="004E1FAE"/>
    <w:rsid w:val="004E7683"/>
    <w:rsid w:val="004F074B"/>
    <w:rsid w:val="0050556C"/>
    <w:rsid w:val="00530D46"/>
    <w:rsid w:val="00532DAE"/>
    <w:rsid w:val="005C35F3"/>
    <w:rsid w:val="005D5D94"/>
    <w:rsid w:val="005E3265"/>
    <w:rsid w:val="005F7A89"/>
    <w:rsid w:val="0060443D"/>
    <w:rsid w:val="00634164"/>
    <w:rsid w:val="006370AD"/>
    <w:rsid w:val="00662FAB"/>
    <w:rsid w:val="00667006"/>
    <w:rsid w:val="00681A8A"/>
    <w:rsid w:val="00690524"/>
    <w:rsid w:val="006A3001"/>
    <w:rsid w:val="006A3AEA"/>
    <w:rsid w:val="006B163C"/>
    <w:rsid w:val="006C54A8"/>
    <w:rsid w:val="006F1ADE"/>
    <w:rsid w:val="007124CE"/>
    <w:rsid w:val="00720D0A"/>
    <w:rsid w:val="00721AFF"/>
    <w:rsid w:val="0073531E"/>
    <w:rsid w:val="00755E03"/>
    <w:rsid w:val="00756A55"/>
    <w:rsid w:val="0076345D"/>
    <w:rsid w:val="007718AD"/>
    <w:rsid w:val="00776561"/>
    <w:rsid w:val="00786431"/>
    <w:rsid w:val="007C47C8"/>
    <w:rsid w:val="007D1C45"/>
    <w:rsid w:val="007F1CFA"/>
    <w:rsid w:val="007F6342"/>
    <w:rsid w:val="00837980"/>
    <w:rsid w:val="00861AC0"/>
    <w:rsid w:val="00873F8E"/>
    <w:rsid w:val="008C7D00"/>
    <w:rsid w:val="00974810"/>
    <w:rsid w:val="00975916"/>
    <w:rsid w:val="00996A65"/>
    <w:rsid w:val="00997ADB"/>
    <w:rsid w:val="009C74A0"/>
    <w:rsid w:val="009D1359"/>
    <w:rsid w:val="009D25CD"/>
    <w:rsid w:val="009E252A"/>
    <w:rsid w:val="009F50C2"/>
    <w:rsid w:val="00A07465"/>
    <w:rsid w:val="00A66AEF"/>
    <w:rsid w:val="00A77C06"/>
    <w:rsid w:val="00A8265A"/>
    <w:rsid w:val="00A86348"/>
    <w:rsid w:val="00AA0277"/>
    <w:rsid w:val="00AB1E5C"/>
    <w:rsid w:val="00AC23B3"/>
    <w:rsid w:val="00AE54D6"/>
    <w:rsid w:val="00AF5F53"/>
    <w:rsid w:val="00B13C9E"/>
    <w:rsid w:val="00B22C4B"/>
    <w:rsid w:val="00B241E8"/>
    <w:rsid w:val="00B55616"/>
    <w:rsid w:val="00B557A7"/>
    <w:rsid w:val="00B8417E"/>
    <w:rsid w:val="00B96C42"/>
    <w:rsid w:val="00BF4245"/>
    <w:rsid w:val="00C07C85"/>
    <w:rsid w:val="00C3722C"/>
    <w:rsid w:val="00C41A09"/>
    <w:rsid w:val="00C54032"/>
    <w:rsid w:val="00C562CA"/>
    <w:rsid w:val="00C64786"/>
    <w:rsid w:val="00C662CD"/>
    <w:rsid w:val="00C67845"/>
    <w:rsid w:val="00C81F31"/>
    <w:rsid w:val="00CA3D2B"/>
    <w:rsid w:val="00CB6493"/>
    <w:rsid w:val="00CC1C3F"/>
    <w:rsid w:val="00CE0108"/>
    <w:rsid w:val="00D07559"/>
    <w:rsid w:val="00D220DB"/>
    <w:rsid w:val="00D25A82"/>
    <w:rsid w:val="00D76CCC"/>
    <w:rsid w:val="00D81C6A"/>
    <w:rsid w:val="00D8313A"/>
    <w:rsid w:val="00D976FE"/>
    <w:rsid w:val="00DB7DA9"/>
    <w:rsid w:val="00DD5707"/>
    <w:rsid w:val="00DE2CD3"/>
    <w:rsid w:val="00DE352E"/>
    <w:rsid w:val="00DE7ABD"/>
    <w:rsid w:val="00DF5683"/>
    <w:rsid w:val="00E367C4"/>
    <w:rsid w:val="00E723A1"/>
    <w:rsid w:val="00E841D5"/>
    <w:rsid w:val="00E86BA5"/>
    <w:rsid w:val="00E91880"/>
    <w:rsid w:val="00E9343E"/>
    <w:rsid w:val="00EA1C15"/>
    <w:rsid w:val="00EA2B3D"/>
    <w:rsid w:val="00ED170C"/>
    <w:rsid w:val="00ED7A28"/>
    <w:rsid w:val="00F32EAE"/>
    <w:rsid w:val="00F40EFD"/>
    <w:rsid w:val="00F91C8E"/>
    <w:rsid w:val="00FA04B0"/>
    <w:rsid w:val="00FA47E3"/>
    <w:rsid w:val="00FB773B"/>
    <w:rsid w:val="00FC03C0"/>
    <w:rsid w:val="00FC1AD7"/>
    <w:rsid w:val="00FC53E8"/>
    <w:rsid w:val="00FE3616"/>
    <w:rsid w:val="00FF2E20"/>
    <w:rsid w:val="00FF2E75"/>
    <w:rsid w:val="7F997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6F1A7-0E32-43F6-8A8D-45DC0669D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340</Words>
  <Characters>1940</Characters>
  <Lines>16</Lines>
  <Paragraphs>4</Paragraphs>
  <TotalTime>153</TotalTime>
  <ScaleCrop>false</ScaleCrop>
  <LinksUpToDate>false</LinksUpToDate>
  <CharactersWithSpaces>2276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2021-01-20T01:24:00Z</dcterms:created>
  <dc:creator>qiuyue yang</dc:creator>
  <cp:lastModifiedBy>赵热</cp:lastModifiedBy>
  <cp:lastPrinted>2022-01-11T07:39:00Z</cp:lastPrinted>
  <dcterms:modified xsi:type="dcterms:W3CDTF">2022-01-16T15:08:55Z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73FE46535BDA4B5D87C5AD36288B5144</vt:lpwstr>
  </property>
</Properties>
</file>