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2" w:lineRule="auto"/>
        <w:jc w:val="center"/>
        <w:rPr>
          <w:b/>
          <w:sz w:val="48"/>
        </w:rPr>
      </w:pPr>
    </w:p>
    <w:p>
      <w:pPr>
        <w:pStyle w:val="7"/>
      </w:pPr>
    </w:p>
    <w:p>
      <w:pPr>
        <w:pStyle w:val="8"/>
        <w:rPr>
          <w:lang w:val="zh-CN" w:bidi="zh-CN"/>
        </w:rPr>
      </w:pPr>
    </w:p>
    <w:p/>
    <w:p>
      <w:pPr>
        <w:spacing w:line="392" w:lineRule="auto"/>
        <w:jc w:val="center"/>
        <w:rPr>
          <w:b/>
          <w:sz w:val="44"/>
          <w:szCs w:val="44"/>
        </w:rPr>
      </w:pPr>
      <w:r>
        <w:rPr>
          <w:rFonts w:hint="eastAsia"/>
          <w:b/>
          <w:sz w:val="44"/>
          <w:szCs w:val="44"/>
        </w:rPr>
        <w:t>东营市第二人民医院亚（准）定点医院及后备定点医院建设项目（第三批）</w:t>
      </w:r>
    </w:p>
    <w:p>
      <w:pPr>
        <w:pStyle w:val="2"/>
        <w:ind w:firstLine="640"/>
        <w:rPr>
          <w:rFonts w:eastAsia="仿宋"/>
        </w:rPr>
      </w:pPr>
    </w:p>
    <w:p>
      <w:pPr>
        <w:spacing w:line="392" w:lineRule="auto"/>
        <w:jc w:val="center"/>
        <w:rPr>
          <w:b/>
          <w:sz w:val="72"/>
          <w:szCs w:val="72"/>
        </w:rPr>
      </w:pPr>
      <w:r>
        <w:rPr>
          <w:rFonts w:hint="eastAsia"/>
          <w:b/>
          <w:sz w:val="72"/>
          <w:szCs w:val="72"/>
        </w:rPr>
        <w:t>竞争性磋商文件</w:t>
      </w:r>
    </w:p>
    <w:p>
      <w:pPr>
        <w:pStyle w:val="2"/>
        <w:ind w:firstLine="1446"/>
        <w:rPr>
          <w:rFonts w:eastAsia="仿宋"/>
          <w:b/>
          <w:sz w:val="72"/>
          <w:szCs w:val="72"/>
        </w:rPr>
      </w:pPr>
    </w:p>
    <w:p>
      <w:pPr>
        <w:pStyle w:val="2"/>
        <w:ind w:firstLine="1446"/>
        <w:rPr>
          <w:rFonts w:eastAsia="仿宋"/>
          <w:b/>
          <w:sz w:val="72"/>
          <w:szCs w:val="72"/>
        </w:rPr>
      </w:pPr>
    </w:p>
    <w:p>
      <w:pPr>
        <w:pStyle w:val="2"/>
        <w:ind w:firstLine="1446"/>
        <w:rPr>
          <w:rFonts w:eastAsia="仿宋"/>
          <w:b/>
          <w:sz w:val="72"/>
          <w:szCs w:val="72"/>
        </w:rPr>
      </w:pPr>
    </w:p>
    <w:p>
      <w:pPr>
        <w:spacing w:line="434" w:lineRule="auto"/>
        <w:ind w:right="624" w:firstLine="964" w:firstLineChars="300"/>
        <w:jc w:val="both"/>
        <w:rPr>
          <w:b/>
          <w:sz w:val="32"/>
        </w:rPr>
      </w:pPr>
    </w:p>
    <w:p>
      <w:pPr>
        <w:spacing w:line="434" w:lineRule="auto"/>
        <w:ind w:right="624" w:firstLine="1285" w:firstLineChars="400"/>
        <w:jc w:val="both"/>
        <w:rPr>
          <w:b/>
          <w:sz w:val="32"/>
        </w:rPr>
      </w:pPr>
      <w:r>
        <w:rPr>
          <w:rFonts w:hint="eastAsia"/>
          <w:b/>
          <w:sz w:val="32"/>
        </w:rPr>
        <w:t>采购人：东营市第二人民医院</w:t>
      </w:r>
    </w:p>
    <w:p>
      <w:pPr>
        <w:spacing w:line="434" w:lineRule="auto"/>
        <w:ind w:right="624"/>
        <w:jc w:val="center"/>
        <w:rPr>
          <w:b/>
          <w:w w:val="90"/>
          <w:sz w:val="32"/>
        </w:rPr>
      </w:pPr>
      <w:r>
        <w:rPr>
          <w:rFonts w:hint="eastAsia"/>
          <w:b/>
          <w:sz w:val="32"/>
        </w:rPr>
        <w:t>采购代理机构：</w:t>
      </w:r>
      <w:r>
        <w:rPr>
          <w:rFonts w:hint="eastAsia"/>
          <w:b/>
          <w:w w:val="90"/>
          <w:sz w:val="32"/>
        </w:rPr>
        <w:t>山东隆正项目管理有限公司</w:t>
      </w:r>
    </w:p>
    <w:p>
      <w:pPr>
        <w:spacing w:line="434" w:lineRule="auto"/>
        <w:ind w:right="624"/>
        <w:jc w:val="center"/>
        <w:rPr>
          <w:b/>
          <w:sz w:val="32"/>
        </w:rPr>
      </w:pPr>
      <w:r>
        <w:rPr>
          <w:rFonts w:hint="eastAsia"/>
          <w:b/>
          <w:sz w:val="32"/>
        </w:rPr>
        <w:t>二〇二</w:t>
      </w:r>
      <w:r>
        <w:rPr>
          <w:rFonts w:hint="eastAsia"/>
          <w:b/>
          <w:sz w:val="32"/>
          <w:lang w:val="en-US"/>
        </w:rPr>
        <w:t>二</w:t>
      </w:r>
      <w:r>
        <w:rPr>
          <w:rFonts w:hint="eastAsia"/>
          <w:b/>
          <w:sz w:val="32"/>
        </w:rPr>
        <w:t>年七月</w:t>
      </w:r>
    </w:p>
    <w:p>
      <w:pPr>
        <w:spacing w:line="434" w:lineRule="auto"/>
        <w:ind w:right="624"/>
        <w:jc w:val="center"/>
        <w:rPr>
          <w:b/>
          <w:sz w:val="32"/>
        </w:rPr>
      </w:pPr>
    </w:p>
    <w:p>
      <w:pPr>
        <w:spacing w:line="434" w:lineRule="auto"/>
        <w:ind w:right="624"/>
        <w:jc w:val="center"/>
        <w:rPr>
          <w:b/>
          <w:sz w:val="32"/>
        </w:rPr>
        <w:sectPr>
          <w:type w:val="continuous"/>
          <w:pgSz w:w="11911" w:h="16838"/>
          <w:pgMar w:top="1440" w:right="1800" w:bottom="1440" w:left="1800" w:header="850" w:footer="850" w:gutter="0"/>
          <w:cols w:space="0" w:num="1"/>
          <w:docGrid w:linePitch="299" w:charSpace="0"/>
        </w:sectPr>
      </w:pPr>
    </w:p>
    <w:p>
      <w:pPr>
        <w:tabs>
          <w:tab w:val="left" w:pos="1305"/>
        </w:tabs>
        <w:spacing w:before="4"/>
        <w:ind w:right="118"/>
        <w:jc w:val="center"/>
        <w:rPr>
          <w:b/>
          <w:sz w:val="52"/>
        </w:rPr>
      </w:pPr>
      <w:r>
        <w:rPr>
          <w:rFonts w:hint="eastAsia"/>
          <w:b/>
          <w:sz w:val="52"/>
        </w:rPr>
        <w:t>目</w:t>
      </w:r>
      <w:r>
        <w:rPr>
          <w:rFonts w:hint="eastAsia"/>
          <w:b/>
          <w:sz w:val="52"/>
        </w:rPr>
        <w:tab/>
      </w:r>
      <w:r>
        <w:rPr>
          <w:rFonts w:hint="eastAsia"/>
          <w:b/>
          <w:sz w:val="52"/>
        </w:rPr>
        <w:t>录</w:t>
      </w:r>
    </w:p>
    <w:p>
      <w:pPr>
        <w:pStyle w:val="7"/>
        <w:rPr>
          <w:b/>
          <w:sz w:val="20"/>
        </w:rPr>
      </w:pPr>
    </w:p>
    <w:p>
      <w:pPr>
        <w:pStyle w:val="7"/>
        <w:rPr>
          <w:b/>
          <w:sz w:val="20"/>
        </w:rPr>
      </w:pPr>
    </w:p>
    <w:p>
      <w:pPr>
        <w:pStyle w:val="7"/>
        <w:rPr>
          <w:b/>
          <w:sz w:val="20"/>
        </w:rPr>
      </w:pPr>
    </w:p>
    <w:p>
      <w:pPr>
        <w:pStyle w:val="4"/>
        <w:tabs>
          <w:tab w:val="left" w:pos="1501"/>
          <w:tab w:val="left" w:pos="2144"/>
        </w:tabs>
        <w:spacing w:line="480" w:lineRule="auto"/>
        <w:ind w:left="0" w:firstLine="643" w:firstLineChars="200"/>
        <w:jc w:val="both"/>
      </w:pPr>
      <w:r>
        <w:rPr>
          <w:rFonts w:hint="eastAsia"/>
        </w:rPr>
        <w:t>竞争性磋商邀请</w:t>
      </w:r>
      <w:r>
        <w:rPr>
          <w:rFonts w:hint="eastAsia"/>
          <w:lang w:val="en-US"/>
        </w:rPr>
        <w:t>公告</w:t>
      </w:r>
    </w:p>
    <w:p>
      <w:pPr>
        <w:pStyle w:val="4"/>
        <w:tabs>
          <w:tab w:val="left" w:pos="1501"/>
          <w:tab w:val="left" w:pos="2144"/>
        </w:tabs>
        <w:spacing w:line="480" w:lineRule="auto"/>
        <w:ind w:left="0" w:firstLine="643" w:firstLineChars="200"/>
        <w:jc w:val="both"/>
      </w:pPr>
      <w:r>
        <w:rPr>
          <w:rFonts w:hint="eastAsia"/>
        </w:rPr>
        <w:t>第一章</w:t>
      </w:r>
      <w:r>
        <w:rPr>
          <w:rFonts w:hint="eastAsia"/>
          <w:lang w:val="en-US"/>
        </w:rPr>
        <w:t xml:space="preserve">  </w:t>
      </w:r>
      <w:r>
        <w:rPr>
          <w:rFonts w:hint="eastAsia"/>
        </w:rPr>
        <w:t>总</w:t>
      </w:r>
      <w:r>
        <w:rPr>
          <w:rFonts w:hint="eastAsia"/>
          <w:lang w:val="en-US"/>
        </w:rPr>
        <w:t xml:space="preserve">  </w:t>
      </w:r>
      <w:r>
        <w:rPr>
          <w:rFonts w:hint="eastAsia"/>
        </w:rPr>
        <w:t>则</w:t>
      </w:r>
    </w:p>
    <w:p>
      <w:pPr>
        <w:tabs>
          <w:tab w:val="left" w:pos="1501"/>
        </w:tabs>
        <w:spacing w:line="480" w:lineRule="auto"/>
        <w:ind w:firstLine="643" w:firstLineChars="200"/>
        <w:jc w:val="both"/>
        <w:rPr>
          <w:b/>
          <w:sz w:val="32"/>
        </w:rPr>
      </w:pPr>
      <w:r>
        <w:rPr>
          <w:rFonts w:hint="eastAsia"/>
          <w:b/>
          <w:sz w:val="32"/>
        </w:rPr>
        <w:t>第二章</w:t>
      </w:r>
      <w:r>
        <w:rPr>
          <w:rFonts w:hint="eastAsia"/>
          <w:b/>
          <w:sz w:val="32"/>
          <w:lang w:val="en-US"/>
        </w:rPr>
        <w:t xml:space="preserve">  </w:t>
      </w:r>
      <w:r>
        <w:rPr>
          <w:rFonts w:hint="eastAsia"/>
          <w:b/>
          <w:sz w:val="32"/>
        </w:rPr>
        <w:t>供应商条件及须提供的资信证明</w:t>
      </w:r>
    </w:p>
    <w:p>
      <w:pPr>
        <w:tabs>
          <w:tab w:val="left" w:pos="1501"/>
          <w:tab w:val="left" w:pos="6045"/>
        </w:tabs>
        <w:spacing w:line="480" w:lineRule="auto"/>
        <w:ind w:firstLine="643" w:firstLineChars="200"/>
        <w:jc w:val="both"/>
        <w:rPr>
          <w:b/>
          <w:sz w:val="32"/>
        </w:rPr>
      </w:pPr>
      <w:r>
        <w:rPr>
          <w:rFonts w:hint="eastAsia"/>
          <w:b/>
          <w:sz w:val="32"/>
        </w:rPr>
        <w:t>第三章</w:t>
      </w:r>
      <w:r>
        <w:rPr>
          <w:rFonts w:hint="eastAsia"/>
          <w:b/>
          <w:sz w:val="32"/>
          <w:lang w:val="en-US"/>
        </w:rPr>
        <w:t xml:space="preserve">  </w:t>
      </w:r>
      <w:r>
        <w:rPr>
          <w:rFonts w:hint="eastAsia"/>
          <w:b/>
          <w:sz w:val="32"/>
        </w:rPr>
        <w:t>磋商时间及</w:t>
      </w:r>
      <w:r>
        <w:rPr>
          <w:rFonts w:hint="eastAsia"/>
          <w:b/>
          <w:sz w:val="32"/>
          <w:lang w:val="en-US"/>
        </w:rPr>
        <w:t>地点</w:t>
      </w:r>
      <w:r>
        <w:rPr>
          <w:b/>
          <w:sz w:val="32"/>
        </w:rPr>
        <w:tab/>
      </w:r>
    </w:p>
    <w:p>
      <w:pPr>
        <w:tabs>
          <w:tab w:val="left" w:pos="1501"/>
        </w:tabs>
        <w:spacing w:line="480" w:lineRule="auto"/>
        <w:ind w:firstLine="643" w:firstLineChars="200"/>
        <w:jc w:val="both"/>
        <w:rPr>
          <w:b/>
          <w:sz w:val="32"/>
        </w:rPr>
      </w:pPr>
      <w:r>
        <w:rPr>
          <w:rFonts w:hint="eastAsia"/>
          <w:b/>
          <w:sz w:val="32"/>
        </w:rPr>
        <w:t>第四章</w:t>
      </w:r>
      <w:r>
        <w:rPr>
          <w:rFonts w:hint="eastAsia"/>
          <w:b/>
          <w:sz w:val="32"/>
          <w:lang w:val="en-US"/>
        </w:rPr>
        <w:t xml:space="preserve">  </w:t>
      </w:r>
      <w:r>
        <w:rPr>
          <w:rFonts w:hint="eastAsia"/>
          <w:b/>
          <w:sz w:val="32"/>
        </w:rPr>
        <w:t>响应文件编制与递交</w:t>
      </w:r>
    </w:p>
    <w:p>
      <w:pPr>
        <w:tabs>
          <w:tab w:val="left" w:pos="1501"/>
        </w:tabs>
        <w:spacing w:line="480" w:lineRule="auto"/>
        <w:ind w:firstLine="643" w:firstLineChars="200"/>
        <w:jc w:val="both"/>
        <w:rPr>
          <w:b/>
          <w:sz w:val="32"/>
        </w:rPr>
      </w:pPr>
      <w:r>
        <w:rPr>
          <w:rFonts w:hint="eastAsia"/>
          <w:b/>
          <w:sz w:val="32"/>
        </w:rPr>
        <w:t>第五章</w:t>
      </w:r>
      <w:r>
        <w:rPr>
          <w:rFonts w:hint="eastAsia"/>
          <w:b/>
          <w:sz w:val="32"/>
          <w:lang w:val="en-US"/>
        </w:rPr>
        <w:t xml:space="preserve">  </w:t>
      </w:r>
      <w:r>
        <w:rPr>
          <w:rFonts w:hint="eastAsia"/>
          <w:b/>
          <w:sz w:val="32"/>
        </w:rPr>
        <w:t>磋商程序和办法</w:t>
      </w:r>
    </w:p>
    <w:p>
      <w:pPr>
        <w:tabs>
          <w:tab w:val="left" w:pos="1501"/>
        </w:tabs>
        <w:spacing w:line="480" w:lineRule="auto"/>
        <w:ind w:firstLine="643" w:firstLineChars="200"/>
        <w:jc w:val="both"/>
        <w:rPr>
          <w:b/>
          <w:sz w:val="32"/>
        </w:rPr>
      </w:pPr>
      <w:r>
        <w:rPr>
          <w:rFonts w:hint="eastAsia"/>
          <w:b/>
          <w:sz w:val="32"/>
        </w:rPr>
        <w:t>第六章</w:t>
      </w:r>
      <w:r>
        <w:rPr>
          <w:rFonts w:hint="eastAsia"/>
          <w:b/>
          <w:sz w:val="32"/>
          <w:lang w:val="en-US"/>
        </w:rPr>
        <w:t xml:space="preserve">  </w:t>
      </w:r>
      <w:r>
        <w:rPr>
          <w:rFonts w:hint="eastAsia"/>
          <w:b/>
          <w:sz w:val="32"/>
        </w:rPr>
        <w:t>评定成交供应商</w:t>
      </w:r>
    </w:p>
    <w:p>
      <w:pPr>
        <w:tabs>
          <w:tab w:val="left" w:pos="1501"/>
        </w:tabs>
        <w:spacing w:line="480" w:lineRule="auto"/>
        <w:ind w:firstLine="643" w:firstLineChars="200"/>
        <w:jc w:val="both"/>
        <w:rPr>
          <w:b/>
          <w:sz w:val="32"/>
        </w:rPr>
      </w:pPr>
      <w:r>
        <w:rPr>
          <w:rFonts w:hint="eastAsia"/>
          <w:b/>
          <w:sz w:val="32"/>
        </w:rPr>
        <w:t>第七章</w:t>
      </w:r>
      <w:r>
        <w:rPr>
          <w:rFonts w:hint="eastAsia"/>
          <w:b/>
          <w:sz w:val="32"/>
          <w:lang w:val="en-US"/>
        </w:rPr>
        <w:t xml:space="preserve">  </w:t>
      </w:r>
      <w:r>
        <w:rPr>
          <w:rFonts w:hint="eastAsia"/>
          <w:b/>
          <w:sz w:val="32"/>
        </w:rPr>
        <w:t>成交通知书及合同</w:t>
      </w:r>
    </w:p>
    <w:p>
      <w:pPr>
        <w:spacing w:line="480" w:lineRule="auto"/>
        <w:ind w:firstLine="643" w:firstLineChars="200"/>
        <w:jc w:val="both"/>
        <w:rPr>
          <w:b/>
          <w:sz w:val="32"/>
        </w:rPr>
      </w:pPr>
      <w:r>
        <w:rPr>
          <w:rFonts w:hint="eastAsia"/>
          <w:b/>
          <w:sz w:val="32"/>
        </w:rPr>
        <w:t>第八章</w:t>
      </w:r>
      <w:r>
        <w:rPr>
          <w:rFonts w:hint="eastAsia"/>
          <w:b/>
          <w:sz w:val="32"/>
          <w:lang w:val="en-US"/>
        </w:rPr>
        <w:t xml:space="preserve">  </w:t>
      </w:r>
      <w:r>
        <w:rPr>
          <w:rFonts w:hint="eastAsia"/>
          <w:b/>
          <w:sz w:val="32"/>
        </w:rPr>
        <w:t>采购人责任</w:t>
      </w:r>
    </w:p>
    <w:p>
      <w:pPr>
        <w:spacing w:line="480" w:lineRule="auto"/>
        <w:ind w:firstLine="643" w:firstLineChars="200"/>
        <w:jc w:val="both"/>
        <w:rPr>
          <w:b/>
          <w:sz w:val="32"/>
        </w:rPr>
      </w:pPr>
      <w:r>
        <w:rPr>
          <w:rFonts w:hint="eastAsia"/>
          <w:b/>
          <w:sz w:val="32"/>
        </w:rPr>
        <w:t>第九章</w:t>
      </w:r>
      <w:r>
        <w:rPr>
          <w:rFonts w:hint="eastAsia"/>
          <w:b/>
          <w:sz w:val="32"/>
          <w:lang w:val="en-US"/>
        </w:rPr>
        <w:t xml:space="preserve">  </w:t>
      </w:r>
      <w:r>
        <w:rPr>
          <w:rFonts w:hint="eastAsia"/>
          <w:b/>
          <w:sz w:val="32"/>
        </w:rPr>
        <w:t>供应商责任</w:t>
      </w:r>
    </w:p>
    <w:p>
      <w:pPr>
        <w:spacing w:line="480" w:lineRule="auto"/>
        <w:ind w:firstLine="643" w:firstLineChars="200"/>
        <w:jc w:val="both"/>
        <w:rPr>
          <w:sz w:val="32"/>
        </w:rPr>
        <w:sectPr>
          <w:pgSz w:w="11911" w:h="16838"/>
          <w:pgMar w:top="1440" w:right="1440" w:bottom="1440" w:left="1440" w:header="850" w:footer="850" w:gutter="0"/>
          <w:cols w:space="0" w:num="1"/>
        </w:sectPr>
      </w:pPr>
      <w:r>
        <w:rPr>
          <w:rFonts w:hint="eastAsia"/>
          <w:b/>
          <w:sz w:val="32"/>
        </w:rPr>
        <w:t>第十章</w:t>
      </w:r>
      <w:r>
        <w:rPr>
          <w:rFonts w:hint="eastAsia"/>
          <w:b/>
          <w:sz w:val="32"/>
          <w:lang w:val="en-US"/>
        </w:rPr>
        <w:t xml:space="preserve">  </w:t>
      </w:r>
      <w:r>
        <w:rPr>
          <w:rFonts w:hint="eastAsia"/>
          <w:b/>
          <w:sz w:val="32"/>
        </w:rPr>
        <w:t>其他内容</w:t>
      </w:r>
    </w:p>
    <w:p>
      <w:pPr>
        <w:pStyle w:val="5"/>
        <w:spacing w:line="360" w:lineRule="auto"/>
        <w:ind w:right="0"/>
      </w:pPr>
      <w:r>
        <w:rPr>
          <w:rFonts w:hint="eastAsia"/>
        </w:rPr>
        <w:t>东营市第二人民医院亚（准）定点医院及后备定点医院建设项目（第三批）</w:t>
      </w:r>
    </w:p>
    <w:p>
      <w:pPr>
        <w:pStyle w:val="5"/>
        <w:spacing w:line="360" w:lineRule="auto"/>
        <w:ind w:right="0"/>
      </w:pPr>
      <w:r>
        <w:rPr>
          <w:rFonts w:hint="eastAsia"/>
        </w:rPr>
        <w:t>竞争性磋商</w:t>
      </w:r>
      <w:r>
        <w:rPr>
          <w:rFonts w:hint="eastAsia"/>
          <w:lang w:val="en-US"/>
        </w:rPr>
        <w:t>公告</w:t>
      </w:r>
    </w:p>
    <w:p>
      <w:pPr>
        <w:pStyle w:val="7"/>
        <w:ind w:firstLine="480" w:firstLineChars="200"/>
        <w:jc w:val="both"/>
      </w:pPr>
    </w:p>
    <w:p>
      <w:pPr>
        <w:pStyle w:val="7"/>
        <w:spacing w:line="400" w:lineRule="exact"/>
        <w:ind w:firstLine="480" w:firstLineChars="200"/>
        <w:jc w:val="both"/>
      </w:pPr>
      <w:r>
        <w:rPr>
          <w:rFonts w:hint="eastAsia"/>
        </w:rPr>
        <w:t>一、采购人：东营市第二人民医院</w:t>
      </w:r>
    </w:p>
    <w:p>
      <w:pPr>
        <w:pStyle w:val="7"/>
        <w:spacing w:line="400" w:lineRule="exact"/>
        <w:ind w:firstLine="480" w:firstLineChars="200"/>
        <w:jc w:val="both"/>
      </w:pPr>
      <w:r>
        <w:rPr>
          <w:rFonts w:hint="eastAsia"/>
        </w:rPr>
        <w:t>地  址：东营市广饶县大王镇常春路</w:t>
      </w:r>
      <w:r>
        <w:t>28号</w:t>
      </w:r>
    </w:p>
    <w:p>
      <w:pPr>
        <w:pStyle w:val="7"/>
        <w:spacing w:line="400" w:lineRule="exact"/>
        <w:ind w:firstLine="480" w:firstLineChars="200"/>
        <w:jc w:val="both"/>
      </w:pPr>
      <w:r>
        <w:rPr>
          <w:rFonts w:hint="eastAsia"/>
        </w:rPr>
        <w:t>联系人：李振兴</w:t>
      </w:r>
    </w:p>
    <w:p>
      <w:pPr>
        <w:pStyle w:val="7"/>
        <w:spacing w:line="400" w:lineRule="exact"/>
        <w:ind w:firstLine="480" w:firstLineChars="200"/>
        <w:jc w:val="both"/>
      </w:pPr>
      <w:r>
        <w:rPr>
          <w:rFonts w:hint="eastAsia"/>
        </w:rPr>
        <w:t>联系方式：0546-6883295/18654610530</w:t>
      </w:r>
    </w:p>
    <w:p>
      <w:pPr>
        <w:pStyle w:val="7"/>
        <w:spacing w:line="400" w:lineRule="exact"/>
        <w:ind w:firstLine="480" w:firstLineChars="200"/>
        <w:jc w:val="both"/>
      </w:pPr>
      <w:r>
        <w:rPr>
          <w:rFonts w:hint="eastAsia"/>
        </w:rPr>
        <w:t>采购代理机构：山东隆正项目管理有限公司</w:t>
      </w:r>
    </w:p>
    <w:p>
      <w:pPr>
        <w:pStyle w:val="7"/>
        <w:tabs>
          <w:tab w:val="left" w:pos="1297"/>
        </w:tabs>
        <w:spacing w:line="400" w:lineRule="exact"/>
        <w:ind w:firstLine="480" w:firstLineChars="200"/>
        <w:jc w:val="both"/>
        <w:rPr>
          <w:lang w:val="en-US"/>
        </w:rPr>
      </w:pPr>
      <w:r>
        <w:rPr>
          <w:rFonts w:hint="eastAsia"/>
        </w:rPr>
        <w:t>地</w:t>
      </w:r>
      <w:r>
        <w:rPr>
          <w:rFonts w:hint="eastAsia"/>
          <w:lang w:val="en-US"/>
        </w:rPr>
        <w:t xml:space="preserve">  </w:t>
      </w:r>
      <w:r>
        <w:rPr>
          <w:rFonts w:hint="eastAsia"/>
        </w:rPr>
        <w:t>址：东营市北二路与普陀山路交叉路口现代星城2号楼708室</w:t>
      </w:r>
    </w:p>
    <w:p>
      <w:pPr>
        <w:pStyle w:val="7"/>
        <w:tabs>
          <w:tab w:val="left" w:pos="1297"/>
        </w:tabs>
        <w:spacing w:line="400" w:lineRule="exact"/>
        <w:ind w:firstLine="480" w:firstLineChars="200"/>
        <w:jc w:val="both"/>
      </w:pPr>
      <w:r>
        <w:rPr>
          <w:rFonts w:hint="eastAsia"/>
        </w:rPr>
        <w:t>联系人：</w:t>
      </w:r>
      <w:r>
        <w:rPr>
          <w:rFonts w:hint="eastAsia"/>
          <w:lang w:val="en-US"/>
        </w:rPr>
        <w:t>苟先生</w:t>
      </w:r>
    </w:p>
    <w:p>
      <w:pPr>
        <w:pStyle w:val="7"/>
        <w:tabs>
          <w:tab w:val="left" w:pos="1297"/>
        </w:tabs>
        <w:spacing w:line="400" w:lineRule="exact"/>
        <w:ind w:firstLine="480" w:firstLineChars="200"/>
        <w:jc w:val="both"/>
        <w:rPr>
          <w:lang w:val="en-US"/>
        </w:rPr>
      </w:pPr>
      <w:r>
        <w:rPr>
          <w:rFonts w:hint="eastAsia"/>
        </w:rPr>
        <w:t>联系方式：</w:t>
      </w:r>
      <w:r>
        <w:rPr>
          <w:rFonts w:hint="eastAsia"/>
          <w:lang w:val="en-US"/>
        </w:rPr>
        <w:t>13589964466</w:t>
      </w:r>
    </w:p>
    <w:p>
      <w:pPr>
        <w:pStyle w:val="7"/>
        <w:spacing w:line="400" w:lineRule="exact"/>
        <w:ind w:firstLine="480" w:firstLineChars="200"/>
        <w:jc w:val="both"/>
      </w:pPr>
      <w:r>
        <w:rPr>
          <w:rFonts w:hint="eastAsia"/>
        </w:rPr>
        <w:t>二、采购项目名称：东营市第二人民医院亚（准）定点医院及后备定点医院建设项目（第三批）</w:t>
      </w:r>
    </w:p>
    <w:p>
      <w:pPr>
        <w:pStyle w:val="7"/>
        <w:spacing w:line="400" w:lineRule="exact"/>
        <w:ind w:firstLine="480" w:firstLineChars="200"/>
        <w:jc w:val="both"/>
        <w:rPr>
          <w:lang w:val="en-US"/>
        </w:rPr>
      </w:pPr>
      <w:r>
        <w:rPr>
          <w:rFonts w:hint="eastAsia"/>
          <w:lang w:val="en-US"/>
        </w:rPr>
        <w:t>采购项目编号：DYEY2022053#</w:t>
      </w:r>
    </w:p>
    <w:p>
      <w:pPr>
        <w:pStyle w:val="7"/>
        <w:spacing w:line="400" w:lineRule="exact"/>
        <w:ind w:firstLine="480" w:firstLineChars="200"/>
        <w:jc w:val="both"/>
      </w:pPr>
      <w:r>
        <w:rPr>
          <w:rFonts w:hint="eastAsia"/>
        </w:rPr>
        <w:t>采购项目分包情况：</w:t>
      </w:r>
    </w:p>
    <w:tbl>
      <w:tblPr>
        <w:tblStyle w:val="18"/>
        <w:tblW w:w="90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1418"/>
        <w:gridCol w:w="5637"/>
        <w:gridCol w:w="1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721" w:type="dxa"/>
            <w:vAlign w:val="center"/>
          </w:tcPr>
          <w:p>
            <w:pPr>
              <w:pStyle w:val="26"/>
              <w:spacing w:line="400" w:lineRule="exact"/>
              <w:ind w:left="110" w:leftChars="50" w:right="110" w:rightChars="50"/>
              <w:jc w:val="center"/>
              <w:rPr>
                <w:sz w:val="21"/>
                <w:szCs w:val="21"/>
                <w:lang w:val="en-US"/>
              </w:rPr>
            </w:pPr>
            <w:r>
              <w:rPr>
                <w:rFonts w:hint="eastAsia"/>
                <w:sz w:val="21"/>
                <w:szCs w:val="21"/>
                <w:lang w:val="en-US"/>
              </w:rPr>
              <w:t>标包</w:t>
            </w:r>
          </w:p>
        </w:tc>
        <w:tc>
          <w:tcPr>
            <w:tcW w:w="1418" w:type="dxa"/>
            <w:vAlign w:val="center"/>
          </w:tcPr>
          <w:p>
            <w:pPr>
              <w:pStyle w:val="26"/>
              <w:spacing w:line="400" w:lineRule="exact"/>
              <w:ind w:left="110" w:leftChars="50" w:right="110" w:rightChars="50"/>
              <w:jc w:val="center"/>
              <w:rPr>
                <w:sz w:val="21"/>
                <w:szCs w:val="21"/>
                <w:lang w:val="en-US"/>
              </w:rPr>
            </w:pPr>
            <w:r>
              <w:rPr>
                <w:rFonts w:hint="eastAsia"/>
                <w:sz w:val="21"/>
                <w:szCs w:val="21"/>
                <w:lang w:val="en-US"/>
              </w:rPr>
              <w:t>货物服务名称</w:t>
            </w:r>
          </w:p>
        </w:tc>
        <w:tc>
          <w:tcPr>
            <w:tcW w:w="5637" w:type="dxa"/>
            <w:vAlign w:val="center"/>
          </w:tcPr>
          <w:p>
            <w:pPr>
              <w:pStyle w:val="26"/>
              <w:spacing w:line="400" w:lineRule="exact"/>
              <w:ind w:left="110" w:leftChars="50" w:right="110" w:rightChars="50"/>
              <w:jc w:val="center"/>
              <w:rPr>
                <w:sz w:val="21"/>
                <w:szCs w:val="21"/>
              </w:rPr>
            </w:pPr>
            <w:r>
              <w:rPr>
                <w:rFonts w:hint="eastAsia"/>
                <w:sz w:val="21"/>
                <w:szCs w:val="21"/>
              </w:rPr>
              <w:t>供应商资格要求</w:t>
            </w:r>
          </w:p>
        </w:tc>
        <w:tc>
          <w:tcPr>
            <w:tcW w:w="1278" w:type="dxa"/>
            <w:vAlign w:val="center"/>
          </w:tcPr>
          <w:p>
            <w:pPr>
              <w:pStyle w:val="26"/>
              <w:spacing w:line="400" w:lineRule="exact"/>
              <w:jc w:val="center"/>
              <w:rPr>
                <w:sz w:val="21"/>
                <w:szCs w:val="21"/>
              </w:rPr>
            </w:pPr>
            <w:r>
              <w:rPr>
                <w:rFonts w:hint="eastAsia"/>
                <w:sz w:val="21"/>
                <w:szCs w:val="21"/>
              </w:rPr>
              <w:t>预算金额</w:t>
            </w:r>
          </w:p>
          <w:p>
            <w:pPr>
              <w:pStyle w:val="26"/>
              <w:spacing w:line="400" w:lineRule="exact"/>
              <w:jc w:val="center"/>
              <w:rPr>
                <w:sz w:val="21"/>
                <w:szCs w:val="21"/>
              </w:rPr>
            </w:pPr>
            <w:r>
              <w:rPr>
                <w:rFonts w:hint="eastAsia"/>
                <w:sz w:val="21"/>
                <w:szCs w:val="21"/>
              </w:rPr>
              <w:t>（</w:t>
            </w:r>
            <w:r>
              <w:rPr>
                <w:rFonts w:hint="eastAsia"/>
                <w:sz w:val="21"/>
                <w:szCs w:val="21"/>
                <w:lang w:val="en-US"/>
              </w:rPr>
              <w:t>最高限价</w:t>
            </w:r>
            <w:r>
              <w:rPr>
                <w:rFonts w:hint="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721" w:type="dxa"/>
            <w:tcBorders>
              <w:bottom w:val="single" w:color="auto" w:sz="4" w:space="0"/>
            </w:tcBorders>
            <w:vAlign w:val="center"/>
          </w:tcPr>
          <w:p>
            <w:pPr>
              <w:pStyle w:val="26"/>
              <w:spacing w:line="400" w:lineRule="exact"/>
              <w:ind w:left="110" w:leftChars="50" w:right="110" w:rightChars="50"/>
              <w:jc w:val="center"/>
              <w:rPr>
                <w:sz w:val="21"/>
                <w:szCs w:val="21"/>
              </w:rPr>
            </w:pPr>
            <w:r>
              <w:rPr>
                <w:sz w:val="21"/>
                <w:szCs w:val="21"/>
                <w:lang w:val="en-US"/>
              </w:rPr>
              <w:t>A</w:t>
            </w:r>
          </w:p>
        </w:tc>
        <w:tc>
          <w:tcPr>
            <w:tcW w:w="1418" w:type="dxa"/>
            <w:tcBorders>
              <w:bottom w:val="single" w:color="auto" w:sz="4" w:space="0"/>
            </w:tcBorders>
            <w:vAlign w:val="center"/>
          </w:tcPr>
          <w:p>
            <w:pPr>
              <w:pStyle w:val="26"/>
              <w:spacing w:line="400" w:lineRule="exact"/>
              <w:ind w:left="110" w:leftChars="50" w:right="110" w:rightChars="50"/>
              <w:jc w:val="center"/>
              <w:rPr>
                <w:sz w:val="21"/>
                <w:szCs w:val="21"/>
              </w:rPr>
            </w:pPr>
            <w:r>
              <w:rPr>
                <w:rFonts w:hint="eastAsia"/>
                <w:sz w:val="21"/>
                <w:szCs w:val="21"/>
              </w:rPr>
              <w:t>监护床类</w:t>
            </w:r>
          </w:p>
        </w:tc>
        <w:tc>
          <w:tcPr>
            <w:tcW w:w="5637" w:type="dxa"/>
            <w:vMerge w:val="restart"/>
            <w:vAlign w:val="center"/>
          </w:tcPr>
          <w:p>
            <w:pPr>
              <w:widowControl/>
              <w:spacing w:line="400" w:lineRule="exact"/>
              <w:ind w:left="110" w:leftChars="50" w:right="110" w:rightChars="50"/>
              <w:jc w:val="both"/>
              <w:rPr>
                <w:sz w:val="24"/>
                <w:szCs w:val="24"/>
              </w:rPr>
            </w:pPr>
            <w:r>
              <w:rPr>
                <w:rFonts w:hint="eastAsia"/>
                <w:sz w:val="24"/>
                <w:szCs w:val="24"/>
              </w:rPr>
              <w:t>（一）供应商须具有《中华人民共和国政府采购法》第二十二条规定的条件；</w:t>
            </w:r>
          </w:p>
          <w:p>
            <w:pPr>
              <w:spacing w:line="400" w:lineRule="exact"/>
              <w:ind w:left="110" w:leftChars="50" w:right="110" w:rightChars="50"/>
              <w:jc w:val="both"/>
              <w:rPr>
                <w:sz w:val="24"/>
                <w:szCs w:val="24"/>
              </w:rPr>
            </w:pPr>
            <w:r>
              <w:rPr>
                <w:rFonts w:hint="eastAsia"/>
                <w:sz w:val="24"/>
                <w:szCs w:val="24"/>
              </w:rPr>
              <w:t>（二）具有生产或销售能力的国内独立企业法人，生产商投标的应具有《医疗器械生产许可证》，代理商投标的应具有《医疗器械经营许可证》</w:t>
            </w:r>
            <w:r>
              <w:rPr>
                <w:rFonts w:hint="eastAsia"/>
                <w:sz w:val="24"/>
                <w:szCs w:val="24"/>
                <w:lang w:val="en-US"/>
              </w:rPr>
              <w:t>或《医疗器械的经营备案凭证》</w:t>
            </w:r>
            <w:r>
              <w:rPr>
                <w:rFonts w:hint="eastAsia"/>
                <w:sz w:val="24"/>
                <w:szCs w:val="24"/>
              </w:rPr>
              <w:t xml:space="preserve">； </w:t>
            </w:r>
          </w:p>
          <w:p>
            <w:pPr>
              <w:spacing w:line="400" w:lineRule="exact"/>
              <w:ind w:left="110" w:leftChars="50" w:right="110" w:rightChars="50"/>
              <w:jc w:val="both"/>
              <w:rPr>
                <w:sz w:val="24"/>
                <w:szCs w:val="24"/>
              </w:rPr>
            </w:pPr>
            <w:r>
              <w:rPr>
                <w:rFonts w:hint="eastAsia"/>
                <w:sz w:val="24"/>
                <w:szCs w:val="24"/>
              </w:rPr>
              <w:t>（三）供应商所投货物须具有《中华人民共和国医疗器械注册证》（如有附表，需提供附表）或产品备案表（如需）；</w:t>
            </w:r>
          </w:p>
          <w:p>
            <w:pPr>
              <w:spacing w:line="400" w:lineRule="exact"/>
              <w:ind w:left="110" w:leftChars="50" w:right="110" w:rightChars="50"/>
              <w:jc w:val="both"/>
              <w:rPr>
                <w:sz w:val="24"/>
                <w:szCs w:val="24"/>
              </w:rPr>
            </w:pPr>
            <w:r>
              <w:rPr>
                <w:rFonts w:hint="eastAsia"/>
                <w:sz w:val="24"/>
                <w:szCs w:val="24"/>
              </w:rPr>
              <w:t>（四）供应商近三年（截止时间为磋商日前3个工作日内）没有被“信用中国”网站、“中国政府采购网”网站列入失信被执行人、重大税收违法失信名单、政府采购严重违法失信行为记录名单的或被“信用中国”网站、“中国政府采购网”网站列入失信被执行人、重大税收违法失信名单、政府采购严重违法失信行为记录名单但已过限制期的；</w:t>
            </w:r>
          </w:p>
          <w:p>
            <w:pPr>
              <w:spacing w:line="400" w:lineRule="exact"/>
              <w:ind w:left="110" w:leftChars="50" w:right="110" w:rightChars="50"/>
              <w:jc w:val="both"/>
              <w:rPr>
                <w:sz w:val="21"/>
                <w:szCs w:val="21"/>
              </w:rPr>
            </w:pPr>
            <w:r>
              <w:rPr>
                <w:rFonts w:hint="eastAsia"/>
                <w:sz w:val="24"/>
                <w:szCs w:val="24"/>
              </w:rPr>
              <w:t>（</w:t>
            </w:r>
            <w:r>
              <w:rPr>
                <w:rFonts w:hint="eastAsia"/>
                <w:sz w:val="24"/>
                <w:szCs w:val="24"/>
                <w:lang w:val="en-US" w:eastAsia="zh-CN"/>
              </w:rPr>
              <w:t>五</w:t>
            </w:r>
            <w:r>
              <w:rPr>
                <w:rFonts w:hint="eastAsia"/>
                <w:sz w:val="24"/>
                <w:szCs w:val="24"/>
              </w:rPr>
              <w:t>）本项目不接受联合体参与。</w:t>
            </w:r>
          </w:p>
        </w:tc>
        <w:tc>
          <w:tcPr>
            <w:tcW w:w="1278" w:type="dxa"/>
            <w:tcBorders>
              <w:bottom w:val="single" w:color="auto" w:sz="4" w:space="0"/>
            </w:tcBorders>
            <w:vAlign w:val="center"/>
          </w:tcPr>
          <w:p>
            <w:pPr>
              <w:pStyle w:val="26"/>
              <w:spacing w:line="400" w:lineRule="exact"/>
              <w:ind w:left="110" w:leftChars="50" w:right="110" w:rightChars="50"/>
              <w:jc w:val="center"/>
              <w:rPr>
                <w:sz w:val="21"/>
                <w:szCs w:val="21"/>
              </w:rPr>
            </w:pPr>
            <w:r>
              <w:rPr>
                <w:sz w:val="21"/>
                <w:szCs w:val="21"/>
              </w:rPr>
              <w:t>500</w:t>
            </w:r>
            <w:r>
              <w:rPr>
                <w:rFonts w:hint="eastAsia"/>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721"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B</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rPr>
            </w:pPr>
            <w:r>
              <w:rPr>
                <w:rFonts w:hint="eastAsia"/>
                <w:sz w:val="21"/>
                <w:szCs w:val="21"/>
              </w:rPr>
              <w:t>普通床类</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sz w:val="21"/>
                <w:szCs w:val="21"/>
                <w:lang w:val="en-US"/>
              </w:rPr>
              <w:t>80</w:t>
            </w:r>
            <w:r>
              <w:rPr>
                <w:rFonts w:hint="eastAsia"/>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721"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C</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rPr>
            </w:pPr>
            <w:r>
              <w:rPr>
                <w:rFonts w:hint="eastAsia"/>
                <w:sz w:val="21"/>
                <w:szCs w:val="21"/>
              </w:rPr>
              <w:t>物理排痰装置</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sz w:val="21"/>
                <w:szCs w:val="21"/>
                <w:lang w:val="en-US"/>
              </w:rPr>
              <w:t>60</w:t>
            </w:r>
            <w:r>
              <w:rPr>
                <w:rFonts w:hint="eastAsia"/>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721"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D</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rPr>
            </w:pPr>
            <w:r>
              <w:rPr>
                <w:rFonts w:hint="eastAsia"/>
                <w:sz w:val="21"/>
                <w:szCs w:val="21"/>
              </w:rPr>
              <w:t>气动加压泵</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sz w:val="21"/>
                <w:szCs w:val="21"/>
                <w:lang w:val="en-US"/>
              </w:rPr>
              <w:t>60</w:t>
            </w:r>
            <w:r>
              <w:rPr>
                <w:rFonts w:hint="eastAsia"/>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721"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E</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rPr>
            </w:pPr>
            <w:r>
              <w:rPr>
                <w:rFonts w:hint="eastAsia"/>
                <w:sz w:val="21"/>
                <w:szCs w:val="21"/>
              </w:rPr>
              <w:t>电子升降温设备</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sz w:val="21"/>
                <w:szCs w:val="21"/>
                <w:lang w:val="en-US"/>
              </w:rPr>
              <w:t>60</w:t>
            </w:r>
            <w:r>
              <w:rPr>
                <w:rFonts w:hint="eastAsia"/>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F</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rPr>
            </w:pPr>
            <w:r>
              <w:rPr>
                <w:rFonts w:hint="eastAsia"/>
                <w:sz w:val="21"/>
                <w:szCs w:val="21"/>
              </w:rPr>
              <w:t>手持脉搏血氧测定仪</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sz w:val="21"/>
                <w:szCs w:val="21"/>
                <w:lang w:val="en-US"/>
              </w:rPr>
              <w:t>20</w:t>
            </w:r>
            <w:r>
              <w:rPr>
                <w:rFonts w:hint="eastAsia"/>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G</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过氧化氢消毒机</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1</w:t>
            </w:r>
            <w:r>
              <w:rPr>
                <w:sz w:val="21"/>
                <w:szCs w:val="21"/>
                <w:lang w:val="en-US"/>
              </w:rPr>
              <w:t>50</w:t>
            </w:r>
            <w:r>
              <w:rPr>
                <w:rFonts w:hint="eastAsia"/>
                <w:sz w:val="21"/>
                <w:szCs w:val="21"/>
                <w:lang w:val="en-US"/>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H</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床单元消毒机</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2</w:t>
            </w:r>
            <w:r>
              <w:rPr>
                <w:sz w:val="21"/>
                <w:szCs w:val="21"/>
                <w:lang w:val="en-US"/>
              </w:rPr>
              <w:t>4</w:t>
            </w:r>
            <w:r>
              <w:rPr>
                <w:rFonts w:hint="eastAsia"/>
                <w:sz w:val="21"/>
                <w:szCs w:val="21"/>
                <w:lang w:val="en-US"/>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I</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移动空气消毒器</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6</w:t>
            </w:r>
            <w:r>
              <w:rPr>
                <w:sz w:val="21"/>
                <w:szCs w:val="21"/>
                <w:lang w:val="en-US"/>
              </w:rPr>
              <w:t>0</w:t>
            </w:r>
            <w:r>
              <w:rPr>
                <w:rFonts w:hint="eastAsia"/>
                <w:sz w:val="21"/>
                <w:szCs w:val="21"/>
                <w:lang w:val="en-US"/>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J</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正压头套</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K</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电子血压计</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L</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气管插管箱</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M</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输液泵</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4</w:t>
            </w:r>
            <w:r>
              <w:rPr>
                <w:sz w:val="21"/>
                <w:szCs w:val="21"/>
                <w:lang w:val="en-US"/>
              </w:rPr>
              <w:t>0</w:t>
            </w:r>
            <w:r>
              <w:rPr>
                <w:rFonts w:hint="eastAsia"/>
                <w:sz w:val="21"/>
                <w:szCs w:val="21"/>
                <w:lang w:val="en-US"/>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721" w:type="dxa"/>
            <w:tcBorders>
              <w:top w:val="single" w:color="auto" w:sz="4" w:space="0"/>
              <w:left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N</w:t>
            </w:r>
          </w:p>
        </w:tc>
        <w:tc>
          <w:tcPr>
            <w:tcW w:w="1418" w:type="dxa"/>
            <w:tcBorders>
              <w:top w:val="single" w:color="auto" w:sz="4" w:space="0"/>
              <w:bottom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微量泵</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bottom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4</w:t>
            </w:r>
            <w:r>
              <w:rPr>
                <w:sz w:val="21"/>
                <w:szCs w:val="21"/>
                <w:lang w:val="en-US"/>
              </w:rPr>
              <w:t>0</w:t>
            </w:r>
            <w:r>
              <w:rPr>
                <w:rFonts w:hint="eastAsia"/>
                <w:sz w:val="21"/>
                <w:szCs w:val="21"/>
                <w:lang w:val="en-US"/>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721" w:type="dxa"/>
            <w:tcBorders>
              <w:top w:val="single" w:color="auto" w:sz="4" w:space="0"/>
              <w:left w:val="single" w:color="auto" w:sz="4" w:space="0"/>
            </w:tcBorders>
            <w:vAlign w:val="center"/>
          </w:tcPr>
          <w:p>
            <w:pPr>
              <w:pStyle w:val="26"/>
              <w:spacing w:line="400" w:lineRule="exact"/>
              <w:ind w:left="110" w:leftChars="50" w:right="110" w:rightChars="50"/>
              <w:jc w:val="center"/>
              <w:rPr>
                <w:rFonts w:hint="eastAsia"/>
                <w:sz w:val="21"/>
                <w:szCs w:val="21"/>
                <w:lang w:val="en-US"/>
              </w:rPr>
            </w:pPr>
            <w:r>
              <w:rPr>
                <w:rFonts w:hint="eastAsia"/>
                <w:sz w:val="21"/>
                <w:szCs w:val="21"/>
                <w:lang w:val="en-US"/>
              </w:rPr>
              <w:t>O</w:t>
            </w:r>
          </w:p>
        </w:tc>
        <w:tc>
          <w:tcPr>
            <w:tcW w:w="1418" w:type="dxa"/>
            <w:tcBorders>
              <w:top w:val="single" w:color="auto" w:sz="4" w:space="0"/>
            </w:tcBorders>
            <w:vAlign w:val="center"/>
          </w:tcPr>
          <w:p>
            <w:pPr>
              <w:pStyle w:val="26"/>
              <w:spacing w:line="400" w:lineRule="exact"/>
              <w:ind w:left="110" w:leftChars="50" w:right="110" w:rightChars="50"/>
              <w:jc w:val="center"/>
              <w:rPr>
                <w:rFonts w:hint="eastAsia"/>
                <w:sz w:val="21"/>
                <w:szCs w:val="21"/>
              </w:rPr>
            </w:pPr>
            <w:r>
              <w:rPr>
                <w:rFonts w:hint="eastAsia"/>
                <w:sz w:val="21"/>
                <w:szCs w:val="21"/>
              </w:rPr>
              <w:t>营养泵</w:t>
            </w:r>
          </w:p>
        </w:tc>
        <w:tc>
          <w:tcPr>
            <w:tcW w:w="5637" w:type="dxa"/>
            <w:vMerge w:val="continue"/>
            <w:vAlign w:val="center"/>
          </w:tcPr>
          <w:p>
            <w:pPr>
              <w:spacing w:line="400" w:lineRule="exact"/>
              <w:ind w:left="110" w:leftChars="50" w:right="110" w:rightChars="50"/>
              <w:jc w:val="both"/>
              <w:rPr>
                <w:sz w:val="21"/>
                <w:szCs w:val="21"/>
                <w:lang w:val="en-US"/>
              </w:rPr>
            </w:pPr>
          </w:p>
        </w:tc>
        <w:tc>
          <w:tcPr>
            <w:tcW w:w="1278" w:type="dxa"/>
            <w:tcBorders>
              <w:top w:val="single" w:color="auto" w:sz="4" w:space="0"/>
            </w:tcBorders>
            <w:vAlign w:val="center"/>
          </w:tcPr>
          <w:p>
            <w:pPr>
              <w:pStyle w:val="26"/>
              <w:spacing w:line="400" w:lineRule="exact"/>
              <w:ind w:left="110" w:leftChars="50" w:right="110" w:rightChars="50"/>
              <w:jc w:val="center"/>
              <w:rPr>
                <w:sz w:val="21"/>
                <w:szCs w:val="21"/>
                <w:lang w:val="en-US"/>
              </w:rPr>
            </w:pPr>
            <w:r>
              <w:rPr>
                <w:rFonts w:hint="eastAsia"/>
                <w:sz w:val="21"/>
                <w:szCs w:val="21"/>
                <w:lang w:val="en-US"/>
              </w:rPr>
              <w:t>4</w:t>
            </w:r>
            <w:r>
              <w:rPr>
                <w:sz w:val="21"/>
                <w:szCs w:val="21"/>
                <w:lang w:val="en-US"/>
              </w:rPr>
              <w:t>0</w:t>
            </w:r>
            <w:r>
              <w:rPr>
                <w:rFonts w:hint="eastAsia"/>
                <w:sz w:val="21"/>
                <w:szCs w:val="21"/>
                <w:lang w:val="en-US"/>
              </w:rPr>
              <w:t>万元</w:t>
            </w:r>
          </w:p>
        </w:tc>
      </w:tr>
    </w:tbl>
    <w:p>
      <w:pPr>
        <w:pStyle w:val="7"/>
        <w:spacing w:before="120" w:beforeLines="50" w:line="400" w:lineRule="exact"/>
        <w:ind w:firstLine="482" w:firstLineChars="200"/>
        <w:jc w:val="both"/>
        <w:rPr>
          <w:b/>
        </w:rPr>
      </w:pPr>
      <w:r>
        <w:rPr>
          <w:rFonts w:hint="eastAsia"/>
          <w:b/>
        </w:rPr>
        <w:t>供应商可同时中取多个标段。</w:t>
      </w:r>
    </w:p>
    <w:p>
      <w:pPr>
        <w:pStyle w:val="7"/>
        <w:spacing w:before="120" w:beforeLines="50" w:line="400" w:lineRule="exact"/>
        <w:ind w:firstLine="480" w:firstLineChars="200"/>
        <w:jc w:val="both"/>
      </w:pPr>
      <w:r>
        <w:rPr>
          <w:rFonts w:hint="eastAsia"/>
        </w:rPr>
        <w:t>三、获取</w:t>
      </w:r>
      <w:r>
        <w:rPr>
          <w:rFonts w:hint="eastAsia"/>
          <w:lang w:val="en-US"/>
        </w:rPr>
        <w:t>采购</w:t>
      </w:r>
      <w:r>
        <w:rPr>
          <w:rFonts w:hint="eastAsia"/>
        </w:rPr>
        <w:t>文件</w:t>
      </w:r>
    </w:p>
    <w:p>
      <w:pPr>
        <w:pStyle w:val="7"/>
        <w:spacing w:line="400" w:lineRule="exact"/>
        <w:ind w:firstLine="480" w:firstLineChars="200"/>
        <w:jc w:val="both"/>
      </w:pPr>
      <w:r>
        <w:rPr>
          <w:rFonts w:hint="eastAsia"/>
        </w:rPr>
        <w:t>1、时间：</w:t>
      </w:r>
      <w:r>
        <w:rPr>
          <w:rFonts w:hint="eastAsia"/>
          <w:lang w:val="en-US"/>
        </w:rPr>
        <w:t>2022</w:t>
      </w:r>
      <w:r>
        <w:rPr>
          <w:rFonts w:hint="eastAsia"/>
        </w:rPr>
        <w:t>年</w:t>
      </w:r>
      <w:r>
        <w:rPr>
          <w:lang w:val="en-US"/>
        </w:rPr>
        <w:t>7</w:t>
      </w:r>
      <w:r>
        <w:rPr>
          <w:rFonts w:hint="eastAsia"/>
        </w:rPr>
        <w:t>月</w:t>
      </w:r>
      <w:r>
        <w:rPr>
          <w:lang w:val="en-US"/>
        </w:rPr>
        <w:t>07</w:t>
      </w:r>
      <w:r>
        <w:rPr>
          <w:rFonts w:hint="eastAsia"/>
        </w:rPr>
        <w:t>日</w:t>
      </w:r>
      <w:r>
        <w:rPr>
          <w:rFonts w:hint="eastAsia"/>
          <w:lang w:val="en-US"/>
        </w:rPr>
        <w:t>08时30分</w:t>
      </w:r>
      <w:r>
        <w:rPr>
          <w:rFonts w:hint="eastAsia"/>
        </w:rPr>
        <w:t>至20</w:t>
      </w:r>
      <w:r>
        <w:rPr>
          <w:rFonts w:hint="eastAsia"/>
          <w:lang w:val="en-US"/>
        </w:rPr>
        <w:t>22</w:t>
      </w:r>
      <w:r>
        <w:rPr>
          <w:rFonts w:hint="eastAsia"/>
        </w:rPr>
        <w:t>年</w:t>
      </w:r>
      <w:r>
        <w:rPr>
          <w:lang w:val="en-US"/>
        </w:rPr>
        <w:t>7</w:t>
      </w:r>
      <w:r>
        <w:rPr>
          <w:rFonts w:hint="eastAsia"/>
        </w:rPr>
        <w:t>月</w:t>
      </w:r>
      <w:r>
        <w:rPr>
          <w:lang w:val="en-US"/>
        </w:rPr>
        <w:t>1</w:t>
      </w:r>
      <w:r>
        <w:rPr>
          <w:rFonts w:hint="eastAsia"/>
          <w:lang w:val="en-US" w:eastAsia="zh-CN"/>
        </w:rPr>
        <w:t>1</w:t>
      </w:r>
      <w:r>
        <w:rPr>
          <w:rFonts w:hint="eastAsia"/>
        </w:rPr>
        <w:t>日</w:t>
      </w:r>
      <w:r>
        <w:rPr>
          <w:rFonts w:hint="eastAsia"/>
          <w:lang w:val="en-US"/>
        </w:rPr>
        <w:t>17时00分（北京时间）。</w:t>
      </w:r>
    </w:p>
    <w:p>
      <w:pPr>
        <w:pStyle w:val="7"/>
        <w:spacing w:line="400" w:lineRule="exact"/>
        <w:ind w:firstLine="480" w:firstLineChars="200"/>
        <w:jc w:val="both"/>
      </w:pPr>
      <w:r>
        <w:rPr>
          <w:rFonts w:hint="eastAsia"/>
        </w:rPr>
        <w:t>2、地点：山东隆正项目管理有限公司（东营市北二路与普陀山路交叉路口现代星城2号楼708室）。</w:t>
      </w:r>
    </w:p>
    <w:p>
      <w:pPr>
        <w:pStyle w:val="7"/>
        <w:spacing w:line="400" w:lineRule="exact"/>
        <w:ind w:firstLine="480" w:firstLineChars="200"/>
        <w:jc w:val="both"/>
      </w:pPr>
      <w:r>
        <w:rPr>
          <w:rFonts w:hint="eastAsia"/>
        </w:rPr>
        <w:t>3、方式：</w:t>
      </w:r>
      <w:r>
        <w:rPr>
          <w:rFonts w:hint="eastAsia"/>
          <w:lang w:val="en-US"/>
        </w:rPr>
        <w:t>请各供应商于获取采购文件期限内到山东隆正项目管理有限公司进行现场报名。</w:t>
      </w:r>
      <w:r>
        <w:rPr>
          <w:rFonts w:hint="eastAsia"/>
        </w:rPr>
        <w:t>供应商现场</w:t>
      </w:r>
      <w:r>
        <w:rPr>
          <w:rFonts w:hint="eastAsia"/>
          <w:lang w:val="en-US"/>
        </w:rPr>
        <w:t>确认</w:t>
      </w:r>
      <w:r>
        <w:rPr>
          <w:rFonts w:hint="eastAsia"/>
        </w:rPr>
        <w:t>时须提供</w:t>
      </w:r>
      <w:r>
        <w:rPr>
          <w:rFonts w:hint="eastAsia"/>
          <w:lang w:val="en-US"/>
        </w:rPr>
        <w:t>以下有效</w:t>
      </w:r>
      <w:r>
        <w:rPr>
          <w:rFonts w:hint="eastAsia"/>
        </w:rPr>
        <w:t>证件原件及与原件一致的复印件一份，复印件加盖公章。</w:t>
      </w:r>
    </w:p>
    <w:p>
      <w:pPr>
        <w:pStyle w:val="7"/>
        <w:spacing w:line="400" w:lineRule="exact"/>
        <w:ind w:firstLine="480" w:firstLineChars="200"/>
        <w:jc w:val="both"/>
        <w:rPr>
          <w:lang w:val="en-US"/>
        </w:rPr>
      </w:pPr>
      <w:r>
        <w:rPr>
          <w:rFonts w:hint="eastAsia"/>
          <w:lang w:val="en-US"/>
        </w:rPr>
        <w:t>（1）营业执照副本；</w:t>
      </w:r>
    </w:p>
    <w:p>
      <w:pPr>
        <w:pStyle w:val="7"/>
        <w:spacing w:line="400" w:lineRule="exact"/>
        <w:ind w:firstLine="480" w:firstLineChars="200"/>
        <w:jc w:val="both"/>
        <w:rPr>
          <w:lang w:val="en-US"/>
        </w:rPr>
      </w:pPr>
      <w:r>
        <w:rPr>
          <w:rFonts w:hint="eastAsia"/>
          <w:lang w:val="en-US"/>
        </w:rPr>
        <w:t>（</w:t>
      </w:r>
      <w:r>
        <w:rPr>
          <w:lang w:val="en-US"/>
        </w:rPr>
        <w:t>2</w:t>
      </w:r>
      <w:r>
        <w:rPr>
          <w:rFonts w:hint="eastAsia"/>
          <w:lang w:val="en-US"/>
        </w:rPr>
        <w:t>）《医疗器械生产企业许可证》或《医疗器械经营企业许可证》或《医疗器械的经营备案凭证》（含所投分包采购货物类）；</w:t>
      </w:r>
    </w:p>
    <w:p>
      <w:pPr>
        <w:pStyle w:val="7"/>
        <w:spacing w:line="400" w:lineRule="exact"/>
        <w:ind w:firstLine="480" w:firstLineChars="200"/>
        <w:jc w:val="both"/>
        <w:rPr>
          <w:lang w:val="en-US"/>
        </w:rPr>
      </w:pPr>
      <w:r>
        <w:rPr>
          <w:rFonts w:hint="eastAsia"/>
          <w:lang w:val="en-US"/>
        </w:rPr>
        <w:t>（</w:t>
      </w:r>
      <w:r>
        <w:rPr>
          <w:lang w:val="en-US"/>
        </w:rPr>
        <w:t>3</w:t>
      </w:r>
      <w:r>
        <w:rPr>
          <w:rFonts w:hint="eastAsia"/>
          <w:lang w:val="en-US"/>
        </w:rPr>
        <w:t>）《中华人民共和国医疗器械注册证》复印件（如有附表，需提供附表）或产品备案表（如需）；</w:t>
      </w:r>
    </w:p>
    <w:p>
      <w:pPr>
        <w:pStyle w:val="7"/>
        <w:spacing w:line="400" w:lineRule="exact"/>
        <w:ind w:firstLine="480" w:firstLineChars="200"/>
        <w:jc w:val="both"/>
      </w:pPr>
      <w:r>
        <w:rPr>
          <w:rFonts w:hint="eastAsia"/>
          <w:lang w:val="en-US"/>
        </w:rPr>
        <w:t>（</w:t>
      </w:r>
      <w:r>
        <w:rPr>
          <w:lang w:val="en-US"/>
        </w:rPr>
        <w:t>4</w:t>
      </w:r>
      <w:r>
        <w:rPr>
          <w:rFonts w:hint="eastAsia"/>
          <w:lang w:val="en-US"/>
        </w:rPr>
        <w:t>）</w:t>
      </w:r>
      <w:r>
        <w:rPr>
          <w:rFonts w:hint="eastAsia"/>
        </w:rPr>
        <w:t>法定代表人身份证或法定代表人签名（或印鉴）并加盖供应商公章的授权委托书及委托代理人身份证。</w:t>
      </w:r>
    </w:p>
    <w:p>
      <w:pPr>
        <w:pStyle w:val="7"/>
        <w:spacing w:line="400" w:lineRule="exact"/>
        <w:ind w:firstLine="482" w:firstLineChars="200"/>
        <w:jc w:val="both"/>
        <w:rPr>
          <w:b/>
          <w:lang w:val="en-US"/>
        </w:rPr>
      </w:pPr>
      <w:r>
        <w:rPr>
          <w:rFonts w:hint="eastAsia"/>
          <w:b/>
          <w:lang w:val="en-US"/>
        </w:rPr>
        <w:t>外地投标商请参照东营市疫情指挥部要求准备健康材料</w:t>
      </w:r>
      <w:r>
        <w:rPr>
          <w:b/>
          <w:lang w:val="en-US"/>
        </w:rPr>
        <w:t>http://www.dongying.gov.cn/col/col119753/index.html</w:t>
      </w:r>
      <w:r>
        <w:rPr>
          <w:rFonts w:hint="eastAsia"/>
          <w:b/>
          <w:lang w:val="en-US"/>
        </w:rPr>
        <w:t xml:space="preserve"> </w:t>
      </w:r>
    </w:p>
    <w:p>
      <w:pPr>
        <w:pStyle w:val="7"/>
        <w:spacing w:line="400" w:lineRule="exact"/>
        <w:ind w:firstLine="480" w:firstLineChars="200"/>
        <w:jc w:val="both"/>
      </w:pPr>
      <w:r>
        <w:rPr>
          <w:rFonts w:hint="eastAsia"/>
          <w:lang w:val="en-US"/>
        </w:rPr>
        <w:t>4、</w:t>
      </w:r>
      <w:r>
        <w:rPr>
          <w:rFonts w:hint="eastAsia"/>
        </w:rPr>
        <w:t>售价：每份人民币</w:t>
      </w:r>
      <w:r>
        <w:rPr>
          <w:rFonts w:hint="eastAsia"/>
          <w:lang w:val="en-US"/>
        </w:rPr>
        <w:t>300元</w:t>
      </w:r>
      <w:r>
        <w:rPr>
          <w:rFonts w:hint="eastAsia"/>
        </w:rPr>
        <w:t>，谢绝邮购，售后不退。</w:t>
      </w:r>
    </w:p>
    <w:p>
      <w:pPr>
        <w:pStyle w:val="7"/>
        <w:spacing w:line="400" w:lineRule="exact"/>
        <w:ind w:firstLine="480" w:firstLineChars="200"/>
        <w:jc w:val="both"/>
      </w:pPr>
      <w:r>
        <w:rPr>
          <w:rFonts w:hint="eastAsia"/>
        </w:rPr>
        <w:t>获取</w:t>
      </w:r>
      <w:r>
        <w:rPr>
          <w:rFonts w:hint="eastAsia"/>
          <w:lang w:val="en-US"/>
        </w:rPr>
        <w:t>采购</w:t>
      </w:r>
      <w:r>
        <w:rPr>
          <w:rFonts w:hint="eastAsia"/>
        </w:rPr>
        <w:t>文件时的资料查验不代表资格审查的最终通过或合格，供应商最终资格的确认以</w:t>
      </w:r>
      <w:r>
        <w:rPr>
          <w:rFonts w:hint="eastAsia"/>
          <w:lang w:val="en-US"/>
        </w:rPr>
        <w:t>采购</w:t>
      </w:r>
      <w:r>
        <w:rPr>
          <w:rFonts w:hint="eastAsia"/>
        </w:rPr>
        <w:t>小组组织的资格后审为准。</w:t>
      </w:r>
    </w:p>
    <w:p>
      <w:pPr>
        <w:pStyle w:val="7"/>
        <w:spacing w:line="400" w:lineRule="exact"/>
        <w:ind w:firstLine="480" w:firstLineChars="200"/>
        <w:jc w:val="both"/>
        <w:rPr>
          <w:lang w:val="en-US"/>
        </w:rPr>
      </w:pPr>
      <w:r>
        <w:rPr>
          <w:rFonts w:hint="eastAsia"/>
          <w:lang w:val="en-US"/>
        </w:rPr>
        <w:t>四、公告期限：2022</w:t>
      </w:r>
      <w:r>
        <w:rPr>
          <w:rFonts w:hint="eastAsia"/>
        </w:rPr>
        <w:t>年</w:t>
      </w:r>
      <w:r>
        <w:rPr>
          <w:lang w:val="en-US"/>
        </w:rPr>
        <w:t>7</w:t>
      </w:r>
      <w:r>
        <w:rPr>
          <w:rFonts w:hint="eastAsia"/>
        </w:rPr>
        <w:t>月</w:t>
      </w:r>
      <w:r>
        <w:rPr>
          <w:lang w:val="en-US"/>
        </w:rPr>
        <w:t>07</w:t>
      </w:r>
      <w:r>
        <w:rPr>
          <w:rFonts w:hint="eastAsia"/>
        </w:rPr>
        <w:t>日至20</w:t>
      </w:r>
      <w:r>
        <w:rPr>
          <w:rFonts w:hint="eastAsia"/>
          <w:lang w:val="en-US"/>
        </w:rPr>
        <w:t>22</w:t>
      </w:r>
      <w:r>
        <w:rPr>
          <w:rFonts w:hint="eastAsia"/>
        </w:rPr>
        <w:t>年</w:t>
      </w:r>
      <w:r>
        <w:rPr>
          <w:lang w:val="en-US"/>
        </w:rPr>
        <w:t>7</w:t>
      </w:r>
      <w:r>
        <w:rPr>
          <w:rFonts w:hint="eastAsia"/>
        </w:rPr>
        <w:t>月</w:t>
      </w:r>
      <w:r>
        <w:rPr>
          <w:lang w:val="en-US"/>
        </w:rPr>
        <w:t>1</w:t>
      </w:r>
      <w:r>
        <w:rPr>
          <w:rFonts w:hint="eastAsia"/>
          <w:lang w:val="en-US" w:eastAsia="zh-CN"/>
        </w:rPr>
        <w:t>1</w:t>
      </w:r>
      <w:r>
        <w:rPr>
          <w:rFonts w:hint="eastAsia"/>
        </w:rPr>
        <w:t>日</w:t>
      </w:r>
    </w:p>
    <w:p>
      <w:pPr>
        <w:pStyle w:val="7"/>
        <w:spacing w:line="400" w:lineRule="exact"/>
        <w:ind w:firstLine="480" w:firstLineChars="200"/>
        <w:jc w:val="both"/>
      </w:pPr>
      <w:r>
        <w:rPr>
          <w:rFonts w:hint="eastAsia"/>
          <w:lang w:val="en-US"/>
        </w:rPr>
        <w:t>五</w:t>
      </w:r>
      <w:r>
        <w:rPr>
          <w:rFonts w:hint="eastAsia"/>
        </w:rPr>
        <w:t>、递交响应文件时间及地点</w:t>
      </w:r>
    </w:p>
    <w:p>
      <w:pPr>
        <w:pStyle w:val="7"/>
        <w:spacing w:line="400" w:lineRule="exact"/>
        <w:ind w:firstLine="480" w:firstLineChars="200"/>
        <w:jc w:val="both"/>
      </w:pPr>
      <w:r>
        <w:rPr>
          <w:rFonts w:hint="eastAsia"/>
        </w:rPr>
        <w:t>1、时间：</w:t>
      </w:r>
      <w:r>
        <w:rPr>
          <w:rFonts w:hint="eastAsia"/>
          <w:lang w:val="en-US"/>
        </w:rPr>
        <w:t>2022年</w:t>
      </w:r>
      <w:r>
        <w:rPr>
          <w:lang w:val="en-US"/>
        </w:rPr>
        <w:t>7月12日08</w:t>
      </w:r>
      <w:r>
        <w:rPr>
          <w:rFonts w:hint="eastAsia"/>
        </w:rPr>
        <w:t>时</w:t>
      </w:r>
      <w:r>
        <w:rPr>
          <w:rFonts w:hint="eastAsia"/>
          <w:lang w:val="en-US"/>
        </w:rPr>
        <w:t>00</w:t>
      </w:r>
      <w:r>
        <w:rPr>
          <w:rFonts w:hint="eastAsia"/>
        </w:rPr>
        <w:t>分至</w:t>
      </w:r>
      <w:r>
        <w:rPr>
          <w:rFonts w:hint="eastAsia"/>
          <w:lang w:val="en-US"/>
        </w:rPr>
        <w:t>2022年</w:t>
      </w:r>
      <w:r>
        <w:rPr>
          <w:lang w:val="en-US"/>
        </w:rPr>
        <w:t>7月12日08</w:t>
      </w:r>
      <w:r>
        <w:rPr>
          <w:rFonts w:hint="eastAsia"/>
          <w:lang w:val="en-US"/>
        </w:rPr>
        <w:t>时30分</w:t>
      </w:r>
      <w:r>
        <w:rPr>
          <w:rFonts w:hint="eastAsia"/>
        </w:rPr>
        <w:t>（北京时间）</w:t>
      </w:r>
    </w:p>
    <w:p>
      <w:pPr>
        <w:pStyle w:val="7"/>
        <w:spacing w:line="400" w:lineRule="exact"/>
        <w:ind w:firstLine="480" w:firstLineChars="200"/>
        <w:jc w:val="both"/>
      </w:pPr>
      <w:r>
        <w:rPr>
          <w:rFonts w:hint="eastAsia"/>
        </w:rPr>
        <w:t>2、地点：东营市广饶县大王镇常春路28号东营市第二人民医院妇女儿童医院门诊楼五楼会议室</w:t>
      </w:r>
    </w:p>
    <w:p>
      <w:pPr>
        <w:pStyle w:val="7"/>
        <w:spacing w:line="400" w:lineRule="exact"/>
        <w:ind w:firstLine="480" w:firstLineChars="200"/>
        <w:jc w:val="both"/>
      </w:pPr>
      <w:r>
        <w:rPr>
          <w:rFonts w:hint="eastAsia"/>
          <w:lang w:val="en-US"/>
        </w:rPr>
        <w:t>六</w:t>
      </w:r>
      <w:r>
        <w:rPr>
          <w:rFonts w:hint="eastAsia"/>
        </w:rPr>
        <w:t>、磋商（开启）时间及地点</w:t>
      </w:r>
    </w:p>
    <w:p>
      <w:pPr>
        <w:pStyle w:val="7"/>
        <w:spacing w:line="400" w:lineRule="exact"/>
        <w:ind w:firstLine="480" w:firstLineChars="200"/>
        <w:jc w:val="both"/>
      </w:pPr>
      <w:r>
        <w:rPr>
          <w:rFonts w:hint="eastAsia"/>
        </w:rPr>
        <w:t>1、时间：</w:t>
      </w:r>
      <w:r>
        <w:rPr>
          <w:rFonts w:hint="eastAsia"/>
          <w:lang w:val="en-US"/>
        </w:rPr>
        <w:t>2022年</w:t>
      </w:r>
      <w:r>
        <w:rPr>
          <w:lang w:val="en-US"/>
        </w:rPr>
        <w:t>7月12日08</w:t>
      </w:r>
      <w:r>
        <w:rPr>
          <w:rFonts w:hint="eastAsia"/>
          <w:lang w:val="en-US"/>
        </w:rPr>
        <w:t>时30分</w:t>
      </w:r>
      <w:r>
        <w:rPr>
          <w:rFonts w:hint="eastAsia"/>
        </w:rPr>
        <w:t>（北京时间）</w:t>
      </w:r>
    </w:p>
    <w:p>
      <w:pPr>
        <w:pStyle w:val="7"/>
        <w:spacing w:line="400" w:lineRule="exact"/>
        <w:ind w:firstLine="480" w:firstLineChars="200"/>
        <w:jc w:val="both"/>
      </w:pPr>
      <w:r>
        <w:rPr>
          <w:rFonts w:hint="eastAsia"/>
        </w:rPr>
        <w:t>2、地点：东营市广饶县大王镇常春路28号东营市第二人民医院妇女儿童医院门诊楼五楼会议室</w:t>
      </w:r>
    </w:p>
    <w:p>
      <w:pPr>
        <w:pStyle w:val="7"/>
        <w:spacing w:line="400" w:lineRule="exact"/>
        <w:ind w:firstLine="480" w:firstLineChars="200"/>
        <w:jc w:val="both"/>
      </w:pPr>
      <w:r>
        <w:rPr>
          <w:rFonts w:hint="eastAsia"/>
        </w:rPr>
        <w:t>七、采购项目的用途、数量、简要技术要求等：</w:t>
      </w:r>
      <w:r>
        <w:rPr>
          <w:rFonts w:hint="eastAsia"/>
          <w:lang w:val="en-US"/>
        </w:rPr>
        <w:t>详</w:t>
      </w:r>
      <w:r>
        <w:rPr>
          <w:rFonts w:hint="eastAsia"/>
        </w:rPr>
        <w:t>见磋商文件。</w:t>
      </w:r>
    </w:p>
    <w:p>
      <w:pPr>
        <w:pStyle w:val="7"/>
        <w:spacing w:line="400" w:lineRule="exact"/>
        <w:ind w:firstLine="480" w:firstLineChars="200"/>
        <w:jc w:val="both"/>
        <w:rPr>
          <w:rFonts w:hint="eastAsia"/>
          <w:lang w:val="en-US"/>
        </w:rPr>
      </w:pPr>
      <w:r>
        <w:rPr>
          <w:rFonts w:hint="eastAsia"/>
          <w:lang w:val="en-US"/>
        </w:rPr>
        <w:t>八、公告发布媒体：中国招标投标公共服务平台、山东省采购与招标网、东营市第二人民医院官网</w:t>
      </w:r>
    </w:p>
    <w:p>
      <w:pPr>
        <w:rPr>
          <w:w w:val="90"/>
          <w:sz w:val="30"/>
          <w:szCs w:val="30"/>
        </w:rPr>
      </w:pPr>
    </w:p>
    <w:p>
      <w:pPr>
        <w:pStyle w:val="7"/>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w w:val="90"/>
          <w:sz w:val="30"/>
          <w:szCs w:val="30"/>
        </w:rPr>
      </w:pPr>
    </w:p>
    <w:p>
      <w:pPr>
        <w:pStyle w:val="4"/>
        <w:spacing w:line="360" w:lineRule="auto"/>
        <w:ind w:left="0"/>
        <w:jc w:val="center"/>
        <w:rPr>
          <w:sz w:val="30"/>
          <w:szCs w:val="30"/>
        </w:rPr>
      </w:pPr>
      <w:r>
        <w:rPr>
          <w:rFonts w:hint="eastAsia"/>
          <w:w w:val="90"/>
          <w:sz w:val="30"/>
          <w:szCs w:val="30"/>
        </w:rPr>
        <w:t>东营市第二人民医院亚（准）定点医院及后备定点医院建设项目（第三批）</w:t>
      </w:r>
    </w:p>
    <w:p>
      <w:pPr>
        <w:pStyle w:val="4"/>
        <w:spacing w:line="360" w:lineRule="auto"/>
        <w:ind w:left="0"/>
        <w:jc w:val="center"/>
      </w:pPr>
      <w:r>
        <w:rPr>
          <w:rFonts w:hint="eastAsia"/>
        </w:rPr>
        <w:t>竞争性磋商文件</w:t>
      </w:r>
    </w:p>
    <w:p>
      <w:pPr>
        <w:pStyle w:val="7"/>
        <w:ind w:firstLine="480" w:firstLineChars="200"/>
        <w:jc w:val="both"/>
      </w:pPr>
    </w:p>
    <w:p>
      <w:pPr>
        <w:pStyle w:val="7"/>
        <w:spacing w:line="480" w:lineRule="exact"/>
        <w:ind w:firstLine="480" w:firstLineChars="200"/>
        <w:jc w:val="both"/>
      </w:pPr>
      <w:r>
        <w:rPr>
          <w:rFonts w:hint="eastAsia"/>
        </w:rPr>
        <w:t>山东隆正项目管理有限公司</w:t>
      </w:r>
      <w:r>
        <w:rPr>
          <w:rFonts w:hint="eastAsia"/>
          <w:lang w:val="en-US"/>
        </w:rPr>
        <w:t>受东营市第二人民医院的委托，</w:t>
      </w:r>
      <w:r>
        <w:rPr>
          <w:rFonts w:hint="eastAsia"/>
        </w:rPr>
        <w:t>对东营市第二人民医院亚（准）定点医院及后备定点医院建设项目（第三批）进行竞争性磋商, 欢迎各供应商前来参加竞争性磋商活动。整个竞争性磋商活动的各个环节全面依法接受有关部门的监督。</w:t>
      </w:r>
    </w:p>
    <w:p>
      <w:pPr>
        <w:pStyle w:val="7"/>
        <w:spacing w:line="480" w:lineRule="exact"/>
        <w:ind w:firstLine="480" w:firstLineChars="200"/>
      </w:pPr>
    </w:p>
    <w:p>
      <w:pPr>
        <w:pStyle w:val="5"/>
        <w:tabs>
          <w:tab w:val="left" w:pos="1125"/>
          <w:tab w:val="left" w:pos="1687"/>
        </w:tabs>
        <w:spacing w:line="480" w:lineRule="exact"/>
        <w:ind w:right="0" w:firstLine="562" w:firstLineChars="200"/>
      </w:pPr>
      <w:r>
        <w:rPr>
          <w:rFonts w:hint="eastAsia"/>
        </w:rPr>
        <w:t>第一章</w:t>
      </w:r>
      <w:r>
        <w:rPr>
          <w:rFonts w:hint="eastAsia"/>
        </w:rPr>
        <w:tab/>
      </w:r>
      <w:r>
        <w:rPr>
          <w:rFonts w:hint="eastAsia"/>
        </w:rPr>
        <w:t>总</w:t>
      </w:r>
      <w:r>
        <w:rPr>
          <w:rFonts w:hint="eastAsia"/>
        </w:rPr>
        <w:tab/>
      </w:r>
      <w:r>
        <w:rPr>
          <w:rFonts w:hint="eastAsia"/>
        </w:rPr>
        <w:t>则</w:t>
      </w:r>
    </w:p>
    <w:p>
      <w:pPr>
        <w:pStyle w:val="6"/>
        <w:spacing w:line="480" w:lineRule="exact"/>
        <w:ind w:left="0" w:firstLine="482" w:firstLineChars="200"/>
        <w:jc w:val="both"/>
      </w:pPr>
    </w:p>
    <w:p>
      <w:pPr>
        <w:pStyle w:val="6"/>
        <w:spacing w:line="480" w:lineRule="exact"/>
        <w:ind w:left="0" w:firstLine="482" w:firstLineChars="200"/>
        <w:jc w:val="both"/>
      </w:pPr>
      <w:r>
        <w:rPr>
          <w:rFonts w:hint="eastAsia"/>
        </w:rPr>
        <w:t>一、项目名称</w:t>
      </w:r>
    </w:p>
    <w:p>
      <w:pPr>
        <w:spacing w:line="480" w:lineRule="exact"/>
        <w:ind w:firstLine="480" w:firstLineChars="200"/>
        <w:jc w:val="both"/>
        <w:rPr>
          <w:sz w:val="24"/>
        </w:rPr>
      </w:pPr>
      <w:r>
        <w:rPr>
          <w:rFonts w:hint="eastAsia"/>
          <w:sz w:val="24"/>
        </w:rPr>
        <w:t>东营市第二人民医院亚（准）定点医院及后备定点医院建设项目（第三批）。</w:t>
      </w:r>
    </w:p>
    <w:p>
      <w:pPr>
        <w:spacing w:line="480" w:lineRule="exact"/>
        <w:ind w:firstLine="482" w:firstLineChars="200"/>
        <w:jc w:val="both"/>
        <w:rPr>
          <w:sz w:val="24"/>
          <w:lang w:val="en-US"/>
        </w:rPr>
      </w:pPr>
      <w:r>
        <w:rPr>
          <w:rFonts w:hint="eastAsia"/>
          <w:b/>
          <w:sz w:val="24"/>
        </w:rPr>
        <w:t>二、采购内容</w:t>
      </w:r>
    </w:p>
    <w:tbl>
      <w:tblPr>
        <w:tblStyle w:val="18"/>
        <w:tblW w:w="5000" w:type="pct"/>
        <w:tblInd w:w="0" w:type="dxa"/>
        <w:tblLayout w:type="autofit"/>
        <w:tblCellMar>
          <w:top w:w="0" w:type="dxa"/>
          <w:left w:w="108" w:type="dxa"/>
          <w:bottom w:w="0" w:type="dxa"/>
          <w:right w:w="108" w:type="dxa"/>
        </w:tblCellMar>
      </w:tblPr>
      <w:tblGrid>
        <w:gridCol w:w="656"/>
        <w:gridCol w:w="1510"/>
        <w:gridCol w:w="1776"/>
        <w:gridCol w:w="3096"/>
        <w:gridCol w:w="673"/>
        <w:gridCol w:w="1536"/>
      </w:tblGrid>
      <w:tr>
        <w:tblPrEx>
          <w:tblCellMar>
            <w:top w:w="0" w:type="dxa"/>
            <w:left w:w="108" w:type="dxa"/>
            <w:bottom w:w="0" w:type="dxa"/>
            <w:right w:w="108" w:type="dxa"/>
          </w:tblCellMar>
        </w:tblPrEx>
        <w:trPr>
          <w:trHeight w:val="628"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lang w:val="en-US" w:bidi="ar-SA"/>
              </w:rPr>
            </w:pPr>
            <w:r>
              <w:rPr>
                <w:rFonts w:hint="eastAsia" w:ascii="仿宋_GB2312" w:hAnsi="宋体" w:eastAsia="仿宋_GB2312" w:cs="宋体"/>
                <w:color w:val="000000"/>
                <w:lang w:val="en-US" w:bidi="ar-SA"/>
              </w:rPr>
              <w:t>包号</w:t>
            </w:r>
          </w:p>
        </w:tc>
        <w:tc>
          <w:tcPr>
            <w:tcW w:w="862"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hint="eastAsia"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类别</w:t>
            </w:r>
          </w:p>
        </w:tc>
        <w:tc>
          <w:tcPr>
            <w:tcW w:w="972"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hint="eastAsia"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设备种类</w:t>
            </w:r>
          </w:p>
        </w:tc>
        <w:tc>
          <w:tcPr>
            <w:tcW w:w="1563"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设备名称</w:t>
            </w:r>
          </w:p>
        </w:tc>
        <w:tc>
          <w:tcPr>
            <w:tcW w:w="402"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_GB2312" w:hAnsi="宋体" w:eastAsia="仿宋_GB2312" w:cs="宋体"/>
                <w:color w:val="000000"/>
                <w:sz w:val="24"/>
                <w:szCs w:val="24"/>
                <w:lang w:val="en-US" w:bidi="ar-SA"/>
              </w:rPr>
            </w:pPr>
            <w:r>
              <w:rPr>
                <w:rFonts w:hint="eastAsia" w:ascii="仿宋_GB2312" w:hAnsi="宋体" w:eastAsia="仿宋_GB2312" w:cs="宋体"/>
                <w:color w:val="000000"/>
                <w:sz w:val="24"/>
                <w:szCs w:val="24"/>
                <w:lang w:val="en-US" w:bidi="ar-SA"/>
              </w:rPr>
              <w:t>台数/件</w:t>
            </w:r>
          </w:p>
        </w:tc>
        <w:tc>
          <w:tcPr>
            <w:tcW w:w="841"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hint="eastAsia" w:ascii="仿宋_GB2312" w:hAnsi="宋体" w:eastAsia="仿宋_GB2312" w:cs="宋体"/>
                <w:color w:val="000000"/>
                <w:lang w:val="en-US" w:bidi="ar-SA"/>
              </w:rPr>
            </w:pPr>
            <w:r>
              <w:rPr>
                <w:rFonts w:hint="eastAsia" w:ascii="仿宋_GB2312" w:hAnsi="宋体" w:eastAsia="仿宋_GB2312" w:cs="宋体"/>
                <w:color w:val="000000"/>
                <w:lang w:val="en-US" w:bidi="ar-SA"/>
              </w:rPr>
              <w:t>预算（万元）</w:t>
            </w:r>
          </w:p>
        </w:tc>
      </w:tr>
      <w:tr>
        <w:tblPrEx>
          <w:tblCellMar>
            <w:top w:w="0" w:type="dxa"/>
            <w:left w:w="108" w:type="dxa"/>
            <w:bottom w:w="0" w:type="dxa"/>
            <w:right w:w="108" w:type="dxa"/>
          </w:tblCellMar>
        </w:tblPrEx>
        <w:trPr>
          <w:trHeight w:val="799" w:hRule="atLeast"/>
        </w:trPr>
        <w:tc>
          <w:tcPr>
            <w:tcW w:w="359" w:type="pct"/>
            <w:vMerge w:val="restart"/>
            <w:tcBorders>
              <w:top w:val="nil"/>
              <w:left w:val="single" w:color="auto" w:sz="4" w:space="0"/>
              <w:bottom w:val="nil"/>
              <w:right w:val="single" w:color="auto" w:sz="4" w:space="0"/>
            </w:tcBorders>
            <w:shd w:val="clear" w:color="auto" w:fill="auto"/>
            <w:noWrap/>
            <w:vAlign w:val="center"/>
          </w:tcPr>
          <w:p>
            <w:pPr>
              <w:widowControl/>
              <w:autoSpaceDE/>
              <w:autoSpaceDN/>
              <w:jc w:val="center"/>
              <w:rPr>
                <w:rFonts w:hint="eastAsia" w:ascii="宋体" w:hAnsi="宋体" w:eastAsia="宋体" w:cs="宋体"/>
                <w:color w:val="000000"/>
                <w:lang w:val="en-US" w:bidi="ar-SA"/>
              </w:rPr>
            </w:pPr>
            <w:r>
              <w:rPr>
                <w:rFonts w:hint="eastAsia" w:ascii="宋体" w:hAnsi="宋体" w:eastAsia="宋体" w:cs="宋体"/>
                <w:color w:val="000000"/>
                <w:lang w:val="en-US" w:bidi="ar-SA"/>
              </w:rPr>
              <w:t>A</w:t>
            </w:r>
          </w:p>
        </w:tc>
        <w:tc>
          <w:tcPr>
            <w:tcW w:w="862" w:type="pct"/>
            <w:vMerge w:val="restart"/>
            <w:tcBorders>
              <w:top w:val="nil"/>
              <w:left w:val="single" w:color="auto" w:sz="4" w:space="0"/>
              <w:bottom w:val="nil"/>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监护床类</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1、重症监护床</w:t>
            </w:r>
          </w:p>
        </w:tc>
        <w:tc>
          <w:tcPr>
            <w:tcW w:w="1563"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1、重症监护床</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82</w:t>
            </w:r>
          </w:p>
        </w:tc>
        <w:tc>
          <w:tcPr>
            <w:tcW w:w="84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500</w:t>
            </w:r>
          </w:p>
        </w:tc>
      </w:tr>
      <w:tr>
        <w:tblPrEx>
          <w:tblCellMar>
            <w:top w:w="0" w:type="dxa"/>
            <w:left w:w="108" w:type="dxa"/>
            <w:bottom w:w="0" w:type="dxa"/>
            <w:right w:w="108" w:type="dxa"/>
          </w:tblCellMar>
        </w:tblPrEx>
        <w:trPr>
          <w:trHeight w:val="799" w:hRule="atLeast"/>
        </w:trPr>
        <w:tc>
          <w:tcPr>
            <w:tcW w:w="359" w:type="pct"/>
            <w:vMerge w:val="continue"/>
            <w:tcBorders>
              <w:top w:val="nil"/>
              <w:left w:val="single" w:color="auto" w:sz="4" w:space="0"/>
              <w:bottom w:val="nil"/>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nil"/>
              <w:left w:val="single" w:color="auto" w:sz="4" w:space="0"/>
              <w:bottom w:val="nil"/>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restart"/>
            <w:tcBorders>
              <w:top w:val="nil"/>
              <w:left w:val="single" w:color="auto" w:sz="4" w:space="0"/>
              <w:bottom w:val="nil"/>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2、其他监护床</w:t>
            </w:r>
          </w:p>
        </w:tc>
        <w:tc>
          <w:tcPr>
            <w:tcW w:w="1563"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1、重症电动升降PT训练床</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6</w:t>
            </w:r>
          </w:p>
        </w:tc>
        <w:tc>
          <w:tcPr>
            <w:tcW w:w="841"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vMerge w:val="continue"/>
            <w:tcBorders>
              <w:top w:val="nil"/>
              <w:left w:val="single" w:color="auto" w:sz="4" w:space="0"/>
              <w:bottom w:val="nil"/>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nil"/>
              <w:left w:val="single" w:color="auto" w:sz="4" w:space="0"/>
              <w:bottom w:val="nil"/>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nil"/>
              <w:left w:val="single" w:color="auto" w:sz="4" w:space="0"/>
              <w:bottom w:val="nil"/>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2、重症多功能牵引床</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w:t>
            </w:r>
          </w:p>
        </w:tc>
        <w:tc>
          <w:tcPr>
            <w:tcW w:w="841"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vMerge w:val="continue"/>
            <w:tcBorders>
              <w:top w:val="nil"/>
              <w:left w:val="single" w:color="auto" w:sz="4" w:space="0"/>
              <w:bottom w:val="nil"/>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nil"/>
              <w:left w:val="single" w:color="auto" w:sz="4" w:space="0"/>
              <w:bottom w:val="nil"/>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nil"/>
              <w:left w:val="single" w:color="auto" w:sz="4" w:space="0"/>
              <w:bottom w:val="nil"/>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3、重症减重步态康复床</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w:t>
            </w:r>
          </w:p>
        </w:tc>
        <w:tc>
          <w:tcPr>
            <w:tcW w:w="841"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vMerge w:val="continue"/>
            <w:tcBorders>
              <w:top w:val="nil"/>
              <w:left w:val="single" w:color="auto" w:sz="4" w:space="0"/>
              <w:bottom w:val="nil"/>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nil"/>
              <w:left w:val="single" w:color="auto" w:sz="4" w:space="0"/>
              <w:bottom w:val="nil"/>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nil"/>
              <w:left w:val="single" w:color="auto" w:sz="4" w:space="0"/>
              <w:bottom w:val="nil"/>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4、重症悬吊康复床</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4</w:t>
            </w:r>
          </w:p>
        </w:tc>
        <w:tc>
          <w:tcPr>
            <w:tcW w:w="841"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vMerge w:val="continue"/>
            <w:tcBorders>
              <w:top w:val="nil"/>
              <w:left w:val="single" w:color="auto" w:sz="4" w:space="0"/>
              <w:bottom w:val="single" w:color="auto" w:sz="4" w:space="0"/>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5、重症层流无菌病床</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w:t>
            </w:r>
          </w:p>
        </w:tc>
        <w:tc>
          <w:tcPr>
            <w:tcW w:w="841"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6、重症翻身床</w:t>
            </w:r>
          </w:p>
        </w:tc>
        <w:tc>
          <w:tcPr>
            <w:tcW w:w="40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w:t>
            </w:r>
          </w:p>
        </w:tc>
        <w:tc>
          <w:tcPr>
            <w:tcW w:w="841"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color w:val="000000"/>
                <w:lang w:val="en-US" w:bidi="ar-SA"/>
              </w:rPr>
            </w:pPr>
            <w:r>
              <w:rPr>
                <w:rFonts w:hint="eastAsia" w:ascii="宋体" w:hAnsi="宋体" w:eastAsia="宋体" w:cs="宋体"/>
                <w:color w:val="000000"/>
                <w:lang w:val="en-US" w:bidi="ar-SA"/>
              </w:rPr>
              <w:t>B</w:t>
            </w:r>
          </w:p>
        </w:tc>
        <w:tc>
          <w:tcPr>
            <w:tcW w:w="86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普通床类</w:t>
            </w:r>
          </w:p>
        </w:tc>
        <w:tc>
          <w:tcPr>
            <w:tcW w:w="972"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普通床单元</w:t>
            </w:r>
          </w:p>
        </w:tc>
        <w:tc>
          <w:tcPr>
            <w:tcW w:w="1563" w:type="pct"/>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成人床</w:t>
            </w:r>
          </w:p>
        </w:tc>
        <w:tc>
          <w:tcPr>
            <w:tcW w:w="402" w:type="pct"/>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142</w:t>
            </w:r>
          </w:p>
        </w:tc>
        <w:tc>
          <w:tcPr>
            <w:tcW w:w="84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80</w:t>
            </w:r>
          </w:p>
        </w:tc>
      </w:tr>
      <w:tr>
        <w:tblPrEx>
          <w:tblCellMar>
            <w:top w:w="0" w:type="dxa"/>
            <w:left w:w="108" w:type="dxa"/>
            <w:bottom w:w="0" w:type="dxa"/>
            <w:right w:w="108" w:type="dxa"/>
          </w:tblCellMar>
        </w:tblPrEx>
        <w:trPr>
          <w:trHeight w:val="799" w:hRule="atLeast"/>
        </w:trPr>
        <w:tc>
          <w:tcPr>
            <w:tcW w:w="359"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儿童床</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58</w:t>
            </w:r>
          </w:p>
        </w:tc>
        <w:tc>
          <w:tcPr>
            <w:tcW w:w="841" w:type="pct"/>
            <w:vMerge w:val="continue"/>
            <w:tcBorders>
              <w:top w:val="nil"/>
              <w:left w:val="single" w:color="auto" w:sz="4" w:space="0"/>
              <w:bottom w:val="single" w:color="auto"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color w:val="000000"/>
                <w:lang w:val="en-US" w:bidi="ar-SA"/>
              </w:rPr>
            </w:pPr>
            <w:r>
              <w:rPr>
                <w:rFonts w:hint="eastAsia" w:ascii="宋体" w:hAnsi="宋体" w:eastAsia="宋体" w:cs="宋体"/>
                <w:color w:val="000000"/>
                <w:lang w:val="en-US" w:bidi="ar-SA"/>
              </w:rPr>
              <w:t>C</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物理排痰装置</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物理排痰装置</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20</w:t>
            </w:r>
          </w:p>
        </w:tc>
        <w:tc>
          <w:tcPr>
            <w:tcW w:w="841"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60</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color w:val="000000"/>
                <w:lang w:val="en-US" w:bidi="ar-SA"/>
              </w:rPr>
            </w:pPr>
            <w:r>
              <w:rPr>
                <w:rFonts w:hint="eastAsia" w:ascii="宋体" w:hAnsi="宋体" w:eastAsia="宋体" w:cs="宋体"/>
                <w:color w:val="000000"/>
                <w:lang w:val="en-US" w:bidi="ar-SA"/>
              </w:rPr>
              <w:t>D</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气动加压泵</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气动加压泵</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60</w:t>
            </w:r>
          </w:p>
        </w:tc>
      </w:tr>
      <w:tr>
        <w:tblPrEx>
          <w:tblCellMar>
            <w:top w:w="0" w:type="dxa"/>
            <w:left w:w="108" w:type="dxa"/>
            <w:bottom w:w="0" w:type="dxa"/>
            <w:right w:w="108" w:type="dxa"/>
          </w:tblCellMar>
        </w:tblPrEx>
        <w:trPr>
          <w:trHeight w:val="799" w:hRule="atLeast"/>
        </w:trPr>
        <w:tc>
          <w:tcPr>
            <w:tcW w:w="35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utoSpaceDE/>
              <w:autoSpaceDN/>
              <w:jc w:val="center"/>
              <w:rPr>
                <w:rFonts w:hint="eastAsia" w:ascii="宋体" w:hAnsi="宋体" w:eastAsia="宋体" w:cs="宋体"/>
                <w:color w:val="000000"/>
                <w:lang w:val="en-US" w:bidi="ar-SA"/>
              </w:rPr>
            </w:pPr>
            <w:r>
              <w:rPr>
                <w:rFonts w:hint="eastAsia" w:ascii="宋体" w:hAnsi="宋体" w:eastAsia="宋体" w:cs="宋体"/>
                <w:color w:val="000000"/>
                <w:lang w:val="en-US" w:bidi="ar-SA"/>
              </w:rPr>
              <w:t>E</w:t>
            </w:r>
          </w:p>
        </w:tc>
        <w:tc>
          <w:tcPr>
            <w:tcW w:w="862" w:type="pct"/>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电子升降温设备</w:t>
            </w:r>
          </w:p>
        </w:tc>
        <w:tc>
          <w:tcPr>
            <w:tcW w:w="972" w:type="pct"/>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输血输液加温装置</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7</w:t>
            </w:r>
          </w:p>
        </w:tc>
        <w:tc>
          <w:tcPr>
            <w:tcW w:w="841" w:type="pct"/>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60</w:t>
            </w:r>
          </w:p>
        </w:tc>
      </w:tr>
      <w:tr>
        <w:tblPrEx>
          <w:tblCellMar>
            <w:top w:w="0" w:type="dxa"/>
            <w:left w:w="108" w:type="dxa"/>
            <w:bottom w:w="0" w:type="dxa"/>
            <w:right w:w="108" w:type="dxa"/>
          </w:tblCellMar>
        </w:tblPrEx>
        <w:trPr>
          <w:trHeight w:val="799" w:hRule="atLeast"/>
        </w:trPr>
        <w:tc>
          <w:tcPr>
            <w:tcW w:w="359" w:type="pct"/>
            <w:vMerge w:val="continue"/>
            <w:tcBorders>
              <w:top w:val="nil"/>
              <w:left w:val="single" w:color="auto" w:sz="4" w:space="0"/>
              <w:bottom w:val="single" w:color="000000" w:sz="4" w:space="0"/>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nil"/>
              <w:left w:val="single" w:color="auto" w:sz="4" w:space="0"/>
              <w:bottom w:val="single" w:color="000000"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nil"/>
              <w:left w:val="single" w:color="auto" w:sz="4" w:space="0"/>
              <w:bottom w:val="single" w:color="000000"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亚低温治疗仪</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6</w:t>
            </w:r>
          </w:p>
        </w:tc>
        <w:tc>
          <w:tcPr>
            <w:tcW w:w="841" w:type="pct"/>
            <w:vMerge w:val="continue"/>
            <w:tcBorders>
              <w:top w:val="nil"/>
              <w:left w:val="single" w:color="auto" w:sz="4" w:space="0"/>
              <w:bottom w:val="single" w:color="000000"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vMerge w:val="continue"/>
            <w:tcBorders>
              <w:top w:val="nil"/>
              <w:left w:val="single" w:color="auto" w:sz="4" w:space="0"/>
              <w:bottom w:val="single" w:color="000000" w:sz="4" w:space="0"/>
              <w:right w:val="single" w:color="auto" w:sz="4" w:space="0"/>
            </w:tcBorders>
            <w:vAlign w:val="center"/>
          </w:tcPr>
          <w:p>
            <w:pPr>
              <w:widowControl/>
              <w:autoSpaceDE/>
              <w:autoSpaceDN/>
              <w:rPr>
                <w:rFonts w:ascii="宋体" w:hAnsi="宋体" w:eastAsia="宋体" w:cs="宋体"/>
                <w:color w:val="000000"/>
                <w:lang w:val="en-US" w:bidi="ar-SA"/>
              </w:rPr>
            </w:pPr>
          </w:p>
        </w:tc>
        <w:tc>
          <w:tcPr>
            <w:tcW w:w="862" w:type="pct"/>
            <w:vMerge w:val="continue"/>
            <w:tcBorders>
              <w:top w:val="nil"/>
              <w:left w:val="single" w:color="auto" w:sz="4" w:space="0"/>
              <w:bottom w:val="single" w:color="000000"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972" w:type="pct"/>
            <w:vMerge w:val="continue"/>
            <w:tcBorders>
              <w:top w:val="nil"/>
              <w:left w:val="single" w:color="auto" w:sz="4" w:space="0"/>
              <w:bottom w:val="single" w:color="000000"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充气式升温装置</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7</w:t>
            </w:r>
          </w:p>
        </w:tc>
        <w:tc>
          <w:tcPr>
            <w:tcW w:w="841" w:type="pct"/>
            <w:vMerge w:val="continue"/>
            <w:tcBorders>
              <w:top w:val="nil"/>
              <w:left w:val="single" w:color="auto" w:sz="4" w:space="0"/>
              <w:bottom w:val="single" w:color="000000" w:sz="4" w:space="0"/>
              <w:right w:val="single" w:color="auto" w:sz="4" w:space="0"/>
            </w:tcBorders>
            <w:vAlign w:val="center"/>
          </w:tcPr>
          <w:p>
            <w:pPr>
              <w:widowControl/>
              <w:autoSpaceDE/>
              <w:autoSpaceDN/>
              <w:jc w:val="center"/>
              <w:rPr>
                <w:rFonts w:ascii="宋体" w:hAnsi="宋体" w:eastAsia="宋体" w:cs="宋体"/>
                <w:sz w:val="24"/>
                <w:szCs w:val="24"/>
                <w:lang w:val="en-US" w:bidi="ar-SA"/>
              </w:rPr>
            </w:pP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F</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手持脉搏血氧测定仪</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手持脉搏血氧测定仪</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20</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G</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过氧化氢消毒机</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过氧化氢消毒机</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15</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150</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H</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床单元消毒机</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床单元消毒机</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30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24</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I</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移动空气消毒器</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移动空气消毒器</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100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60</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J</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正压头套</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正压头套</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8</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8</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K</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电子血压计</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电子血压计</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50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5</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L</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气管插管箱</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气管插管箱</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5</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5</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M</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输液泵</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输液泵</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100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40</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N</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微量泵</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微量泵</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100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40</w:t>
            </w:r>
          </w:p>
        </w:tc>
      </w:tr>
      <w:tr>
        <w:tblPrEx>
          <w:tblCellMar>
            <w:top w:w="0" w:type="dxa"/>
            <w:left w:w="108" w:type="dxa"/>
            <w:bottom w:w="0" w:type="dxa"/>
            <w:right w:w="108" w:type="dxa"/>
          </w:tblCellMar>
        </w:tblPrEx>
        <w:trPr>
          <w:trHeight w:val="799" w:hRule="atLeast"/>
        </w:trPr>
        <w:tc>
          <w:tcPr>
            <w:tcW w:w="359" w:type="pct"/>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O</w:t>
            </w:r>
          </w:p>
        </w:tc>
        <w:tc>
          <w:tcPr>
            <w:tcW w:w="86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营养泵</w:t>
            </w:r>
          </w:p>
        </w:tc>
        <w:tc>
          <w:tcPr>
            <w:tcW w:w="972"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　</w:t>
            </w:r>
          </w:p>
        </w:tc>
        <w:tc>
          <w:tcPr>
            <w:tcW w:w="1563"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营养泵</w:t>
            </w:r>
          </w:p>
        </w:tc>
        <w:tc>
          <w:tcPr>
            <w:tcW w:w="402" w:type="pct"/>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100</w:t>
            </w:r>
          </w:p>
        </w:tc>
        <w:tc>
          <w:tcPr>
            <w:tcW w:w="841" w:type="pct"/>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hint="eastAsia" w:ascii="宋体" w:hAnsi="宋体" w:eastAsia="宋体" w:cs="宋体"/>
                <w:sz w:val="24"/>
                <w:szCs w:val="24"/>
                <w:lang w:val="en-US" w:bidi="ar-SA"/>
              </w:rPr>
            </w:pPr>
            <w:r>
              <w:rPr>
                <w:rFonts w:hint="eastAsia" w:ascii="宋体" w:hAnsi="宋体" w:eastAsia="宋体" w:cs="宋体"/>
                <w:sz w:val="24"/>
                <w:szCs w:val="24"/>
                <w:lang w:val="en-US" w:bidi="ar-SA"/>
              </w:rPr>
              <w:t>40</w:t>
            </w:r>
          </w:p>
        </w:tc>
      </w:tr>
    </w:tbl>
    <w:p>
      <w:pPr>
        <w:spacing w:line="480" w:lineRule="exact"/>
        <w:ind w:firstLine="480" w:firstLineChars="200"/>
        <w:jc w:val="both"/>
        <w:rPr>
          <w:sz w:val="24"/>
        </w:rPr>
      </w:pPr>
      <w:r>
        <w:rPr>
          <w:rFonts w:hint="eastAsia"/>
          <w:sz w:val="24"/>
          <w:lang w:val="en-US"/>
        </w:rPr>
        <w:t>最高限价为各分包相应预算金额</w:t>
      </w:r>
      <w:r>
        <w:rPr>
          <w:rFonts w:hint="eastAsia"/>
          <w:bCs/>
          <w:sz w:val="24"/>
        </w:rPr>
        <w:t>。各分包报价</w:t>
      </w:r>
      <w:r>
        <w:rPr>
          <w:rFonts w:hint="eastAsia"/>
          <w:b/>
          <w:bCs/>
          <w:sz w:val="24"/>
        </w:rPr>
        <w:t>不得超过对应</w:t>
      </w:r>
      <w:r>
        <w:rPr>
          <w:rFonts w:hint="eastAsia"/>
          <w:sz w:val="24"/>
          <w:lang w:val="en-US"/>
        </w:rPr>
        <w:t>最高限价</w:t>
      </w:r>
      <w:r>
        <w:rPr>
          <w:rFonts w:hint="eastAsia"/>
          <w:b/>
          <w:bCs/>
          <w:sz w:val="24"/>
        </w:rPr>
        <w:t>。</w:t>
      </w:r>
      <w:r>
        <w:rPr>
          <w:rFonts w:hint="eastAsia"/>
          <w:sz w:val="24"/>
        </w:rPr>
        <w:t>具体技术参数要求详见附件。</w:t>
      </w:r>
    </w:p>
    <w:p>
      <w:pPr>
        <w:pStyle w:val="6"/>
        <w:spacing w:line="480" w:lineRule="exact"/>
        <w:ind w:left="0" w:firstLine="482" w:firstLineChars="200"/>
        <w:jc w:val="both"/>
      </w:pPr>
      <w:r>
        <w:rPr>
          <w:rFonts w:hint="eastAsia"/>
          <w:lang w:val="en-US"/>
        </w:rPr>
        <w:t>三</w:t>
      </w:r>
      <w:r>
        <w:rPr>
          <w:rFonts w:hint="eastAsia"/>
        </w:rPr>
        <w:t>、明确采购项目样品清单</w:t>
      </w:r>
    </w:p>
    <w:p>
      <w:pPr>
        <w:pStyle w:val="7"/>
        <w:spacing w:line="480" w:lineRule="exact"/>
        <w:ind w:firstLine="480" w:firstLineChars="200"/>
        <w:jc w:val="both"/>
      </w:pPr>
      <w:r>
        <w:rPr>
          <w:rFonts w:hint="eastAsia"/>
        </w:rPr>
        <w:t>一般采购项目不需要提供样品。对于家具、软件等产品和设备，可以要求提供样品。但是，一个项目往往涉及多种产品设备，可以要求提供部分主要产品设备样品。对此，采购人应结合项目情况，严格控制必带样品范围，并在采购项目样品清单中具体明确。</w:t>
      </w:r>
    </w:p>
    <w:p>
      <w:pPr>
        <w:pStyle w:val="7"/>
        <w:spacing w:line="480" w:lineRule="exact"/>
        <w:jc w:val="center"/>
        <w:rPr>
          <w:b/>
          <w:bCs/>
        </w:rPr>
      </w:pPr>
      <w:r>
        <w:rPr>
          <w:rFonts w:hint="eastAsia"/>
          <w:b/>
          <w:bCs/>
        </w:rPr>
        <w:t>采购项目样品清单</w:t>
      </w: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3506"/>
        <w:gridCol w:w="1065"/>
        <w:gridCol w:w="3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886" w:type="dxa"/>
            <w:vAlign w:val="center"/>
          </w:tcPr>
          <w:p>
            <w:pPr>
              <w:pStyle w:val="26"/>
              <w:jc w:val="center"/>
              <w:rPr>
                <w:sz w:val="24"/>
              </w:rPr>
            </w:pPr>
            <w:r>
              <w:rPr>
                <w:rFonts w:hint="eastAsia"/>
                <w:sz w:val="24"/>
              </w:rPr>
              <w:t>序号</w:t>
            </w:r>
          </w:p>
        </w:tc>
        <w:tc>
          <w:tcPr>
            <w:tcW w:w="3506" w:type="dxa"/>
            <w:vAlign w:val="center"/>
          </w:tcPr>
          <w:p>
            <w:pPr>
              <w:pStyle w:val="26"/>
              <w:jc w:val="center"/>
              <w:rPr>
                <w:sz w:val="24"/>
              </w:rPr>
            </w:pPr>
            <w:r>
              <w:rPr>
                <w:rFonts w:hint="eastAsia"/>
                <w:sz w:val="24"/>
              </w:rPr>
              <w:t>产品设备名称</w:t>
            </w:r>
          </w:p>
        </w:tc>
        <w:tc>
          <w:tcPr>
            <w:tcW w:w="1065" w:type="dxa"/>
            <w:vAlign w:val="center"/>
          </w:tcPr>
          <w:p>
            <w:pPr>
              <w:pStyle w:val="26"/>
              <w:jc w:val="center"/>
              <w:rPr>
                <w:sz w:val="24"/>
              </w:rPr>
            </w:pPr>
            <w:r>
              <w:rPr>
                <w:rFonts w:hint="eastAsia"/>
                <w:sz w:val="24"/>
              </w:rPr>
              <w:t>序号</w:t>
            </w:r>
          </w:p>
        </w:tc>
        <w:tc>
          <w:tcPr>
            <w:tcW w:w="3072" w:type="dxa"/>
            <w:vAlign w:val="center"/>
          </w:tcPr>
          <w:p>
            <w:pPr>
              <w:pStyle w:val="26"/>
              <w:jc w:val="center"/>
              <w:rPr>
                <w:sz w:val="24"/>
              </w:rPr>
            </w:pPr>
            <w:r>
              <w:rPr>
                <w:rFonts w:hint="eastAsia"/>
                <w:sz w:val="24"/>
              </w:rPr>
              <w:t>产品设备名称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886" w:type="dxa"/>
            <w:vAlign w:val="center"/>
          </w:tcPr>
          <w:p>
            <w:pPr>
              <w:pStyle w:val="26"/>
              <w:jc w:val="center"/>
              <w:rPr>
                <w:sz w:val="24"/>
              </w:rPr>
            </w:pPr>
            <w:r>
              <w:rPr>
                <w:rFonts w:hint="eastAsia"/>
                <w:sz w:val="24"/>
              </w:rPr>
              <w:t>1</w:t>
            </w:r>
          </w:p>
        </w:tc>
        <w:tc>
          <w:tcPr>
            <w:tcW w:w="3506" w:type="dxa"/>
            <w:vAlign w:val="center"/>
          </w:tcPr>
          <w:p>
            <w:pPr>
              <w:pStyle w:val="26"/>
              <w:jc w:val="center"/>
              <w:rPr>
                <w:sz w:val="24"/>
              </w:rPr>
            </w:pPr>
            <w:r>
              <w:rPr>
                <w:rFonts w:hint="eastAsia"/>
                <w:sz w:val="24"/>
              </w:rPr>
              <w:t>/</w:t>
            </w:r>
          </w:p>
        </w:tc>
        <w:tc>
          <w:tcPr>
            <w:tcW w:w="1065" w:type="dxa"/>
            <w:vAlign w:val="center"/>
          </w:tcPr>
          <w:p>
            <w:pPr>
              <w:pStyle w:val="26"/>
              <w:jc w:val="center"/>
              <w:rPr>
                <w:sz w:val="24"/>
              </w:rPr>
            </w:pPr>
            <w:r>
              <w:rPr>
                <w:rFonts w:hint="eastAsia"/>
                <w:sz w:val="24"/>
              </w:rPr>
              <w:t>2</w:t>
            </w:r>
          </w:p>
        </w:tc>
        <w:tc>
          <w:tcPr>
            <w:tcW w:w="3072" w:type="dxa"/>
            <w:vAlign w:val="center"/>
          </w:tcPr>
          <w:p>
            <w:pPr>
              <w:pStyle w:val="26"/>
              <w:jc w:val="center"/>
              <w:rPr>
                <w:sz w:val="24"/>
              </w:rPr>
            </w:pPr>
            <w:r>
              <w:rPr>
                <w:rFonts w:hint="eastAsia"/>
                <w:sz w:val="24"/>
              </w:rPr>
              <w:t>/</w:t>
            </w:r>
          </w:p>
        </w:tc>
      </w:tr>
    </w:tbl>
    <w:p>
      <w:pPr>
        <w:spacing w:line="480" w:lineRule="exact"/>
        <w:ind w:firstLine="482" w:firstLineChars="200"/>
        <w:jc w:val="both"/>
        <w:rPr>
          <w:b/>
          <w:sz w:val="24"/>
        </w:rPr>
      </w:pPr>
      <w:r>
        <w:rPr>
          <w:rFonts w:hint="eastAsia"/>
          <w:b/>
          <w:sz w:val="24"/>
          <w:lang w:val="en-US"/>
        </w:rPr>
        <w:t>四</w:t>
      </w:r>
      <w:r>
        <w:rPr>
          <w:rFonts w:hint="eastAsia"/>
          <w:b/>
          <w:sz w:val="24"/>
        </w:rPr>
        <w:t>、售后服务及其它要求</w:t>
      </w:r>
    </w:p>
    <w:p>
      <w:pPr>
        <w:spacing w:line="480" w:lineRule="exact"/>
        <w:ind w:firstLine="480" w:firstLineChars="200"/>
        <w:jc w:val="both"/>
        <w:rPr>
          <w:sz w:val="24"/>
          <w:lang w:val="en-US"/>
        </w:rPr>
      </w:pPr>
      <w:r>
        <w:rPr>
          <w:rFonts w:hint="eastAsia"/>
          <w:sz w:val="24"/>
        </w:rPr>
        <w:t>（一）售后服务</w:t>
      </w:r>
      <w:r>
        <w:rPr>
          <w:rFonts w:hint="eastAsia"/>
          <w:sz w:val="24"/>
          <w:lang w:val="en-US"/>
        </w:rPr>
        <w:t>要求</w:t>
      </w:r>
    </w:p>
    <w:p>
      <w:pPr>
        <w:pStyle w:val="7"/>
        <w:spacing w:line="480" w:lineRule="exact"/>
        <w:ind w:firstLine="480" w:firstLineChars="200"/>
        <w:jc w:val="both"/>
      </w:pPr>
      <w:r>
        <w:rPr>
          <w:rFonts w:hint="eastAsia"/>
        </w:rPr>
        <w:t>1、产品培训服务</w:t>
      </w:r>
    </w:p>
    <w:p>
      <w:pPr>
        <w:pStyle w:val="7"/>
        <w:spacing w:line="480" w:lineRule="exact"/>
        <w:ind w:firstLine="480" w:firstLineChars="200"/>
        <w:jc w:val="both"/>
      </w:pPr>
      <w:r>
        <w:rPr>
          <w:rFonts w:hint="eastAsia"/>
        </w:rPr>
        <w:t>供应商负责到交货地点对使用方人员进行免费培训，保证设备正常运行，操作人员正确使用。</w:t>
      </w:r>
    </w:p>
    <w:p>
      <w:pPr>
        <w:pStyle w:val="7"/>
        <w:spacing w:line="480" w:lineRule="exact"/>
        <w:ind w:firstLine="480" w:firstLineChars="200"/>
        <w:jc w:val="both"/>
      </w:pPr>
      <w:r>
        <w:rPr>
          <w:rFonts w:hint="eastAsia"/>
        </w:rPr>
        <w:t>2、质保服务</w:t>
      </w:r>
    </w:p>
    <w:p>
      <w:pPr>
        <w:pStyle w:val="7"/>
        <w:spacing w:line="480" w:lineRule="exact"/>
        <w:ind w:firstLine="480" w:firstLineChars="200"/>
        <w:jc w:val="both"/>
      </w:pPr>
      <w:r>
        <w:rPr>
          <w:rFonts w:hint="eastAsia"/>
        </w:rPr>
        <w:t>供应商对所提供产品提供整机原厂质保，质保期具体要求见相关附件参数，无明确要求的整机质保不得低于2年。在质保期内发现由于产品本身的质量问题中标人应免费更换。</w:t>
      </w:r>
    </w:p>
    <w:p>
      <w:pPr>
        <w:pStyle w:val="7"/>
        <w:spacing w:line="480" w:lineRule="exact"/>
        <w:ind w:firstLine="480" w:firstLineChars="200"/>
        <w:jc w:val="both"/>
      </w:pPr>
      <w:r>
        <w:rPr>
          <w:rFonts w:hint="eastAsia"/>
        </w:rPr>
        <w:t>采购人正确操作使用设备期间，由于设备本身质量问题或乙方未正确安装调试等造成的所有事故，由供应商承担赔偿责任。</w:t>
      </w:r>
    </w:p>
    <w:p>
      <w:pPr>
        <w:pStyle w:val="7"/>
        <w:spacing w:line="480" w:lineRule="exact"/>
        <w:ind w:firstLine="480" w:firstLineChars="200"/>
        <w:jc w:val="both"/>
      </w:pPr>
      <w:r>
        <w:rPr>
          <w:rFonts w:hint="eastAsia"/>
        </w:rPr>
        <w:t>（二）其它要求</w:t>
      </w:r>
    </w:p>
    <w:p>
      <w:pPr>
        <w:pStyle w:val="7"/>
        <w:spacing w:line="480" w:lineRule="exact"/>
        <w:ind w:firstLine="480" w:firstLineChars="200"/>
        <w:jc w:val="both"/>
      </w:pPr>
      <w:r>
        <w:rPr>
          <w:rFonts w:hint="eastAsia"/>
        </w:rPr>
        <w:t>供应商必须书面承诺所供产品均为原厂正品，不得使用任何劣货、假货等产品。</w:t>
      </w:r>
    </w:p>
    <w:p>
      <w:pPr>
        <w:pStyle w:val="7"/>
        <w:spacing w:line="480" w:lineRule="exact"/>
        <w:ind w:firstLine="482" w:firstLineChars="200"/>
        <w:jc w:val="both"/>
        <w:rPr>
          <w:b/>
        </w:rPr>
      </w:pPr>
      <w:r>
        <w:rPr>
          <w:rFonts w:hint="eastAsia"/>
          <w:b/>
          <w:lang w:val="en-US"/>
        </w:rPr>
        <w:t>五</w:t>
      </w:r>
      <w:r>
        <w:rPr>
          <w:rFonts w:hint="eastAsia"/>
          <w:b/>
        </w:rPr>
        <w:t>、项目完成要求</w:t>
      </w:r>
    </w:p>
    <w:p>
      <w:pPr>
        <w:pStyle w:val="7"/>
        <w:spacing w:line="480" w:lineRule="exact"/>
        <w:ind w:firstLine="480" w:firstLineChars="200"/>
        <w:jc w:val="both"/>
      </w:pPr>
      <w:r>
        <w:rPr>
          <w:rFonts w:hint="eastAsia"/>
        </w:rPr>
        <w:t>（一）项目地点：采购人指定地点。</w:t>
      </w:r>
    </w:p>
    <w:p>
      <w:pPr>
        <w:pStyle w:val="7"/>
        <w:spacing w:line="480" w:lineRule="exact"/>
        <w:ind w:firstLine="480" w:firstLineChars="200"/>
        <w:jc w:val="both"/>
      </w:pPr>
      <w:r>
        <w:rPr>
          <w:rFonts w:hint="eastAsia"/>
        </w:rPr>
        <w:t>（二）项目完成时间：</w:t>
      </w:r>
      <w:r>
        <w:rPr>
          <w:rFonts w:hint="eastAsia"/>
          <w:lang w:val="en-US"/>
        </w:rPr>
        <w:t>自合同签订之日起10日内完成</w:t>
      </w:r>
      <w:r>
        <w:rPr>
          <w:rFonts w:hint="eastAsia"/>
        </w:rPr>
        <w:t>。</w:t>
      </w:r>
    </w:p>
    <w:p>
      <w:pPr>
        <w:spacing w:line="480" w:lineRule="exact"/>
        <w:ind w:firstLine="482" w:firstLineChars="200"/>
        <w:jc w:val="both"/>
        <w:rPr>
          <w:sz w:val="24"/>
        </w:rPr>
      </w:pPr>
      <w:r>
        <w:rPr>
          <w:rFonts w:hint="eastAsia"/>
          <w:b/>
          <w:sz w:val="24"/>
          <w:lang w:val="en-US"/>
        </w:rPr>
        <w:t>六</w:t>
      </w:r>
      <w:r>
        <w:rPr>
          <w:rFonts w:hint="eastAsia"/>
          <w:b/>
          <w:sz w:val="24"/>
        </w:rPr>
        <w:t>、项目资金来源：</w:t>
      </w:r>
      <w:r>
        <w:rPr>
          <w:rFonts w:hint="eastAsia"/>
          <w:sz w:val="24"/>
          <w:lang w:val="en-US"/>
        </w:rPr>
        <w:t>专项资金</w:t>
      </w:r>
      <w:r>
        <w:rPr>
          <w:rFonts w:hint="eastAsia"/>
          <w:sz w:val="24"/>
        </w:rPr>
        <w:t>。</w:t>
      </w:r>
    </w:p>
    <w:p>
      <w:pPr>
        <w:pStyle w:val="6"/>
        <w:spacing w:line="480" w:lineRule="exact"/>
        <w:ind w:left="0" w:firstLine="482" w:firstLineChars="200"/>
        <w:jc w:val="both"/>
      </w:pPr>
      <w:r>
        <w:rPr>
          <w:rFonts w:hint="eastAsia"/>
          <w:lang w:val="en-US"/>
        </w:rPr>
        <w:t>七</w:t>
      </w:r>
      <w:r>
        <w:rPr>
          <w:rFonts w:hint="eastAsia"/>
        </w:rPr>
        <w:t>、对项目转包、分包要求</w:t>
      </w:r>
    </w:p>
    <w:p>
      <w:pPr>
        <w:pStyle w:val="7"/>
        <w:spacing w:line="480" w:lineRule="exact"/>
        <w:ind w:firstLine="480" w:firstLineChars="200"/>
        <w:jc w:val="both"/>
      </w:pPr>
      <w:r>
        <w:rPr>
          <w:rFonts w:hint="eastAsia"/>
        </w:rPr>
        <w:t>（一）该项目不允许转包、分包。</w:t>
      </w:r>
    </w:p>
    <w:p>
      <w:pPr>
        <w:pStyle w:val="7"/>
        <w:spacing w:line="480" w:lineRule="exact"/>
        <w:ind w:firstLine="480" w:firstLineChars="200"/>
        <w:jc w:val="both"/>
      </w:pPr>
      <w:r>
        <w:rPr>
          <w:rFonts w:hint="eastAsia"/>
        </w:rPr>
        <w:t>（二）采购人发现成交供应商进行转包、擅自分包的，有权单方解除合同，取消成交供应商实施项目的资格。成交供应商除赔偿损失外，还须向采购人支付项目合同总价款10%的违约金。</w:t>
      </w:r>
      <w:bookmarkStart w:id="0" w:name="_GoBack"/>
      <w:bookmarkEnd w:id="0"/>
    </w:p>
    <w:p>
      <w:pPr>
        <w:pStyle w:val="7"/>
        <w:spacing w:line="480" w:lineRule="exact"/>
        <w:ind w:firstLine="482" w:firstLineChars="200"/>
        <w:jc w:val="both"/>
      </w:pPr>
      <w:r>
        <w:rPr>
          <w:rFonts w:hint="eastAsia"/>
          <w:b/>
          <w:bCs/>
          <w:lang w:val="en-US"/>
        </w:rPr>
        <w:t>八</w:t>
      </w:r>
      <w:r>
        <w:rPr>
          <w:rFonts w:hint="eastAsia"/>
          <w:b/>
          <w:bCs/>
        </w:rPr>
        <w:t>、</w:t>
      </w:r>
      <w:r>
        <w:rPr>
          <w:rFonts w:hint="eastAsia"/>
        </w:rPr>
        <w:t>报价有效期：从递交响应文件的截止之日起计算</w:t>
      </w:r>
      <w:r>
        <w:rPr>
          <w:rFonts w:hint="eastAsia"/>
          <w:b/>
          <w:bCs/>
          <w:lang w:val="en-US"/>
        </w:rPr>
        <w:t>9</w:t>
      </w:r>
      <w:r>
        <w:rPr>
          <w:rFonts w:hint="eastAsia"/>
          <w:b/>
          <w:bCs/>
        </w:rPr>
        <w:t>0日历天</w:t>
      </w:r>
      <w:r>
        <w:rPr>
          <w:rFonts w:hint="eastAsia"/>
        </w:rPr>
        <w:t>。</w:t>
      </w:r>
    </w:p>
    <w:p>
      <w:pPr>
        <w:tabs>
          <w:tab w:val="left" w:pos="1123"/>
        </w:tabs>
        <w:spacing w:line="480" w:lineRule="exact"/>
        <w:ind w:firstLine="562" w:firstLineChars="200"/>
        <w:jc w:val="center"/>
        <w:rPr>
          <w:b/>
          <w:sz w:val="28"/>
        </w:rPr>
      </w:pPr>
    </w:p>
    <w:p>
      <w:pPr>
        <w:tabs>
          <w:tab w:val="left" w:pos="1123"/>
        </w:tabs>
        <w:spacing w:line="480" w:lineRule="exact"/>
        <w:ind w:firstLine="562" w:firstLineChars="200"/>
        <w:jc w:val="center"/>
        <w:rPr>
          <w:b/>
          <w:sz w:val="28"/>
        </w:rPr>
      </w:pPr>
      <w:r>
        <w:rPr>
          <w:rFonts w:hint="eastAsia"/>
          <w:b/>
          <w:sz w:val="28"/>
        </w:rPr>
        <w:t>第二章</w:t>
      </w:r>
      <w:r>
        <w:rPr>
          <w:rFonts w:hint="eastAsia"/>
          <w:b/>
          <w:sz w:val="28"/>
        </w:rPr>
        <w:tab/>
      </w:r>
      <w:r>
        <w:rPr>
          <w:rFonts w:hint="eastAsia"/>
          <w:b/>
          <w:sz w:val="28"/>
        </w:rPr>
        <w:t>供应商条件及须提供的资信证明</w:t>
      </w:r>
    </w:p>
    <w:p>
      <w:pPr>
        <w:pStyle w:val="7"/>
        <w:spacing w:line="480" w:lineRule="exact"/>
        <w:ind w:firstLine="480" w:firstLineChars="200"/>
        <w:jc w:val="both"/>
      </w:pPr>
    </w:p>
    <w:p>
      <w:pPr>
        <w:pStyle w:val="7"/>
        <w:spacing w:line="480" w:lineRule="exact"/>
        <w:ind w:firstLine="482" w:firstLineChars="200"/>
        <w:jc w:val="both"/>
        <w:rPr>
          <w:b/>
          <w:bCs/>
        </w:rPr>
      </w:pPr>
      <w:r>
        <w:rPr>
          <w:rFonts w:hint="eastAsia"/>
          <w:b/>
          <w:bCs/>
        </w:rPr>
        <w:t>一、</w:t>
      </w:r>
      <w:r>
        <w:rPr>
          <w:rFonts w:hint="eastAsia"/>
          <w:b/>
          <w:bCs/>
          <w:lang w:val="en-US"/>
        </w:rPr>
        <w:t>合格</w:t>
      </w:r>
      <w:r>
        <w:rPr>
          <w:rFonts w:hint="eastAsia"/>
          <w:b/>
          <w:bCs/>
        </w:rPr>
        <w:t>供应商</w:t>
      </w:r>
      <w:r>
        <w:rPr>
          <w:rFonts w:hint="eastAsia"/>
          <w:b/>
          <w:bCs/>
          <w:lang w:val="en-US"/>
        </w:rPr>
        <w:t>的</w:t>
      </w:r>
      <w:r>
        <w:rPr>
          <w:rFonts w:hint="eastAsia"/>
          <w:b/>
          <w:bCs/>
        </w:rPr>
        <w:t>条件</w:t>
      </w:r>
    </w:p>
    <w:p>
      <w:pPr>
        <w:pStyle w:val="7"/>
        <w:spacing w:line="480" w:lineRule="exact"/>
        <w:ind w:firstLine="480" w:firstLineChars="200"/>
        <w:jc w:val="both"/>
        <w:rPr>
          <w:lang w:val="en-US"/>
        </w:rPr>
      </w:pPr>
      <w:r>
        <w:rPr>
          <w:rFonts w:hint="eastAsia"/>
          <w:lang w:val="en-US"/>
        </w:rPr>
        <w:t>（一）供应商须具有《中华人民共和国政府采购法》第二十二条规定的条件；</w:t>
      </w:r>
    </w:p>
    <w:p>
      <w:pPr>
        <w:spacing w:line="400" w:lineRule="exact"/>
        <w:ind w:right="110" w:rightChars="50" w:firstLine="480" w:firstLineChars="200"/>
        <w:jc w:val="both"/>
        <w:rPr>
          <w:lang w:val="en-US"/>
        </w:rPr>
      </w:pPr>
      <w:r>
        <w:rPr>
          <w:rFonts w:hint="eastAsia" w:ascii="仿宋" w:hAnsi="仿宋" w:eastAsia="仿宋" w:cs="仿宋"/>
          <w:sz w:val="24"/>
          <w:szCs w:val="24"/>
          <w:lang w:val="en-US" w:eastAsia="zh-CN" w:bidi="zh-CN"/>
        </w:rPr>
        <w:t>（二）</w:t>
      </w:r>
      <w:r>
        <w:rPr>
          <w:rFonts w:hint="eastAsia" w:ascii="仿宋" w:hAnsi="仿宋" w:eastAsia="仿宋" w:cs="仿宋"/>
          <w:sz w:val="24"/>
          <w:szCs w:val="24"/>
          <w:lang w:val="en-US" w:eastAsia="zh-CN" w:bidi="zh-CN"/>
        </w:rPr>
        <w:t xml:space="preserve">具有生产或销售能力的国内独立企业法人，生产商投标的应具有《医疗器械生产许可证》，代理商投标的应具有《医疗器械经营许可证》或《医疗器械的经营备案凭证》； </w:t>
      </w:r>
    </w:p>
    <w:p>
      <w:pPr>
        <w:pStyle w:val="7"/>
        <w:spacing w:line="480" w:lineRule="exact"/>
        <w:ind w:firstLine="480" w:firstLineChars="200"/>
        <w:jc w:val="both"/>
        <w:rPr>
          <w:lang w:val="en-US"/>
        </w:rPr>
      </w:pPr>
      <w:r>
        <w:rPr>
          <w:rFonts w:hint="eastAsia"/>
          <w:lang w:val="en-US"/>
        </w:rPr>
        <w:t>（三）供应商所投货物须具有《中华人民共和国医疗器械注册证》（如有附表，需提供附表）或产品备案表（如需）；</w:t>
      </w:r>
    </w:p>
    <w:p>
      <w:pPr>
        <w:pStyle w:val="7"/>
        <w:spacing w:line="480" w:lineRule="exact"/>
        <w:ind w:firstLine="480" w:firstLineChars="200"/>
        <w:jc w:val="both"/>
        <w:rPr>
          <w:lang w:val="en-US"/>
        </w:rPr>
      </w:pPr>
      <w:r>
        <w:rPr>
          <w:rFonts w:hint="eastAsia"/>
          <w:lang w:val="en-US"/>
        </w:rPr>
        <w:t>（四）供应商近三年（截止时间为磋商日前3个工作日内）没有被“信用中国”网站、“中国政府采购网”网站列入失信被执行人、重大税收违法失信名单、政府采购严重违法失信行为记录名单的或被“信用中国”网站、“中国政府采购网”网站列入失信被执行人、重大税收违法失信名单、政府采购严重违法失信行为记录名单但已过限制期的；</w:t>
      </w:r>
    </w:p>
    <w:p>
      <w:pPr>
        <w:pStyle w:val="7"/>
        <w:spacing w:line="480" w:lineRule="exact"/>
        <w:ind w:firstLine="480" w:firstLineChars="200"/>
        <w:jc w:val="both"/>
        <w:rPr>
          <w:lang w:val="en-US"/>
        </w:rPr>
      </w:pPr>
      <w:r>
        <w:rPr>
          <w:rFonts w:hint="eastAsia"/>
          <w:lang w:val="en-US"/>
        </w:rPr>
        <w:t>（五）本项目不接受联合体参与。</w:t>
      </w:r>
    </w:p>
    <w:p>
      <w:pPr>
        <w:pStyle w:val="6"/>
        <w:spacing w:line="480" w:lineRule="exact"/>
        <w:ind w:left="0" w:firstLine="482" w:firstLineChars="200"/>
        <w:jc w:val="both"/>
      </w:pPr>
      <w:r>
        <w:rPr>
          <w:rFonts w:hint="eastAsia"/>
        </w:rPr>
        <w:t>二、供应商应提供的资信证明</w:t>
      </w:r>
    </w:p>
    <w:p>
      <w:pPr>
        <w:pStyle w:val="7"/>
        <w:spacing w:line="480" w:lineRule="exact"/>
        <w:ind w:firstLine="480" w:firstLineChars="200"/>
        <w:jc w:val="both"/>
        <w:rPr>
          <w:lang w:val="en-US"/>
        </w:rPr>
      </w:pPr>
      <w:r>
        <w:rPr>
          <w:rFonts w:hint="eastAsia"/>
          <w:lang w:val="en-US"/>
        </w:rPr>
        <w:t>（一）有效的企业法人营业执照副本原件或国家公证机构对此出具的公证书原件。</w:t>
      </w:r>
    </w:p>
    <w:p>
      <w:pPr>
        <w:pStyle w:val="7"/>
        <w:spacing w:line="480" w:lineRule="exact"/>
        <w:ind w:firstLine="480" w:firstLineChars="200"/>
        <w:jc w:val="both"/>
        <w:rPr>
          <w:lang w:val="en-US"/>
        </w:rPr>
      </w:pPr>
      <w:r>
        <w:rPr>
          <w:rFonts w:hint="eastAsia"/>
          <w:lang w:val="en-US"/>
        </w:rPr>
        <w:t>（二）《医疗器械生产企业许可证》或《医疗器械经营企业许可证》或《医疗器械的经营备案凭证》（含各分包采购货物类）；</w:t>
      </w:r>
    </w:p>
    <w:p>
      <w:pPr>
        <w:pStyle w:val="7"/>
        <w:spacing w:line="480" w:lineRule="exact"/>
        <w:ind w:firstLine="480" w:firstLineChars="200"/>
        <w:jc w:val="both"/>
        <w:rPr>
          <w:lang w:val="en-US"/>
        </w:rPr>
      </w:pPr>
      <w:r>
        <w:rPr>
          <w:rFonts w:hint="eastAsia"/>
          <w:lang w:val="en-US"/>
        </w:rPr>
        <w:t>（三）《中华人民共和国医疗器械注册证》复印件（如有附表，需提供附表）或产品备案表（如需）；</w:t>
      </w:r>
    </w:p>
    <w:p>
      <w:pPr>
        <w:pStyle w:val="7"/>
        <w:spacing w:line="480" w:lineRule="exact"/>
        <w:ind w:firstLine="480" w:firstLineChars="200"/>
        <w:jc w:val="both"/>
        <w:rPr>
          <w:lang w:val="en-US"/>
        </w:rPr>
      </w:pPr>
      <w:r>
        <w:rPr>
          <w:rFonts w:hint="eastAsia"/>
          <w:lang w:val="en-US"/>
        </w:rPr>
        <w:t>（四）法定代表人参加会议时必须提供：法定代表人身份证原件；如果法定代表人委托代理人参加会议时必须提供：法定代表人签名（或印鉴）的授权委托书及授权委托人身份证原件。</w:t>
      </w:r>
    </w:p>
    <w:p>
      <w:pPr>
        <w:pStyle w:val="7"/>
        <w:spacing w:line="480" w:lineRule="exact"/>
        <w:ind w:firstLine="480" w:firstLineChars="200"/>
        <w:jc w:val="both"/>
        <w:rPr>
          <w:lang w:val="en-US"/>
        </w:rPr>
      </w:pPr>
      <w:r>
        <w:rPr>
          <w:rFonts w:hint="eastAsia"/>
          <w:lang w:val="en-US"/>
        </w:rPr>
        <w:t>（五）信用信息查询记录网页打印件（包含“中国政府采购网”的采购严重违法失信行为信息记录查询及“信用中国”网站的失信被执行人、重大税收违法违法失信名单、采购严重违法失信名单的查询，查询时间符合信用信息查询截止时点要求）。</w:t>
      </w:r>
    </w:p>
    <w:p>
      <w:pPr>
        <w:pStyle w:val="7"/>
        <w:spacing w:line="480" w:lineRule="exact"/>
        <w:ind w:firstLine="480" w:firstLineChars="200"/>
        <w:jc w:val="both"/>
        <w:rPr>
          <w:lang w:val="en-US"/>
        </w:rPr>
      </w:pPr>
      <w:r>
        <w:rPr>
          <w:rFonts w:hint="eastAsia"/>
          <w:lang w:val="en-US"/>
        </w:rPr>
        <w:t>（六）财务审计报告。提供202</w:t>
      </w:r>
      <w:r>
        <w:rPr>
          <w:lang w:val="en-US"/>
        </w:rPr>
        <w:t>1</w:t>
      </w:r>
      <w:r>
        <w:rPr>
          <w:rFonts w:hint="eastAsia"/>
          <w:lang w:val="en-US"/>
        </w:rPr>
        <w:t>年度由有法定资格的中介机构出具的财务审计报告原件或复印件（必须包含资产负债表、利润表、现金流量表、所有者权益变动表及其附注）。供应商没有财务审计报告的，应当提供基本开户银行出具的资信证明原件，中小企业可提供财政部门认可的采购专业担保机构出具的投标担保函原件。</w:t>
      </w:r>
    </w:p>
    <w:p>
      <w:pPr>
        <w:pStyle w:val="7"/>
        <w:spacing w:line="480" w:lineRule="exact"/>
        <w:ind w:firstLine="480" w:firstLineChars="200"/>
        <w:jc w:val="both"/>
        <w:rPr>
          <w:lang w:val="en-US"/>
        </w:rPr>
      </w:pPr>
      <w:r>
        <w:rPr>
          <w:rFonts w:hint="eastAsia"/>
          <w:lang w:val="en-US"/>
        </w:rPr>
        <w:t>（七）依法缴纳税收和社会保险费的相关证明材料：</w:t>
      </w:r>
    </w:p>
    <w:p>
      <w:pPr>
        <w:pStyle w:val="7"/>
        <w:spacing w:line="480" w:lineRule="exact"/>
        <w:ind w:firstLine="480" w:firstLineChars="200"/>
        <w:jc w:val="both"/>
        <w:rPr>
          <w:lang w:val="en-US"/>
        </w:rPr>
      </w:pPr>
      <w:r>
        <w:rPr>
          <w:rFonts w:hint="eastAsia"/>
          <w:lang w:val="en-US"/>
        </w:rPr>
        <w:t>1、供应商开标日前一年内不少于6个月的连续依法缴纳税收的凭据（或纳税申报）原件或复印件【公司成立不足6个月的，可提供自成立以来的依法缴纳税收的凭据（或纳税申报）原件或复印件】。</w:t>
      </w:r>
    </w:p>
    <w:p>
      <w:pPr>
        <w:pStyle w:val="7"/>
        <w:spacing w:line="480" w:lineRule="exact"/>
        <w:ind w:firstLine="480" w:firstLineChars="200"/>
        <w:jc w:val="both"/>
        <w:rPr>
          <w:lang w:val="en-US"/>
        </w:rPr>
      </w:pPr>
      <w:r>
        <w:rPr>
          <w:rFonts w:hint="eastAsia"/>
          <w:lang w:val="en-US"/>
        </w:rPr>
        <w:t>2、供应商开标日前一年内不少于6个月的连续依法缴纳社会保险的凭据（专用收据或社会保险清单）及对应的全部人员缴费明细表原件或复印件【公司成立不足6个月的，可提供自成立以来的依法缴纳社会保险的凭据及对应的全部人员缴费明细表原件或复印件】。</w:t>
      </w:r>
    </w:p>
    <w:p>
      <w:pPr>
        <w:pStyle w:val="7"/>
        <w:spacing w:line="480" w:lineRule="exact"/>
        <w:ind w:firstLine="480" w:firstLineChars="200"/>
        <w:jc w:val="both"/>
        <w:rPr>
          <w:lang w:val="en-US"/>
        </w:rPr>
      </w:pPr>
      <w:r>
        <w:rPr>
          <w:rFonts w:hint="eastAsia"/>
          <w:lang w:val="en-US"/>
        </w:rPr>
        <w:t>3、依法免税或不需要缴纳社会保险的供应商，应提供相应证明其依法免税或不需要缴纳社会保险的文件原件。</w:t>
      </w:r>
    </w:p>
    <w:p>
      <w:pPr>
        <w:pStyle w:val="7"/>
        <w:spacing w:line="480" w:lineRule="exact"/>
        <w:ind w:firstLine="480" w:firstLineChars="200"/>
        <w:jc w:val="both"/>
        <w:rPr>
          <w:lang w:val="en-US"/>
        </w:rPr>
      </w:pPr>
      <w:r>
        <w:rPr>
          <w:rFonts w:hint="eastAsia"/>
          <w:lang w:val="en-US"/>
        </w:rPr>
        <w:t>（八）提供合法经营书面声明（提供开标截止日前3年在经营活动中没有重大违法记录的书面声明。截止开标日成立不足3年的供应商可提供自成立以来无重大违法记录的书面声明）。</w:t>
      </w:r>
    </w:p>
    <w:p>
      <w:pPr>
        <w:pStyle w:val="7"/>
        <w:spacing w:line="480" w:lineRule="exact"/>
        <w:ind w:firstLine="480" w:firstLineChars="200"/>
        <w:jc w:val="both"/>
        <w:rPr>
          <w:lang w:val="en-US"/>
        </w:rPr>
      </w:pPr>
      <w:r>
        <w:rPr>
          <w:rFonts w:hint="eastAsia"/>
          <w:lang w:val="en-US"/>
        </w:rPr>
        <w:t>（九）履行本项目合同所必需的设备和专业技术能力证明材料。</w:t>
      </w:r>
    </w:p>
    <w:p>
      <w:pPr>
        <w:pStyle w:val="7"/>
        <w:spacing w:line="480" w:lineRule="exact"/>
        <w:ind w:firstLine="480" w:firstLineChars="200"/>
        <w:jc w:val="both"/>
        <w:rPr>
          <w:lang w:val="en-US"/>
        </w:rPr>
      </w:pPr>
      <w:r>
        <w:rPr>
          <w:rFonts w:hint="eastAsia"/>
          <w:lang w:val="en-US"/>
        </w:rPr>
        <w:t>（十）信誉保证金电汇凭证。</w:t>
      </w:r>
    </w:p>
    <w:p>
      <w:pPr>
        <w:spacing w:line="480" w:lineRule="exact"/>
        <w:ind w:firstLine="482" w:firstLineChars="200"/>
        <w:jc w:val="both"/>
        <w:rPr>
          <w:sz w:val="24"/>
        </w:rPr>
      </w:pPr>
      <w:r>
        <w:rPr>
          <w:rFonts w:hint="eastAsia"/>
          <w:b/>
          <w:sz w:val="24"/>
          <w:lang w:val="en-US"/>
        </w:rPr>
        <w:t>供应商参加本次磋商必须满足本章第二项第（一）至（十）款的要求，</w:t>
      </w:r>
      <w:r>
        <w:rPr>
          <w:rFonts w:hint="eastAsia"/>
          <w:b/>
          <w:sz w:val="24"/>
        </w:rPr>
        <w:t>否则不准参加磋商活动。</w:t>
      </w:r>
      <w:r>
        <w:rPr>
          <w:rFonts w:hint="eastAsia"/>
          <w:b/>
          <w:sz w:val="24"/>
          <w:lang w:val="en-US"/>
        </w:rPr>
        <w:t>提供证件原件的必须同时提供加盖供应商公章的复印件，并按以上顺序装订</w:t>
      </w:r>
      <w:r>
        <w:rPr>
          <w:rFonts w:hint="eastAsia"/>
          <w:sz w:val="24"/>
        </w:rPr>
        <w:t>。</w:t>
      </w:r>
    </w:p>
    <w:p>
      <w:pPr>
        <w:pStyle w:val="5"/>
        <w:tabs>
          <w:tab w:val="left" w:pos="1125"/>
        </w:tabs>
        <w:spacing w:line="480" w:lineRule="exact"/>
        <w:ind w:right="0"/>
      </w:pPr>
    </w:p>
    <w:p>
      <w:pPr>
        <w:pStyle w:val="5"/>
        <w:tabs>
          <w:tab w:val="left" w:pos="1125"/>
        </w:tabs>
        <w:spacing w:line="480" w:lineRule="exact"/>
        <w:ind w:right="0"/>
        <w:rPr>
          <w:lang w:val="en-US"/>
        </w:rPr>
      </w:pPr>
      <w:r>
        <w:rPr>
          <w:rFonts w:hint="eastAsia"/>
        </w:rPr>
        <w:t>第三章</w:t>
      </w:r>
      <w:r>
        <w:rPr>
          <w:rFonts w:hint="eastAsia"/>
        </w:rPr>
        <w:tab/>
      </w:r>
      <w:r>
        <w:rPr>
          <w:rFonts w:hint="eastAsia"/>
        </w:rPr>
        <w:t>磋商时间</w:t>
      </w:r>
      <w:r>
        <w:rPr>
          <w:rFonts w:hint="eastAsia"/>
          <w:lang w:val="en-US"/>
        </w:rPr>
        <w:t>及地点</w:t>
      </w:r>
    </w:p>
    <w:p>
      <w:pPr>
        <w:spacing w:line="480" w:lineRule="exact"/>
        <w:ind w:firstLine="480" w:firstLineChars="200"/>
        <w:jc w:val="both"/>
        <w:rPr>
          <w:sz w:val="24"/>
        </w:rPr>
      </w:pPr>
    </w:p>
    <w:p>
      <w:pPr>
        <w:spacing w:line="480" w:lineRule="exact"/>
        <w:ind w:firstLine="480" w:firstLineChars="200"/>
        <w:jc w:val="both"/>
        <w:rPr>
          <w:sz w:val="24"/>
          <w:lang w:val="en-US"/>
        </w:rPr>
      </w:pPr>
      <w:r>
        <w:rPr>
          <w:rFonts w:hint="eastAsia"/>
          <w:sz w:val="24"/>
          <w:lang w:val="en-US"/>
        </w:rPr>
        <w:t>一</w:t>
      </w:r>
      <w:r>
        <w:rPr>
          <w:rFonts w:hint="eastAsia"/>
          <w:sz w:val="24"/>
        </w:rPr>
        <w:t>、磋商时间</w:t>
      </w:r>
      <w:r>
        <w:rPr>
          <w:rFonts w:hint="eastAsia"/>
          <w:sz w:val="24"/>
          <w:lang w:val="en-US"/>
        </w:rPr>
        <w:t>及地点</w:t>
      </w:r>
    </w:p>
    <w:p>
      <w:pPr>
        <w:pStyle w:val="7"/>
        <w:spacing w:line="480" w:lineRule="exact"/>
        <w:ind w:firstLine="480" w:firstLineChars="200"/>
        <w:jc w:val="both"/>
      </w:pPr>
      <w:r>
        <w:rPr>
          <w:rFonts w:hint="eastAsia"/>
        </w:rPr>
        <w:t>磋商时间</w:t>
      </w:r>
      <w:r>
        <w:rPr>
          <w:rFonts w:hint="eastAsia"/>
          <w:lang w:val="en-US"/>
        </w:rPr>
        <w:t>：2022年</w:t>
      </w:r>
      <w:r>
        <w:rPr>
          <w:lang w:val="en-US"/>
        </w:rPr>
        <w:t>7月12日08</w:t>
      </w:r>
      <w:r>
        <w:rPr>
          <w:rFonts w:hint="eastAsia"/>
          <w:lang w:val="en-US"/>
        </w:rPr>
        <w:t>时30分</w:t>
      </w:r>
      <w:r>
        <w:rPr>
          <w:rFonts w:hint="eastAsia"/>
        </w:rPr>
        <w:t>开始资格审查并进行磋商。</w:t>
      </w:r>
    </w:p>
    <w:p>
      <w:pPr>
        <w:pStyle w:val="7"/>
        <w:spacing w:line="480" w:lineRule="exact"/>
        <w:ind w:firstLine="480" w:firstLineChars="200"/>
        <w:jc w:val="both"/>
      </w:pPr>
      <w:r>
        <w:rPr>
          <w:rFonts w:hint="eastAsia"/>
        </w:rPr>
        <w:t>磋商地点：地址：东营市广饶县大王镇常春路28号东营市第二人民医院妇女儿童医院门诊楼五楼会议室。</w:t>
      </w:r>
    </w:p>
    <w:p>
      <w:pPr>
        <w:pStyle w:val="7"/>
        <w:spacing w:line="480" w:lineRule="exact"/>
        <w:ind w:firstLine="480" w:firstLineChars="200"/>
        <w:jc w:val="both"/>
      </w:pPr>
      <w:r>
        <w:rPr>
          <w:rFonts w:hint="eastAsia"/>
        </w:rPr>
        <w:t>联系人：</w:t>
      </w:r>
      <w:r>
        <w:rPr>
          <w:rFonts w:hint="eastAsia"/>
          <w:lang w:val="en-US"/>
        </w:rPr>
        <w:t>苟先生</w:t>
      </w:r>
    </w:p>
    <w:p>
      <w:pPr>
        <w:pStyle w:val="7"/>
        <w:spacing w:line="480" w:lineRule="exact"/>
        <w:ind w:firstLine="480" w:firstLineChars="200"/>
        <w:jc w:val="both"/>
        <w:rPr>
          <w:lang w:val="en-US"/>
        </w:rPr>
      </w:pPr>
      <w:r>
        <w:rPr>
          <w:rFonts w:hint="eastAsia"/>
        </w:rPr>
        <w:t>电</w:t>
      </w:r>
      <w:r>
        <w:rPr>
          <w:rFonts w:hint="eastAsia"/>
          <w:lang w:val="en-US"/>
        </w:rPr>
        <w:t xml:space="preserve">  </w:t>
      </w:r>
      <w:r>
        <w:rPr>
          <w:rFonts w:hint="eastAsia"/>
        </w:rPr>
        <w:t>话：</w:t>
      </w:r>
      <w:r>
        <w:rPr>
          <w:rFonts w:hint="eastAsia"/>
          <w:lang w:val="en-US"/>
        </w:rPr>
        <w:t>13589964466</w:t>
      </w:r>
    </w:p>
    <w:p>
      <w:pPr>
        <w:pStyle w:val="5"/>
        <w:tabs>
          <w:tab w:val="left" w:pos="1123"/>
        </w:tabs>
        <w:spacing w:line="480" w:lineRule="exact"/>
        <w:ind w:right="0" w:firstLine="562" w:firstLineChars="200"/>
      </w:pPr>
    </w:p>
    <w:p>
      <w:pPr>
        <w:pStyle w:val="5"/>
        <w:tabs>
          <w:tab w:val="left" w:pos="1123"/>
        </w:tabs>
        <w:spacing w:line="480" w:lineRule="exact"/>
        <w:ind w:right="0" w:firstLine="562" w:firstLineChars="200"/>
      </w:pPr>
      <w:r>
        <w:rPr>
          <w:rFonts w:hint="eastAsia"/>
        </w:rPr>
        <w:t>第四章</w:t>
      </w:r>
      <w:r>
        <w:rPr>
          <w:rFonts w:hint="eastAsia"/>
        </w:rPr>
        <w:tab/>
      </w:r>
      <w:r>
        <w:rPr>
          <w:rFonts w:hint="eastAsia"/>
          <w:lang w:val="en-US"/>
        </w:rPr>
        <w:t xml:space="preserve">  </w:t>
      </w:r>
      <w:r>
        <w:rPr>
          <w:rFonts w:hint="eastAsia"/>
        </w:rPr>
        <w:t>响应文件编制与递交</w:t>
      </w:r>
    </w:p>
    <w:p>
      <w:pPr>
        <w:pStyle w:val="6"/>
        <w:spacing w:line="480" w:lineRule="exact"/>
        <w:ind w:left="0" w:firstLine="482" w:firstLineChars="200"/>
        <w:jc w:val="both"/>
      </w:pPr>
    </w:p>
    <w:p>
      <w:pPr>
        <w:pStyle w:val="7"/>
        <w:spacing w:line="480" w:lineRule="exact"/>
        <w:ind w:firstLine="482" w:firstLineChars="200"/>
        <w:jc w:val="both"/>
        <w:rPr>
          <w:b/>
          <w:bCs/>
          <w:lang w:val="en-US"/>
        </w:rPr>
      </w:pPr>
      <w:r>
        <w:rPr>
          <w:rFonts w:hint="eastAsia"/>
          <w:b/>
          <w:bCs/>
        </w:rPr>
        <w:t>一、响应文件</w:t>
      </w:r>
      <w:r>
        <w:rPr>
          <w:rFonts w:hint="eastAsia"/>
          <w:b/>
          <w:bCs/>
          <w:lang w:val="en-US"/>
        </w:rPr>
        <w:t>编写内容</w:t>
      </w:r>
    </w:p>
    <w:p>
      <w:pPr>
        <w:pStyle w:val="7"/>
        <w:spacing w:line="480" w:lineRule="exact"/>
        <w:ind w:firstLine="480" w:firstLineChars="200"/>
        <w:jc w:val="both"/>
      </w:pPr>
      <w:r>
        <w:rPr>
          <w:rFonts w:hint="eastAsia"/>
          <w:lang w:val="en-US"/>
        </w:rPr>
        <w:t>主要包括（但不限于）以下列内容：各供应商应认真阅读磋商文件的所有内容，根据采购项目特点和要求对磋商文件作出实质性响应，认真编制响应文件。主要内容包括：</w:t>
      </w:r>
    </w:p>
    <w:p>
      <w:pPr>
        <w:pStyle w:val="7"/>
        <w:spacing w:line="480" w:lineRule="exact"/>
        <w:ind w:firstLine="480" w:firstLineChars="200"/>
        <w:jc w:val="both"/>
      </w:pPr>
      <w:r>
        <w:rPr>
          <w:rFonts w:hint="eastAsia"/>
          <w:lang w:val="en-US"/>
        </w:rPr>
        <w:t>（一）企业基本概况及资信：包括成立时间、职工人数、注册资本、经营范围、公司地址、技术人员状况、经营规模、盈利水平以及其他资信证明材料等。</w:t>
      </w:r>
    </w:p>
    <w:p>
      <w:pPr>
        <w:pStyle w:val="7"/>
        <w:spacing w:line="480" w:lineRule="exact"/>
        <w:ind w:firstLine="480" w:firstLineChars="200"/>
        <w:jc w:val="both"/>
      </w:pPr>
      <w:r>
        <w:rPr>
          <w:rFonts w:hint="eastAsia"/>
          <w:lang w:val="en-US"/>
        </w:rPr>
        <w:t xml:space="preserve">（二）实施所投项目的基本条件和优势。 </w:t>
      </w:r>
    </w:p>
    <w:p>
      <w:pPr>
        <w:pStyle w:val="7"/>
        <w:spacing w:line="480" w:lineRule="exact"/>
        <w:ind w:firstLine="480" w:firstLineChars="200"/>
        <w:jc w:val="both"/>
      </w:pPr>
      <w:r>
        <w:rPr>
          <w:rFonts w:hint="eastAsia"/>
          <w:lang w:val="en-US"/>
        </w:rPr>
        <w:t>（三）投标所报产品及设备必须满足技术参数，所报产品及设备样本资料原件、中文说明书及产品检测报告、技术偏离表及详细配置清单等。</w:t>
      </w:r>
    </w:p>
    <w:p>
      <w:pPr>
        <w:pStyle w:val="7"/>
        <w:spacing w:line="480" w:lineRule="exact"/>
        <w:ind w:firstLine="480" w:firstLineChars="200"/>
        <w:jc w:val="both"/>
      </w:pPr>
      <w:r>
        <w:rPr>
          <w:rFonts w:hint="eastAsia"/>
          <w:lang w:val="en-US"/>
        </w:rPr>
        <w:t xml:space="preserve">（四）投标报价情况：本项目报价包括数量、详细配置、单价、总价以及相关情况的说明；报价包括设备及软件、备品备件及其到达指定地点的运输、安装、合同期内的售后服务、保修及第三方检测、验收费等全部费用。 </w:t>
      </w:r>
    </w:p>
    <w:p>
      <w:pPr>
        <w:pStyle w:val="7"/>
        <w:spacing w:line="480" w:lineRule="exact"/>
        <w:ind w:firstLine="480" w:firstLineChars="200"/>
        <w:jc w:val="both"/>
      </w:pPr>
      <w:r>
        <w:rPr>
          <w:rFonts w:hint="eastAsia"/>
          <w:lang w:val="en-US"/>
        </w:rPr>
        <w:t>供应商在确定投标报价时，必须是在本企业合理的利润空间范围内，不得低于本企业成本报价，更不得蓄意高于正常市场销售价格，骗取中标（成交）。</w:t>
      </w:r>
    </w:p>
    <w:p>
      <w:pPr>
        <w:pStyle w:val="7"/>
        <w:spacing w:line="480" w:lineRule="exact"/>
        <w:ind w:firstLine="480" w:firstLineChars="200"/>
        <w:jc w:val="both"/>
      </w:pPr>
      <w:r>
        <w:rPr>
          <w:rFonts w:hint="eastAsia"/>
          <w:lang w:val="en-US"/>
        </w:rPr>
        <w:t>（五）项目实施方案。</w:t>
      </w:r>
    </w:p>
    <w:p>
      <w:pPr>
        <w:pStyle w:val="7"/>
        <w:spacing w:line="480" w:lineRule="exact"/>
        <w:ind w:firstLine="480" w:firstLineChars="200"/>
        <w:jc w:val="both"/>
      </w:pPr>
      <w:r>
        <w:rPr>
          <w:rFonts w:hint="eastAsia"/>
          <w:lang w:val="en-US"/>
        </w:rPr>
        <w:t>（六）保证项目顺利实施的组织领导、技术管理、质量、效益目标的主要措施。</w:t>
      </w:r>
    </w:p>
    <w:p>
      <w:pPr>
        <w:pStyle w:val="7"/>
        <w:spacing w:line="480" w:lineRule="exact"/>
        <w:ind w:firstLine="480" w:firstLineChars="200"/>
        <w:jc w:val="both"/>
      </w:pPr>
      <w:r>
        <w:rPr>
          <w:rFonts w:hint="eastAsia"/>
          <w:lang w:val="en-US"/>
        </w:rPr>
        <w:t>（七）售后服务。</w:t>
      </w:r>
    </w:p>
    <w:p>
      <w:pPr>
        <w:pStyle w:val="7"/>
        <w:spacing w:line="480" w:lineRule="exact"/>
        <w:ind w:firstLine="480" w:firstLineChars="200"/>
        <w:jc w:val="both"/>
        <w:rPr>
          <w:lang w:val="en-US"/>
        </w:rPr>
      </w:pPr>
      <w:r>
        <w:rPr>
          <w:rFonts w:hint="eastAsia"/>
          <w:lang w:val="en-US"/>
        </w:rPr>
        <w:t>（八）评审标准中所涉及的全部证件、资料等复印件（如有）；</w:t>
      </w:r>
    </w:p>
    <w:p>
      <w:pPr>
        <w:pStyle w:val="7"/>
        <w:spacing w:line="480" w:lineRule="exact"/>
        <w:ind w:firstLine="480" w:firstLineChars="200"/>
        <w:jc w:val="both"/>
        <w:rPr>
          <w:sz w:val="22"/>
          <w:szCs w:val="22"/>
          <w:lang w:val="en-US"/>
        </w:rPr>
      </w:pPr>
      <w:r>
        <w:rPr>
          <w:rFonts w:hint="eastAsia"/>
          <w:lang w:val="en-US"/>
        </w:rPr>
        <w:t>（九）同类项目业绩证明材料。（业绩材料原件单独密封）</w:t>
      </w:r>
    </w:p>
    <w:p>
      <w:pPr>
        <w:pStyle w:val="7"/>
        <w:spacing w:line="480" w:lineRule="exact"/>
        <w:ind w:firstLine="480" w:firstLineChars="200"/>
        <w:jc w:val="both"/>
      </w:pPr>
      <w:r>
        <w:rPr>
          <w:rFonts w:hint="eastAsia"/>
          <w:lang w:val="en-US"/>
        </w:rPr>
        <w:t>（十）其它：磋商文件其它条款的答复、其他承诺及供应商认为有必要提交的建议、说明及其他资料。供应商应根据本项目特点和自身实际情况，自行编制响应文件，其格式除本磋商文件要求的格式外，供应商可自行拟制。</w:t>
      </w:r>
    </w:p>
    <w:p>
      <w:pPr>
        <w:pStyle w:val="6"/>
        <w:spacing w:line="480" w:lineRule="exact"/>
        <w:ind w:left="0" w:firstLine="482" w:firstLineChars="200"/>
        <w:jc w:val="both"/>
      </w:pPr>
      <w:r>
        <w:rPr>
          <w:rFonts w:hint="eastAsia"/>
        </w:rPr>
        <w:t>二、供应商报价及</w:t>
      </w:r>
      <w:r>
        <w:rPr>
          <w:rFonts w:hint="eastAsia"/>
          <w:lang w:val="en-US"/>
        </w:rPr>
        <w:t>说明</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lang w:val="en-US"/>
        </w:rPr>
        <w:t>各供应商结合市场情况自行报价，综合考虑本项目过程中发生的所有费用报价，报价应包括采购范围内的全部内容，不限于服务成本、人员、设备、资料、信息处理、专家评审、管理、维护、保险、利润、税费、相关手续费、管理、运杂、装卸车、配送、配合、检验检测、验收、技术服务、售后服务、政策性文件规定及合同包含的所有风险、责任等完成本项目所涉及到的全部费用。供应商应充分考虑本项目合同实施期间可能发生的一切费用，并承担由此而带来的风险。凡供应商在报价中未列明但又为本次采购所必备的项目或遗漏项目，采购人将一律视为已包括在其报价中，在合同执行中将不予考虑。</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lang w:val="en-US"/>
        </w:rPr>
        <w:t>本次竞争性磋商采购各供应商只有三次报价（包含基础报价）的机会。</w:t>
      </w:r>
    </w:p>
    <w:p>
      <w:pPr>
        <w:pStyle w:val="11"/>
        <w:autoSpaceDE/>
        <w:autoSpaceDN/>
        <w:spacing w:line="480" w:lineRule="exact"/>
        <w:ind w:firstLine="482" w:firstLineChars="200"/>
        <w:jc w:val="both"/>
        <w:rPr>
          <w:rFonts w:ascii="仿宋" w:hAnsi="仿宋"/>
          <w:b/>
          <w:bCs/>
          <w:sz w:val="24"/>
          <w:szCs w:val="24"/>
        </w:rPr>
      </w:pPr>
      <w:r>
        <w:rPr>
          <w:rFonts w:hint="eastAsia" w:ascii="仿宋" w:hAnsi="仿宋"/>
          <w:b/>
          <w:bCs/>
          <w:sz w:val="24"/>
          <w:szCs w:val="24"/>
        </w:rPr>
        <w:t>●响应文件一律用计算机打印，连同其它资料一并装订成册，加盖供应商公章，一式</w:t>
      </w:r>
      <w:r>
        <w:rPr>
          <w:rFonts w:hint="eastAsia" w:ascii="仿宋" w:hAnsi="仿宋"/>
          <w:b/>
          <w:bCs/>
          <w:sz w:val="24"/>
          <w:szCs w:val="24"/>
          <w:lang w:val="en-US"/>
        </w:rPr>
        <w:t>六</w:t>
      </w:r>
      <w:r>
        <w:rPr>
          <w:rFonts w:hint="eastAsia" w:ascii="仿宋" w:hAnsi="仿宋"/>
          <w:b/>
          <w:bCs/>
          <w:sz w:val="24"/>
          <w:szCs w:val="24"/>
        </w:rPr>
        <w:t>份（正本一份，副本</w:t>
      </w:r>
      <w:r>
        <w:rPr>
          <w:rFonts w:hint="eastAsia" w:ascii="仿宋" w:hAnsi="仿宋"/>
          <w:b/>
          <w:bCs/>
          <w:sz w:val="24"/>
          <w:szCs w:val="24"/>
          <w:lang w:val="en-US"/>
        </w:rPr>
        <w:t>五</w:t>
      </w:r>
      <w:r>
        <w:rPr>
          <w:rFonts w:hint="eastAsia" w:ascii="仿宋" w:hAnsi="仿宋"/>
          <w:b/>
          <w:bCs/>
          <w:sz w:val="24"/>
          <w:szCs w:val="24"/>
        </w:rPr>
        <w:t>份），装袋密封，密封袋上须由供应商法定代表人或法人委托代理人签字（或盖章）并加盖供应商公章，并注明“响应文件”字样。</w:t>
      </w:r>
    </w:p>
    <w:p>
      <w:pPr>
        <w:pStyle w:val="11"/>
        <w:autoSpaceDE/>
        <w:autoSpaceDN/>
        <w:spacing w:line="480" w:lineRule="exact"/>
        <w:ind w:firstLine="482" w:firstLineChars="200"/>
        <w:jc w:val="both"/>
        <w:rPr>
          <w:rFonts w:ascii="仿宋" w:hAnsi="仿宋"/>
          <w:b/>
          <w:bCs/>
          <w:sz w:val="24"/>
          <w:szCs w:val="24"/>
        </w:rPr>
      </w:pPr>
      <w:r>
        <w:rPr>
          <w:rFonts w:hint="eastAsia" w:ascii="仿宋" w:hAnsi="仿宋"/>
          <w:b/>
          <w:bCs/>
          <w:sz w:val="24"/>
          <w:szCs w:val="24"/>
        </w:rPr>
        <w:t>●</w:t>
      </w:r>
      <w:r>
        <w:rPr>
          <w:rFonts w:hint="eastAsia" w:ascii="仿宋" w:hAnsi="仿宋"/>
          <w:b/>
          <w:bCs/>
          <w:sz w:val="24"/>
          <w:szCs w:val="24"/>
          <w:lang w:val="en-US"/>
        </w:rPr>
        <w:t>磋商</w:t>
      </w:r>
      <w:r>
        <w:rPr>
          <w:rFonts w:hint="eastAsia" w:ascii="仿宋" w:hAnsi="仿宋"/>
          <w:b/>
          <w:bCs/>
          <w:sz w:val="24"/>
          <w:szCs w:val="24"/>
        </w:rPr>
        <w:t>报价表应加盖供应商公章，同时由法定代表人或法人委托代理人签字（或印鉴），一式</w:t>
      </w:r>
      <w:r>
        <w:rPr>
          <w:rFonts w:hint="eastAsia" w:ascii="仿宋" w:hAnsi="仿宋"/>
          <w:b/>
          <w:bCs/>
          <w:sz w:val="24"/>
          <w:szCs w:val="24"/>
          <w:lang w:val="en-US"/>
        </w:rPr>
        <w:t>六</w:t>
      </w:r>
      <w:r>
        <w:rPr>
          <w:rFonts w:hint="eastAsia" w:ascii="仿宋" w:hAnsi="仿宋"/>
          <w:b/>
          <w:bCs/>
          <w:sz w:val="24"/>
          <w:szCs w:val="24"/>
        </w:rPr>
        <w:t>份，单独用档案袋装袋密封，并注明“</w:t>
      </w:r>
      <w:r>
        <w:rPr>
          <w:rFonts w:hint="eastAsia" w:ascii="仿宋" w:hAnsi="仿宋"/>
          <w:b/>
          <w:bCs/>
          <w:sz w:val="24"/>
          <w:szCs w:val="24"/>
          <w:lang w:val="en-US"/>
        </w:rPr>
        <w:t>磋商</w:t>
      </w:r>
      <w:r>
        <w:rPr>
          <w:rFonts w:hint="eastAsia" w:ascii="仿宋" w:hAnsi="仿宋"/>
          <w:b/>
          <w:bCs/>
          <w:sz w:val="24"/>
          <w:szCs w:val="24"/>
        </w:rPr>
        <w:t>报价表”字样。</w:t>
      </w:r>
    </w:p>
    <w:p>
      <w:pPr>
        <w:pStyle w:val="11"/>
        <w:autoSpaceDE/>
        <w:autoSpaceDN/>
        <w:spacing w:line="480" w:lineRule="exact"/>
        <w:ind w:firstLine="482" w:firstLineChars="200"/>
        <w:jc w:val="both"/>
        <w:rPr>
          <w:rFonts w:ascii="仿宋" w:hAnsi="仿宋"/>
          <w:b/>
          <w:bCs/>
          <w:sz w:val="24"/>
          <w:szCs w:val="24"/>
        </w:rPr>
      </w:pPr>
      <w:r>
        <w:rPr>
          <w:rFonts w:hint="eastAsia" w:ascii="仿宋" w:hAnsi="仿宋"/>
          <w:b/>
          <w:bCs/>
          <w:sz w:val="24"/>
          <w:szCs w:val="24"/>
        </w:rPr>
        <w:t>●供应商将竞争性磋商文件评审标准中涉及得分加分证明资料的原件装入密封袋内。密封袋上须由供应商法定代表人或委托代理人签字（或印鉴）并加盖供应商公章。密封袋上注明“评审证明资料”字样。供应商按照本磋商文件要求的时间内将评审资料送达磋商地点。</w:t>
      </w:r>
    </w:p>
    <w:p>
      <w:pPr>
        <w:pStyle w:val="7"/>
        <w:spacing w:line="480" w:lineRule="exact"/>
        <w:ind w:firstLine="482" w:firstLineChars="200"/>
        <w:jc w:val="both"/>
        <w:rPr>
          <w:b/>
          <w:bCs/>
        </w:rPr>
      </w:pPr>
      <w:r>
        <w:rPr>
          <w:rFonts w:hint="eastAsia"/>
          <w:b/>
          <w:bCs/>
        </w:rPr>
        <w:t>三、响应文件</w:t>
      </w:r>
      <w:r>
        <w:rPr>
          <w:rFonts w:hint="eastAsia"/>
          <w:b/>
          <w:bCs/>
          <w:lang w:val="en-US"/>
        </w:rPr>
        <w:t>的</w:t>
      </w:r>
      <w:r>
        <w:rPr>
          <w:rFonts w:hint="eastAsia"/>
          <w:b/>
          <w:bCs/>
        </w:rPr>
        <w:t>递交</w:t>
      </w:r>
    </w:p>
    <w:p>
      <w:pPr>
        <w:pStyle w:val="7"/>
        <w:spacing w:line="480" w:lineRule="exact"/>
        <w:ind w:firstLine="480" w:firstLineChars="200"/>
        <w:jc w:val="both"/>
      </w:pPr>
      <w:r>
        <w:rPr>
          <w:rFonts w:hint="eastAsia"/>
        </w:rPr>
        <w:t>（一）供应商按照磋商文件要求的时间将响应文件送达磋商地点。</w:t>
      </w:r>
    </w:p>
    <w:p>
      <w:pPr>
        <w:pStyle w:val="7"/>
        <w:spacing w:line="480" w:lineRule="exact"/>
        <w:ind w:firstLine="480" w:firstLineChars="200"/>
        <w:jc w:val="both"/>
      </w:pPr>
      <w:r>
        <w:rPr>
          <w:rFonts w:hint="eastAsia"/>
        </w:rPr>
        <w:t>要求密封袋上加盖供应商公章并由法定代表人或授权代理人签字（或印鉴）。磋商截止时间后供应商提供的资料采购人不予接收。</w:t>
      </w:r>
    </w:p>
    <w:p>
      <w:pPr>
        <w:pStyle w:val="7"/>
        <w:spacing w:line="480" w:lineRule="exact"/>
        <w:ind w:firstLine="482" w:firstLineChars="200"/>
        <w:jc w:val="both"/>
        <w:rPr>
          <w:b/>
          <w:bCs/>
        </w:rPr>
      </w:pPr>
      <w:r>
        <w:rPr>
          <w:rFonts w:hint="eastAsia"/>
          <w:b/>
          <w:bCs/>
        </w:rPr>
        <w:t>●供应商的资信证明单独密封，与响应文件一并送达磋商地点。</w:t>
      </w:r>
    </w:p>
    <w:p>
      <w:pPr>
        <w:pStyle w:val="7"/>
        <w:spacing w:line="480" w:lineRule="exact"/>
        <w:ind w:firstLine="480" w:firstLineChars="200"/>
        <w:jc w:val="both"/>
      </w:pPr>
      <w:r>
        <w:rPr>
          <w:rFonts w:hint="eastAsia"/>
        </w:rPr>
        <w:t>（二）供应商未按磋商文件要求提交响应文件的，不允许参加磋商活动。</w:t>
      </w:r>
    </w:p>
    <w:p>
      <w:pPr>
        <w:pStyle w:val="7"/>
        <w:spacing w:line="480" w:lineRule="exact"/>
        <w:ind w:firstLine="480" w:firstLineChars="200"/>
        <w:jc w:val="both"/>
      </w:pPr>
      <w:r>
        <w:rPr>
          <w:rFonts w:hint="eastAsia"/>
        </w:rPr>
        <w:t>（三）响应文件封面和报价表无供应商公章和法定代表人或法人委托代理人签字（或印鉴）的，不允许继续参加磋商活动。</w:t>
      </w:r>
    </w:p>
    <w:p>
      <w:pPr>
        <w:pStyle w:val="7"/>
        <w:spacing w:line="480" w:lineRule="exact"/>
        <w:ind w:firstLine="480" w:firstLineChars="200"/>
        <w:jc w:val="both"/>
      </w:pPr>
      <w:r>
        <w:rPr>
          <w:rFonts w:hint="eastAsia"/>
        </w:rPr>
        <w:t>（四）采购人在磋商文件约定的磋商时间以后不再接收响应文件。</w:t>
      </w:r>
    </w:p>
    <w:p>
      <w:pPr>
        <w:pStyle w:val="7"/>
        <w:spacing w:line="480" w:lineRule="exact"/>
        <w:ind w:firstLine="482" w:firstLineChars="200"/>
        <w:jc w:val="both"/>
        <w:rPr>
          <w:b/>
          <w:bCs/>
        </w:rPr>
      </w:pPr>
      <w:r>
        <w:rPr>
          <w:rFonts w:hint="eastAsia"/>
          <w:b/>
          <w:bCs/>
        </w:rPr>
        <w:t>四、有下列情形之一的，为未实质性响应磋商文件要求，给予无效响应文件处理：</w:t>
      </w:r>
    </w:p>
    <w:p>
      <w:pPr>
        <w:pStyle w:val="7"/>
        <w:spacing w:line="480" w:lineRule="exact"/>
        <w:ind w:firstLine="480" w:firstLineChars="200"/>
        <w:jc w:val="both"/>
      </w:pPr>
      <w:r>
        <w:rPr>
          <w:rFonts w:hint="eastAsia"/>
        </w:rPr>
        <w:t>（一）响应文件逾期送达的；</w:t>
      </w:r>
    </w:p>
    <w:p>
      <w:pPr>
        <w:pStyle w:val="7"/>
        <w:spacing w:line="480" w:lineRule="exact"/>
        <w:ind w:firstLine="480" w:firstLineChars="200"/>
        <w:jc w:val="both"/>
      </w:pPr>
      <w:r>
        <w:rPr>
          <w:rFonts w:hint="eastAsia"/>
        </w:rPr>
        <w:t>（二）响应文件未按规定密封的；</w:t>
      </w:r>
    </w:p>
    <w:p>
      <w:pPr>
        <w:pStyle w:val="7"/>
        <w:spacing w:line="480" w:lineRule="exact"/>
        <w:ind w:firstLine="480" w:firstLineChars="200"/>
        <w:jc w:val="both"/>
      </w:pPr>
      <w:r>
        <w:rPr>
          <w:rFonts w:hint="eastAsia"/>
        </w:rPr>
        <w:t>（三）响应文件主要内容编制不全或字迹辨认不清的；</w:t>
      </w:r>
    </w:p>
    <w:p>
      <w:pPr>
        <w:pStyle w:val="7"/>
        <w:spacing w:line="480" w:lineRule="exact"/>
        <w:ind w:firstLine="480" w:firstLineChars="200"/>
        <w:jc w:val="both"/>
      </w:pPr>
      <w:r>
        <w:rPr>
          <w:rFonts w:hint="eastAsia"/>
        </w:rPr>
        <w:t>（四）企业法定代表人或授权代理人未参加磋商会议的；</w:t>
      </w:r>
    </w:p>
    <w:p>
      <w:pPr>
        <w:pStyle w:val="7"/>
        <w:spacing w:line="480" w:lineRule="exact"/>
        <w:ind w:firstLine="480" w:firstLineChars="200"/>
        <w:jc w:val="both"/>
      </w:pPr>
      <w:r>
        <w:rPr>
          <w:rFonts w:hint="eastAsia"/>
        </w:rPr>
        <w:t>（五）报价表未按规定加盖单位公章的；</w:t>
      </w:r>
    </w:p>
    <w:p>
      <w:pPr>
        <w:pStyle w:val="7"/>
        <w:spacing w:line="480" w:lineRule="exact"/>
        <w:ind w:firstLine="480" w:firstLineChars="200"/>
        <w:jc w:val="both"/>
      </w:pPr>
      <w:r>
        <w:rPr>
          <w:rFonts w:hint="eastAsia"/>
        </w:rPr>
        <w:t>（六）报价表无法定代表人或授权代理人印鉴（或签字）的；</w:t>
      </w:r>
    </w:p>
    <w:p>
      <w:pPr>
        <w:pStyle w:val="7"/>
        <w:spacing w:line="480" w:lineRule="exact"/>
        <w:ind w:firstLine="480" w:firstLineChars="200"/>
        <w:jc w:val="both"/>
      </w:pPr>
      <w:r>
        <w:rPr>
          <w:rFonts w:hint="eastAsia"/>
        </w:rPr>
        <w:t>（七）供应商在磋商过程中，不按磋商文件要求进行报价的；</w:t>
      </w:r>
    </w:p>
    <w:p>
      <w:pPr>
        <w:pStyle w:val="7"/>
        <w:spacing w:line="480" w:lineRule="exact"/>
        <w:ind w:firstLine="480" w:firstLineChars="200"/>
        <w:jc w:val="both"/>
      </w:pPr>
      <w:r>
        <w:rPr>
          <w:rFonts w:hint="eastAsia"/>
        </w:rPr>
        <w:t>（八）响应文件中存在采购人不能接受的实质性条件或提供虚假资料的；</w:t>
      </w:r>
    </w:p>
    <w:p>
      <w:pPr>
        <w:pStyle w:val="7"/>
        <w:spacing w:line="480" w:lineRule="exact"/>
        <w:ind w:firstLine="480" w:firstLineChars="200"/>
        <w:jc w:val="both"/>
      </w:pPr>
      <w:r>
        <w:rPr>
          <w:rFonts w:hint="eastAsia"/>
        </w:rPr>
        <w:t>（九）供应商在磋商现场未按照磋商文件规定要求提供证件及证明文件原件；</w:t>
      </w:r>
    </w:p>
    <w:p>
      <w:pPr>
        <w:pStyle w:val="7"/>
        <w:spacing w:line="480" w:lineRule="exact"/>
        <w:ind w:firstLine="480" w:firstLineChars="200"/>
        <w:jc w:val="both"/>
      </w:pPr>
      <w:r>
        <w:rPr>
          <w:rFonts w:hint="eastAsia"/>
        </w:rPr>
        <w:t>（十）投标报价高于上限值（</w:t>
      </w:r>
      <w:r>
        <w:rPr>
          <w:rFonts w:hint="eastAsia"/>
          <w:lang w:val="en-US"/>
        </w:rPr>
        <w:t>最高限价</w:t>
      </w:r>
      <w:r>
        <w:rPr>
          <w:rFonts w:hint="eastAsia"/>
        </w:rPr>
        <w:t>）的；</w:t>
      </w:r>
    </w:p>
    <w:p>
      <w:pPr>
        <w:pStyle w:val="7"/>
        <w:spacing w:line="480" w:lineRule="exact"/>
        <w:ind w:firstLine="480" w:firstLineChars="200"/>
        <w:jc w:val="both"/>
      </w:pPr>
      <w:r>
        <w:rPr>
          <w:rFonts w:hint="eastAsia"/>
        </w:rPr>
        <w:t>（十一）供应商不满足磋商文件实质性要求的；</w:t>
      </w:r>
    </w:p>
    <w:p>
      <w:pPr>
        <w:pStyle w:val="7"/>
        <w:spacing w:line="480" w:lineRule="exact"/>
        <w:ind w:firstLine="480" w:firstLineChars="200"/>
        <w:jc w:val="both"/>
      </w:pPr>
      <w:r>
        <w:rPr>
          <w:rFonts w:hint="eastAsia"/>
        </w:rPr>
        <w:t>（十二）违反有关法律、法规规定的。</w:t>
      </w:r>
    </w:p>
    <w:p>
      <w:pPr>
        <w:pStyle w:val="5"/>
        <w:tabs>
          <w:tab w:val="left" w:pos="1123"/>
        </w:tabs>
        <w:spacing w:line="480" w:lineRule="exact"/>
        <w:ind w:right="0" w:firstLine="562" w:firstLineChars="200"/>
      </w:pPr>
    </w:p>
    <w:p>
      <w:pPr>
        <w:pStyle w:val="5"/>
        <w:tabs>
          <w:tab w:val="left" w:pos="1123"/>
        </w:tabs>
        <w:spacing w:line="480" w:lineRule="exact"/>
        <w:ind w:right="0" w:firstLine="562" w:firstLineChars="200"/>
      </w:pPr>
      <w:r>
        <w:rPr>
          <w:rFonts w:hint="eastAsia"/>
        </w:rPr>
        <w:t>第五章  磋商程序和办法</w:t>
      </w:r>
    </w:p>
    <w:p>
      <w:pPr>
        <w:pStyle w:val="11"/>
        <w:autoSpaceDE/>
        <w:autoSpaceDN/>
        <w:spacing w:line="480" w:lineRule="exact"/>
        <w:ind w:firstLine="480" w:firstLineChars="200"/>
        <w:jc w:val="both"/>
        <w:rPr>
          <w:rFonts w:ascii="仿宋" w:hAnsi="仿宋"/>
          <w:sz w:val="24"/>
          <w:szCs w:val="24"/>
        </w:rPr>
      </w:pPr>
    </w:p>
    <w:p>
      <w:pPr>
        <w:pStyle w:val="11"/>
        <w:autoSpaceDE/>
        <w:autoSpaceDN/>
        <w:spacing w:line="480" w:lineRule="exact"/>
        <w:ind w:firstLine="482" w:firstLineChars="200"/>
        <w:jc w:val="both"/>
        <w:rPr>
          <w:rFonts w:ascii="仿宋" w:hAnsi="仿宋"/>
          <w:b/>
          <w:bCs/>
          <w:sz w:val="24"/>
          <w:szCs w:val="24"/>
        </w:rPr>
      </w:pPr>
    </w:p>
    <w:p>
      <w:pPr>
        <w:pStyle w:val="11"/>
        <w:autoSpaceDE/>
        <w:autoSpaceDN/>
        <w:spacing w:line="480" w:lineRule="exact"/>
        <w:ind w:firstLine="482" w:firstLineChars="200"/>
        <w:jc w:val="both"/>
        <w:rPr>
          <w:rFonts w:ascii="仿宋" w:hAnsi="仿宋"/>
          <w:b/>
          <w:bCs/>
          <w:sz w:val="24"/>
          <w:szCs w:val="24"/>
        </w:rPr>
      </w:pPr>
      <w:r>
        <w:rPr>
          <w:rFonts w:hint="eastAsia" w:ascii="仿宋" w:hAnsi="仿宋"/>
          <w:b/>
          <w:bCs/>
          <w:sz w:val="24"/>
          <w:szCs w:val="24"/>
        </w:rPr>
        <w:t>一、磋商会议</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组建磋商小组。磋商小组由采购人依据有关法律规定组建。本次磋商小组由3人</w:t>
      </w:r>
      <w:r>
        <w:rPr>
          <w:rFonts w:hint="eastAsia" w:ascii="仿宋" w:hAnsi="仿宋"/>
          <w:sz w:val="24"/>
          <w:szCs w:val="24"/>
          <w:lang w:val="en-US"/>
        </w:rPr>
        <w:t>以上单数</w:t>
      </w:r>
      <w:r>
        <w:rPr>
          <w:rFonts w:hint="eastAsia" w:ascii="仿宋" w:hAnsi="仿宋"/>
          <w:sz w:val="24"/>
          <w:szCs w:val="24"/>
        </w:rPr>
        <w:t>组成。磋商小组在磋商时按有关工作纪律进行。</w:t>
      </w:r>
    </w:p>
    <w:p>
      <w:pPr>
        <w:pStyle w:val="11"/>
        <w:autoSpaceDE/>
        <w:autoSpaceDN/>
        <w:spacing w:line="480" w:lineRule="exact"/>
        <w:ind w:firstLine="482" w:firstLineChars="200"/>
        <w:jc w:val="both"/>
        <w:rPr>
          <w:rFonts w:ascii="仿宋" w:hAnsi="仿宋"/>
          <w:b/>
          <w:bCs/>
          <w:sz w:val="24"/>
          <w:szCs w:val="24"/>
        </w:rPr>
      </w:pPr>
      <w:r>
        <w:rPr>
          <w:rFonts w:hint="eastAsia" w:ascii="仿宋" w:hAnsi="仿宋"/>
          <w:b/>
          <w:bCs/>
          <w:sz w:val="24"/>
          <w:szCs w:val="24"/>
        </w:rPr>
        <w:t>二、评定成交供应商标准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本采购项目，根据采购需求，结合预算资金，评定成交供应商的标准是：磋商小组采用综合评分法对供应商的响应文件和供应商的报价进行综合评分最终确定成交供应商。</w:t>
      </w:r>
    </w:p>
    <w:p>
      <w:pPr>
        <w:pStyle w:val="11"/>
        <w:autoSpaceDE/>
        <w:autoSpaceDN/>
        <w:spacing w:line="480" w:lineRule="exact"/>
        <w:ind w:firstLine="482" w:firstLineChars="200"/>
        <w:jc w:val="both"/>
        <w:rPr>
          <w:rFonts w:ascii="仿宋" w:hAnsi="仿宋"/>
          <w:b/>
          <w:bCs/>
          <w:sz w:val="24"/>
          <w:szCs w:val="24"/>
        </w:rPr>
      </w:pPr>
      <w:r>
        <w:rPr>
          <w:rFonts w:hint="eastAsia" w:ascii="仿宋" w:hAnsi="仿宋"/>
          <w:b/>
          <w:bCs/>
          <w:sz w:val="24"/>
          <w:szCs w:val="24"/>
        </w:rPr>
        <w:t>三、评定成交供应商程序</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（一）本次选择确定成交供应商，磋商小组按照程序计算报价得分。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二）结合市场情况，磋商小组应认真分析评价各供应商报价是否符合市场正常价格范围，对于报价差异明显较大的，应对各供应商报价组成内容，分项核实比较，确定差异较大的因素，但是一经发现存在恶意低价或低价高报等弄虚作假行为，必须按照法律规定及磋商文件约定处理后才能继续进行磋商活动。</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（三）根据磋商情况填写相应供应商名称和报价。</w:t>
      </w:r>
    </w:p>
    <w:p>
      <w:pPr>
        <w:pStyle w:val="11"/>
        <w:autoSpaceDE/>
        <w:autoSpaceDN/>
        <w:spacing w:line="480" w:lineRule="exact"/>
        <w:ind w:firstLine="480" w:firstLineChars="200"/>
        <w:jc w:val="both"/>
        <w:rPr>
          <w:rFonts w:ascii="仿宋" w:hAnsi="仿宋"/>
          <w:color w:val="000000" w:themeColor="text1"/>
          <w:sz w:val="24"/>
          <w:szCs w:val="24"/>
          <w14:textFill>
            <w14:solidFill>
              <w14:schemeClr w14:val="tx1"/>
            </w14:solidFill>
          </w14:textFill>
        </w:rPr>
      </w:pPr>
      <w:r>
        <w:rPr>
          <w:rFonts w:hint="eastAsia" w:ascii="仿宋" w:hAnsi="仿宋"/>
          <w:color w:val="000000" w:themeColor="text1"/>
          <w:sz w:val="24"/>
          <w:szCs w:val="24"/>
          <w14:textFill>
            <w14:solidFill>
              <w14:schemeClr w14:val="tx1"/>
            </w14:solidFill>
          </w14:textFill>
        </w:rPr>
        <w:t>（四）评审标准。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本项目采用综合评分法：</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评分过程中采用四舍五入法，并保留小数点后2位。</w:t>
      </w:r>
    </w:p>
    <w:p>
      <w:pPr>
        <w:pStyle w:val="11"/>
        <w:autoSpaceDE/>
        <w:autoSpaceDN/>
        <w:spacing w:line="480" w:lineRule="exact"/>
        <w:ind w:firstLine="482" w:firstLineChars="200"/>
        <w:jc w:val="both"/>
        <w:rPr>
          <w:rFonts w:ascii="仿宋" w:hAnsi="仿宋"/>
          <w:b/>
          <w:bCs/>
          <w:sz w:val="24"/>
          <w:szCs w:val="24"/>
        </w:rPr>
      </w:pPr>
      <w:r>
        <w:rPr>
          <w:rFonts w:hint="eastAsia" w:ascii="仿宋" w:hAnsi="仿宋"/>
          <w:b/>
          <w:bCs/>
          <w:sz w:val="24"/>
          <w:szCs w:val="24"/>
        </w:rPr>
        <w:t>1、投标报价30分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采购人在评标办法中确定价格分值占总分值的比重（权重）为30%（即价格权值为30%）。采购人根据设备档次及市场情况综合考虑，并结合本招标项目预算资金安排，确定了投标报价上限值。</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本招标项目按照低价优先法计算报价得分，即满足招标文件要求且投标价格最低的投标报价为评标基准价，其价格分为满分。其他供应商的价格分统一按照下列公式计算：</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投标报价得分=(评标基准价／投标报价)×价格权值×100</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注：此处投标报价以投标折扣计算投标报价得分。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供应商投标报价得分按“四舍五入”精确到小数点后两位。</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投标报价上限值与评标基准价之间为投标报价有效范围。供应商投标报价高于上限值的，应视为无效投标文件。供应商明显低于成本价的，应视为无效投标文件。评标过程中不得去掉投标报价有效范围内的最低报价，并将投标报价有效范围内的供应商投标报价由低到高进行排序。</w:t>
      </w:r>
    </w:p>
    <w:p>
      <w:pPr>
        <w:pStyle w:val="11"/>
        <w:autoSpaceDE/>
        <w:autoSpaceDN/>
        <w:spacing w:line="480" w:lineRule="exact"/>
        <w:ind w:firstLine="482" w:firstLineChars="200"/>
        <w:jc w:val="both"/>
        <w:rPr>
          <w:rFonts w:ascii="仿宋" w:hAnsi="仿宋"/>
          <w:b/>
          <w:sz w:val="24"/>
          <w:szCs w:val="24"/>
        </w:rPr>
      </w:pPr>
      <w:r>
        <w:rPr>
          <w:rFonts w:hint="eastAsia" w:ascii="仿宋" w:hAnsi="仿宋"/>
          <w:b/>
          <w:sz w:val="24"/>
          <w:szCs w:val="24"/>
        </w:rPr>
        <w:t>2、产品配置及技术性能45分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评委从以下内容进行打分，有该项内容的得相应分值，每缺一项该项不得分。同时根据供应商相应内容综合考虑在相应分值内进行自主打分。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（1）设备的整体性能、设备的产品综合质量，得1-9分；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（2）产品品牌信誉度，得1-9分；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（3）所报主要部件的产品成熟度、设备安全技术，得1-9分；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（4）针对本项目涉及的设备供应计划，得1-9分；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（5）针对本项目涉及的设备供应保证措施，得1-9分；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产品配置及技术性能最终得分以磋商小组成员打分的算术平均数为准。</w:t>
      </w:r>
    </w:p>
    <w:p>
      <w:pPr>
        <w:pStyle w:val="11"/>
        <w:autoSpaceDE/>
        <w:autoSpaceDN/>
        <w:spacing w:line="480" w:lineRule="exact"/>
        <w:ind w:firstLine="482" w:firstLineChars="200"/>
        <w:jc w:val="both"/>
        <w:rPr>
          <w:rFonts w:ascii="仿宋" w:hAnsi="仿宋"/>
          <w:b/>
          <w:sz w:val="24"/>
          <w:szCs w:val="24"/>
        </w:rPr>
      </w:pPr>
      <w:r>
        <w:rPr>
          <w:rFonts w:hint="eastAsia" w:ascii="仿宋" w:hAnsi="仿宋"/>
          <w:b/>
          <w:sz w:val="24"/>
          <w:szCs w:val="24"/>
        </w:rPr>
        <w:t>3.业绩5分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所投设备业绩较多，使用状况良好，用户反馈意见好。</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供应商近三年（2019年7月1日至今）每提供一份投标公司三级医院同款产品业绩得1分，最多得5分（以合同原件为准）。</w:t>
      </w:r>
    </w:p>
    <w:p>
      <w:pPr>
        <w:pStyle w:val="11"/>
        <w:autoSpaceDE/>
        <w:autoSpaceDN/>
        <w:spacing w:line="480" w:lineRule="exact"/>
        <w:ind w:firstLine="482" w:firstLineChars="200"/>
        <w:jc w:val="both"/>
        <w:rPr>
          <w:rFonts w:ascii="仿宋" w:hAnsi="仿宋"/>
          <w:b/>
          <w:sz w:val="24"/>
          <w:szCs w:val="24"/>
        </w:rPr>
      </w:pPr>
      <w:r>
        <w:rPr>
          <w:rFonts w:hint="eastAsia" w:ascii="仿宋" w:hAnsi="仿宋"/>
          <w:b/>
          <w:sz w:val="24"/>
          <w:szCs w:val="24"/>
        </w:rPr>
        <w:t>4、综合信誉4分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供应商按照招标文件要求提供《信誉承诺函》的，得4分；否则，不得分。</w:t>
      </w:r>
    </w:p>
    <w:p>
      <w:pPr>
        <w:pStyle w:val="11"/>
        <w:autoSpaceDE/>
        <w:autoSpaceDN/>
        <w:spacing w:line="480" w:lineRule="exact"/>
        <w:ind w:firstLine="482" w:firstLineChars="200"/>
        <w:jc w:val="both"/>
        <w:rPr>
          <w:rFonts w:ascii="仿宋" w:hAnsi="仿宋"/>
          <w:b/>
          <w:sz w:val="24"/>
          <w:szCs w:val="24"/>
        </w:rPr>
      </w:pPr>
      <w:r>
        <w:rPr>
          <w:rFonts w:hint="eastAsia" w:ascii="仿宋" w:hAnsi="仿宋"/>
          <w:b/>
          <w:sz w:val="24"/>
          <w:szCs w:val="24"/>
        </w:rPr>
        <w:t>5、售后服务承诺：16分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供应商承诺</w:t>
      </w:r>
      <w:r>
        <w:rPr>
          <w:rFonts w:hint="eastAsia" w:ascii="仿宋" w:hAnsi="仿宋"/>
          <w:sz w:val="24"/>
          <w:szCs w:val="24"/>
          <w:lang w:val="en-US"/>
        </w:rPr>
        <w:t>达到参数要求</w:t>
      </w:r>
      <w:r>
        <w:rPr>
          <w:rFonts w:hint="eastAsia" w:ascii="仿宋" w:hAnsi="仿宋"/>
          <w:sz w:val="24"/>
          <w:szCs w:val="24"/>
        </w:rPr>
        <w:t>整机质保</w:t>
      </w:r>
      <w:r>
        <w:rPr>
          <w:rFonts w:hint="eastAsia" w:ascii="仿宋" w:hAnsi="仿宋"/>
          <w:sz w:val="24"/>
          <w:szCs w:val="24"/>
          <w:lang w:val="en-US"/>
        </w:rPr>
        <w:t>时间</w:t>
      </w:r>
      <w:r>
        <w:rPr>
          <w:rFonts w:hint="eastAsia" w:ascii="仿宋" w:hAnsi="仿宋"/>
          <w:sz w:val="24"/>
          <w:szCs w:val="24"/>
        </w:rPr>
        <w:t>者得4分，每增加1年得4分，该项最多得16分。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以上各相关项目得分以证书、合同等原件为准。开标时供应商必须提供相关证书、合同等原件（以发证或合同签订日期为准）；供应商同一评分项目得分以最高得分为准，不重复加分，每项得分均不超过该项最高分值。</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各磋商小组成员在其各自打分表等表格上不得随意涂改、变动，若有涂改、变动应在备注栏中注明原因并签字确认。</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供应商响应文件最终得分以各磋商小组成员打分的算术平均数为准。</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按照规定程序，磋商小组应对本次项目每个分包按得分由高到低推荐三名成交候选供应商，并明确第一、第二、第三成交候选供应商的顺序。</w:t>
      </w:r>
    </w:p>
    <w:p>
      <w:pPr>
        <w:pStyle w:val="11"/>
        <w:autoSpaceDE/>
        <w:autoSpaceDN/>
        <w:spacing w:line="480" w:lineRule="exact"/>
        <w:ind w:firstLine="480" w:firstLineChars="200"/>
        <w:jc w:val="both"/>
        <w:rPr>
          <w:rFonts w:ascii="仿宋" w:hAnsi="仿宋"/>
          <w:sz w:val="24"/>
          <w:szCs w:val="24"/>
        </w:rPr>
      </w:pPr>
      <w:r>
        <w:rPr>
          <w:rFonts w:hint="eastAsia" w:ascii="仿宋" w:hAnsi="仿宋"/>
          <w:sz w:val="24"/>
          <w:szCs w:val="24"/>
        </w:rPr>
        <w:t>●当最后多个供应商出现得分相同、并列第一时，根据供应商报价低者确定排序在前。评审得分且报价相同的，按照技术指标优劣顺序推荐，如仍不能确定排序时，由磋商小组全体人员独立表决并按少数服从多数的原则确定排序在前。以排序第一的供应商为拟成交供应商。当排序第一的供应商放弃成交时，排序第二的供应商递补，以此类推。未尽事宜，由磋商小组按少数服从多数的原则确定。</w:t>
      </w:r>
    </w:p>
    <w:p>
      <w:pPr>
        <w:pStyle w:val="5"/>
        <w:tabs>
          <w:tab w:val="left" w:pos="1123"/>
        </w:tabs>
        <w:spacing w:line="480" w:lineRule="exact"/>
        <w:ind w:right="0"/>
      </w:pPr>
    </w:p>
    <w:p>
      <w:pPr>
        <w:pStyle w:val="5"/>
        <w:tabs>
          <w:tab w:val="left" w:pos="1123"/>
        </w:tabs>
        <w:spacing w:line="480" w:lineRule="exact"/>
        <w:ind w:right="0"/>
      </w:pPr>
      <w:r>
        <w:rPr>
          <w:rFonts w:hint="eastAsia"/>
        </w:rPr>
        <w:t>第六章</w:t>
      </w:r>
      <w:r>
        <w:rPr>
          <w:rFonts w:hint="eastAsia"/>
        </w:rPr>
        <w:tab/>
      </w:r>
      <w:r>
        <w:rPr>
          <w:rFonts w:hint="eastAsia"/>
          <w:lang w:val="en-US"/>
        </w:rPr>
        <w:t xml:space="preserve">  </w:t>
      </w:r>
      <w:r>
        <w:rPr>
          <w:rFonts w:hint="eastAsia"/>
        </w:rPr>
        <w:t>评定成交供应商</w:t>
      </w:r>
    </w:p>
    <w:p>
      <w:pPr>
        <w:pStyle w:val="7"/>
        <w:spacing w:line="480" w:lineRule="exact"/>
        <w:ind w:firstLine="480" w:firstLineChars="200"/>
        <w:jc w:val="both"/>
      </w:pPr>
    </w:p>
    <w:p>
      <w:pPr>
        <w:pStyle w:val="11"/>
        <w:autoSpaceDE/>
        <w:autoSpaceDN/>
        <w:spacing w:line="480" w:lineRule="exact"/>
        <w:ind w:firstLine="482" w:firstLineChars="200"/>
        <w:jc w:val="both"/>
        <w:rPr>
          <w:rFonts w:ascii="仿宋" w:hAnsi="仿宋"/>
          <w:b/>
          <w:sz w:val="24"/>
          <w:szCs w:val="24"/>
        </w:rPr>
      </w:pPr>
      <w:r>
        <w:rPr>
          <w:rFonts w:hint="eastAsia" w:ascii="仿宋" w:hAnsi="仿宋"/>
          <w:b/>
          <w:sz w:val="24"/>
          <w:szCs w:val="24"/>
        </w:rPr>
        <w:t>一、评定成交供应商程序</w:t>
      </w:r>
    </w:p>
    <w:p>
      <w:pPr>
        <w:pStyle w:val="11"/>
        <w:autoSpaceDE/>
        <w:autoSpaceDN/>
        <w:spacing w:line="480" w:lineRule="exact"/>
        <w:ind w:firstLine="452" w:firstLineChars="200"/>
        <w:jc w:val="both"/>
        <w:rPr>
          <w:rFonts w:ascii="仿宋" w:hAnsi="仿宋"/>
          <w:spacing w:val="-7"/>
          <w:sz w:val="24"/>
          <w:szCs w:val="24"/>
        </w:rPr>
      </w:pPr>
      <w:r>
        <w:rPr>
          <w:rFonts w:hint="eastAsia" w:ascii="仿宋" w:hAnsi="仿宋"/>
          <w:spacing w:val="-7"/>
          <w:sz w:val="24"/>
          <w:szCs w:val="24"/>
        </w:rPr>
        <w:t>严格执行磋商标准，推荐三名成交候选人。磋商时，磋商小组要严格按照磋商标准和计分办法，进行打分，将得分由高到低进行排序，评审委员会推荐得分前三名的供应商为成交候选人。</w:t>
      </w:r>
    </w:p>
    <w:p>
      <w:pPr>
        <w:pStyle w:val="11"/>
        <w:autoSpaceDE/>
        <w:autoSpaceDN/>
        <w:spacing w:line="480" w:lineRule="exact"/>
        <w:ind w:firstLine="452" w:firstLineChars="200"/>
        <w:jc w:val="both"/>
        <w:rPr>
          <w:rFonts w:ascii="仿宋" w:hAnsi="仿宋"/>
          <w:spacing w:val="-7"/>
          <w:sz w:val="24"/>
          <w:szCs w:val="24"/>
        </w:rPr>
      </w:pPr>
      <w:r>
        <w:rPr>
          <w:rFonts w:hint="eastAsia" w:ascii="仿宋" w:hAnsi="仿宋"/>
          <w:spacing w:val="-7"/>
          <w:sz w:val="24"/>
          <w:szCs w:val="24"/>
        </w:rPr>
        <w:t>磋商小组根据推荐的成交候选人，按预定的成交原则确定排序第一的供应商为拟成交供应商。当排序第一的供应商放弃成交时，排序第二的供应商递补，以此类推。</w:t>
      </w:r>
    </w:p>
    <w:p>
      <w:pPr>
        <w:tabs>
          <w:tab w:val="left" w:pos="1123"/>
        </w:tabs>
        <w:spacing w:line="480" w:lineRule="exact"/>
        <w:ind w:firstLine="482" w:firstLineChars="200"/>
        <w:jc w:val="both"/>
        <w:rPr>
          <w:b/>
          <w:bCs/>
          <w:sz w:val="24"/>
          <w:szCs w:val="24"/>
          <w:lang w:val="en-US"/>
        </w:rPr>
      </w:pPr>
      <w:r>
        <w:rPr>
          <w:rFonts w:hint="eastAsia"/>
          <w:b/>
          <w:bCs/>
          <w:sz w:val="24"/>
          <w:szCs w:val="24"/>
          <w:lang w:val="en-US"/>
        </w:rPr>
        <w:t>二、成交结果公示</w:t>
      </w:r>
    </w:p>
    <w:p>
      <w:pPr>
        <w:tabs>
          <w:tab w:val="left" w:pos="1123"/>
        </w:tabs>
        <w:spacing w:line="480" w:lineRule="exact"/>
        <w:ind w:firstLine="480" w:firstLineChars="200"/>
        <w:jc w:val="both"/>
        <w:rPr>
          <w:sz w:val="24"/>
          <w:szCs w:val="24"/>
          <w:lang w:val="en-US"/>
        </w:rPr>
      </w:pPr>
      <w:r>
        <w:rPr>
          <w:rFonts w:hint="eastAsia"/>
          <w:sz w:val="24"/>
          <w:szCs w:val="24"/>
          <w:lang w:val="en-US"/>
        </w:rPr>
        <w:t>采购代理机构应当在磋商活动结束后两日内，将成交结果在</w:t>
      </w:r>
      <w:r>
        <w:rPr>
          <w:rFonts w:hint="eastAsia"/>
          <w:lang w:val="en-US"/>
        </w:rPr>
        <w:t>中国招标投标公共服务平台、山东省采购与招标网、东营市第二人员医院官网</w:t>
      </w:r>
      <w:r>
        <w:rPr>
          <w:rFonts w:hint="eastAsia"/>
          <w:sz w:val="24"/>
          <w:szCs w:val="24"/>
          <w:lang w:val="en-US"/>
        </w:rPr>
        <w:t>上进行公示。</w:t>
      </w:r>
    </w:p>
    <w:p>
      <w:pPr>
        <w:tabs>
          <w:tab w:val="left" w:pos="1123"/>
        </w:tabs>
        <w:spacing w:line="480" w:lineRule="exact"/>
        <w:ind w:firstLine="482" w:firstLineChars="200"/>
        <w:jc w:val="both"/>
        <w:rPr>
          <w:b/>
          <w:bCs/>
          <w:sz w:val="24"/>
          <w:szCs w:val="24"/>
          <w:lang w:val="en-US"/>
        </w:rPr>
      </w:pPr>
      <w:r>
        <w:rPr>
          <w:rFonts w:hint="eastAsia"/>
          <w:b/>
          <w:bCs/>
          <w:sz w:val="24"/>
          <w:szCs w:val="24"/>
          <w:lang w:val="en-US"/>
        </w:rPr>
        <w:t>三、资料保存</w:t>
      </w:r>
    </w:p>
    <w:p>
      <w:pPr>
        <w:tabs>
          <w:tab w:val="left" w:pos="1123"/>
        </w:tabs>
        <w:spacing w:line="480" w:lineRule="exact"/>
        <w:ind w:firstLine="480" w:firstLineChars="200"/>
        <w:jc w:val="both"/>
        <w:rPr>
          <w:lang w:val="en-US"/>
        </w:rPr>
      </w:pPr>
      <w:r>
        <w:rPr>
          <w:rFonts w:hint="eastAsia"/>
          <w:sz w:val="24"/>
          <w:szCs w:val="24"/>
          <w:lang w:val="en-US"/>
        </w:rPr>
        <w:t>供应商的响应文件在磋商结束后由采购代理机构封存。</w:t>
      </w:r>
    </w:p>
    <w:p>
      <w:pPr>
        <w:pStyle w:val="5"/>
        <w:tabs>
          <w:tab w:val="left" w:pos="1264"/>
        </w:tabs>
        <w:spacing w:line="480" w:lineRule="exact"/>
        <w:ind w:right="0" w:firstLine="562" w:firstLineChars="200"/>
      </w:pPr>
    </w:p>
    <w:p>
      <w:pPr>
        <w:pStyle w:val="5"/>
        <w:tabs>
          <w:tab w:val="left" w:pos="1264"/>
        </w:tabs>
        <w:spacing w:line="480" w:lineRule="exact"/>
        <w:ind w:right="0" w:firstLine="562" w:firstLineChars="200"/>
      </w:pPr>
      <w:r>
        <w:rPr>
          <w:rFonts w:hint="eastAsia"/>
        </w:rPr>
        <w:t>第七章</w:t>
      </w:r>
      <w:r>
        <w:rPr>
          <w:rFonts w:hint="eastAsia"/>
          <w:lang w:val="en-US"/>
        </w:rPr>
        <w:t xml:space="preserve">  </w:t>
      </w:r>
      <w:r>
        <w:rPr>
          <w:rFonts w:hint="eastAsia"/>
        </w:rPr>
        <w:t>成交通知书及合同</w:t>
      </w:r>
    </w:p>
    <w:p>
      <w:pPr>
        <w:pStyle w:val="7"/>
        <w:spacing w:line="480" w:lineRule="exact"/>
        <w:ind w:firstLine="480" w:firstLineChars="200"/>
        <w:jc w:val="both"/>
      </w:pPr>
    </w:p>
    <w:p>
      <w:pPr>
        <w:pStyle w:val="7"/>
        <w:spacing w:line="480" w:lineRule="exact"/>
        <w:ind w:firstLine="480" w:firstLineChars="200"/>
        <w:jc w:val="both"/>
      </w:pPr>
      <w:r>
        <w:rPr>
          <w:rFonts w:hint="eastAsia"/>
        </w:rPr>
        <w:t>一、签发成交通知书</w:t>
      </w:r>
    </w:p>
    <w:p>
      <w:pPr>
        <w:pStyle w:val="7"/>
        <w:spacing w:line="480" w:lineRule="exact"/>
        <w:ind w:firstLine="480" w:firstLineChars="200"/>
        <w:jc w:val="both"/>
      </w:pPr>
      <w:r>
        <w:rPr>
          <w:rFonts w:hint="eastAsia"/>
        </w:rPr>
        <w:t>采购人或者采购代理机构应当自成交、成交供应商确定之日起2个工作日内，发出成交通知书。成交通知书是合同的有效组成部分。</w:t>
      </w:r>
    </w:p>
    <w:p>
      <w:pPr>
        <w:pStyle w:val="7"/>
        <w:spacing w:line="480" w:lineRule="exact"/>
        <w:ind w:firstLine="480" w:firstLineChars="200"/>
        <w:jc w:val="both"/>
      </w:pPr>
      <w:r>
        <w:rPr>
          <w:rFonts w:hint="eastAsia"/>
        </w:rPr>
        <w:t>成交通知书发出后，采购人改变成交结果，或者成交供应商放弃成交供应商资格，应当承担相应的法律责任。</w:t>
      </w:r>
    </w:p>
    <w:p>
      <w:pPr>
        <w:pStyle w:val="7"/>
        <w:spacing w:line="480" w:lineRule="exact"/>
        <w:ind w:firstLine="480" w:firstLineChars="200"/>
        <w:jc w:val="both"/>
      </w:pPr>
      <w:r>
        <w:rPr>
          <w:rFonts w:hint="eastAsia"/>
        </w:rPr>
        <w:t>如果成交供应商放弃成交供应商资格，在依照法律规定和采购文件约定对其处理后，按照程序确定第二名成交候选供应商为成交供应商或重新组织。</w:t>
      </w:r>
    </w:p>
    <w:p>
      <w:pPr>
        <w:pStyle w:val="7"/>
        <w:spacing w:line="480" w:lineRule="exact"/>
        <w:ind w:firstLine="480" w:firstLineChars="200"/>
        <w:jc w:val="both"/>
      </w:pPr>
      <w:r>
        <w:rPr>
          <w:rFonts w:hint="eastAsia"/>
        </w:rPr>
        <w:t>二、签订合同及备案</w:t>
      </w:r>
    </w:p>
    <w:p>
      <w:pPr>
        <w:pStyle w:val="7"/>
        <w:spacing w:line="480" w:lineRule="exact"/>
        <w:ind w:firstLine="480" w:firstLineChars="200"/>
        <w:jc w:val="both"/>
      </w:pPr>
      <w:r>
        <w:rPr>
          <w:rFonts w:hint="eastAsia"/>
        </w:rPr>
        <w:t>采购人和成交供应商应当自成交通知书发出之日起三十日内书面签订采购合同。</w:t>
      </w:r>
    </w:p>
    <w:p>
      <w:pPr>
        <w:pStyle w:val="7"/>
        <w:spacing w:line="480" w:lineRule="exact"/>
        <w:ind w:firstLine="480" w:firstLineChars="200"/>
        <w:jc w:val="both"/>
      </w:pPr>
      <w:r>
        <w:rPr>
          <w:rFonts w:hint="eastAsia"/>
        </w:rPr>
        <w:t>合同由采购人（甲方）、成交供应商（乙方）双方签订，采购代理机构为见证方，见证方的责任是监督证明所签合同内容与磋商文件等要求和约定条款相一致。在签订合同之前，为维护双方利益，按照磋商文件约定，不但采购人要对成交供应商的履约能力进行考察，而且成交供应商也要对采购人的资金支付能力等情况进行认真考察。签订合同后，甲、乙双方应严格履行各项约定，采购代理机构不负任何合同责任。</w:t>
      </w:r>
    </w:p>
    <w:p>
      <w:pPr>
        <w:pStyle w:val="7"/>
        <w:spacing w:line="480" w:lineRule="exact"/>
        <w:ind w:firstLine="480" w:firstLineChars="200"/>
        <w:jc w:val="both"/>
      </w:pPr>
      <w:r>
        <w:rPr>
          <w:rFonts w:hint="eastAsia"/>
        </w:rPr>
        <w:t>三、合同主要条款</w:t>
      </w:r>
    </w:p>
    <w:p>
      <w:pPr>
        <w:pStyle w:val="7"/>
        <w:spacing w:line="480" w:lineRule="exact"/>
        <w:ind w:firstLine="480" w:firstLineChars="200"/>
        <w:jc w:val="both"/>
      </w:pPr>
      <w:r>
        <w:rPr>
          <w:rFonts w:hint="eastAsia"/>
        </w:rPr>
        <w:t>（一）项目完成时间：</w:t>
      </w:r>
      <w:r>
        <w:rPr>
          <w:rFonts w:hint="eastAsia"/>
          <w:lang w:val="en-US"/>
        </w:rPr>
        <w:t>自合同签订之日起10日内完成</w:t>
      </w:r>
      <w:r>
        <w:rPr>
          <w:rFonts w:hint="eastAsia"/>
        </w:rPr>
        <w:t>。</w:t>
      </w:r>
    </w:p>
    <w:p>
      <w:pPr>
        <w:pStyle w:val="7"/>
        <w:spacing w:line="480" w:lineRule="exact"/>
        <w:ind w:firstLine="480" w:firstLineChars="200"/>
        <w:jc w:val="both"/>
      </w:pPr>
      <w:r>
        <w:rPr>
          <w:rFonts w:hint="eastAsia"/>
        </w:rPr>
        <w:t>（二）项目地点：采购人指定地点。</w:t>
      </w:r>
    </w:p>
    <w:p>
      <w:pPr>
        <w:pStyle w:val="7"/>
        <w:spacing w:line="480" w:lineRule="exact"/>
        <w:ind w:firstLine="480" w:firstLineChars="200"/>
        <w:jc w:val="both"/>
      </w:pPr>
      <w:r>
        <w:rPr>
          <w:rFonts w:hint="eastAsia"/>
        </w:rPr>
        <w:t>（三）竞争性磋商文件中已明确了采购内容、质量技术标准。如果供应商响应文件中的采购内容、质量技术标准与磋商文件成交标准不一致，无论任何原因和理由，在签订采购合同时，服务和质量技术标准一律以政府采购磋商文件为准，其合同金额一律以供应商在磋商时的最终报价为准。</w:t>
      </w:r>
    </w:p>
    <w:p>
      <w:pPr>
        <w:pStyle w:val="7"/>
        <w:spacing w:line="480" w:lineRule="exact"/>
        <w:ind w:firstLine="480" w:firstLineChars="200"/>
        <w:jc w:val="both"/>
      </w:pPr>
      <w:r>
        <w:rPr>
          <w:rFonts w:hint="eastAsia"/>
        </w:rPr>
        <w:t>（四）成交供应商必须与采购人积极配合，随时反映工作情况，研究工作措施，及时解决项目实施过程中存在的问题；如因成交供应商对服务方案等关键环节存在的问题未及时提出，致使项目实施出现质量问题，给采购人造成损失的， 采购人将按照合同约定予以处理，并有权单方解除合同。</w:t>
      </w:r>
    </w:p>
    <w:p>
      <w:pPr>
        <w:pStyle w:val="7"/>
        <w:spacing w:line="480" w:lineRule="exact"/>
        <w:ind w:firstLine="480" w:firstLineChars="200"/>
        <w:jc w:val="both"/>
      </w:pPr>
      <w:r>
        <w:rPr>
          <w:rFonts w:hint="eastAsia"/>
        </w:rPr>
        <w:t>（五）成交供应商对本项目所供或采购材料、设备等必须认真组织质量验收。所供或采购的材料、设备等必须符合磋商文件要求的质量技术标准。因成交供应商验收环节把关不严，出现产品质量问题给项目和采购人造成的损失，由成交供应商承担赔偿及违约责任。采购人有权对成交供应商提供的有关设备以及证件材料的真实性进行审核。</w:t>
      </w:r>
    </w:p>
    <w:p>
      <w:pPr>
        <w:pStyle w:val="7"/>
        <w:spacing w:line="480" w:lineRule="exact"/>
        <w:ind w:firstLine="480" w:firstLineChars="200"/>
        <w:jc w:val="both"/>
      </w:pPr>
      <w:r>
        <w:rPr>
          <w:rFonts w:hint="eastAsia"/>
        </w:rPr>
        <w:t>（六）本项目不允许转包、擅自分包，成交供应商如转包合同或擅自分包的， 一经发现即取消其成交资格，并向采购人支付相当于合同款总额10%的违约金。</w:t>
      </w:r>
    </w:p>
    <w:p>
      <w:pPr>
        <w:pStyle w:val="6"/>
        <w:spacing w:line="480" w:lineRule="exact"/>
        <w:ind w:left="0" w:firstLine="482" w:firstLineChars="200"/>
        <w:jc w:val="both"/>
      </w:pPr>
      <w:r>
        <w:rPr>
          <w:rFonts w:hint="eastAsia"/>
        </w:rPr>
        <w:t>（七）项目验收</w:t>
      </w:r>
    </w:p>
    <w:p>
      <w:pPr>
        <w:pStyle w:val="7"/>
        <w:spacing w:line="480" w:lineRule="exact"/>
        <w:ind w:firstLine="480" w:firstLineChars="200"/>
        <w:jc w:val="both"/>
      </w:pPr>
      <w:r>
        <w:rPr>
          <w:rFonts w:hint="eastAsia"/>
        </w:rPr>
        <w:t>1、第一阶段，产品到货验收</w:t>
      </w:r>
    </w:p>
    <w:p>
      <w:pPr>
        <w:pStyle w:val="7"/>
        <w:spacing w:line="480" w:lineRule="exact"/>
        <w:ind w:firstLine="480" w:firstLineChars="200"/>
        <w:jc w:val="both"/>
      </w:pPr>
      <w:r>
        <w:rPr>
          <w:rFonts w:hint="eastAsia"/>
        </w:rPr>
        <w:t>所供产品到达后，由采购人组成项目验收小组，对产品的主要技术指标参数等进行核实、鉴定，逐项检查与磋商响应文件中承诺的技术要求是否相符。</w:t>
      </w:r>
    </w:p>
    <w:p>
      <w:pPr>
        <w:pStyle w:val="7"/>
        <w:spacing w:line="480" w:lineRule="exact"/>
        <w:ind w:firstLine="480" w:firstLineChars="200"/>
        <w:jc w:val="both"/>
      </w:pPr>
      <w:r>
        <w:rPr>
          <w:rFonts w:hint="eastAsia"/>
        </w:rPr>
        <w:t>2、第二阶段</w:t>
      </w:r>
    </w:p>
    <w:p>
      <w:pPr>
        <w:pStyle w:val="7"/>
        <w:spacing w:line="480" w:lineRule="exact"/>
        <w:ind w:firstLine="480" w:firstLineChars="200"/>
        <w:jc w:val="both"/>
      </w:pPr>
      <w:r>
        <w:rPr>
          <w:rFonts w:hint="eastAsia"/>
        </w:rPr>
        <w:t>质保期满后，由采购人组成项目验收小组，对整个产品的使用情况及售后服务情况进行全面验收。</w:t>
      </w:r>
    </w:p>
    <w:p>
      <w:pPr>
        <w:pStyle w:val="7"/>
        <w:spacing w:line="480" w:lineRule="exact"/>
        <w:ind w:firstLine="482" w:firstLineChars="200"/>
        <w:jc w:val="both"/>
        <w:rPr>
          <w:b/>
        </w:rPr>
      </w:pPr>
      <w:r>
        <w:rPr>
          <w:rFonts w:hint="eastAsia"/>
          <w:b/>
        </w:rPr>
        <w:t>（八）资金支付办法</w:t>
      </w:r>
    </w:p>
    <w:p>
      <w:pPr>
        <w:pStyle w:val="7"/>
        <w:spacing w:line="480" w:lineRule="exact"/>
        <w:ind w:firstLine="480" w:firstLineChars="200"/>
        <w:jc w:val="both"/>
      </w:pPr>
      <w:r>
        <w:rPr>
          <w:rFonts w:hint="eastAsia"/>
        </w:rPr>
        <w:t>验收合格后，采购人凭验收报告、合同、中标人正式发票，支付货款。</w:t>
      </w:r>
    </w:p>
    <w:p>
      <w:pPr>
        <w:pStyle w:val="7"/>
        <w:spacing w:line="480" w:lineRule="exact"/>
        <w:ind w:firstLine="480" w:firstLineChars="200"/>
        <w:jc w:val="both"/>
      </w:pPr>
      <w:r>
        <w:rPr>
          <w:rFonts w:hint="eastAsia"/>
        </w:rPr>
        <w:t>第一阶段验收完成后，采购人凭验收小组验收报告、合同、中标人正式发票，支付至合同总额的95%；第二阶段验收后，采购人凭验收小组使用反馈报告、合同、收据，10日内支付剩余5%合同款。</w:t>
      </w:r>
    </w:p>
    <w:p>
      <w:pPr>
        <w:pStyle w:val="7"/>
        <w:spacing w:line="480" w:lineRule="exact"/>
        <w:ind w:firstLine="480" w:firstLineChars="200"/>
        <w:jc w:val="both"/>
      </w:pPr>
      <w:r>
        <w:rPr>
          <w:rFonts w:hint="eastAsia"/>
        </w:rPr>
        <w:t>（九）成交供应商逾期开展服务的，每日按项目合同价款的3%支付违约金。超过合同开始时间后十日内仍不能到位的，采购人有权解除合同，并由成交供应商按合同价款的10%向采购人支付违约金。</w:t>
      </w:r>
    </w:p>
    <w:p>
      <w:pPr>
        <w:pStyle w:val="7"/>
        <w:spacing w:line="480" w:lineRule="exact"/>
        <w:ind w:firstLine="480" w:firstLineChars="200"/>
        <w:jc w:val="both"/>
      </w:pPr>
      <w:r>
        <w:rPr>
          <w:rFonts w:hint="eastAsia"/>
        </w:rPr>
        <w:t>（十）项目合同在采购人住所地签订，因合同发生争议产生的诉讼，由合同签订地人民法院管辖。</w:t>
      </w:r>
    </w:p>
    <w:p>
      <w:pPr>
        <w:pStyle w:val="5"/>
        <w:tabs>
          <w:tab w:val="left" w:pos="1123"/>
        </w:tabs>
        <w:spacing w:line="480" w:lineRule="exact"/>
        <w:ind w:right="0"/>
      </w:pPr>
    </w:p>
    <w:p>
      <w:pPr>
        <w:pStyle w:val="5"/>
        <w:tabs>
          <w:tab w:val="left" w:pos="1123"/>
        </w:tabs>
        <w:spacing w:line="480" w:lineRule="exact"/>
        <w:ind w:right="0"/>
      </w:pPr>
    </w:p>
    <w:p>
      <w:pPr>
        <w:pStyle w:val="5"/>
        <w:tabs>
          <w:tab w:val="left" w:pos="1123"/>
        </w:tabs>
        <w:spacing w:line="480" w:lineRule="exact"/>
        <w:ind w:right="0"/>
      </w:pPr>
      <w:r>
        <w:rPr>
          <w:rFonts w:hint="eastAsia"/>
        </w:rPr>
        <w:t>第八章</w:t>
      </w:r>
      <w:r>
        <w:rPr>
          <w:rFonts w:hint="eastAsia"/>
        </w:rPr>
        <w:tab/>
      </w:r>
      <w:r>
        <w:rPr>
          <w:rFonts w:hint="eastAsia"/>
        </w:rPr>
        <w:t>采购人责任</w:t>
      </w:r>
    </w:p>
    <w:p>
      <w:pPr>
        <w:pStyle w:val="7"/>
        <w:spacing w:line="480" w:lineRule="exact"/>
        <w:ind w:firstLine="480" w:firstLineChars="200"/>
        <w:jc w:val="both"/>
      </w:pPr>
    </w:p>
    <w:p>
      <w:pPr>
        <w:pStyle w:val="7"/>
        <w:spacing w:line="480" w:lineRule="exact"/>
        <w:ind w:firstLine="480" w:firstLineChars="200"/>
        <w:jc w:val="both"/>
      </w:pPr>
      <w:r>
        <w:rPr>
          <w:rFonts w:hint="eastAsia"/>
        </w:rPr>
        <w:t>一、采购人应在竞争性磋商之前，必须与采购代理机构依法签订委托代理协议、依法确定委托代理事项，约定双方的权利义务，并密切配合、组织好磋商活动。</w:t>
      </w:r>
    </w:p>
    <w:p>
      <w:pPr>
        <w:pStyle w:val="7"/>
        <w:spacing w:line="480" w:lineRule="exact"/>
        <w:ind w:firstLine="480" w:firstLineChars="200"/>
        <w:jc w:val="both"/>
      </w:pPr>
      <w:r>
        <w:rPr>
          <w:rFonts w:hint="eastAsia"/>
        </w:rPr>
        <w:t>二、采购项目进入采购程序，采购人应结合磋商文件范本制定磋商文件和评定成交供应商标准，向供应商提供磋商文件。</w:t>
      </w:r>
    </w:p>
    <w:p>
      <w:pPr>
        <w:pStyle w:val="7"/>
        <w:spacing w:line="480" w:lineRule="exact"/>
        <w:ind w:firstLine="480" w:firstLineChars="200"/>
        <w:jc w:val="both"/>
      </w:pPr>
      <w:r>
        <w:rPr>
          <w:rFonts w:hint="eastAsia"/>
        </w:rPr>
        <w:t>三、采购人应根据项目的规模大小、技术复杂程度确定磋商小组人员数量，并在磋商文件中具体明确人员数量。</w:t>
      </w:r>
    </w:p>
    <w:p>
      <w:pPr>
        <w:pStyle w:val="7"/>
        <w:spacing w:line="480" w:lineRule="exact"/>
        <w:ind w:firstLine="480" w:firstLineChars="200"/>
        <w:jc w:val="both"/>
      </w:pPr>
      <w:r>
        <w:rPr>
          <w:rFonts w:hint="eastAsia"/>
        </w:rPr>
        <w:t>四、采购人及采购代理机构必须认真核对各供应商的证件，证件不全或不符合有关要求的，不予作为供应商参加磋商活动；对供应商应一视同仁。</w:t>
      </w:r>
    </w:p>
    <w:p>
      <w:pPr>
        <w:pStyle w:val="7"/>
        <w:spacing w:line="480" w:lineRule="exact"/>
        <w:ind w:firstLine="480" w:firstLineChars="200"/>
        <w:jc w:val="both"/>
      </w:pPr>
      <w:r>
        <w:rPr>
          <w:rFonts w:hint="eastAsia"/>
        </w:rPr>
        <w:t>五、采购人或者采购代理机构应当自成交供应商确定之日起2个工作日内，发出成交通知书。采购人和成交供应商应当自成交通知书发出之日起三十日内书面签订采购合同。</w:t>
      </w:r>
    </w:p>
    <w:p>
      <w:pPr>
        <w:pStyle w:val="7"/>
        <w:spacing w:line="480" w:lineRule="exact"/>
        <w:ind w:firstLine="480" w:firstLineChars="200"/>
        <w:jc w:val="both"/>
      </w:pPr>
      <w:r>
        <w:rPr>
          <w:rFonts w:hint="eastAsia"/>
        </w:rPr>
        <w:t>六、项目实施过程中，采购人要按照合同约定、资金结算办法及时拨付资金，供货现场必须提前准备完毕，以保证供货时间；否则，由此造成的损失，成交供应商不承担责任。</w:t>
      </w:r>
    </w:p>
    <w:p>
      <w:pPr>
        <w:pStyle w:val="5"/>
        <w:tabs>
          <w:tab w:val="left" w:pos="1123"/>
        </w:tabs>
        <w:spacing w:line="480" w:lineRule="exact"/>
        <w:ind w:right="0"/>
      </w:pPr>
    </w:p>
    <w:p>
      <w:pPr>
        <w:pStyle w:val="5"/>
        <w:tabs>
          <w:tab w:val="left" w:pos="1123"/>
        </w:tabs>
        <w:spacing w:line="480" w:lineRule="exact"/>
        <w:ind w:right="0"/>
      </w:pPr>
      <w:r>
        <w:rPr>
          <w:rFonts w:hint="eastAsia"/>
        </w:rPr>
        <w:t>第九章</w:t>
      </w:r>
      <w:r>
        <w:rPr>
          <w:rFonts w:hint="eastAsia"/>
        </w:rPr>
        <w:tab/>
      </w:r>
      <w:r>
        <w:rPr>
          <w:rFonts w:hint="eastAsia"/>
        </w:rPr>
        <w:t>供应商责任</w:t>
      </w:r>
    </w:p>
    <w:p>
      <w:pPr>
        <w:pStyle w:val="7"/>
        <w:spacing w:line="480" w:lineRule="exact"/>
        <w:ind w:firstLine="480" w:firstLineChars="200"/>
        <w:jc w:val="both"/>
      </w:pPr>
    </w:p>
    <w:p>
      <w:pPr>
        <w:pStyle w:val="7"/>
        <w:spacing w:line="480" w:lineRule="exact"/>
        <w:ind w:firstLine="480" w:firstLineChars="200"/>
        <w:jc w:val="both"/>
        <w:rPr>
          <w:lang w:val="en-US"/>
        </w:rPr>
      </w:pPr>
      <w:r>
        <w:rPr>
          <w:rFonts w:hint="eastAsia"/>
          <w:lang w:val="en-US"/>
        </w:rPr>
        <w:t>一、供应商应认真审阅磋商文件及有关资料的所有内容。供应商由于对磋商文件及相关资料的任何误解和忽略，导致任何风险及结果，其责任一律自负。</w:t>
      </w:r>
    </w:p>
    <w:p>
      <w:pPr>
        <w:pStyle w:val="7"/>
        <w:spacing w:line="480" w:lineRule="exact"/>
        <w:ind w:firstLine="480" w:firstLineChars="200"/>
        <w:jc w:val="both"/>
        <w:rPr>
          <w:lang w:val="en-US"/>
        </w:rPr>
      </w:pPr>
      <w:r>
        <w:rPr>
          <w:rFonts w:hint="eastAsia"/>
          <w:lang w:val="en-US"/>
        </w:rPr>
        <w:t>二、供应商编写的响应文件一律按磋商文件要求的格式认真填写，字迹要清楚，项目报价等主要条款不得出现前后不一致的现象。</w:t>
      </w:r>
    </w:p>
    <w:p>
      <w:pPr>
        <w:pStyle w:val="7"/>
        <w:spacing w:line="480" w:lineRule="exact"/>
        <w:ind w:firstLine="480" w:firstLineChars="200"/>
        <w:jc w:val="both"/>
      </w:pPr>
      <w:r>
        <w:rPr>
          <w:rFonts w:hint="eastAsia"/>
        </w:rPr>
        <w:t>三、供应商的响应文件要按磋商文件的要求密封。供应商在递交响应文件截止时间前可以补充、修改、撤回已提交的响应文件，并书面通知采购人，补充、修改的内容作为响应文件的有效组成部分。</w:t>
      </w:r>
    </w:p>
    <w:p>
      <w:pPr>
        <w:pStyle w:val="7"/>
        <w:spacing w:line="480" w:lineRule="exact"/>
        <w:ind w:firstLine="480" w:firstLineChars="200"/>
        <w:jc w:val="both"/>
      </w:pPr>
      <w:r>
        <w:rPr>
          <w:rFonts w:hint="eastAsia"/>
        </w:rPr>
        <w:t>四、按照本磋商文件要求的时间将响应文件交至规定的地点。</w:t>
      </w:r>
    </w:p>
    <w:p>
      <w:pPr>
        <w:pStyle w:val="7"/>
        <w:spacing w:line="480" w:lineRule="exact"/>
        <w:ind w:firstLine="480" w:firstLineChars="200"/>
        <w:jc w:val="both"/>
        <w:rPr>
          <w:lang w:val="en-US"/>
        </w:rPr>
      </w:pPr>
      <w:r>
        <w:rPr>
          <w:rFonts w:hint="eastAsia"/>
        </w:rPr>
        <w:t>五、本项目采购人确定由成交供应商交纳成交服务费。在领取《成交通知书》之前，成交供应商向采购代理机构交纳成交服务费，</w:t>
      </w:r>
      <w:r>
        <w:rPr>
          <w:rFonts w:hint="eastAsia"/>
          <w:lang w:val="en-US"/>
        </w:rPr>
        <w:t>500元/包。</w:t>
      </w:r>
    </w:p>
    <w:p>
      <w:pPr>
        <w:pStyle w:val="7"/>
        <w:spacing w:line="480" w:lineRule="exact"/>
        <w:ind w:firstLine="480" w:firstLineChars="200"/>
        <w:jc w:val="both"/>
      </w:pPr>
      <w:r>
        <w:rPr>
          <w:rFonts w:hint="eastAsia"/>
        </w:rPr>
        <w:t>六、供应商在参与采购活动过程中的一切费用自理。</w:t>
      </w:r>
    </w:p>
    <w:p>
      <w:pPr>
        <w:pStyle w:val="7"/>
        <w:spacing w:line="480" w:lineRule="exact"/>
        <w:ind w:firstLine="480" w:firstLineChars="200"/>
        <w:jc w:val="both"/>
        <w:rPr>
          <w:lang w:val="en-US"/>
        </w:rPr>
      </w:pPr>
      <w:r>
        <w:rPr>
          <w:rFonts w:hint="eastAsia"/>
          <w:lang w:val="en-US"/>
        </w:rPr>
        <w:t>七、供应商成交后不得将项目转包给其它单位或个人，也不得擅自将承包的项目肢解、分包，否则，采购人有权取消其成交资格，单方解除合同。成交供应商应向采购人支付项目合同价款10%的违约金。</w:t>
      </w:r>
    </w:p>
    <w:p>
      <w:pPr>
        <w:pStyle w:val="7"/>
        <w:spacing w:line="480" w:lineRule="exact"/>
        <w:ind w:firstLine="480" w:firstLineChars="200"/>
        <w:jc w:val="both"/>
        <w:rPr>
          <w:lang w:val="en-US"/>
        </w:rPr>
      </w:pPr>
      <w:r>
        <w:rPr>
          <w:rFonts w:hint="eastAsia"/>
          <w:lang w:val="en-US"/>
        </w:rPr>
        <w:t>八、供应商一旦前来磋商，就表示认可并遵循本磋商文件的各项规定，并对自己在采购活动中的行为负责，不得进行阻挠其他人磋商、操纵或恶意串通以及旨在影响采购结果的活动，一经发现，采购人有权取消其磋商资格。</w:t>
      </w:r>
    </w:p>
    <w:p>
      <w:pPr>
        <w:pStyle w:val="5"/>
        <w:spacing w:line="480" w:lineRule="exact"/>
        <w:ind w:right="0"/>
      </w:pPr>
    </w:p>
    <w:p>
      <w:pPr>
        <w:pStyle w:val="5"/>
        <w:spacing w:line="480" w:lineRule="exact"/>
        <w:ind w:right="0"/>
      </w:pPr>
      <w:r>
        <w:rPr>
          <w:rFonts w:hint="eastAsia"/>
        </w:rPr>
        <w:t>第十章 其他内容</w:t>
      </w:r>
    </w:p>
    <w:p>
      <w:pPr>
        <w:pStyle w:val="25"/>
        <w:tabs>
          <w:tab w:val="left" w:pos="939"/>
        </w:tabs>
        <w:spacing w:line="480" w:lineRule="exact"/>
        <w:ind w:left="0" w:firstLineChars="200"/>
        <w:jc w:val="both"/>
        <w:rPr>
          <w:sz w:val="24"/>
        </w:rPr>
      </w:pPr>
    </w:p>
    <w:p>
      <w:pPr>
        <w:pStyle w:val="25"/>
        <w:tabs>
          <w:tab w:val="left" w:pos="939"/>
        </w:tabs>
        <w:spacing w:line="480" w:lineRule="exact"/>
        <w:ind w:left="0" w:firstLineChars="200"/>
        <w:jc w:val="both"/>
        <w:rPr>
          <w:sz w:val="24"/>
        </w:rPr>
      </w:pPr>
      <w:r>
        <w:rPr>
          <w:rFonts w:hint="eastAsia"/>
          <w:sz w:val="24"/>
        </w:rPr>
        <w:t>●采购人、采购代理机构向供应商提供的有关项目的资料、质量技术标准和数据，是采购人、采购代理机构现有的能使供应商利用的资料。采购人、采购代理机构对供应商由此做出的推论、理解和结论等概不负责。</w:t>
      </w:r>
    </w:p>
    <w:p>
      <w:pPr>
        <w:pStyle w:val="25"/>
        <w:tabs>
          <w:tab w:val="left" w:pos="939"/>
        </w:tabs>
        <w:spacing w:line="480" w:lineRule="exact"/>
        <w:ind w:left="0" w:firstLineChars="200"/>
        <w:jc w:val="both"/>
        <w:rPr>
          <w:sz w:val="24"/>
        </w:rPr>
      </w:pPr>
      <w:r>
        <w:rPr>
          <w:rFonts w:hint="eastAsia"/>
          <w:sz w:val="24"/>
        </w:rPr>
        <w:t>●供应商应认真审阅本磋商文件及有关资料的所有内容，按规定提供有关证明材料，并保证所提供资料的真实性和可靠性。供应商由于对磋商文件及相关资料的任何误解和忽略，导致发生的任何风险及结果，其责任一律自负。</w:t>
      </w:r>
    </w:p>
    <w:p>
      <w:pPr>
        <w:pStyle w:val="25"/>
        <w:tabs>
          <w:tab w:val="left" w:pos="939"/>
        </w:tabs>
        <w:spacing w:line="480" w:lineRule="exact"/>
        <w:ind w:left="0" w:firstLineChars="200"/>
        <w:jc w:val="both"/>
        <w:rPr>
          <w:sz w:val="24"/>
        </w:rPr>
      </w:pPr>
      <w:r>
        <w:rPr>
          <w:rFonts w:hint="eastAsia"/>
          <w:sz w:val="24"/>
        </w:rPr>
        <w:t>●采购人、采购代理机构不解释供应商成交或未成交原因。</w:t>
      </w:r>
    </w:p>
    <w:p>
      <w:pPr>
        <w:pStyle w:val="25"/>
        <w:tabs>
          <w:tab w:val="left" w:pos="939"/>
        </w:tabs>
        <w:spacing w:line="480" w:lineRule="exact"/>
        <w:ind w:left="0" w:firstLineChars="200"/>
        <w:jc w:val="both"/>
        <w:rPr>
          <w:sz w:val="24"/>
        </w:rPr>
      </w:pPr>
      <w:r>
        <w:rPr>
          <w:rFonts w:hint="eastAsia"/>
          <w:sz w:val="24"/>
        </w:rPr>
        <w:t>●本磋商文件由采购人、</w:t>
      </w:r>
      <w:r>
        <w:rPr>
          <w:rFonts w:hint="eastAsia"/>
          <w:sz w:val="24"/>
          <w:lang w:val="en-US"/>
        </w:rPr>
        <w:t>采购代理机构</w:t>
      </w:r>
      <w:r>
        <w:rPr>
          <w:rFonts w:hint="eastAsia"/>
          <w:sz w:val="24"/>
        </w:rPr>
        <w:t>解释。</w:t>
      </w:r>
    </w:p>
    <w:p>
      <w:pPr>
        <w:pStyle w:val="25"/>
        <w:tabs>
          <w:tab w:val="left" w:pos="939"/>
        </w:tabs>
        <w:spacing w:line="480" w:lineRule="exact"/>
        <w:ind w:left="0" w:firstLine="482" w:firstLineChars="200"/>
        <w:jc w:val="both"/>
        <w:rPr>
          <w:b/>
          <w:bCs/>
          <w:sz w:val="24"/>
        </w:rPr>
      </w:pPr>
    </w:p>
    <w:p>
      <w:pPr>
        <w:pStyle w:val="25"/>
        <w:tabs>
          <w:tab w:val="left" w:pos="939"/>
        </w:tabs>
        <w:spacing w:line="480" w:lineRule="exact"/>
        <w:ind w:left="0" w:firstLine="482" w:firstLineChars="200"/>
        <w:jc w:val="both"/>
        <w:rPr>
          <w:b/>
          <w:bCs/>
          <w:sz w:val="24"/>
        </w:rPr>
      </w:pPr>
      <w:r>
        <w:rPr>
          <w:rFonts w:hint="eastAsia"/>
          <w:b/>
          <w:bCs/>
          <w:sz w:val="24"/>
        </w:rPr>
        <w:t>附件：</w:t>
      </w:r>
    </w:p>
    <w:p>
      <w:pPr>
        <w:pStyle w:val="7"/>
        <w:spacing w:line="480" w:lineRule="exact"/>
        <w:ind w:firstLine="480" w:firstLineChars="200"/>
        <w:jc w:val="both"/>
      </w:pPr>
      <w:r>
        <w:rPr>
          <w:rFonts w:hint="eastAsia"/>
        </w:rPr>
        <w:t>1、信誉承诺函</w:t>
      </w:r>
    </w:p>
    <w:p>
      <w:pPr>
        <w:pStyle w:val="7"/>
        <w:spacing w:line="480" w:lineRule="exact"/>
        <w:ind w:firstLine="480" w:firstLineChars="200"/>
        <w:jc w:val="both"/>
      </w:pPr>
      <w:r>
        <w:rPr>
          <w:rFonts w:hint="eastAsia"/>
        </w:rPr>
        <w:t>2、授权委托书</w:t>
      </w:r>
    </w:p>
    <w:p>
      <w:pPr>
        <w:pStyle w:val="7"/>
        <w:spacing w:line="480" w:lineRule="exact"/>
        <w:ind w:firstLine="480" w:firstLineChars="200"/>
        <w:jc w:val="both"/>
      </w:pPr>
      <w:r>
        <w:rPr>
          <w:rFonts w:hint="eastAsia"/>
          <w:lang w:val="en-US"/>
        </w:rPr>
        <w:t>3</w:t>
      </w:r>
      <w:r>
        <w:rPr>
          <w:rFonts w:hint="eastAsia"/>
        </w:rPr>
        <w:t>、磋商报价表</w:t>
      </w:r>
    </w:p>
    <w:p>
      <w:pPr>
        <w:pStyle w:val="7"/>
        <w:spacing w:line="480" w:lineRule="exact"/>
        <w:ind w:firstLine="480" w:firstLineChars="200"/>
        <w:jc w:val="both"/>
        <w:rPr>
          <w:lang w:val="en-US"/>
        </w:rPr>
      </w:pPr>
      <w:r>
        <w:rPr>
          <w:rFonts w:hint="eastAsia"/>
          <w:lang w:val="en-US"/>
        </w:rPr>
        <w:t>4、</w:t>
      </w:r>
      <w:r>
        <w:rPr>
          <w:rFonts w:hint="eastAsia"/>
        </w:rPr>
        <w:t>主要耗材及易损件价格报价表</w:t>
      </w:r>
    </w:p>
    <w:p>
      <w:pPr>
        <w:pStyle w:val="7"/>
        <w:spacing w:line="480" w:lineRule="exact"/>
        <w:ind w:firstLine="480" w:firstLineChars="200"/>
        <w:jc w:val="both"/>
      </w:pPr>
      <w:r>
        <w:rPr>
          <w:rFonts w:hint="eastAsia"/>
          <w:lang w:val="en-US"/>
        </w:rPr>
        <w:t>5</w:t>
      </w:r>
      <w:r>
        <w:rPr>
          <w:rFonts w:hint="eastAsia"/>
        </w:rPr>
        <w:t>、分项报价表</w:t>
      </w:r>
    </w:p>
    <w:p>
      <w:pPr>
        <w:pStyle w:val="7"/>
        <w:spacing w:line="480" w:lineRule="exact"/>
        <w:ind w:firstLine="480" w:firstLineChars="200"/>
        <w:jc w:val="both"/>
      </w:pPr>
      <w:r>
        <w:rPr>
          <w:rFonts w:hint="eastAsia"/>
          <w:lang w:val="en-US"/>
        </w:rPr>
        <w:t>6</w:t>
      </w:r>
      <w:r>
        <w:rPr>
          <w:rFonts w:hint="eastAsia"/>
        </w:rPr>
        <w:t>、业绩汇总表</w:t>
      </w:r>
    </w:p>
    <w:p>
      <w:pPr>
        <w:pStyle w:val="7"/>
        <w:spacing w:line="480" w:lineRule="exact"/>
        <w:ind w:firstLine="480" w:firstLineChars="200"/>
        <w:jc w:val="both"/>
      </w:pPr>
      <w:r>
        <w:rPr>
          <w:rFonts w:hint="eastAsia"/>
          <w:lang w:val="en-US"/>
        </w:rPr>
        <w:t>7</w:t>
      </w:r>
      <w:r>
        <w:rPr>
          <w:rFonts w:hint="eastAsia"/>
        </w:rPr>
        <w:t>、技术</w:t>
      </w:r>
      <w:r>
        <w:rPr>
          <w:rFonts w:hint="eastAsia"/>
          <w:lang w:val="en-US"/>
        </w:rPr>
        <w:t>参数</w:t>
      </w:r>
      <w:r>
        <w:rPr>
          <w:rFonts w:hint="eastAsia"/>
        </w:rPr>
        <w:t>要求</w:t>
      </w:r>
    </w:p>
    <w:p>
      <w:pPr>
        <w:pStyle w:val="7"/>
        <w:spacing w:line="480" w:lineRule="exact"/>
        <w:ind w:firstLine="480" w:firstLineChars="200"/>
        <w:jc w:val="both"/>
        <w:sectPr>
          <w:footerReference r:id="rId3" w:type="default"/>
          <w:pgSz w:w="11911" w:h="16838"/>
          <w:pgMar w:top="1440" w:right="1440" w:bottom="1440" w:left="1440" w:header="850" w:footer="850" w:gutter="0"/>
          <w:pgNumType w:start="1"/>
          <w:cols w:space="0" w:num="1"/>
        </w:sectPr>
      </w:pPr>
    </w:p>
    <w:p>
      <w:pPr>
        <w:spacing w:line="360" w:lineRule="auto"/>
        <w:jc w:val="both"/>
        <w:rPr>
          <w:sz w:val="24"/>
          <w:szCs w:val="24"/>
        </w:rPr>
      </w:pPr>
      <w:r>
        <w:rPr>
          <w:rFonts w:hint="eastAsia"/>
          <w:sz w:val="24"/>
          <w:szCs w:val="24"/>
        </w:rPr>
        <w:t>附件1：</w:t>
      </w:r>
    </w:p>
    <w:p>
      <w:pPr>
        <w:pStyle w:val="5"/>
        <w:spacing w:line="480" w:lineRule="exact"/>
        <w:ind w:right="0" w:firstLine="643" w:firstLineChars="200"/>
        <w:rPr>
          <w:sz w:val="32"/>
          <w:szCs w:val="32"/>
        </w:rPr>
      </w:pPr>
      <w:r>
        <w:rPr>
          <w:rFonts w:hint="eastAsia"/>
          <w:sz w:val="32"/>
          <w:szCs w:val="32"/>
        </w:rPr>
        <w:t>信誉承诺函</w:t>
      </w:r>
    </w:p>
    <w:p>
      <w:pPr>
        <w:pStyle w:val="11"/>
        <w:spacing w:line="360" w:lineRule="auto"/>
        <w:ind w:firstLine="560" w:firstLineChars="200"/>
        <w:jc w:val="both"/>
        <w:rPr>
          <w:rFonts w:ascii="仿宋" w:hAnsi="仿宋"/>
          <w:sz w:val="28"/>
          <w:szCs w:val="28"/>
        </w:rPr>
      </w:pPr>
    </w:p>
    <w:p>
      <w:pPr>
        <w:pStyle w:val="11"/>
        <w:spacing w:line="360" w:lineRule="auto"/>
        <w:jc w:val="both"/>
        <w:rPr>
          <w:rFonts w:ascii="仿宋" w:hAnsi="仿宋"/>
          <w:sz w:val="28"/>
          <w:szCs w:val="28"/>
        </w:rPr>
      </w:pPr>
      <w:r>
        <w:rPr>
          <w:rFonts w:hint="eastAsia" w:ascii="仿宋" w:hAnsi="仿宋"/>
          <w:sz w:val="28"/>
          <w:szCs w:val="28"/>
        </w:rPr>
        <w:t>东营市第二人民医院：</w:t>
      </w:r>
    </w:p>
    <w:p>
      <w:pPr>
        <w:pStyle w:val="11"/>
        <w:spacing w:line="360" w:lineRule="auto"/>
        <w:ind w:firstLine="560" w:firstLineChars="200"/>
        <w:jc w:val="both"/>
        <w:rPr>
          <w:rFonts w:ascii="仿宋" w:hAnsi="仿宋"/>
          <w:sz w:val="28"/>
          <w:szCs w:val="28"/>
        </w:rPr>
      </w:pPr>
      <w:r>
        <w:rPr>
          <w:rFonts w:hint="eastAsia" w:ascii="仿宋" w:hAnsi="仿宋"/>
          <w:sz w:val="28"/>
          <w:szCs w:val="28"/>
        </w:rPr>
        <w:t>我公司参加本次采购人委托、由采购代理机构代理并按照规定程序组织的</w:t>
      </w:r>
      <w:r>
        <w:rPr>
          <w:rFonts w:hint="eastAsia" w:ascii="仿宋" w:hAnsi="仿宋"/>
          <w:sz w:val="28"/>
          <w:szCs w:val="28"/>
          <w:u w:val="single"/>
        </w:rPr>
        <w:t>东营市第二人民医院亚（准）定点医院及后备定点医院建设项目（第三批）</w:t>
      </w:r>
      <w:r>
        <w:rPr>
          <w:rFonts w:hint="eastAsia" w:ascii="仿宋" w:hAnsi="仿宋"/>
          <w:sz w:val="28"/>
          <w:szCs w:val="28"/>
        </w:rPr>
        <w:t>活动，为了维护采购形象和信誉，防止在成交后违规不与采购人签订合同问题发生，如果我公司在本次采购活动中提出放弃成交结果，除相关部门认定的正当理由外，根据有关规定，愿以本《信誉承诺函》书面形式郑重承诺如下：</w:t>
      </w:r>
    </w:p>
    <w:p>
      <w:pPr>
        <w:pStyle w:val="11"/>
        <w:spacing w:line="360" w:lineRule="auto"/>
        <w:ind w:firstLine="560" w:firstLineChars="200"/>
        <w:jc w:val="both"/>
        <w:rPr>
          <w:rFonts w:ascii="仿宋" w:hAnsi="仿宋"/>
          <w:sz w:val="28"/>
          <w:szCs w:val="28"/>
        </w:rPr>
      </w:pPr>
      <w:r>
        <w:rPr>
          <w:rFonts w:hint="eastAsia" w:ascii="仿宋" w:hAnsi="仿宋"/>
          <w:sz w:val="28"/>
          <w:szCs w:val="28"/>
        </w:rPr>
        <w:t>采购人不予退还我公司在参加本次采购活动中所交纳的保证金。</w:t>
      </w:r>
    </w:p>
    <w:p>
      <w:pPr>
        <w:pStyle w:val="11"/>
        <w:spacing w:line="360" w:lineRule="auto"/>
        <w:ind w:firstLine="560" w:firstLineChars="200"/>
        <w:jc w:val="both"/>
        <w:rPr>
          <w:rFonts w:ascii="仿宋" w:hAnsi="仿宋"/>
          <w:sz w:val="28"/>
          <w:szCs w:val="28"/>
        </w:rPr>
      </w:pPr>
    </w:p>
    <w:p>
      <w:pPr>
        <w:pStyle w:val="11"/>
        <w:spacing w:line="360" w:lineRule="auto"/>
        <w:ind w:firstLine="560" w:firstLineChars="200"/>
        <w:jc w:val="both"/>
        <w:rPr>
          <w:rFonts w:ascii="仿宋" w:hAnsi="仿宋"/>
          <w:sz w:val="28"/>
          <w:szCs w:val="28"/>
        </w:rPr>
      </w:pPr>
    </w:p>
    <w:p>
      <w:pPr>
        <w:pStyle w:val="11"/>
        <w:spacing w:line="360" w:lineRule="auto"/>
        <w:ind w:firstLine="4480" w:firstLineChars="1600"/>
        <w:jc w:val="both"/>
        <w:rPr>
          <w:rFonts w:ascii="仿宋" w:hAnsi="仿宋"/>
          <w:sz w:val="28"/>
          <w:szCs w:val="28"/>
        </w:rPr>
      </w:pPr>
      <w:r>
        <w:rPr>
          <w:rFonts w:hint="eastAsia" w:ascii="仿宋" w:hAnsi="仿宋"/>
          <w:sz w:val="28"/>
          <w:szCs w:val="28"/>
        </w:rPr>
        <w:t>供应商名称（公章）：</w:t>
      </w:r>
    </w:p>
    <w:p>
      <w:pPr>
        <w:pStyle w:val="11"/>
        <w:spacing w:line="360" w:lineRule="auto"/>
        <w:ind w:firstLine="4480" w:firstLineChars="1600"/>
        <w:jc w:val="both"/>
        <w:rPr>
          <w:rFonts w:ascii="仿宋" w:hAnsi="仿宋"/>
          <w:sz w:val="28"/>
          <w:szCs w:val="28"/>
        </w:rPr>
      </w:pPr>
    </w:p>
    <w:p>
      <w:pPr>
        <w:pStyle w:val="11"/>
        <w:spacing w:line="360" w:lineRule="auto"/>
        <w:ind w:firstLine="560" w:firstLineChars="200"/>
        <w:jc w:val="both"/>
        <w:rPr>
          <w:rFonts w:ascii="仿宋" w:hAnsi="仿宋"/>
          <w:sz w:val="28"/>
          <w:szCs w:val="28"/>
        </w:rPr>
      </w:pPr>
      <w:r>
        <w:rPr>
          <w:rFonts w:hint="eastAsia" w:ascii="仿宋" w:hAnsi="仿宋"/>
          <w:sz w:val="28"/>
          <w:szCs w:val="28"/>
        </w:rPr>
        <w:t xml:space="preserve">                                     年   月   日</w:t>
      </w:r>
    </w:p>
    <w:p>
      <w:pPr>
        <w:spacing w:line="560" w:lineRule="exact"/>
        <w:ind w:firstLine="140" w:firstLineChars="50"/>
        <w:rPr>
          <w:rFonts w:ascii="仿宋_GB2312" w:hAnsi="仿宋_GB2312" w:cs="仿宋_GB2312"/>
          <w:sz w:val="28"/>
          <w:szCs w:val="28"/>
        </w:rPr>
      </w:pPr>
    </w:p>
    <w:p>
      <w:pPr>
        <w:spacing w:line="460" w:lineRule="exact"/>
        <w:rPr>
          <w:rFonts w:ascii="仿宋_GB2312" w:hAnsi="仿宋_GB2312" w:cs="仿宋_GB2312"/>
          <w:sz w:val="28"/>
          <w:szCs w:val="28"/>
        </w:rPr>
      </w:pPr>
    </w:p>
    <w:p>
      <w:pPr>
        <w:pStyle w:val="7"/>
      </w:pPr>
    </w:p>
    <w:p>
      <w:pPr>
        <w:pStyle w:val="8"/>
        <w:rPr>
          <w:lang w:val="zh-CN" w:bidi="zh-CN"/>
        </w:rPr>
      </w:pPr>
    </w:p>
    <w:p/>
    <w:p>
      <w:pPr>
        <w:pStyle w:val="7"/>
      </w:pPr>
    </w:p>
    <w:p>
      <w:pPr>
        <w:pStyle w:val="8"/>
        <w:rPr>
          <w:lang w:val="zh-CN" w:bidi="zh-CN"/>
        </w:rPr>
      </w:pPr>
    </w:p>
    <w:p/>
    <w:p>
      <w:pPr>
        <w:pStyle w:val="7"/>
      </w:pPr>
    </w:p>
    <w:p>
      <w:pPr>
        <w:pStyle w:val="8"/>
        <w:rPr>
          <w:lang w:val="zh-CN" w:bidi="zh-CN"/>
        </w:rPr>
      </w:pPr>
    </w:p>
    <w:p/>
    <w:p>
      <w:pPr>
        <w:pStyle w:val="7"/>
      </w:pPr>
    </w:p>
    <w:p>
      <w:pPr>
        <w:pStyle w:val="8"/>
        <w:rPr>
          <w:lang w:val="zh-CN" w:bidi="zh-CN"/>
        </w:rPr>
      </w:pPr>
    </w:p>
    <w:p>
      <w:pPr>
        <w:spacing w:line="360" w:lineRule="auto"/>
        <w:jc w:val="both"/>
        <w:rPr>
          <w:sz w:val="24"/>
          <w:szCs w:val="24"/>
        </w:rPr>
      </w:pPr>
      <w:r>
        <w:rPr>
          <w:rFonts w:hint="eastAsia"/>
          <w:sz w:val="24"/>
          <w:szCs w:val="24"/>
        </w:rPr>
        <w:t>附件2：</w:t>
      </w:r>
    </w:p>
    <w:p>
      <w:pPr>
        <w:pStyle w:val="5"/>
        <w:spacing w:line="480" w:lineRule="exact"/>
        <w:ind w:right="0" w:firstLine="562" w:firstLineChars="200"/>
      </w:pPr>
      <w:r>
        <w:rPr>
          <w:rFonts w:hint="eastAsia"/>
        </w:rPr>
        <w:t>授权委托书</w:t>
      </w:r>
    </w:p>
    <w:p>
      <w:pPr>
        <w:pStyle w:val="7"/>
        <w:spacing w:line="480" w:lineRule="exact"/>
        <w:ind w:firstLine="723" w:firstLineChars="200"/>
        <w:rPr>
          <w:b/>
          <w:sz w:val="36"/>
        </w:rPr>
      </w:pPr>
    </w:p>
    <w:p>
      <w:pPr>
        <w:pStyle w:val="7"/>
        <w:tabs>
          <w:tab w:val="left" w:pos="3421"/>
          <w:tab w:val="left" w:pos="4021"/>
          <w:tab w:val="left" w:pos="6147"/>
          <w:tab w:val="left" w:pos="6387"/>
        </w:tabs>
        <w:spacing w:line="480" w:lineRule="exact"/>
        <w:ind w:firstLine="480" w:firstLineChars="200"/>
        <w:jc w:val="both"/>
      </w:pPr>
      <w:r>
        <w:rPr>
          <w:rFonts w:hint="eastAsia"/>
        </w:rPr>
        <w:t>本授权书声明：我</w:t>
      </w:r>
      <w:r>
        <w:rPr>
          <w:rFonts w:hint="eastAsia"/>
          <w:u w:val="single"/>
        </w:rPr>
        <w:t xml:space="preserve"> </w:t>
      </w:r>
      <w:r>
        <w:rPr>
          <w:rFonts w:hint="eastAsia"/>
          <w:u w:val="single"/>
        </w:rPr>
        <w:tab/>
      </w:r>
      <w:r>
        <w:rPr>
          <w:rFonts w:hint="eastAsia"/>
          <w:u w:val="single"/>
        </w:rPr>
        <w:t>（姓名）</w:t>
      </w:r>
      <w:r>
        <w:rPr>
          <w:rFonts w:hint="eastAsia"/>
        </w:rPr>
        <w:t>系</w:t>
      </w:r>
      <w:r>
        <w:rPr>
          <w:rFonts w:hint="eastAsia"/>
          <w:u w:val="single"/>
        </w:rPr>
        <w:t xml:space="preserve"> </w:t>
      </w:r>
      <w:r>
        <w:rPr>
          <w:rFonts w:hint="eastAsia"/>
          <w:u w:val="single"/>
        </w:rPr>
        <w:tab/>
      </w:r>
      <w:r>
        <w:rPr>
          <w:rFonts w:hint="eastAsia"/>
          <w:u w:val="single"/>
        </w:rPr>
        <w:tab/>
      </w:r>
      <w:r>
        <w:rPr>
          <w:rFonts w:hint="eastAsia"/>
          <w:u w:val="single"/>
        </w:rPr>
        <w:t>（磋商单位）</w:t>
      </w:r>
      <w:r>
        <w:rPr>
          <w:rFonts w:hint="eastAsia"/>
        </w:rPr>
        <w:t>的法定代表人，现授权委托</w:t>
      </w:r>
      <w:r>
        <w:rPr>
          <w:rFonts w:hint="eastAsia"/>
          <w:u w:val="single"/>
        </w:rPr>
        <w:t xml:space="preserve"> </w:t>
      </w:r>
      <w:r>
        <w:rPr>
          <w:rFonts w:hint="eastAsia"/>
          <w:u w:val="single"/>
        </w:rPr>
        <w:tab/>
      </w:r>
      <w:r>
        <w:rPr>
          <w:rFonts w:hint="eastAsia"/>
          <w:u w:val="single"/>
          <w:lang w:val="en-US"/>
        </w:rPr>
        <w:t xml:space="preserve">    </w:t>
      </w:r>
      <w:r>
        <w:rPr>
          <w:rFonts w:hint="eastAsia"/>
          <w:u w:val="single"/>
        </w:rPr>
        <w:tab/>
      </w:r>
      <w:r>
        <w:rPr>
          <w:rFonts w:hint="eastAsia"/>
          <w:u w:val="single"/>
        </w:rPr>
        <w:t>（单位名称）</w:t>
      </w:r>
      <w:r>
        <w:rPr>
          <w:rFonts w:hint="eastAsia"/>
        </w:rPr>
        <w:t>的</w:t>
      </w:r>
      <w:r>
        <w:rPr>
          <w:rFonts w:hint="eastAsia"/>
          <w:u w:val="single"/>
        </w:rPr>
        <w:t xml:space="preserve"> </w:t>
      </w:r>
      <w:r>
        <w:rPr>
          <w:rFonts w:hint="eastAsia"/>
          <w:u w:val="single"/>
        </w:rPr>
        <w:tab/>
      </w:r>
      <w:r>
        <w:rPr>
          <w:rFonts w:hint="eastAsia"/>
          <w:u w:val="single"/>
          <w:lang w:val="en-US"/>
        </w:rPr>
        <w:t xml:space="preserve">  </w:t>
      </w:r>
      <w:r>
        <w:rPr>
          <w:rFonts w:hint="eastAsia"/>
          <w:u w:val="single"/>
        </w:rPr>
        <w:t>（姓名）</w:t>
      </w:r>
      <w:r>
        <w:rPr>
          <w:rFonts w:hint="eastAsia"/>
        </w:rPr>
        <w:t>为我公司签署</w:t>
      </w:r>
      <w:r>
        <w:rPr>
          <w:rFonts w:hint="eastAsia"/>
          <w:u w:val="single"/>
          <w:lang w:val="en-US"/>
        </w:rPr>
        <w:t xml:space="preserve">                    </w:t>
      </w:r>
      <w:r>
        <w:rPr>
          <w:rFonts w:hint="eastAsia"/>
          <w:u w:val="single"/>
        </w:rPr>
        <w:t>（项目名称）</w:t>
      </w:r>
      <w:r>
        <w:rPr>
          <w:rFonts w:hint="eastAsia"/>
        </w:rPr>
        <w:t>的法定代表人授权委托代理人，我承认代理人全权代表我所签署的本项目的响应文件的内容。</w:t>
      </w:r>
    </w:p>
    <w:p>
      <w:pPr>
        <w:pStyle w:val="7"/>
        <w:spacing w:line="480" w:lineRule="exact"/>
        <w:ind w:firstLine="480" w:firstLineChars="200"/>
        <w:jc w:val="both"/>
      </w:pPr>
    </w:p>
    <w:p>
      <w:pPr>
        <w:pStyle w:val="7"/>
        <w:spacing w:line="480" w:lineRule="exact"/>
        <w:ind w:firstLine="480" w:firstLineChars="200"/>
        <w:jc w:val="both"/>
      </w:pPr>
      <w:r>
        <w:rPr>
          <w:rFonts w:hint="eastAsia"/>
        </w:rPr>
        <w:t>代理人无转委托权，特此委托。</w:t>
      </w:r>
    </w:p>
    <w:p>
      <w:pPr>
        <w:pStyle w:val="7"/>
        <w:spacing w:line="480" w:lineRule="exact"/>
        <w:ind w:firstLine="480" w:firstLineChars="200"/>
        <w:jc w:val="both"/>
      </w:pPr>
    </w:p>
    <w:p>
      <w:pPr>
        <w:pStyle w:val="7"/>
        <w:tabs>
          <w:tab w:val="left" w:pos="2497"/>
          <w:tab w:val="left" w:pos="4416"/>
          <w:tab w:val="left" w:pos="5916"/>
          <w:tab w:val="left" w:pos="7236"/>
        </w:tabs>
        <w:spacing w:line="480" w:lineRule="exact"/>
        <w:ind w:firstLine="480" w:firstLineChars="200"/>
        <w:jc w:val="both"/>
      </w:pPr>
      <w:r>
        <w:rPr>
          <w:rFonts w:hint="eastAsia"/>
        </w:rPr>
        <w:t>代理人：</w:t>
      </w:r>
      <w:r>
        <w:rPr>
          <w:rFonts w:hint="eastAsia"/>
          <w:u w:val="single"/>
        </w:rPr>
        <w:t xml:space="preserve"> </w:t>
      </w:r>
      <w:r>
        <w:rPr>
          <w:rFonts w:hint="eastAsia"/>
          <w:u w:val="single"/>
        </w:rPr>
        <w:tab/>
      </w:r>
      <w:r>
        <w:rPr>
          <w:rFonts w:hint="eastAsia"/>
          <w:u w:val="single"/>
        </w:rPr>
        <w:t>（签字或盖章）</w:t>
      </w:r>
      <w:r>
        <w:rPr>
          <w:rFonts w:hint="eastAsia"/>
          <w:u w:val="single"/>
        </w:rPr>
        <w:tab/>
      </w:r>
      <w:r>
        <w:rPr>
          <w:rFonts w:hint="eastAsia"/>
        </w:rPr>
        <w:t>性别：</w:t>
      </w:r>
      <w:r>
        <w:rPr>
          <w:rFonts w:hint="eastAsia"/>
          <w:u w:val="single"/>
        </w:rPr>
        <w:t xml:space="preserve"> </w:t>
      </w:r>
      <w:r>
        <w:rPr>
          <w:rFonts w:hint="eastAsia"/>
          <w:u w:val="single"/>
        </w:rPr>
        <w:tab/>
      </w:r>
      <w:r>
        <w:rPr>
          <w:rFonts w:hint="eastAsia"/>
        </w:rPr>
        <w:t>年龄：</w:t>
      </w:r>
      <w:r>
        <w:rPr>
          <w:rFonts w:hint="eastAsia"/>
          <w:u w:val="single"/>
        </w:rPr>
        <w:t xml:space="preserve"> </w:t>
      </w:r>
      <w:r>
        <w:rPr>
          <w:rFonts w:hint="eastAsia"/>
          <w:u w:val="single"/>
        </w:rPr>
        <w:tab/>
      </w:r>
    </w:p>
    <w:p>
      <w:pPr>
        <w:pStyle w:val="7"/>
        <w:spacing w:line="480" w:lineRule="exact"/>
        <w:ind w:firstLine="480" w:firstLineChars="200"/>
        <w:jc w:val="both"/>
      </w:pPr>
    </w:p>
    <w:p>
      <w:pPr>
        <w:pStyle w:val="7"/>
        <w:tabs>
          <w:tab w:val="left" w:pos="5017"/>
          <w:tab w:val="left" w:pos="6516"/>
        </w:tabs>
        <w:spacing w:line="480" w:lineRule="exact"/>
        <w:ind w:firstLine="480" w:firstLineChars="200"/>
        <w:jc w:val="both"/>
        <w:rPr>
          <w:lang w:val="en-US"/>
        </w:rPr>
      </w:pPr>
      <w:r>
        <w:rPr>
          <w:rFonts w:hint="eastAsia"/>
        </w:rPr>
        <w:t>身份证号码：</w:t>
      </w:r>
      <w:r>
        <w:rPr>
          <w:rFonts w:hint="eastAsia"/>
          <w:u w:val="single"/>
        </w:rPr>
        <w:t xml:space="preserve"> </w:t>
      </w:r>
      <w:r>
        <w:rPr>
          <w:rFonts w:hint="eastAsia"/>
          <w:u w:val="single"/>
        </w:rPr>
        <w:tab/>
      </w:r>
      <w:r>
        <w:rPr>
          <w:rFonts w:hint="eastAsia"/>
          <w:u w:val="single"/>
          <w:lang w:val="en-US"/>
        </w:rPr>
        <w:t xml:space="preserve">  </w:t>
      </w:r>
      <w:r>
        <w:rPr>
          <w:rFonts w:hint="eastAsia"/>
        </w:rPr>
        <w:t xml:space="preserve">职务： </w:t>
      </w:r>
      <w:r>
        <w:rPr>
          <w:rFonts w:hint="eastAsia"/>
          <w:u w:val="single"/>
        </w:rPr>
        <w:t xml:space="preserve"> </w:t>
      </w:r>
      <w:r>
        <w:rPr>
          <w:rFonts w:hint="eastAsia"/>
          <w:u w:val="single"/>
        </w:rPr>
        <w:tab/>
      </w:r>
      <w:r>
        <w:rPr>
          <w:rFonts w:hint="eastAsia"/>
          <w:u w:val="single"/>
          <w:lang w:val="en-US"/>
        </w:rPr>
        <w:t xml:space="preserve">            </w:t>
      </w:r>
    </w:p>
    <w:p>
      <w:pPr>
        <w:pStyle w:val="7"/>
        <w:spacing w:line="480" w:lineRule="exact"/>
        <w:ind w:firstLine="480" w:firstLineChars="200"/>
        <w:jc w:val="both"/>
      </w:pPr>
    </w:p>
    <w:p>
      <w:pPr>
        <w:pStyle w:val="7"/>
        <w:tabs>
          <w:tab w:val="left" w:pos="6516"/>
        </w:tabs>
        <w:spacing w:line="480" w:lineRule="exact"/>
        <w:ind w:firstLine="480" w:firstLineChars="200"/>
        <w:jc w:val="both"/>
        <w:rPr>
          <w:lang w:val="en-US"/>
        </w:rPr>
      </w:pPr>
      <w:r>
        <w:rPr>
          <w:rFonts w:hint="eastAsia"/>
        </w:rPr>
        <w:t>供应商：（盖章）</w:t>
      </w:r>
      <w:r>
        <w:rPr>
          <w:rFonts w:hint="eastAsia"/>
          <w:u w:val="single"/>
        </w:rPr>
        <w:t xml:space="preserve"> </w:t>
      </w:r>
      <w:r>
        <w:rPr>
          <w:rFonts w:hint="eastAsia"/>
          <w:u w:val="single"/>
        </w:rPr>
        <w:tab/>
      </w:r>
    </w:p>
    <w:p>
      <w:pPr>
        <w:pStyle w:val="7"/>
        <w:spacing w:line="480" w:lineRule="exact"/>
        <w:ind w:firstLine="480" w:firstLineChars="200"/>
        <w:jc w:val="both"/>
      </w:pPr>
    </w:p>
    <w:p>
      <w:pPr>
        <w:pStyle w:val="7"/>
        <w:tabs>
          <w:tab w:val="left" w:pos="4777"/>
        </w:tabs>
        <w:spacing w:line="480" w:lineRule="exact"/>
        <w:ind w:firstLine="480" w:firstLineChars="200"/>
        <w:jc w:val="both"/>
      </w:pPr>
      <w:r>
        <w:rPr>
          <w:rFonts w:hint="eastAsia"/>
        </w:rPr>
        <w:t>法定代表人：</w:t>
      </w:r>
      <w:r>
        <w:rPr>
          <w:rFonts w:hint="eastAsia"/>
          <w:u w:val="single"/>
        </w:rPr>
        <w:t xml:space="preserve"> </w:t>
      </w:r>
      <w:r>
        <w:rPr>
          <w:rFonts w:hint="eastAsia"/>
          <w:u w:val="single"/>
        </w:rPr>
        <w:tab/>
      </w:r>
      <w:r>
        <w:rPr>
          <w:rFonts w:hint="eastAsia"/>
          <w:u w:val="single"/>
        </w:rPr>
        <w:t>（签字或盖章）</w:t>
      </w:r>
    </w:p>
    <w:p>
      <w:pPr>
        <w:pStyle w:val="7"/>
        <w:spacing w:line="480" w:lineRule="exact"/>
        <w:ind w:firstLine="480" w:firstLineChars="200"/>
        <w:jc w:val="both"/>
      </w:pPr>
    </w:p>
    <w:p>
      <w:pPr>
        <w:pStyle w:val="7"/>
        <w:tabs>
          <w:tab w:val="left" w:pos="3577"/>
          <w:tab w:val="left" w:pos="4897"/>
          <w:tab w:val="left" w:pos="5977"/>
        </w:tabs>
        <w:spacing w:line="480" w:lineRule="exact"/>
        <w:ind w:firstLine="480" w:firstLineChars="200"/>
        <w:jc w:val="both"/>
      </w:pPr>
      <w:r>
        <w:rPr>
          <w:rFonts w:hint="eastAsia"/>
        </w:rPr>
        <w:t>授权委托日期：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pStyle w:val="7"/>
        <w:spacing w:line="480" w:lineRule="exact"/>
        <w:ind w:firstLine="520" w:firstLineChars="200"/>
        <w:jc w:val="both"/>
        <w:rPr>
          <w:sz w:val="26"/>
        </w:rPr>
      </w:pPr>
    </w:p>
    <w:p>
      <w:pPr>
        <w:pStyle w:val="7"/>
        <w:spacing w:before="66"/>
        <w:jc w:val="both"/>
        <w:sectPr>
          <w:footerReference r:id="rId4" w:type="default"/>
          <w:pgSz w:w="11911" w:h="16838"/>
          <w:pgMar w:top="1440" w:right="1440" w:bottom="1440" w:left="1440" w:header="850" w:footer="850" w:gutter="0"/>
          <w:cols w:space="0" w:num="1"/>
        </w:sectPr>
      </w:pPr>
    </w:p>
    <w:p>
      <w:pPr>
        <w:spacing w:line="360" w:lineRule="auto"/>
        <w:jc w:val="both"/>
        <w:rPr>
          <w:sz w:val="24"/>
          <w:szCs w:val="24"/>
        </w:rPr>
      </w:pPr>
      <w:r>
        <w:rPr>
          <w:rFonts w:hint="eastAsia"/>
          <w:sz w:val="24"/>
          <w:szCs w:val="24"/>
        </w:rPr>
        <w:t>附件</w:t>
      </w:r>
      <w:r>
        <w:rPr>
          <w:rFonts w:hint="eastAsia"/>
          <w:sz w:val="24"/>
          <w:szCs w:val="24"/>
          <w:lang w:val="en-US"/>
        </w:rPr>
        <w:t>3</w:t>
      </w:r>
      <w:r>
        <w:rPr>
          <w:rFonts w:hint="eastAsia"/>
          <w:sz w:val="24"/>
          <w:szCs w:val="24"/>
        </w:rPr>
        <w:t>：</w:t>
      </w:r>
    </w:p>
    <w:p>
      <w:pPr>
        <w:pStyle w:val="5"/>
        <w:spacing w:line="360" w:lineRule="auto"/>
        <w:ind w:right="0"/>
      </w:pPr>
      <w:r>
        <w:rPr>
          <w:rFonts w:hint="eastAsia"/>
        </w:rPr>
        <w:t>东营市第二人民医院亚（准）定点医院及后备定点医院建设项目（第三批）磋商报价表（_</w:t>
      </w:r>
      <w:r>
        <w:t>___</w:t>
      </w:r>
      <w:r>
        <w:rPr>
          <w:rFonts w:hint="eastAsia"/>
        </w:rPr>
        <w:t>包）</w:t>
      </w:r>
    </w:p>
    <w:p>
      <w:pPr>
        <w:pStyle w:val="7"/>
        <w:tabs>
          <w:tab w:val="left" w:pos="1739"/>
          <w:tab w:val="left" w:pos="2219"/>
          <w:tab w:val="left" w:pos="12299"/>
        </w:tabs>
        <w:spacing w:before="3"/>
        <w:ind w:right="139"/>
        <w:jc w:val="center"/>
      </w:pPr>
    </w:p>
    <w:p>
      <w:pPr>
        <w:pStyle w:val="7"/>
        <w:tabs>
          <w:tab w:val="left" w:pos="1739"/>
          <w:tab w:val="left" w:pos="2219"/>
          <w:tab w:val="left" w:pos="12299"/>
        </w:tabs>
        <w:spacing w:before="3"/>
        <w:ind w:right="139"/>
        <w:jc w:val="center"/>
      </w:pPr>
      <w:r>
        <w:rPr>
          <w:rFonts w:hint="eastAsia"/>
        </w:rPr>
        <w:t>日期：</w:t>
      </w:r>
      <w:r>
        <w:rPr>
          <w:rFonts w:hint="eastAsia"/>
          <w:lang w:val="en-US"/>
        </w:rPr>
        <w:t>2022年</w:t>
      </w:r>
      <w:r>
        <w:rPr>
          <w:rFonts w:hint="eastAsia"/>
        </w:rPr>
        <w:tab/>
      </w:r>
      <w:r>
        <w:rPr>
          <w:rFonts w:hint="eastAsia"/>
        </w:rPr>
        <w:t>月</w:t>
      </w:r>
      <w:r>
        <w:rPr>
          <w:rFonts w:hint="eastAsia"/>
        </w:rPr>
        <w:tab/>
      </w:r>
      <w:r>
        <w:rPr>
          <w:rFonts w:hint="eastAsia"/>
        </w:rPr>
        <w:t>日</w:t>
      </w:r>
      <w:r>
        <w:rPr>
          <w:rFonts w:hint="eastAsia"/>
          <w:lang w:val="en-US"/>
        </w:rPr>
        <w:t xml:space="preserve">                                                         </w:t>
      </w:r>
      <w:r>
        <w:rPr>
          <w:rFonts w:hint="eastAsia"/>
        </w:rPr>
        <w:t>单位：元</w:t>
      </w:r>
    </w:p>
    <w:tbl>
      <w:tblPr>
        <w:tblStyle w:val="18"/>
        <w:tblpPr w:leftFromText="180" w:rightFromText="180" w:vertAnchor="text" w:horzAnchor="page" w:tblpX="1468" w:tblpY="530"/>
        <w:tblOverlap w:val="never"/>
        <w:tblW w:w="14677" w:type="dxa"/>
        <w:tblInd w:w="0" w:type="dxa"/>
        <w:tblLayout w:type="fixed"/>
        <w:tblCellMar>
          <w:top w:w="0" w:type="dxa"/>
          <w:left w:w="108" w:type="dxa"/>
          <w:bottom w:w="0" w:type="dxa"/>
          <w:right w:w="108" w:type="dxa"/>
        </w:tblCellMar>
      </w:tblPr>
      <w:tblGrid>
        <w:gridCol w:w="3349"/>
        <w:gridCol w:w="3090"/>
        <w:gridCol w:w="3090"/>
        <w:gridCol w:w="3090"/>
        <w:gridCol w:w="2058"/>
      </w:tblGrid>
      <w:tr>
        <w:tblPrEx>
          <w:tblCellMar>
            <w:top w:w="0" w:type="dxa"/>
            <w:left w:w="108" w:type="dxa"/>
            <w:bottom w:w="0" w:type="dxa"/>
            <w:right w:w="108" w:type="dxa"/>
          </w:tblCellMar>
        </w:tblPrEx>
        <w:trPr>
          <w:trHeight w:val="1427" w:hRule="atLeast"/>
        </w:trPr>
        <w:tc>
          <w:tcPr>
            <w:tcW w:w="3349" w:type="dxa"/>
            <w:tcBorders>
              <w:top w:val="single" w:color="auto" w:sz="4" w:space="0"/>
              <w:left w:val="single" w:color="auto" w:sz="8" w:space="0"/>
              <w:bottom w:val="single" w:color="000000" w:sz="4" w:space="0"/>
              <w:right w:val="single" w:color="auto" w:sz="4" w:space="0"/>
            </w:tcBorders>
            <w:vAlign w:val="center"/>
          </w:tcPr>
          <w:p>
            <w:pPr>
              <w:widowControl/>
              <w:spacing w:line="340" w:lineRule="exact"/>
              <w:jc w:val="center"/>
              <w:rPr>
                <w:rFonts w:ascii="仿宋_GB2312" w:eastAsia="仿宋_GB2312"/>
                <w:sz w:val="24"/>
              </w:rPr>
            </w:pPr>
            <w:r>
              <w:rPr>
                <w:rFonts w:hint="eastAsia" w:ascii="仿宋_GB2312" w:eastAsia="仿宋_GB2312"/>
                <w:sz w:val="24"/>
              </w:rPr>
              <w:t>项  目</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szCs w:val="21"/>
              </w:rPr>
            </w:pPr>
            <w:r>
              <w:rPr>
                <w:rFonts w:hint="eastAsia" w:ascii="仿宋_GB2312" w:eastAsia="仿宋_GB2312"/>
                <w:szCs w:val="21"/>
              </w:rPr>
              <w:t xml:space="preserve">磋商前基础报价（总价）  </w:t>
            </w:r>
          </w:p>
          <w:p>
            <w:pPr>
              <w:widowControl/>
              <w:spacing w:line="340" w:lineRule="exact"/>
              <w:jc w:val="center"/>
              <w:rPr>
                <w:rFonts w:ascii="仿宋_GB2312" w:eastAsia="仿宋_GB2312"/>
                <w:szCs w:val="21"/>
              </w:rPr>
            </w:pPr>
            <w:r>
              <w:rPr>
                <w:rFonts w:hint="eastAsia" w:ascii="仿宋_GB2312" w:eastAsia="仿宋_GB2312"/>
                <w:szCs w:val="21"/>
              </w:rPr>
              <w:t>（递交报价前填写、小写）</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szCs w:val="21"/>
              </w:rPr>
            </w:pPr>
            <w:r>
              <w:rPr>
                <w:rFonts w:hint="eastAsia" w:ascii="仿宋_GB2312" w:eastAsia="仿宋_GB2312"/>
                <w:szCs w:val="21"/>
                <w:lang w:val="en-US"/>
              </w:rPr>
              <w:t>磋商中</w:t>
            </w:r>
            <w:r>
              <w:rPr>
                <w:rFonts w:hint="eastAsia" w:ascii="仿宋_GB2312" w:eastAsia="仿宋_GB2312"/>
                <w:szCs w:val="21"/>
              </w:rPr>
              <w:t>报价（总价）</w:t>
            </w:r>
          </w:p>
          <w:p>
            <w:pPr>
              <w:widowControl/>
              <w:spacing w:line="340" w:lineRule="exact"/>
              <w:jc w:val="center"/>
              <w:rPr>
                <w:rFonts w:ascii="仿宋_GB2312" w:eastAsia="仿宋_GB2312"/>
                <w:szCs w:val="21"/>
              </w:rPr>
            </w:pPr>
            <w:r>
              <w:rPr>
                <w:rFonts w:hint="eastAsia" w:ascii="仿宋_GB2312" w:eastAsia="仿宋_GB2312"/>
                <w:szCs w:val="21"/>
              </w:rPr>
              <w:t>（磋商会议现场填写、小写）</w:t>
            </w:r>
          </w:p>
        </w:tc>
        <w:tc>
          <w:tcPr>
            <w:tcW w:w="3090" w:type="dxa"/>
            <w:tcBorders>
              <w:top w:val="single" w:color="auto" w:sz="4" w:space="0"/>
              <w:left w:val="single" w:color="auto" w:sz="4" w:space="0"/>
              <w:bottom w:val="single" w:color="auto" w:sz="4" w:space="0"/>
              <w:right w:val="single" w:color="auto" w:sz="8" w:space="0"/>
            </w:tcBorders>
            <w:vAlign w:val="center"/>
          </w:tcPr>
          <w:p>
            <w:pPr>
              <w:widowControl/>
              <w:spacing w:line="340" w:lineRule="exact"/>
              <w:jc w:val="center"/>
              <w:rPr>
                <w:rFonts w:ascii="仿宋_GB2312" w:eastAsia="仿宋_GB2312"/>
                <w:szCs w:val="21"/>
              </w:rPr>
            </w:pPr>
            <w:r>
              <w:rPr>
                <w:rFonts w:hint="eastAsia" w:ascii="仿宋_GB2312" w:eastAsia="仿宋_GB2312"/>
                <w:szCs w:val="21"/>
                <w:lang w:val="en-US"/>
              </w:rPr>
              <w:t>最终</w:t>
            </w:r>
            <w:r>
              <w:rPr>
                <w:rFonts w:hint="eastAsia" w:ascii="仿宋_GB2312" w:eastAsia="仿宋_GB2312"/>
                <w:szCs w:val="21"/>
              </w:rPr>
              <w:t>报价（总价）</w:t>
            </w:r>
          </w:p>
          <w:p>
            <w:pPr>
              <w:widowControl/>
              <w:spacing w:line="340" w:lineRule="exact"/>
              <w:jc w:val="center"/>
              <w:rPr>
                <w:rFonts w:ascii="仿宋_GB2312" w:eastAsia="仿宋_GB2312"/>
                <w:sz w:val="24"/>
              </w:rPr>
            </w:pPr>
            <w:r>
              <w:rPr>
                <w:rFonts w:hint="eastAsia" w:ascii="仿宋_GB2312" w:eastAsia="仿宋_GB2312"/>
                <w:szCs w:val="21"/>
              </w:rPr>
              <w:t>（磋商会议现场填写、小写）</w:t>
            </w:r>
          </w:p>
        </w:tc>
        <w:tc>
          <w:tcPr>
            <w:tcW w:w="2058" w:type="dxa"/>
            <w:tcBorders>
              <w:top w:val="single" w:color="auto" w:sz="4" w:space="0"/>
              <w:left w:val="single" w:color="auto" w:sz="4" w:space="0"/>
              <w:bottom w:val="single" w:color="auto" w:sz="4" w:space="0"/>
              <w:right w:val="single" w:color="auto" w:sz="8" w:space="0"/>
            </w:tcBorders>
            <w:vAlign w:val="center"/>
          </w:tcPr>
          <w:p>
            <w:pPr>
              <w:widowControl/>
              <w:spacing w:line="340" w:lineRule="exact"/>
              <w:jc w:val="center"/>
              <w:rPr>
                <w:rFonts w:ascii="仿宋_GB2312" w:eastAsia="仿宋_GB2312"/>
                <w:sz w:val="24"/>
                <w:szCs w:val="24"/>
                <w:lang w:val="en-US" w:bidi="ar-SA"/>
              </w:rPr>
            </w:pPr>
            <w:r>
              <w:rPr>
                <w:rFonts w:hint="eastAsia" w:ascii="仿宋_GB2312" w:eastAsia="仿宋_GB2312"/>
                <w:sz w:val="24"/>
              </w:rPr>
              <w:t>备 注</w:t>
            </w:r>
          </w:p>
        </w:tc>
      </w:tr>
      <w:tr>
        <w:tblPrEx>
          <w:tblCellMar>
            <w:top w:w="0" w:type="dxa"/>
            <w:left w:w="108" w:type="dxa"/>
            <w:bottom w:w="0" w:type="dxa"/>
            <w:right w:w="108" w:type="dxa"/>
          </w:tblCellMar>
        </w:tblPrEx>
        <w:trPr>
          <w:trHeight w:val="1371" w:hRule="atLeast"/>
        </w:trPr>
        <w:tc>
          <w:tcPr>
            <w:tcW w:w="3349" w:type="dxa"/>
            <w:tcBorders>
              <w:top w:val="single" w:color="000000" w:sz="4" w:space="0"/>
              <w:left w:val="single" w:color="auto" w:sz="8" w:space="0"/>
              <w:bottom w:val="single" w:color="auto" w:sz="4" w:space="0"/>
              <w:right w:val="single" w:color="auto" w:sz="4" w:space="0"/>
            </w:tcBorders>
            <w:vAlign w:val="center"/>
          </w:tcPr>
          <w:p>
            <w:pPr>
              <w:widowControl/>
              <w:spacing w:line="340" w:lineRule="exact"/>
              <w:jc w:val="center"/>
              <w:rPr>
                <w:rFonts w:ascii="仿宋_GB2312" w:eastAsia="仿宋_GB2312"/>
                <w:sz w:val="24"/>
              </w:rPr>
            </w:pPr>
            <w:r>
              <w:rPr>
                <w:rFonts w:hint="eastAsia" w:ascii="仿宋_GB2312" w:eastAsia="仿宋_GB2312"/>
                <w:sz w:val="24"/>
              </w:rPr>
              <w:t>东营市第二人民医院亚（准）定点医院及后备定点医院建设项目（第一批）</w:t>
            </w:r>
          </w:p>
        </w:tc>
        <w:tc>
          <w:tcPr>
            <w:tcW w:w="30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sz w:val="24"/>
              </w:rPr>
            </w:pPr>
            <w:r>
              <w:rPr>
                <w:rFonts w:hint="eastAsia" w:ascii="仿宋_GB2312" w:eastAsia="仿宋_GB2312"/>
                <w:sz w:val="24"/>
              </w:rPr>
              <w:t>　</w:t>
            </w:r>
          </w:p>
        </w:tc>
        <w:tc>
          <w:tcPr>
            <w:tcW w:w="30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sz w:val="24"/>
              </w:rPr>
            </w:pPr>
            <w:r>
              <w:rPr>
                <w:rFonts w:hint="eastAsia" w:ascii="仿宋_GB2312" w:eastAsia="仿宋_GB2312"/>
                <w:sz w:val="24"/>
              </w:rPr>
              <w:t>　</w:t>
            </w:r>
          </w:p>
          <w:p>
            <w:pPr>
              <w:widowControl/>
              <w:spacing w:line="340" w:lineRule="exact"/>
              <w:jc w:val="center"/>
              <w:rPr>
                <w:rFonts w:ascii="仿宋_GB2312" w:eastAsia="仿宋_GB2312"/>
                <w:sz w:val="24"/>
              </w:rPr>
            </w:pPr>
            <w:r>
              <w:rPr>
                <w:rFonts w:hint="eastAsia" w:ascii="仿宋_GB2312" w:eastAsia="仿宋_GB2312"/>
                <w:sz w:val="24"/>
              </w:rPr>
              <w:t>　</w:t>
            </w:r>
          </w:p>
        </w:tc>
        <w:tc>
          <w:tcPr>
            <w:tcW w:w="3090" w:type="dxa"/>
            <w:tcBorders>
              <w:top w:val="nil"/>
              <w:left w:val="single" w:color="auto" w:sz="4" w:space="0"/>
              <w:bottom w:val="single" w:color="auto" w:sz="4" w:space="0"/>
              <w:right w:val="single" w:color="auto" w:sz="8" w:space="0"/>
            </w:tcBorders>
            <w:vAlign w:val="center"/>
          </w:tcPr>
          <w:p>
            <w:pPr>
              <w:widowControl/>
              <w:spacing w:line="340" w:lineRule="exact"/>
              <w:jc w:val="center"/>
              <w:rPr>
                <w:rFonts w:ascii="仿宋_GB2312" w:eastAsia="仿宋_GB2312"/>
                <w:sz w:val="24"/>
              </w:rPr>
            </w:pPr>
          </w:p>
        </w:tc>
        <w:tc>
          <w:tcPr>
            <w:tcW w:w="2058" w:type="dxa"/>
            <w:tcBorders>
              <w:top w:val="nil"/>
              <w:left w:val="single" w:color="auto" w:sz="4" w:space="0"/>
              <w:bottom w:val="single" w:color="auto" w:sz="4" w:space="0"/>
              <w:right w:val="single" w:color="auto" w:sz="8" w:space="0"/>
            </w:tcBorders>
            <w:vAlign w:val="center"/>
          </w:tcPr>
          <w:p>
            <w:pPr>
              <w:widowControl/>
              <w:spacing w:line="340" w:lineRule="exact"/>
              <w:jc w:val="center"/>
              <w:rPr>
                <w:rFonts w:ascii="仿宋_GB2312" w:eastAsia="仿宋_GB2312"/>
                <w:sz w:val="24"/>
                <w:szCs w:val="24"/>
                <w:lang w:val="en-US" w:bidi="ar-SA"/>
              </w:rPr>
            </w:pPr>
            <w:r>
              <w:rPr>
                <w:rFonts w:hint="eastAsia" w:ascii="仿宋_GB2312" w:eastAsia="仿宋_GB2312"/>
                <w:sz w:val="24"/>
              </w:rPr>
              <w:t>需提供主要耗材及易损件价格　</w:t>
            </w:r>
          </w:p>
        </w:tc>
      </w:tr>
      <w:tr>
        <w:tblPrEx>
          <w:tblCellMar>
            <w:top w:w="0" w:type="dxa"/>
            <w:left w:w="108" w:type="dxa"/>
            <w:bottom w:w="0" w:type="dxa"/>
            <w:right w:w="108" w:type="dxa"/>
          </w:tblCellMar>
        </w:tblPrEx>
        <w:trPr>
          <w:trHeight w:val="1102" w:hRule="atLeast"/>
        </w:trPr>
        <w:tc>
          <w:tcPr>
            <w:tcW w:w="3349" w:type="dxa"/>
            <w:tcBorders>
              <w:top w:val="single" w:color="auto" w:sz="4" w:space="0"/>
              <w:left w:val="single" w:color="auto" w:sz="8" w:space="0"/>
              <w:bottom w:val="single" w:color="auto" w:sz="4" w:space="0"/>
              <w:right w:val="single" w:color="auto" w:sz="4" w:space="0"/>
            </w:tcBorders>
            <w:vAlign w:val="center"/>
          </w:tcPr>
          <w:p>
            <w:pPr>
              <w:widowControl/>
              <w:spacing w:line="340" w:lineRule="exact"/>
              <w:jc w:val="center"/>
              <w:rPr>
                <w:rFonts w:ascii="仿宋_GB2312" w:eastAsia="仿宋_GB2312"/>
                <w:b/>
                <w:bCs/>
                <w:sz w:val="24"/>
              </w:rPr>
            </w:pPr>
            <w:r>
              <w:rPr>
                <w:rFonts w:hint="eastAsia" w:ascii="仿宋_GB2312" w:eastAsia="仿宋_GB2312"/>
                <w:b/>
                <w:bCs/>
                <w:sz w:val="24"/>
              </w:rPr>
              <w:t>最终报价人民币大写（总价）</w:t>
            </w:r>
          </w:p>
        </w:tc>
        <w:tc>
          <w:tcPr>
            <w:tcW w:w="9270" w:type="dxa"/>
            <w:gridSpan w:val="3"/>
            <w:tcBorders>
              <w:top w:val="nil"/>
              <w:left w:val="nil"/>
              <w:bottom w:val="single" w:color="auto" w:sz="4" w:space="0"/>
              <w:right w:val="single" w:color="auto" w:sz="4" w:space="0"/>
            </w:tcBorders>
            <w:vAlign w:val="center"/>
          </w:tcPr>
          <w:p>
            <w:pPr>
              <w:widowControl/>
              <w:spacing w:line="340" w:lineRule="exact"/>
              <w:rPr>
                <w:rFonts w:ascii="仿宋_GB2312" w:eastAsia="仿宋_GB2312"/>
                <w:b/>
                <w:bCs/>
                <w:sz w:val="32"/>
                <w:szCs w:val="32"/>
              </w:rPr>
            </w:pPr>
          </w:p>
        </w:tc>
        <w:tc>
          <w:tcPr>
            <w:tcW w:w="2058" w:type="dxa"/>
            <w:tcBorders>
              <w:top w:val="nil"/>
              <w:left w:val="nil"/>
              <w:bottom w:val="single" w:color="auto" w:sz="4" w:space="0"/>
              <w:right w:val="single" w:color="auto" w:sz="4" w:space="0"/>
            </w:tcBorders>
            <w:vAlign w:val="center"/>
          </w:tcPr>
          <w:p>
            <w:pPr>
              <w:widowControl/>
              <w:spacing w:line="340" w:lineRule="exact"/>
              <w:rPr>
                <w:rFonts w:ascii="仿宋_GB2312" w:eastAsia="仿宋_GB2312"/>
                <w:b/>
                <w:bCs/>
                <w:sz w:val="32"/>
                <w:szCs w:val="32"/>
              </w:rPr>
            </w:pPr>
          </w:p>
        </w:tc>
      </w:tr>
      <w:tr>
        <w:tblPrEx>
          <w:tblCellMar>
            <w:top w:w="0" w:type="dxa"/>
            <w:left w:w="108" w:type="dxa"/>
            <w:bottom w:w="0" w:type="dxa"/>
            <w:right w:w="108" w:type="dxa"/>
          </w:tblCellMar>
        </w:tblPrEx>
        <w:trPr>
          <w:trHeight w:val="1135" w:hRule="atLeast"/>
        </w:trPr>
        <w:tc>
          <w:tcPr>
            <w:tcW w:w="3349" w:type="dxa"/>
            <w:tcBorders>
              <w:top w:val="single" w:color="auto" w:sz="4" w:space="0"/>
              <w:left w:val="single" w:color="auto" w:sz="8" w:space="0"/>
              <w:bottom w:val="single" w:color="000000" w:sz="8" w:space="0"/>
              <w:right w:val="single" w:color="auto" w:sz="4" w:space="0"/>
            </w:tcBorders>
            <w:vAlign w:val="center"/>
          </w:tcPr>
          <w:p>
            <w:pPr>
              <w:widowControl/>
              <w:spacing w:line="340" w:lineRule="exact"/>
              <w:jc w:val="center"/>
              <w:rPr>
                <w:rFonts w:ascii="仿宋_GB2312" w:eastAsia="仿宋_GB2312"/>
                <w:sz w:val="24"/>
              </w:rPr>
            </w:pPr>
            <w:r>
              <w:rPr>
                <w:rFonts w:hint="eastAsia" w:ascii="仿宋_GB2312" w:eastAsia="仿宋_GB2312"/>
                <w:sz w:val="24"/>
              </w:rPr>
              <w:t>项目完成时间的承诺</w:t>
            </w:r>
          </w:p>
        </w:tc>
        <w:tc>
          <w:tcPr>
            <w:tcW w:w="9270" w:type="dxa"/>
            <w:gridSpan w:val="3"/>
            <w:tcBorders>
              <w:top w:val="nil"/>
              <w:left w:val="nil"/>
              <w:bottom w:val="single" w:color="auto" w:sz="4" w:space="0"/>
              <w:right w:val="single" w:color="000000" w:sz="8" w:space="0"/>
            </w:tcBorders>
            <w:vAlign w:val="center"/>
          </w:tcPr>
          <w:p>
            <w:pPr>
              <w:widowControl/>
              <w:spacing w:line="340" w:lineRule="exact"/>
              <w:rPr>
                <w:rFonts w:ascii="仿宋_GB2312" w:eastAsia="仿宋_GB2312"/>
                <w:b/>
                <w:bCs/>
                <w:sz w:val="32"/>
                <w:szCs w:val="32"/>
              </w:rPr>
            </w:pPr>
            <w:r>
              <w:rPr>
                <w:rFonts w:hint="eastAsia" w:ascii="仿宋_GB2312" w:eastAsia="仿宋_GB2312"/>
                <w:b/>
                <w:bCs/>
                <w:sz w:val="32"/>
                <w:szCs w:val="32"/>
              </w:rPr>
              <w:t>　</w:t>
            </w:r>
          </w:p>
        </w:tc>
        <w:tc>
          <w:tcPr>
            <w:tcW w:w="2058" w:type="dxa"/>
            <w:tcBorders>
              <w:top w:val="nil"/>
              <w:left w:val="nil"/>
              <w:bottom w:val="single" w:color="auto" w:sz="4" w:space="0"/>
              <w:right w:val="single" w:color="000000" w:sz="8" w:space="0"/>
            </w:tcBorders>
            <w:vAlign w:val="center"/>
          </w:tcPr>
          <w:p>
            <w:pPr>
              <w:widowControl/>
              <w:spacing w:line="340" w:lineRule="exact"/>
              <w:rPr>
                <w:rFonts w:ascii="仿宋_GB2312" w:eastAsia="仿宋_GB2312"/>
                <w:b/>
                <w:bCs/>
                <w:sz w:val="32"/>
                <w:szCs w:val="32"/>
              </w:rPr>
            </w:pPr>
          </w:p>
        </w:tc>
      </w:tr>
    </w:tbl>
    <w:p>
      <w:pPr>
        <w:pStyle w:val="7"/>
        <w:spacing w:before="6"/>
        <w:rPr>
          <w:sz w:val="12"/>
        </w:rPr>
      </w:pPr>
    </w:p>
    <w:p>
      <w:pPr>
        <w:pStyle w:val="7"/>
        <w:tabs>
          <w:tab w:val="left" w:pos="5739"/>
        </w:tabs>
        <w:spacing w:line="440" w:lineRule="exact"/>
        <w:ind w:firstLine="422" w:firstLineChars="200"/>
        <w:jc w:val="both"/>
        <w:rPr>
          <w:b/>
          <w:bCs/>
          <w:sz w:val="21"/>
          <w:szCs w:val="21"/>
        </w:rPr>
      </w:pPr>
      <w:r>
        <w:rPr>
          <w:rFonts w:hint="eastAsia"/>
          <w:b/>
          <w:bCs/>
          <w:sz w:val="21"/>
          <w:szCs w:val="21"/>
        </w:rPr>
        <w:t>注：供应商的后一轮报价不能高于前一轮报价，否则，按照放弃磋商资格处理；磋商报价表按本格式另行准备一式五份，单独密封，以备磋商使用。</w:t>
      </w:r>
    </w:p>
    <w:p>
      <w:pPr>
        <w:pStyle w:val="7"/>
        <w:tabs>
          <w:tab w:val="left" w:pos="5739"/>
        </w:tabs>
        <w:spacing w:before="160"/>
        <w:ind w:left="220"/>
      </w:pPr>
    </w:p>
    <w:p>
      <w:pPr>
        <w:pStyle w:val="7"/>
        <w:tabs>
          <w:tab w:val="left" w:pos="5739"/>
        </w:tabs>
        <w:spacing w:before="160"/>
        <w:ind w:left="220"/>
        <w:rPr>
          <w:sz w:val="20"/>
        </w:rPr>
      </w:pPr>
      <w:r>
        <w:rPr>
          <w:rFonts w:hint="eastAsia"/>
        </w:rPr>
        <w:t>供应商名称（盖章）：</w:t>
      </w:r>
      <w:r>
        <w:rPr>
          <w:rFonts w:hint="eastAsia"/>
        </w:rPr>
        <w:tab/>
      </w:r>
      <w:r>
        <w:rPr>
          <w:rFonts w:hint="eastAsia"/>
          <w:lang w:val="en-US"/>
        </w:rPr>
        <w:t xml:space="preserve">         </w:t>
      </w:r>
      <w:r>
        <w:rPr>
          <w:rFonts w:hint="eastAsia"/>
        </w:rPr>
        <w:t>法定代表人或其授权代表（签字或印章）：</w:t>
      </w:r>
    </w:p>
    <w:p/>
    <w:p>
      <w:pPr>
        <w:sectPr>
          <w:footerReference r:id="rId5" w:type="default"/>
          <w:pgSz w:w="16838" w:h="11911" w:orient="landscape"/>
          <w:pgMar w:top="1440" w:right="1440" w:bottom="1440" w:left="1440" w:header="850" w:footer="850" w:gutter="0"/>
          <w:cols w:space="0" w:num="1"/>
        </w:sectPr>
      </w:pPr>
    </w:p>
    <w:p>
      <w:pPr>
        <w:spacing w:line="360" w:lineRule="auto"/>
        <w:jc w:val="both"/>
        <w:rPr>
          <w:sz w:val="24"/>
          <w:szCs w:val="24"/>
        </w:rPr>
      </w:pPr>
      <w:r>
        <w:rPr>
          <w:rFonts w:hint="eastAsia"/>
          <w:sz w:val="24"/>
          <w:szCs w:val="24"/>
        </w:rPr>
        <w:t>附件</w:t>
      </w:r>
      <w:r>
        <w:rPr>
          <w:rFonts w:hint="eastAsia"/>
          <w:sz w:val="24"/>
          <w:szCs w:val="24"/>
          <w:lang w:val="en-US"/>
        </w:rPr>
        <w:t>4</w:t>
      </w:r>
      <w:r>
        <w:rPr>
          <w:rFonts w:hint="eastAsia"/>
          <w:sz w:val="24"/>
          <w:szCs w:val="24"/>
        </w:rPr>
        <w:t>：</w:t>
      </w:r>
    </w:p>
    <w:p>
      <w:pPr>
        <w:spacing w:line="360" w:lineRule="auto"/>
        <w:jc w:val="center"/>
        <w:rPr>
          <w:b/>
          <w:sz w:val="28"/>
          <w:szCs w:val="28"/>
        </w:rPr>
      </w:pPr>
      <w:r>
        <w:rPr>
          <w:rFonts w:hint="eastAsia"/>
          <w:b/>
          <w:sz w:val="28"/>
          <w:szCs w:val="28"/>
        </w:rPr>
        <w:t>东营市第二人民医院亚（准）定点医院及后备定点医院建设项目（第三批）主要耗材及易损件价格报价表（____包）</w:t>
      </w:r>
    </w:p>
    <w:tbl>
      <w:tblPr>
        <w:tblStyle w:val="1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83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jc w:val="center"/>
        </w:trPr>
        <w:tc>
          <w:tcPr>
            <w:tcW w:w="3261" w:type="dxa"/>
            <w:vAlign w:val="center"/>
          </w:tcPr>
          <w:p>
            <w:pPr>
              <w:spacing w:line="360" w:lineRule="auto"/>
              <w:jc w:val="center"/>
              <w:rPr>
                <w:rFonts w:ascii="仿宋_GB2312" w:hAnsi="仿宋_GB2312" w:cs="仿宋_GB2312"/>
                <w:sz w:val="28"/>
                <w:szCs w:val="28"/>
              </w:rPr>
            </w:pPr>
            <w:r>
              <w:rPr>
                <w:rFonts w:hint="eastAsia" w:ascii="仿宋_GB2312" w:hAnsi="仿宋_GB2312" w:cs="仿宋_GB2312"/>
                <w:sz w:val="28"/>
                <w:szCs w:val="28"/>
              </w:rPr>
              <w:t>主要耗材及易损件名称</w:t>
            </w:r>
          </w:p>
        </w:tc>
        <w:tc>
          <w:tcPr>
            <w:tcW w:w="2835" w:type="dxa"/>
            <w:vAlign w:val="center"/>
          </w:tcPr>
          <w:p>
            <w:pPr>
              <w:spacing w:line="360" w:lineRule="auto"/>
              <w:jc w:val="center"/>
              <w:rPr>
                <w:rFonts w:ascii="仿宋_GB2312" w:hAnsi="仿宋_GB2312" w:cs="仿宋_GB2312"/>
                <w:sz w:val="28"/>
                <w:szCs w:val="28"/>
              </w:rPr>
            </w:pPr>
            <w:r>
              <w:rPr>
                <w:rFonts w:hint="eastAsia" w:ascii="仿宋_GB2312" w:hAnsi="仿宋_GB2312" w:cs="仿宋_GB2312"/>
                <w:sz w:val="28"/>
                <w:szCs w:val="28"/>
              </w:rPr>
              <w:t>参数、型号</w:t>
            </w:r>
          </w:p>
        </w:tc>
        <w:tc>
          <w:tcPr>
            <w:tcW w:w="3260" w:type="dxa"/>
            <w:vAlign w:val="center"/>
          </w:tcPr>
          <w:p>
            <w:pPr>
              <w:spacing w:line="360" w:lineRule="auto"/>
              <w:jc w:val="center"/>
              <w:rPr>
                <w:rFonts w:ascii="仿宋_GB2312" w:hAnsi="仿宋_GB2312" w:cs="仿宋_GB2312"/>
                <w:sz w:val="28"/>
                <w:szCs w:val="28"/>
              </w:rPr>
            </w:pPr>
            <w:r>
              <w:rPr>
                <w:rFonts w:hint="eastAsia" w:ascii="仿宋_GB2312" w:hAnsi="仿宋_GB2312" w:cs="仿宋_GB2312"/>
                <w:sz w:val="28"/>
                <w:szCs w:val="28"/>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261" w:type="dxa"/>
            <w:vAlign w:val="center"/>
          </w:tcPr>
          <w:p>
            <w:pPr>
              <w:spacing w:line="360" w:lineRule="auto"/>
              <w:rPr>
                <w:rFonts w:ascii="仿宋_GB2312" w:hAnsi="仿宋_GB2312" w:cs="仿宋_GB2312"/>
                <w:sz w:val="28"/>
                <w:szCs w:val="28"/>
              </w:rPr>
            </w:pPr>
          </w:p>
        </w:tc>
        <w:tc>
          <w:tcPr>
            <w:tcW w:w="2835" w:type="dxa"/>
            <w:vAlign w:val="center"/>
          </w:tcPr>
          <w:p>
            <w:pPr>
              <w:spacing w:line="360" w:lineRule="auto"/>
              <w:rPr>
                <w:rFonts w:ascii="仿宋_GB2312" w:hAnsi="仿宋_GB2312" w:cs="仿宋_GB2312"/>
                <w:sz w:val="28"/>
                <w:szCs w:val="28"/>
              </w:rPr>
            </w:pPr>
          </w:p>
        </w:tc>
        <w:tc>
          <w:tcPr>
            <w:tcW w:w="3260" w:type="dxa"/>
            <w:vAlign w:val="center"/>
          </w:tcPr>
          <w:p>
            <w:pPr>
              <w:spacing w:line="360" w:lineRule="auto"/>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261" w:type="dxa"/>
            <w:vAlign w:val="center"/>
          </w:tcPr>
          <w:p>
            <w:pPr>
              <w:spacing w:line="360" w:lineRule="auto"/>
              <w:rPr>
                <w:rFonts w:ascii="仿宋_GB2312" w:hAnsi="仿宋_GB2312" w:cs="仿宋_GB2312"/>
                <w:sz w:val="28"/>
                <w:szCs w:val="28"/>
              </w:rPr>
            </w:pPr>
          </w:p>
        </w:tc>
        <w:tc>
          <w:tcPr>
            <w:tcW w:w="2835" w:type="dxa"/>
            <w:vAlign w:val="center"/>
          </w:tcPr>
          <w:p>
            <w:pPr>
              <w:spacing w:line="360" w:lineRule="auto"/>
              <w:rPr>
                <w:rFonts w:ascii="仿宋_GB2312" w:hAnsi="仿宋_GB2312" w:cs="仿宋_GB2312"/>
                <w:sz w:val="28"/>
                <w:szCs w:val="28"/>
              </w:rPr>
            </w:pPr>
          </w:p>
        </w:tc>
        <w:tc>
          <w:tcPr>
            <w:tcW w:w="3260" w:type="dxa"/>
            <w:vAlign w:val="center"/>
          </w:tcPr>
          <w:p>
            <w:pPr>
              <w:spacing w:line="360" w:lineRule="auto"/>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261" w:type="dxa"/>
            <w:vAlign w:val="center"/>
          </w:tcPr>
          <w:p>
            <w:pPr>
              <w:spacing w:line="360" w:lineRule="auto"/>
              <w:rPr>
                <w:rFonts w:ascii="仿宋_GB2312" w:hAnsi="仿宋_GB2312" w:cs="仿宋_GB2312"/>
                <w:sz w:val="28"/>
                <w:szCs w:val="28"/>
              </w:rPr>
            </w:pPr>
          </w:p>
        </w:tc>
        <w:tc>
          <w:tcPr>
            <w:tcW w:w="2835" w:type="dxa"/>
            <w:vAlign w:val="center"/>
          </w:tcPr>
          <w:p>
            <w:pPr>
              <w:spacing w:line="360" w:lineRule="auto"/>
              <w:rPr>
                <w:rFonts w:ascii="仿宋_GB2312" w:hAnsi="仿宋_GB2312" w:cs="仿宋_GB2312"/>
                <w:sz w:val="28"/>
                <w:szCs w:val="28"/>
              </w:rPr>
            </w:pPr>
          </w:p>
        </w:tc>
        <w:tc>
          <w:tcPr>
            <w:tcW w:w="3260" w:type="dxa"/>
            <w:vAlign w:val="center"/>
          </w:tcPr>
          <w:p>
            <w:pPr>
              <w:spacing w:line="360" w:lineRule="auto"/>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261" w:type="dxa"/>
            <w:vAlign w:val="center"/>
          </w:tcPr>
          <w:p>
            <w:pPr>
              <w:spacing w:line="360" w:lineRule="auto"/>
              <w:rPr>
                <w:rFonts w:ascii="仿宋_GB2312" w:hAnsi="仿宋_GB2312" w:cs="仿宋_GB2312"/>
                <w:sz w:val="28"/>
                <w:szCs w:val="28"/>
              </w:rPr>
            </w:pPr>
          </w:p>
        </w:tc>
        <w:tc>
          <w:tcPr>
            <w:tcW w:w="2835" w:type="dxa"/>
            <w:vAlign w:val="center"/>
          </w:tcPr>
          <w:p>
            <w:pPr>
              <w:spacing w:line="360" w:lineRule="auto"/>
              <w:rPr>
                <w:rFonts w:ascii="仿宋_GB2312" w:hAnsi="仿宋_GB2312" w:cs="仿宋_GB2312"/>
                <w:sz w:val="28"/>
                <w:szCs w:val="28"/>
              </w:rPr>
            </w:pPr>
          </w:p>
        </w:tc>
        <w:tc>
          <w:tcPr>
            <w:tcW w:w="3260" w:type="dxa"/>
            <w:vAlign w:val="center"/>
          </w:tcPr>
          <w:p>
            <w:pPr>
              <w:spacing w:line="360" w:lineRule="auto"/>
              <w:jc w:val="center"/>
              <w:rPr>
                <w:rFonts w:ascii="仿宋_GB2312" w:hAnsi="仿宋_GB2312" w:cs="仿宋_GB2312"/>
                <w:sz w:val="28"/>
                <w:szCs w:val="28"/>
              </w:rPr>
            </w:pPr>
          </w:p>
        </w:tc>
      </w:tr>
    </w:tbl>
    <w:p>
      <w:pPr>
        <w:spacing w:line="360" w:lineRule="auto"/>
        <w:rPr>
          <w:rFonts w:ascii="仿宋_GB2312" w:hAnsi="仿宋_GB2312" w:cs="仿宋_GB2312"/>
          <w:b/>
          <w:sz w:val="24"/>
        </w:rPr>
      </w:pPr>
    </w:p>
    <w:p>
      <w:pPr>
        <w:spacing w:line="360" w:lineRule="auto"/>
        <w:rPr>
          <w:rFonts w:ascii="仿宋_GB2312" w:hAnsi="仿宋_GB2312" w:cs="仿宋_GB2312"/>
          <w:b/>
          <w:sz w:val="24"/>
        </w:rPr>
      </w:pPr>
      <w:r>
        <w:rPr>
          <w:rFonts w:hint="eastAsia" w:ascii="仿宋_GB2312" w:hAnsi="仿宋_GB2312" w:cs="仿宋_GB2312"/>
          <w:b/>
          <w:sz w:val="24"/>
        </w:rPr>
        <w:t>本表填写完加盖供应商公章，同时由法定代表人或授权委托人签字（或印鉴）。</w:t>
      </w:r>
    </w:p>
    <w:p>
      <w:pPr>
        <w:pStyle w:val="29"/>
        <w:ind w:left="1320"/>
        <w:rPr>
          <w:color w:val="auto"/>
        </w:rPr>
      </w:pPr>
    </w:p>
    <w:p>
      <w:pPr>
        <w:spacing w:line="360" w:lineRule="auto"/>
        <w:rPr>
          <w:rFonts w:ascii="仿宋_GB2312" w:hAnsi="仿宋_GB2312" w:cs="仿宋_GB2312"/>
          <w:sz w:val="28"/>
          <w:szCs w:val="28"/>
        </w:rPr>
      </w:pPr>
      <w:r>
        <w:rPr>
          <w:rFonts w:hint="eastAsia" w:ascii="仿宋_GB2312" w:hAnsi="仿宋_GB2312" w:cs="仿宋_GB2312"/>
          <w:sz w:val="28"/>
          <w:szCs w:val="28"/>
        </w:rPr>
        <w:t xml:space="preserve">供应商名称（盖章）：      </w:t>
      </w:r>
    </w:p>
    <w:p>
      <w:pPr>
        <w:spacing w:line="360" w:lineRule="auto"/>
        <w:rPr>
          <w:rFonts w:ascii="仿宋_GB2312" w:hAnsi="仿宋_GB2312" w:cs="仿宋_GB2312"/>
          <w:sz w:val="28"/>
          <w:szCs w:val="28"/>
        </w:rPr>
      </w:pPr>
    </w:p>
    <w:p>
      <w:pPr>
        <w:spacing w:line="360" w:lineRule="auto"/>
        <w:rPr>
          <w:rFonts w:ascii="仿宋_GB2312" w:hAnsi="仿宋_GB2312" w:cs="仿宋_GB2312"/>
          <w:sz w:val="28"/>
          <w:szCs w:val="28"/>
        </w:rPr>
      </w:pPr>
      <w:r>
        <w:rPr>
          <w:rFonts w:hint="eastAsia" w:ascii="仿宋_GB2312" w:hAnsi="仿宋_GB2312" w:cs="仿宋_GB2312"/>
          <w:sz w:val="28"/>
          <w:szCs w:val="28"/>
        </w:rPr>
        <w:t>法定代表人或授权委托代理人印鉴（或签字）：</w:t>
      </w:r>
    </w:p>
    <w:p>
      <w:pPr>
        <w:rPr>
          <w:rFonts w:ascii="仿宋_GB2312" w:hAnsi="仿宋_GB2312" w:cs="仿宋_GB2312"/>
        </w:rPr>
      </w:pPr>
    </w:p>
    <w:p>
      <w:pPr>
        <w:wordWrap w:val="0"/>
        <w:jc w:val="right"/>
        <w:rPr>
          <w:rFonts w:ascii="仿宋_GB2312" w:hAnsi="仿宋_GB2312" w:cs="仿宋_GB2312"/>
          <w:sz w:val="28"/>
          <w:szCs w:val="28"/>
        </w:rPr>
      </w:pPr>
      <w:r>
        <w:rPr>
          <w:rFonts w:hint="eastAsia" w:ascii="仿宋_GB2312" w:hAnsi="仿宋_GB2312" w:cs="仿宋_GB2312"/>
          <w:sz w:val="28"/>
          <w:szCs w:val="28"/>
        </w:rPr>
        <w:t>日期：  年   月   日</w:t>
      </w:r>
    </w:p>
    <w:p>
      <w:pPr>
        <w:pStyle w:val="7"/>
        <w:spacing w:line="480" w:lineRule="exact"/>
        <w:jc w:val="both"/>
      </w:pPr>
    </w:p>
    <w:p>
      <w:pPr>
        <w:pStyle w:val="7"/>
        <w:spacing w:line="480" w:lineRule="exact"/>
        <w:jc w:val="both"/>
      </w:pPr>
    </w:p>
    <w:p>
      <w:pPr>
        <w:pStyle w:val="7"/>
        <w:spacing w:line="480" w:lineRule="exact"/>
        <w:jc w:val="both"/>
      </w:pPr>
    </w:p>
    <w:p>
      <w:pPr>
        <w:pStyle w:val="7"/>
        <w:spacing w:line="480" w:lineRule="exact"/>
        <w:jc w:val="both"/>
      </w:pPr>
    </w:p>
    <w:p>
      <w:pPr>
        <w:pStyle w:val="7"/>
        <w:spacing w:line="480" w:lineRule="exact"/>
        <w:jc w:val="both"/>
      </w:pPr>
    </w:p>
    <w:p>
      <w:pPr>
        <w:pStyle w:val="7"/>
        <w:spacing w:line="480" w:lineRule="exact"/>
        <w:jc w:val="both"/>
      </w:pPr>
    </w:p>
    <w:p>
      <w:pPr>
        <w:pStyle w:val="7"/>
        <w:spacing w:line="480" w:lineRule="exact"/>
        <w:jc w:val="both"/>
      </w:pPr>
    </w:p>
    <w:p>
      <w:pPr>
        <w:pStyle w:val="7"/>
        <w:spacing w:line="480" w:lineRule="exact"/>
        <w:jc w:val="both"/>
      </w:pPr>
    </w:p>
    <w:p>
      <w:pPr>
        <w:rPr>
          <w:sz w:val="24"/>
          <w:szCs w:val="24"/>
        </w:rPr>
      </w:pPr>
      <w:r>
        <w:rPr>
          <w:rFonts w:hint="eastAsia"/>
          <w:sz w:val="24"/>
          <w:szCs w:val="24"/>
        </w:rPr>
        <w:br w:type="page"/>
      </w:r>
    </w:p>
    <w:p>
      <w:pPr>
        <w:spacing w:line="360" w:lineRule="auto"/>
        <w:jc w:val="both"/>
        <w:rPr>
          <w:sz w:val="24"/>
          <w:szCs w:val="24"/>
        </w:rPr>
      </w:pPr>
      <w:r>
        <w:rPr>
          <w:rFonts w:hint="eastAsia"/>
          <w:sz w:val="24"/>
          <w:szCs w:val="24"/>
        </w:rPr>
        <w:t>附件</w:t>
      </w:r>
      <w:r>
        <w:rPr>
          <w:rFonts w:hint="eastAsia"/>
          <w:sz w:val="24"/>
          <w:szCs w:val="24"/>
          <w:lang w:val="en-US"/>
        </w:rPr>
        <w:t>5</w:t>
      </w:r>
      <w:r>
        <w:rPr>
          <w:rFonts w:hint="eastAsia"/>
          <w:sz w:val="24"/>
          <w:szCs w:val="24"/>
        </w:rPr>
        <w:t>：</w:t>
      </w:r>
    </w:p>
    <w:p>
      <w:pPr>
        <w:pStyle w:val="7"/>
        <w:spacing w:before="12"/>
        <w:rPr>
          <w:sz w:val="16"/>
        </w:rPr>
      </w:pPr>
    </w:p>
    <w:p>
      <w:pPr>
        <w:pStyle w:val="5"/>
        <w:spacing w:line="360" w:lineRule="auto"/>
        <w:ind w:right="0"/>
      </w:pPr>
      <w:r>
        <w:rPr>
          <w:rFonts w:hint="eastAsia"/>
        </w:rPr>
        <w:t>东营市第二人民医院亚（准）定点医院及后备定点医院建设项目（第三批）</w:t>
      </w:r>
    </w:p>
    <w:p>
      <w:pPr>
        <w:pStyle w:val="5"/>
        <w:spacing w:line="360" w:lineRule="auto"/>
        <w:ind w:right="0"/>
        <w:rPr>
          <w:lang w:val="en-US"/>
        </w:rPr>
      </w:pPr>
      <w:r>
        <w:rPr>
          <w:rFonts w:hint="eastAsia"/>
        </w:rPr>
        <w:t>分项报价明细表（</w:t>
      </w:r>
      <w:r>
        <w:rPr>
          <w:rFonts w:hint="eastAsia"/>
          <w:lang w:val="en-US"/>
        </w:rPr>
        <w:t>仅供参考</w:t>
      </w:r>
      <w:r>
        <w:rPr>
          <w:rFonts w:hint="eastAsia"/>
        </w:rPr>
        <w:t>）（_</w:t>
      </w:r>
      <w:r>
        <w:t>___</w:t>
      </w:r>
      <w:r>
        <w:rPr>
          <w:rFonts w:hint="eastAsia"/>
        </w:rPr>
        <w:t>包）</w:t>
      </w:r>
    </w:p>
    <w:tbl>
      <w:tblPr>
        <w:tblStyle w:val="18"/>
        <w:tblW w:w="91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
        <w:gridCol w:w="1395"/>
        <w:gridCol w:w="1380"/>
        <w:gridCol w:w="1620"/>
        <w:gridCol w:w="675"/>
        <w:gridCol w:w="675"/>
        <w:gridCol w:w="960"/>
        <w:gridCol w:w="990"/>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9102" w:type="dxa"/>
            <w:gridSpan w:val="9"/>
            <w:vAlign w:val="center"/>
          </w:tcPr>
          <w:p>
            <w:pPr>
              <w:pStyle w:val="26"/>
              <w:ind w:firstLine="240" w:firstLineChars="100"/>
              <w:jc w:val="both"/>
              <w:rPr>
                <w:sz w:val="24"/>
              </w:rPr>
            </w:pPr>
            <w:r>
              <w:rPr>
                <w:rFonts w:hint="eastAsia"/>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651" w:type="dxa"/>
            <w:vAlign w:val="center"/>
          </w:tcPr>
          <w:p>
            <w:pPr>
              <w:pStyle w:val="26"/>
              <w:jc w:val="center"/>
              <w:rPr>
                <w:sz w:val="24"/>
              </w:rPr>
            </w:pPr>
            <w:r>
              <w:rPr>
                <w:rFonts w:hint="eastAsia"/>
                <w:sz w:val="24"/>
              </w:rPr>
              <w:t>序号</w:t>
            </w:r>
          </w:p>
        </w:tc>
        <w:tc>
          <w:tcPr>
            <w:tcW w:w="1395" w:type="dxa"/>
            <w:vAlign w:val="center"/>
          </w:tcPr>
          <w:p>
            <w:pPr>
              <w:pStyle w:val="26"/>
              <w:jc w:val="center"/>
              <w:rPr>
                <w:sz w:val="24"/>
              </w:rPr>
            </w:pPr>
            <w:r>
              <w:rPr>
                <w:rFonts w:hint="eastAsia"/>
                <w:sz w:val="24"/>
              </w:rPr>
              <w:t>设备名称</w:t>
            </w:r>
          </w:p>
        </w:tc>
        <w:tc>
          <w:tcPr>
            <w:tcW w:w="1380" w:type="dxa"/>
            <w:vAlign w:val="center"/>
          </w:tcPr>
          <w:p>
            <w:pPr>
              <w:pStyle w:val="26"/>
              <w:jc w:val="center"/>
              <w:rPr>
                <w:sz w:val="24"/>
              </w:rPr>
            </w:pPr>
            <w:r>
              <w:rPr>
                <w:rFonts w:hint="eastAsia"/>
                <w:sz w:val="24"/>
              </w:rPr>
              <w:t>品牌型号</w:t>
            </w:r>
          </w:p>
        </w:tc>
        <w:tc>
          <w:tcPr>
            <w:tcW w:w="1620" w:type="dxa"/>
            <w:vAlign w:val="center"/>
          </w:tcPr>
          <w:p>
            <w:pPr>
              <w:pStyle w:val="26"/>
              <w:jc w:val="center"/>
              <w:rPr>
                <w:sz w:val="24"/>
              </w:rPr>
            </w:pPr>
            <w:r>
              <w:rPr>
                <w:rFonts w:hint="eastAsia"/>
                <w:sz w:val="24"/>
              </w:rPr>
              <w:t>主要配置及性能及参数</w:t>
            </w:r>
          </w:p>
        </w:tc>
        <w:tc>
          <w:tcPr>
            <w:tcW w:w="675" w:type="dxa"/>
            <w:vAlign w:val="center"/>
          </w:tcPr>
          <w:p>
            <w:pPr>
              <w:pStyle w:val="26"/>
              <w:jc w:val="center"/>
              <w:rPr>
                <w:sz w:val="24"/>
              </w:rPr>
            </w:pPr>
            <w:r>
              <w:rPr>
                <w:rFonts w:hint="eastAsia"/>
                <w:sz w:val="24"/>
              </w:rPr>
              <w:t>单位</w:t>
            </w:r>
          </w:p>
        </w:tc>
        <w:tc>
          <w:tcPr>
            <w:tcW w:w="675" w:type="dxa"/>
            <w:vAlign w:val="center"/>
          </w:tcPr>
          <w:p>
            <w:pPr>
              <w:pStyle w:val="26"/>
              <w:jc w:val="center"/>
              <w:rPr>
                <w:sz w:val="24"/>
              </w:rPr>
            </w:pPr>
            <w:r>
              <w:rPr>
                <w:rFonts w:hint="eastAsia"/>
                <w:sz w:val="24"/>
              </w:rPr>
              <w:t>数量</w:t>
            </w:r>
          </w:p>
        </w:tc>
        <w:tc>
          <w:tcPr>
            <w:tcW w:w="960" w:type="dxa"/>
            <w:vAlign w:val="center"/>
          </w:tcPr>
          <w:p>
            <w:pPr>
              <w:pStyle w:val="26"/>
              <w:jc w:val="center"/>
              <w:rPr>
                <w:sz w:val="24"/>
              </w:rPr>
            </w:pPr>
            <w:r>
              <w:rPr>
                <w:rFonts w:hint="eastAsia"/>
                <w:sz w:val="24"/>
              </w:rPr>
              <w:t>单价</w:t>
            </w:r>
          </w:p>
          <w:p>
            <w:pPr>
              <w:pStyle w:val="26"/>
              <w:jc w:val="center"/>
              <w:rPr>
                <w:sz w:val="24"/>
              </w:rPr>
            </w:pPr>
            <w:r>
              <w:rPr>
                <w:rFonts w:hint="eastAsia"/>
                <w:sz w:val="24"/>
              </w:rPr>
              <w:t>（元）</w:t>
            </w:r>
          </w:p>
        </w:tc>
        <w:tc>
          <w:tcPr>
            <w:tcW w:w="990" w:type="dxa"/>
            <w:vAlign w:val="center"/>
          </w:tcPr>
          <w:p>
            <w:pPr>
              <w:pStyle w:val="26"/>
              <w:jc w:val="center"/>
              <w:rPr>
                <w:sz w:val="24"/>
              </w:rPr>
            </w:pPr>
            <w:r>
              <w:rPr>
                <w:rFonts w:hint="eastAsia"/>
                <w:sz w:val="24"/>
              </w:rPr>
              <w:t>金额</w:t>
            </w:r>
          </w:p>
          <w:p>
            <w:pPr>
              <w:pStyle w:val="26"/>
              <w:jc w:val="center"/>
              <w:rPr>
                <w:sz w:val="24"/>
              </w:rPr>
            </w:pPr>
            <w:r>
              <w:rPr>
                <w:rFonts w:hint="eastAsia"/>
                <w:sz w:val="24"/>
              </w:rPr>
              <w:t>（元）</w:t>
            </w:r>
          </w:p>
        </w:tc>
        <w:tc>
          <w:tcPr>
            <w:tcW w:w="756" w:type="dxa"/>
            <w:vAlign w:val="center"/>
          </w:tcPr>
          <w:p>
            <w:pPr>
              <w:pStyle w:val="26"/>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restart"/>
            <w:vAlign w:val="center"/>
          </w:tcPr>
          <w:p>
            <w:pPr>
              <w:pStyle w:val="26"/>
              <w:jc w:val="center"/>
              <w:rPr>
                <w:sz w:val="24"/>
              </w:rPr>
            </w:pPr>
          </w:p>
        </w:tc>
        <w:tc>
          <w:tcPr>
            <w:tcW w:w="1395" w:type="dxa"/>
            <w:vMerge w:val="restart"/>
            <w:vAlign w:val="center"/>
          </w:tcPr>
          <w:p>
            <w:pPr>
              <w:pStyle w:val="26"/>
              <w:jc w:val="center"/>
              <w:rPr>
                <w:sz w:val="24"/>
              </w:rPr>
            </w:pPr>
          </w:p>
        </w:tc>
        <w:tc>
          <w:tcPr>
            <w:tcW w:w="1380" w:type="dxa"/>
            <w:vMerge w:val="restart"/>
            <w:vAlign w:val="center"/>
          </w:tcPr>
          <w:p>
            <w:pPr>
              <w:pStyle w:val="26"/>
              <w:jc w:val="center"/>
              <w:rPr>
                <w:sz w:val="24"/>
              </w:rPr>
            </w:pPr>
          </w:p>
        </w:tc>
        <w:tc>
          <w:tcPr>
            <w:tcW w:w="1620" w:type="dxa"/>
            <w:vAlign w:val="center"/>
          </w:tcPr>
          <w:p>
            <w:pPr>
              <w:pStyle w:val="26"/>
              <w:jc w:val="center"/>
              <w:rPr>
                <w:sz w:val="24"/>
              </w:rPr>
            </w:pP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restart"/>
            <w:vAlign w:val="center"/>
          </w:tcPr>
          <w:p>
            <w:pPr>
              <w:pStyle w:val="26"/>
              <w:jc w:val="center"/>
              <w:rPr>
                <w:sz w:val="24"/>
              </w:rPr>
            </w:pPr>
          </w:p>
        </w:tc>
        <w:tc>
          <w:tcPr>
            <w:tcW w:w="990" w:type="dxa"/>
            <w:vMerge w:val="restart"/>
            <w:vAlign w:val="center"/>
          </w:tcPr>
          <w:p>
            <w:pPr>
              <w:pStyle w:val="26"/>
              <w:jc w:val="center"/>
              <w:rPr>
                <w:sz w:val="24"/>
              </w:rPr>
            </w:pPr>
          </w:p>
        </w:tc>
        <w:tc>
          <w:tcPr>
            <w:tcW w:w="756" w:type="dxa"/>
            <w:vMerge w:val="restart"/>
            <w:vAlign w:val="center"/>
          </w:tcPr>
          <w:p>
            <w:pPr>
              <w:pStyle w:val="2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continue"/>
            <w:tcBorders>
              <w:top w:val="nil"/>
            </w:tcBorders>
            <w:vAlign w:val="center"/>
          </w:tcPr>
          <w:p>
            <w:pPr>
              <w:jc w:val="center"/>
              <w:rPr>
                <w:sz w:val="2"/>
                <w:szCs w:val="2"/>
              </w:rPr>
            </w:pPr>
          </w:p>
        </w:tc>
        <w:tc>
          <w:tcPr>
            <w:tcW w:w="1395" w:type="dxa"/>
            <w:vMerge w:val="continue"/>
            <w:tcBorders>
              <w:top w:val="nil"/>
            </w:tcBorders>
            <w:vAlign w:val="center"/>
          </w:tcPr>
          <w:p>
            <w:pPr>
              <w:jc w:val="center"/>
              <w:rPr>
                <w:sz w:val="2"/>
                <w:szCs w:val="2"/>
              </w:rPr>
            </w:pPr>
          </w:p>
        </w:tc>
        <w:tc>
          <w:tcPr>
            <w:tcW w:w="1380" w:type="dxa"/>
            <w:vMerge w:val="continue"/>
            <w:tcBorders>
              <w:top w:val="nil"/>
            </w:tcBorders>
            <w:vAlign w:val="center"/>
          </w:tcPr>
          <w:p>
            <w:pPr>
              <w:jc w:val="center"/>
              <w:rPr>
                <w:sz w:val="2"/>
                <w:szCs w:val="2"/>
              </w:rPr>
            </w:pPr>
          </w:p>
        </w:tc>
        <w:tc>
          <w:tcPr>
            <w:tcW w:w="1620" w:type="dxa"/>
            <w:vAlign w:val="center"/>
          </w:tcPr>
          <w:p>
            <w:pPr>
              <w:pStyle w:val="26"/>
              <w:jc w:val="center"/>
              <w:rPr>
                <w:sz w:val="24"/>
              </w:rPr>
            </w:pP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continue"/>
            <w:tcBorders>
              <w:top w:val="nil"/>
            </w:tcBorders>
            <w:vAlign w:val="center"/>
          </w:tcPr>
          <w:p>
            <w:pPr>
              <w:jc w:val="center"/>
              <w:rPr>
                <w:sz w:val="2"/>
                <w:szCs w:val="2"/>
              </w:rPr>
            </w:pPr>
          </w:p>
        </w:tc>
        <w:tc>
          <w:tcPr>
            <w:tcW w:w="990" w:type="dxa"/>
            <w:vMerge w:val="continue"/>
            <w:tcBorders>
              <w:top w:val="nil"/>
            </w:tcBorders>
            <w:vAlign w:val="center"/>
          </w:tcPr>
          <w:p>
            <w:pPr>
              <w:jc w:val="center"/>
              <w:rPr>
                <w:sz w:val="2"/>
                <w:szCs w:val="2"/>
              </w:rPr>
            </w:pPr>
          </w:p>
        </w:tc>
        <w:tc>
          <w:tcPr>
            <w:tcW w:w="756"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continue"/>
            <w:tcBorders>
              <w:top w:val="nil"/>
            </w:tcBorders>
            <w:vAlign w:val="center"/>
          </w:tcPr>
          <w:p>
            <w:pPr>
              <w:jc w:val="center"/>
              <w:rPr>
                <w:sz w:val="2"/>
                <w:szCs w:val="2"/>
              </w:rPr>
            </w:pPr>
          </w:p>
        </w:tc>
        <w:tc>
          <w:tcPr>
            <w:tcW w:w="1395" w:type="dxa"/>
            <w:vMerge w:val="continue"/>
            <w:tcBorders>
              <w:top w:val="nil"/>
            </w:tcBorders>
            <w:vAlign w:val="center"/>
          </w:tcPr>
          <w:p>
            <w:pPr>
              <w:jc w:val="center"/>
              <w:rPr>
                <w:sz w:val="2"/>
                <w:szCs w:val="2"/>
              </w:rPr>
            </w:pPr>
          </w:p>
        </w:tc>
        <w:tc>
          <w:tcPr>
            <w:tcW w:w="1380" w:type="dxa"/>
            <w:vMerge w:val="continue"/>
            <w:tcBorders>
              <w:top w:val="nil"/>
            </w:tcBorders>
            <w:vAlign w:val="center"/>
          </w:tcPr>
          <w:p>
            <w:pPr>
              <w:jc w:val="center"/>
              <w:rPr>
                <w:sz w:val="2"/>
                <w:szCs w:val="2"/>
              </w:rPr>
            </w:pPr>
          </w:p>
        </w:tc>
        <w:tc>
          <w:tcPr>
            <w:tcW w:w="1620" w:type="dxa"/>
            <w:vAlign w:val="center"/>
          </w:tcPr>
          <w:p>
            <w:pPr>
              <w:pStyle w:val="26"/>
              <w:jc w:val="center"/>
              <w:rPr>
                <w:sz w:val="24"/>
              </w:rPr>
            </w:pPr>
            <w:r>
              <w:rPr>
                <w:rFonts w:hint="eastAsia"/>
                <w:sz w:val="24"/>
              </w:rPr>
              <w:t>…</w:t>
            </w: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continue"/>
            <w:tcBorders>
              <w:top w:val="nil"/>
            </w:tcBorders>
            <w:vAlign w:val="center"/>
          </w:tcPr>
          <w:p>
            <w:pPr>
              <w:jc w:val="center"/>
              <w:rPr>
                <w:sz w:val="2"/>
                <w:szCs w:val="2"/>
              </w:rPr>
            </w:pPr>
          </w:p>
        </w:tc>
        <w:tc>
          <w:tcPr>
            <w:tcW w:w="990" w:type="dxa"/>
            <w:vMerge w:val="continue"/>
            <w:tcBorders>
              <w:top w:val="nil"/>
            </w:tcBorders>
            <w:vAlign w:val="center"/>
          </w:tcPr>
          <w:p>
            <w:pPr>
              <w:jc w:val="center"/>
              <w:rPr>
                <w:sz w:val="2"/>
                <w:szCs w:val="2"/>
              </w:rPr>
            </w:pPr>
          </w:p>
        </w:tc>
        <w:tc>
          <w:tcPr>
            <w:tcW w:w="756"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restart"/>
            <w:vAlign w:val="center"/>
          </w:tcPr>
          <w:p>
            <w:pPr>
              <w:pStyle w:val="26"/>
              <w:jc w:val="center"/>
              <w:rPr>
                <w:sz w:val="24"/>
              </w:rPr>
            </w:pPr>
          </w:p>
        </w:tc>
        <w:tc>
          <w:tcPr>
            <w:tcW w:w="1395" w:type="dxa"/>
            <w:vMerge w:val="restart"/>
            <w:vAlign w:val="center"/>
          </w:tcPr>
          <w:p>
            <w:pPr>
              <w:pStyle w:val="26"/>
              <w:jc w:val="center"/>
              <w:rPr>
                <w:sz w:val="24"/>
              </w:rPr>
            </w:pPr>
          </w:p>
        </w:tc>
        <w:tc>
          <w:tcPr>
            <w:tcW w:w="1380" w:type="dxa"/>
            <w:vMerge w:val="restart"/>
            <w:vAlign w:val="center"/>
          </w:tcPr>
          <w:p>
            <w:pPr>
              <w:pStyle w:val="26"/>
              <w:jc w:val="center"/>
              <w:rPr>
                <w:sz w:val="24"/>
              </w:rPr>
            </w:pPr>
          </w:p>
        </w:tc>
        <w:tc>
          <w:tcPr>
            <w:tcW w:w="1620" w:type="dxa"/>
            <w:vAlign w:val="center"/>
          </w:tcPr>
          <w:p>
            <w:pPr>
              <w:pStyle w:val="26"/>
              <w:jc w:val="center"/>
              <w:rPr>
                <w:sz w:val="24"/>
              </w:rPr>
            </w:pP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restart"/>
            <w:vAlign w:val="center"/>
          </w:tcPr>
          <w:p>
            <w:pPr>
              <w:pStyle w:val="26"/>
              <w:jc w:val="center"/>
              <w:rPr>
                <w:sz w:val="24"/>
              </w:rPr>
            </w:pPr>
          </w:p>
        </w:tc>
        <w:tc>
          <w:tcPr>
            <w:tcW w:w="990" w:type="dxa"/>
            <w:vMerge w:val="restart"/>
            <w:vAlign w:val="center"/>
          </w:tcPr>
          <w:p>
            <w:pPr>
              <w:pStyle w:val="26"/>
              <w:jc w:val="center"/>
              <w:rPr>
                <w:sz w:val="24"/>
              </w:rPr>
            </w:pPr>
          </w:p>
        </w:tc>
        <w:tc>
          <w:tcPr>
            <w:tcW w:w="756" w:type="dxa"/>
            <w:vMerge w:val="restart"/>
            <w:vAlign w:val="center"/>
          </w:tcPr>
          <w:p>
            <w:pPr>
              <w:pStyle w:val="2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continue"/>
            <w:tcBorders>
              <w:top w:val="nil"/>
            </w:tcBorders>
            <w:vAlign w:val="center"/>
          </w:tcPr>
          <w:p>
            <w:pPr>
              <w:jc w:val="center"/>
              <w:rPr>
                <w:sz w:val="2"/>
                <w:szCs w:val="2"/>
              </w:rPr>
            </w:pPr>
          </w:p>
        </w:tc>
        <w:tc>
          <w:tcPr>
            <w:tcW w:w="1395" w:type="dxa"/>
            <w:vMerge w:val="continue"/>
            <w:tcBorders>
              <w:top w:val="nil"/>
            </w:tcBorders>
            <w:vAlign w:val="center"/>
          </w:tcPr>
          <w:p>
            <w:pPr>
              <w:jc w:val="center"/>
              <w:rPr>
                <w:sz w:val="2"/>
                <w:szCs w:val="2"/>
              </w:rPr>
            </w:pPr>
          </w:p>
        </w:tc>
        <w:tc>
          <w:tcPr>
            <w:tcW w:w="1380" w:type="dxa"/>
            <w:vMerge w:val="continue"/>
            <w:tcBorders>
              <w:top w:val="nil"/>
            </w:tcBorders>
            <w:vAlign w:val="center"/>
          </w:tcPr>
          <w:p>
            <w:pPr>
              <w:jc w:val="center"/>
              <w:rPr>
                <w:sz w:val="2"/>
                <w:szCs w:val="2"/>
              </w:rPr>
            </w:pPr>
          </w:p>
        </w:tc>
        <w:tc>
          <w:tcPr>
            <w:tcW w:w="1620" w:type="dxa"/>
            <w:vAlign w:val="center"/>
          </w:tcPr>
          <w:p>
            <w:pPr>
              <w:pStyle w:val="26"/>
              <w:jc w:val="center"/>
              <w:rPr>
                <w:sz w:val="24"/>
              </w:rPr>
            </w:pP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continue"/>
            <w:tcBorders>
              <w:top w:val="nil"/>
            </w:tcBorders>
            <w:vAlign w:val="center"/>
          </w:tcPr>
          <w:p>
            <w:pPr>
              <w:jc w:val="center"/>
              <w:rPr>
                <w:sz w:val="2"/>
                <w:szCs w:val="2"/>
              </w:rPr>
            </w:pPr>
          </w:p>
        </w:tc>
        <w:tc>
          <w:tcPr>
            <w:tcW w:w="990" w:type="dxa"/>
            <w:vMerge w:val="continue"/>
            <w:tcBorders>
              <w:top w:val="nil"/>
            </w:tcBorders>
            <w:vAlign w:val="center"/>
          </w:tcPr>
          <w:p>
            <w:pPr>
              <w:jc w:val="center"/>
              <w:rPr>
                <w:sz w:val="2"/>
                <w:szCs w:val="2"/>
              </w:rPr>
            </w:pPr>
          </w:p>
        </w:tc>
        <w:tc>
          <w:tcPr>
            <w:tcW w:w="756"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continue"/>
            <w:tcBorders>
              <w:top w:val="nil"/>
            </w:tcBorders>
            <w:vAlign w:val="center"/>
          </w:tcPr>
          <w:p>
            <w:pPr>
              <w:jc w:val="center"/>
              <w:rPr>
                <w:sz w:val="2"/>
                <w:szCs w:val="2"/>
              </w:rPr>
            </w:pPr>
          </w:p>
        </w:tc>
        <w:tc>
          <w:tcPr>
            <w:tcW w:w="1395" w:type="dxa"/>
            <w:vMerge w:val="continue"/>
            <w:tcBorders>
              <w:top w:val="nil"/>
            </w:tcBorders>
            <w:vAlign w:val="center"/>
          </w:tcPr>
          <w:p>
            <w:pPr>
              <w:jc w:val="center"/>
              <w:rPr>
                <w:sz w:val="2"/>
                <w:szCs w:val="2"/>
              </w:rPr>
            </w:pPr>
          </w:p>
        </w:tc>
        <w:tc>
          <w:tcPr>
            <w:tcW w:w="1380" w:type="dxa"/>
            <w:vMerge w:val="continue"/>
            <w:tcBorders>
              <w:top w:val="nil"/>
            </w:tcBorders>
            <w:vAlign w:val="center"/>
          </w:tcPr>
          <w:p>
            <w:pPr>
              <w:jc w:val="center"/>
              <w:rPr>
                <w:sz w:val="2"/>
                <w:szCs w:val="2"/>
              </w:rPr>
            </w:pPr>
          </w:p>
        </w:tc>
        <w:tc>
          <w:tcPr>
            <w:tcW w:w="1620" w:type="dxa"/>
            <w:vAlign w:val="center"/>
          </w:tcPr>
          <w:p>
            <w:pPr>
              <w:pStyle w:val="26"/>
              <w:jc w:val="center"/>
              <w:rPr>
                <w:sz w:val="24"/>
              </w:rPr>
            </w:pPr>
            <w:r>
              <w:rPr>
                <w:rFonts w:hint="eastAsia"/>
                <w:sz w:val="24"/>
              </w:rPr>
              <w:t>…</w:t>
            </w: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continue"/>
            <w:tcBorders>
              <w:top w:val="nil"/>
            </w:tcBorders>
            <w:vAlign w:val="center"/>
          </w:tcPr>
          <w:p>
            <w:pPr>
              <w:jc w:val="center"/>
              <w:rPr>
                <w:sz w:val="2"/>
                <w:szCs w:val="2"/>
              </w:rPr>
            </w:pPr>
          </w:p>
        </w:tc>
        <w:tc>
          <w:tcPr>
            <w:tcW w:w="990" w:type="dxa"/>
            <w:vMerge w:val="continue"/>
            <w:tcBorders>
              <w:top w:val="nil"/>
            </w:tcBorders>
            <w:vAlign w:val="center"/>
          </w:tcPr>
          <w:p>
            <w:pPr>
              <w:jc w:val="center"/>
              <w:rPr>
                <w:sz w:val="2"/>
                <w:szCs w:val="2"/>
              </w:rPr>
            </w:pPr>
          </w:p>
        </w:tc>
        <w:tc>
          <w:tcPr>
            <w:tcW w:w="756"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restart"/>
            <w:vAlign w:val="center"/>
          </w:tcPr>
          <w:p>
            <w:pPr>
              <w:pStyle w:val="26"/>
              <w:jc w:val="center"/>
              <w:rPr>
                <w:sz w:val="24"/>
              </w:rPr>
            </w:pPr>
          </w:p>
        </w:tc>
        <w:tc>
          <w:tcPr>
            <w:tcW w:w="1395" w:type="dxa"/>
            <w:vMerge w:val="restart"/>
            <w:vAlign w:val="center"/>
          </w:tcPr>
          <w:p>
            <w:pPr>
              <w:pStyle w:val="26"/>
              <w:jc w:val="center"/>
              <w:rPr>
                <w:sz w:val="24"/>
              </w:rPr>
            </w:pPr>
          </w:p>
        </w:tc>
        <w:tc>
          <w:tcPr>
            <w:tcW w:w="1380" w:type="dxa"/>
            <w:vMerge w:val="restart"/>
            <w:vAlign w:val="center"/>
          </w:tcPr>
          <w:p>
            <w:pPr>
              <w:pStyle w:val="26"/>
              <w:jc w:val="center"/>
              <w:rPr>
                <w:sz w:val="24"/>
              </w:rPr>
            </w:pPr>
          </w:p>
        </w:tc>
        <w:tc>
          <w:tcPr>
            <w:tcW w:w="1620" w:type="dxa"/>
            <w:vAlign w:val="center"/>
          </w:tcPr>
          <w:p>
            <w:pPr>
              <w:pStyle w:val="26"/>
              <w:jc w:val="center"/>
              <w:rPr>
                <w:sz w:val="24"/>
              </w:rPr>
            </w:pP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restart"/>
            <w:vAlign w:val="center"/>
          </w:tcPr>
          <w:p>
            <w:pPr>
              <w:pStyle w:val="26"/>
              <w:jc w:val="center"/>
              <w:rPr>
                <w:sz w:val="24"/>
              </w:rPr>
            </w:pPr>
          </w:p>
        </w:tc>
        <w:tc>
          <w:tcPr>
            <w:tcW w:w="990" w:type="dxa"/>
            <w:vMerge w:val="restart"/>
            <w:vAlign w:val="center"/>
          </w:tcPr>
          <w:p>
            <w:pPr>
              <w:pStyle w:val="26"/>
              <w:jc w:val="center"/>
              <w:rPr>
                <w:sz w:val="24"/>
              </w:rPr>
            </w:pPr>
          </w:p>
        </w:tc>
        <w:tc>
          <w:tcPr>
            <w:tcW w:w="756" w:type="dxa"/>
            <w:vMerge w:val="restart"/>
            <w:vAlign w:val="center"/>
          </w:tcPr>
          <w:p>
            <w:pPr>
              <w:pStyle w:val="2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continue"/>
            <w:tcBorders>
              <w:top w:val="nil"/>
            </w:tcBorders>
            <w:vAlign w:val="center"/>
          </w:tcPr>
          <w:p>
            <w:pPr>
              <w:jc w:val="center"/>
              <w:rPr>
                <w:sz w:val="2"/>
                <w:szCs w:val="2"/>
              </w:rPr>
            </w:pPr>
          </w:p>
        </w:tc>
        <w:tc>
          <w:tcPr>
            <w:tcW w:w="1395" w:type="dxa"/>
            <w:vMerge w:val="continue"/>
            <w:tcBorders>
              <w:top w:val="nil"/>
            </w:tcBorders>
            <w:vAlign w:val="center"/>
          </w:tcPr>
          <w:p>
            <w:pPr>
              <w:jc w:val="center"/>
              <w:rPr>
                <w:sz w:val="2"/>
                <w:szCs w:val="2"/>
              </w:rPr>
            </w:pPr>
          </w:p>
        </w:tc>
        <w:tc>
          <w:tcPr>
            <w:tcW w:w="1380" w:type="dxa"/>
            <w:vMerge w:val="continue"/>
            <w:tcBorders>
              <w:top w:val="nil"/>
            </w:tcBorders>
            <w:vAlign w:val="center"/>
          </w:tcPr>
          <w:p>
            <w:pPr>
              <w:jc w:val="center"/>
              <w:rPr>
                <w:sz w:val="2"/>
                <w:szCs w:val="2"/>
              </w:rPr>
            </w:pPr>
          </w:p>
        </w:tc>
        <w:tc>
          <w:tcPr>
            <w:tcW w:w="1620" w:type="dxa"/>
            <w:vAlign w:val="center"/>
          </w:tcPr>
          <w:p>
            <w:pPr>
              <w:pStyle w:val="26"/>
              <w:jc w:val="center"/>
              <w:rPr>
                <w:sz w:val="24"/>
              </w:rPr>
            </w:pP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continue"/>
            <w:tcBorders>
              <w:top w:val="nil"/>
            </w:tcBorders>
            <w:vAlign w:val="center"/>
          </w:tcPr>
          <w:p>
            <w:pPr>
              <w:jc w:val="center"/>
              <w:rPr>
                <w:sz w:val="2"/>
                <w:szCs w:val="2"/>
              </w:rPr>
            </w:pPr>
          </w:p>
        </w:tc>
        <w:tc>
          <w:tcPr>
            <w:tcW w:w="990" w:type="dxa"/>
            <w:vMerge w:val="continue"/>
            <w:tcBorders>
              <w:top w:val="nil"/>
            </w:tcBorders>
            <w:vAlign w:val="center"/>
          </w:tcPr>
          <w:p>
            <w:pPr>
              <w:jc w:val="center"/>
              <w:rPr>
                <w:sz w:val="2"/>
                <w:szCs w:val="2"/>
              </w:rPr>
            </w:pPr>
          </w:p>
        </w:tc>
        <w:tc>
          <w:tcPr>
            <w:tcW w:w="756"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Merge w:val="continue"/>
            <w:tcBorders>
              <w:top w:val="nil"/>
            </w:tcBorders>
            <w:vAlign w:val="center"/>
          </w:tcPr>
          <w:p>
            <w:pPr>
              <w:jc w:val="center"/>
              <w:rPr>
                <w:sz w:val="2"/>
                <w:szCs w:val="2"/>
              </w:rPr>
            </w:pPr>
          </w:p>
        </w:tc>
        <w:tc>
          <w:tcPr>
            <w:tcW w:w="1395" w:type="dxa"/>
            <w:vMerge w:val="continue"/>
            <w:tcBorders>
              <w:top w:val="nil"/>
            </w:tcBorders>
            <w:vAlign w:val="center"/>
          </w:tcPr>
          <w:p>
            <w:pPr>
              <w:jc w:val="center"/>
              <w:rPr>
                <w:sz w:val="2"/>
                <w:szCs w:val="2"/>
              </w:rPr>
            </w:pPr>
          </w:p>
        </w:tc>
        <w:tc>
          <w:tcPr>
            <w:tcW w:w="1380" w:type="dxa"/>
            <w:vMerge w:val="continue"/>
            <w:tcBorders>
              <w:top w:val="nil"/>
            </w:tcBorders>
            <w:vAlign w:val="center"/>
          </w:tcPr>
          <w:p>
            <w:pPr>
              <w:jc w:val="center"/>
              <w:rPr>
                <w:sz w:val="2"/>
                <w:szCs w:val="2"/>
              </w:rPr>
            </w:pPr>
          </w:p>
        </w:tc>
        <w:tc>
          <w:tcPr>
            <w:tcW w:w="1620" w:type="dxa"/>
            <w:vAlign w:val="center"/>
          </w:tcPr>
          <w:p>
            <w:pPr>
              <w:pStyle w:val="26"/>
              <w:jc w:val="center"/>
              <w:rPr>
                <w:sz w:val="24"/>
              </w:rPr>
            </w:pPr>
            <w:r>
              <w:rPr>
                <w:rFonts w:hint="eastAsia"/>
                <w:sz w:val="24"/>
              </w:rPr>
              <w:t>…</w:t>
            </w: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Merge w:val="continue"/>
            <w:tcBorders>
              <w:top w:val="nil"/>
            </w:tcBorders>
            <w:vAlign w:val="center"/>
          </w:tcPr>
          <w:p>
            <w:pPr>
              <w:jc w:val="center"/>
              <w:rPr>
                <w:sz w:val="2"/>
                <w:szCs w:val="2"/>
              </w:rPr>
            </w:pPr>
          </w:p>
        </w:tc>
        <w:tc>
          <w:tcPr>
            <w:tcW w:w="990" w:type="dxa"/>
            <w:vMerge w:val="continue"/>
            <w:tcBorders>
              <w:top w:val="nil"/>
            </w:tcBorders>
            <w:vAlign w:val="center"/>
          </w:tcPr>
          <w:p>
            <w:pPr>
              <w:jc w:val="center"/>
              <w:rPr>
                <w:sz w:val="2"/>
                <w:szCs w:val="2"/>
              </w:rPr>
            </w:pPr>
          </w:p>
        </w:tc>
        <w:tc>
          <w:tcPr>
            <w:tcW w:w="756"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1" w:type="dxa"/>
            <w:vAlign w:val="center"/>
          </w:tcPr>
          <w:p>
            <w:pPr>
              <w:pStyle w:val="26"/>
              <w:jc w:val="center"/>
              <w:rPr>
                <w:sz w:val="24"/>
              </w:rPr>
            </w:pPr>
            <w:r>
              <w:rPr>
                <w:rFonts w:hint="eastAsia"/>
                <w:sz w:val="24"/>
              </w:rPr>
              <w:t>…</w:t>
            </w:r>
          </w:p>
        </w:tc>
        <w:tc>
          <w:tcPr>
            <w:tcW w:w="1395" w:type="dxa"/>
            <w:vAlign w:val="center"/>
          </w:tcPr>
          <w:p>
            <w:pPr>
              <w:pStyle w:val="26"/>
              <w:jc w:val="center"/>
              <w:rPr>
                <w:sz w:val="24"/>
              </w:rPr>
            </w:pPr>
            <w:r>
              <w:rPr>
                <w:rFonts w:hint="eastAsia"/>
                <w:sz w:val="24"/>
              </w:rPr>
              <w:t>…</w:t>
            </w:r>
          </w:p>
        </w:tc>
        <w:tc>
          <w:tcPr>
            <w:tcW w:w="1380" w:type="dxa"/>
            <w:vAlign w:val="center"/>
          </w:tcPr>
          <w:p>
            <w:pPr>
              <w:pStyle w:val="26"/>
              <w:jc w:val="center"/>
              <w:rPr>
                <w:sz w:val="24"/>
              </w:rPr>
            </w:pPr>
            <w:r>
              <w:rPr>
                <w:rFonts w:hint="eastAsia"/>
                <w:sz w:val="24"/>
              </w:rPr>
              <w:t>…</w:t>
            </w:r>
          </w:p>
        </w:tc>
        <w:tc>
          <w:tcPr>
            <w:tcW w:w="1620" w:type="dxa"/>
            <w:vAlign w:val="center"/>
          </w:tcPr>
          <w:p>
            <w:pPr>
              <w:pStyle w:val="26"/>
              <w:jc w:val="center"/>
              <w:rPr>
                <w:sz w:val="24"/>
              </w:rPr>
            </w:pPr>
          </w:p>
        </w:tc>
        <w:tc>
          <w:tcPr>
            <w:tcW w:w="675" w:type="dxa"/>
            <w:vAlign w:val="center"/>
          </w:tcPr>
          <w:p>
            <w:pPr>
              <w:pStyle w:val="26"/>
              <w:jc w:val="center"/>
              <w:rPr>
                <w:sz w:val="24"/>
              </w:rPr>
            </w:pPr>
          </w:p>
        </w:tc>
        <w:tc>
          <w:tcPr>
            <w:tcW w:w="675" w:type="dxa"/>
            <w:vAlign w:val="center"/>
          </w:tcPr>
          <w:p>
            <w:pPr>
              <w:pStyle w:val="26"/>
              <w:jc w:val="center"/>
              <w:rPr>
                <w:sz w:val="24"/>
              </w:rPr>
            </w:pPr>
          </w:p>
        </w:tc>
        <w:tc>
          <w:tcPr>
            <w:tcW w:w="960" w:type="dxa"/>
            <w:vAlign w:val="center"/>
          </w:tcPr>
          <w:p>
            <w:pPr>
              <w:pStyle w:val="26"/>
              <w:jc w:val="center"/>
              <w:rPr>
                <w:sz w:val="24"/>
              </w:rPr>
            </w:pPr>
          </w:p>
        </w:tc>
        <w:tc>
          <w:tcPr>
            <w:tcW w:w="990" w:type="dxa"/>
            <w:vAlign w:val="center"/>
          </w:tcPr>
          <w:p>
            <w:pPr>
              <w:pStyle w:val="26"/>
              <w:jc w:val="center"/>
              <w:rPr>
                <w:sz w:val="24"/>
              </w:rPr>
            </w:pPr>
          </w:p>
        </w:tc>
        <w:tc>
          <w:tcPr>
            <w:tcW w:w="756" w:type="dxa"/>
            <w:vAlign w:val="center"/>
          </w:tcPr>
          <w:p>
            <w:pPr>
              <w:pStyle w:val="2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046" w:type="dxa"/>
            <w:gridSpan w:val="2"/>
            <w:vAlign w:val="center"/>
          </w:tcPr>
          <w:p>
            <w:pPr>
              <w:pStyle w:val="26"/>
              <w:jc w:val="center"/>
              <w:rPr>
                <w:sz w:val="24"/>
              </w:rPr>
            </w:pPr>
            <w:r>
              <w:rPr>
                <w:rFonts w:hint="eastAsia"/>
                <w:sz w:val="24"/>
              </w:rPr>
              <w:t>小计</w:t>
            </w:r>
          </w:p>
        </w:tc>
        <w:tc>
          <w:tcPr>
            <w:tcW w:w="7056" w:type="dxa"/>
            <w:gridSpan w:val="7"/>
            <w:vAlign w:val="center"/>
          </w:tcPr>
          <w:p>
            <w:pPr>
              <w:pStyle w:val="2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2046" w:type="dxa"/>
            <w:gridSpan w:val="2"/>
            <w:vAlign w:val="center"/>
          </w:tcPr>
          <w:p>
            <w:pPr>
              <w:pStyle w:val="26"/>
              <w:jc w:val="center"/>
              <w:rPr>
                <w:sz w:val="24"/>
              </w:rPr>
            </w:pPr>
            <w:r>
              <w:rPr>
                <w:rFonts w:hint="eastAsia"/>
                <w:sz w:val="24"/>
              </w:rPr>
              <w:t>其他费用</w:t>
            </w:r>
          </w:p>
        </w:tc>
        <w:tc>
          <w:tcPr>
            <w:tcW w:w="7056" w:type="dxa"/>
            <w:gridSpan w:val="7"/>
            <w:vAlign w:val="center"/>
          </w:tcPr>
          <w:p>
            <w:pPr>
              <w:pStyle w:val="2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2046" w:type="dxa"/>
            <w:gridSpan w:val="2"/>
            <w:vMerge w:val="restart"/>
            <w:vAlign w:val="center"/>
          </w:tcPr>
          <w:p>
            <w:pPr>
              <w:pStyle w:val="26"/>
              <w:tabs>
                <w:tab w:val="left" w:pos="486"/>
              </w:tabs>
              <w:jc w:val="center"/>
              <w:rPr>
                <w:sz w:val="24"/>
              </w:rPr>
            </w:pPr>
            <w:r>
              <w:rPr>
                <w:rFonts w:hint="eastAsia"/>
                <w:sz w:val="24"/>
              </w:rPr>
              <w:t>合</w:t>
            </w:r>
            <w:r>
              <w:rPr>
                <w:rFonts w:hint="eastAsia"/>
                <w:sz w:val="24"/>
              </w:rPr>
              <w:tab/>
            </w:r>
            <w:r>
              <w:rPr>
                <w:rFonts w:hint="eastAsia"/>
                <w:sz w:val="24"/>
              </w:rPr>
              <w:t>计</w:t>
            </w:r>
          </w:p>
          <w:p>
            <w:pPr>
              <w:pStyle w:val="26"/>
              <w:jc w:val="center"/>
              <w:rPr>
                <w:sz w:val="24"/>
              </w:rPr>
            </w:pPr>
            <w:r>
              <w:rPr>
                <w:rFonts w:hint="eastAsia"/>
                <w:sz w:val="24"/>
              </w:rPr>
              <w:t>（人民币）</w:t>
            </w:r>
          </w:p>
        </w:tc>
        <w:tc>
          <w:tcPr>
            <w:tcW w:w="7056" w:type="dxa"/>
            <w:gridSpan w:val="7"/>
            <w:vAlign w:val="center"/>
          </w:tcPr>
          <w:p>
            <w:pPr>
              <w:pStyle w:val="26"/>
              <w:ind w:firstLine="240" w:firstLineChars="100"/>
              <w:jc w:val="both"/>
              <w:rPr>
                <w:sz w:val="24"/>
              </w:rPr>
            </w:pPr>
            <w:r>
              <w:rPr>
                <w:rFonts w:hint="eastAsia"/>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046" w:type="dxa"/>
            <w:gridSpan w:val="2"/>
            <w:vMerge w:val="continue"/>
            <w:tcBorders>
              <w:top w:val="nil"/>
            </w:tcBorders>
            <w:vAlign w:val="center"/>
          </w:tcPr>
          <w:p>
            <w:pPr>
              <w:jc w:val="center"/>
              <w:rPr>
                <w:sz w:val="2"/>
                <w:szCs w:val="2"/>
              </w:rPr>
            </w:pPr>
          </w:p>
        </w:tc>
        <w:tc>
          <w:tcPr>
            <w:tcW w:w="7056" w:type="dxa"/>
            <w:gridSpan w:val="7"/>
            <w:vAlign w:val="center"/>
          </w:tcPr>
          <w:p>
            <w:pPr>
              <w:pStyle w:val="26"/>
              <w:ind w:firstLine="240" w:firstLineChars="100"/>
              <w:jc w:val="both"/>
              <w:rPr>
                <w:sz w:val="24"/>
              </w:rPr>
            </w:pPr>
            <w:r>
              <w:rPr>
                <w:rFonts w:hint="eastAsia"/>
                <w:sz w:val="24"/>
              </w:rPr>
              <w:t>大写：</w:t>
            </w:r>
          </w:p>
        </w:tc>
      </w:tr>
    </w:tbl>
    <w:p>
      <w:pPr>
        <w:pStyle w:val="7"/>
        <w:spacing w:line="480" w:lineRule="exact"/>
        <w:jc w:val="both"/>
      </w:pPr>
      <w:r>
        <w:rPr>
          <w:rFonts w:hint="eastAsia"/>
        </w:rPr>
        <w:t>注：供应商分项设备报价均按照以上格式进行报价，在备注栏说明是否符合具备磋商文件要求的质量标准和检测报告等。</w:t>
      </w:r>
    </w:p>
    <w:p>
      <w:pPr>
        <w:pStyle w:val="7"/>
        <w:tabs>
          <w:tab w:val="left" w:pos="4439"/>
        </w:tabs>
        <w:spacing w:line="480" w:lineRule="exact"/>
        <w:jc w:val="both"/>
      </w:pPr>
    </w:p>
    <w:p>
      <w:pPr>
        <w:pStyle w:val="7"/>
        <w:tabs>
          <w:tab w:val="left" w:pos="4439"/>
        </w:tabs>
        <w:spacing w:line="480" w:lineRule="exact"/>
        <w:jc w:val="both"/>
      </w:pPr>
      <w:r>
        <w:rPr>
          <w:rFonts w:hint="eastAsia"/>
        </w:rPr>
        <w:t>供应商（公章）：</w:t>
      </w:r>
    </w:p>
    <w:p>
      <w:pPr>
        <w:pStyle w:val="7"/>
        <w:tabs>
          <w:tab w:val="left" w:pos="4439"/>
        </w:tabs>
        <w:spacing w:line="480" w:lineRule="exact"/>
        <w:jc w:val="both"/>
      </w:pPr>
      <w:r>
        <w:rPr>
          <w:rFonts w:hint="eastAsia"/>
        </w:rPr>
        <w:t>法定代表人或其授权委托人签字（或印章）：</w:t>
      </w:r>
    </w:p>
    <w:p>
      <w:pPr>
        <w:pStyle w:val="7"/>
        <w:tabs>
          <w:tab w:val="left" w:pos="4439"/>
        </w:tabs>
        <w:spacing w:line="480" w:lineRule="exact"/>
        <w:jc w:val="both"/>
        <w:rPr>
          <w:b/>
          <w:bCs/>
          <w:lang w:val="en-US"/>
        </w:rPr>
      </w:pPr>
      <w:r>
        <w:rPr>
          <w:rFonts w:hint="eastAsia"/>
          <w:lang w:val="en-US"/>
        </w:rPr>
        <w:t>2022年   月   日</w:t>
      </w:r>
    </w:p>
    <w:p>
      <w:pPr>
        <w:pStyle w:val="4"/>
        <w:spacing w:line="360" w:lineRule="auto"/>
        <w:jc w:val="center"/>
        <w:rPr>
          <w:b w:val="0"/>
          <w:bCs w:val="0"/>
          <w:sz w:val="30"/>
          <w:szCs w:val="30"/>
        </w:rPr>
        <w:sectPr>
          <w:footerReference r:id="rId6" w:type="default"/>
          <w:pgSz w:w="11911" w:h="16838"/>
          <w:pgMar w:top="1440" w:right="1440" w:bottom="1440" w:left="1440" w:header="850" w:footer="850" w:gutter="0"/>
          <w:cols w:space="0" w:num="1"/>
          <w:docGrid w:linePitch="312" w:charSpace="0"/>
        </w:sectPr>
      </w:pPr>
    </w:p>
    <w:p>
      <w:pPr>
        <w:snapToGrid w:val="0"/>
        <w:spacing w:line="360" w:lineRule="auto"/>
        <w:jc w:val="both"/>
        <w:textAlignment w:val="baseline"/>
        <w:rPr>
          <w:sz w:val="24"/>
          <w:szCs w:val="24"/>
        </w:rPr>
      </w:pPr>
      <w:r>
        <w:rPr>
          <w:rFonts w:hint="eastAsia"/>
          <w:sz w:val="24"/>
          <w:szCs w:val="24"/>
        </w:rPr>
        <w:t>附件</w:t>
      </w:r>
      <w:r>
        <w:rPr>
          <w:rFonts w:hint="eastAsia"/>
          <w:sz w:val="24"/>
          <w:szCs w:val="24"/>
          <w:lang w:val="en-US"/>
        </w:rPr>
        <w:t>6</w:t>
      </w:r>
      <w:r>
        <w:rPr>
          <w:rFonts w:hint="eastAsia"/>
          <w:sz w:val="24"/>
          <w:szCs w:val="24"/>
        </w:rPr>
        <w:t>：</w:t>
      </w:r>
    </w:p>
    <w:p>
      <w:pPr>
        <w:adjustRightInd w:val="0"/>
        <w:snapToGrid w:val="0"/>
        <w:spacing w:line="360" w:lineRule="auto"/>
        <w:jc w:val="center"/>
        <w:rPr>
          <w:b/>
          <w:sz w:val="28"/>
          <w:szCs w:val="28"/>
        </w:rPr>
      </w:pPr>
      <w:r>
        <w:rPr>
          <w:rFonts w:hint="eastAsia"/>
          <w:b/>
          <w:sz w:val="28"/>
          <w:szCs w:val="28"/>
        </w:rPr>
        <w:t>东营市第二人民医院亚（准）定点医院及后备定点医院建设项目（第三批）（_</w:t>
      </w:r>
      <w:r>
        <w:rPr>
          <w:b/>
          <w:sz w:val="28"/>
          <w:szCs w:val="28"/>
        </w:rPr>
        <w:t>_</w:t>
      </w:r>
      <w:r>
        <w:rPr>
          <w:rFonts w:hint="eastAsia"/>
          <w:b/>
          <w:sz w:val="28"/>
          <w:szCs w:val="28"/>
        </w:rPr>
        <w:t>_</w:t>
      </w:r>
      <w:r>
        <w:rPr>
          <w:b/>
          <w:sz w:val="28"/>
          <w:szCs w:val="28"/>
        </w:rPr>
        <w:t>__</w:t>
      </w:r>
      <w:r>
        <w:rPr>
          <w:rFonts w:hint="eastAsia"/>
          <w:b/>
          <w:sz w:val="28"/>
          <w:szCs w:val="28"/>
        </w:rPr>
        <w:t>包）业绩汇总表</w:t>
      </w:r>
    </w:p>
    <w:tbl>
      <w:tblPr>
        <w:tblStyle w:val="18"/>
        <w:tblW w:w="49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3853"/>
        <w:gridCol w:w="1741"/>
        <w:gridCol w:w="2220"/>
        <w:gridCol w:w="3662"/>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05" w:type="pct"/>
            <w:tcBorders>
              <w:top w:val="single" w:color="auto" w:sz="4" w:space="0"/>
              <w:left w:val="single" w:color="auto" w:sz="4" w:space="0"/>
              <w:right w:val="single" w:color="auto" w:sz="4" w:space="0"/>
            </w:tcBorders>
            <w:vAlign w:val="center"/>
          </w:tcPr>
          <w:p>
            <w:pPr>
              <w:adjustRightInd w:val="0"/>
              <w:snapToGrid w:val="0"/>
              <w:spacing w:line="360" w:lineRule="auto"/>
              <w:jc w:val="center"/>
              <w:rPr>
                <w:sz w:val="24"/>
                <w:szCs w:val="24"/>
                <w:lang w:val="en-US"/>
              </w:rPr>
            </w:pPr>
            <w:r>
              <w:rPr>
                <w:rFonts w:hint="eastAsia"/>
                <w:sz w:val="24"/>
                <w:szCs w:val="24"/>
                <w:lang w:val="en-US"/>
              </w:rPr>
              <w:t>序号</w:t>
            </w:r>
          </w:p>
        </w:tc>
        <w:tc>
          <w:tcPr>
            <w:tcW w:w="1376"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r>
              <w:rPr>
                <w:rFonts w:hint="eastAsia" w:ascii="仿宋" w:hAnsi="仿宋"/>
                <w:sz w:val="24"/>
                <w:szCs w:val="24"/>
              </w:rPr>
              <w:t>项目名称</w:t>
            </w:r>
          </w:p>
        </w:tc>
        <w:tc>
          <w:tcPr>
            <w:tcW w:w="622" w:type="pct"/>
            <w:tcBorders>
              <w:top w:val="single" w:color="auto" w:sz="4" w:space="0"/>
              <w:left w:val="single" w:color="auto" w:sz="4" w:space="0"/>
              <w:right w:val="single" w:color="auto" w:sz="4" w:space="0"/>
            </w:tcBorders>
            <w:vAlign w:val="center"/>
          </w:tcPr>
          <w:p>
            <w:pPr>
              <w:autoSpaceDE/>
              <w:autoSpaceDN/>
              <w:jc w:val="center"/>
              <w:rPr>
                <w:sz w:val="24"/>
                <w:szCs w:val="24"/>
              </w:rPr>
            </w:pPr>
            <w:r>
              <w:rPr>
                <w:rFonts w:hint="eastAsia"/>
                <w:sz w:val="24"/>
                <w:szCs w:val="24"/>
              </w:rPr>
              <w:t>合同金额（元）</w:t>
            </w:r>
          </w:p>
        </w:tc>
        <w:tc>
          <w:tcPr>
            <w:tcW w:w="793" w:type="pct"/>
            <w:tcBorders>
              <w:top w:val="single" w:color="auto" w:sz="4" w:space="0"/>
              <w:left w:val="single" w:color="auto" w:sz="4" w:space="0"/>
              <w:right w:val="single" w:color="auto" w:sz="4" w:space="0"/>
            </w:tcBorders>
            <w:vAlign w:val="center"/>
          </w:tcPr>
          <w:p>
            <w:pPr>
              <w:autoSpaceDE/>
              <w:autoSpaceDN/>
              <w:jc w:val="center"/>
              <w:rPr>
                <w:sz w:val="24"/>
                <w:szCs w:val="24"/>
              </w:rPr>
            </w:pPr>
            <w:r>
              <w:rPr>
                <w:rFonts w:hint="eastAsia"/>
                <w:sz w:val="24"/>
                <w:szCs w:val="24"/>
              </w:rPr>
              <w:t>合同签订日期</w:t>
            </w:r>
          </w:p>
        </w:tc>
        <w:tc>
          <w:tcPr>
            <w:tcW w:w="1308"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lang w:val="en-US"/>
              </w:rPr>
            </w:pPr>
            <w:r>
              <w:rPr>
                <w:rFonts w:hint="eastAsia" w:ascii="仿宋" w:hAnsi="仿宋"/>
                <w:sz w:val="24"/>
                <w:szCs w:val="24"/>
                <w:lang w:val="en-US"/>
              </w:rPr>
              <w:t>采购人名称</w:t>
            </w:r>
          </w:p>
        </w:tc>
        <w:tc>
          <w:tcPr>
            <w:tcW w:w="594"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lang w:val="en-US"/>
              </w:rPr>
            </w:pPr>
            <w:r>
              <w:rPr>
                <w:rFonts w:hint="eastAsia" w:ascii="仿宋" w:hAnsi="仿宋"/>
                <w:sz w:val="24"/>
                <w:szCs w:val="24"/>
                <w:lang w:val="en-U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05"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76"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622"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793"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08"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594"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76"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793"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08"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594"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76"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793"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08"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594"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76"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622"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793"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08"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594"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05"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76"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622"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793"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1308"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c>
          <w:tcPr>
            <w:tcW w:w="594" w:type="pct"/>
            <w:tcBorders>
              <w:top w:val="single" w:color="auto" w:sz="4" w:space="0"/>
              <w:left w:val="single" w:color="auto" w:sz="4" w:space="0"/>
              <w:right w:val="single" w:color="auto" w:sz="4" w:space="0"/>
            </w:tcBorders>
            <w:vAlign w:val="center"/>
          </w:tcPr>
          <w:p>
            <w:pPr>
              <w:pStyle w:val="11"/>
              <w:adjustRightInd w:val="0"/>
              <w:snapToGrid w:val="0"/>
              <w:jc w:val="center"/>
              <w:rPr>
                <w:rFonts w:ascii="仿宋" w:hAnsi="仿宋"/>
                <w:sz w:val="24"/>
                <w:szCs w:val="24"/>
              </w:rPr>
            </w:pPr>
          </w:p>
        </w:tc>
      </w:tr>
    </w:tbl>
    <w:p>
      <w:pPr>
        <w:spacing w:line="480" w:lineRule="exact"/>
        <w:rPr>
          <w:sz w:val="24"/>
          <w:szCs w:val="24"/>
        </w:rPr>
      </w:pPr>
      <w:r>
        <w:rPr>
          <w:rFonts w:hint="eastAsia"/>
          <w:sz w:val="24"/>
          <w:szCs w:val="24"/>
        </w:rPr>
        <w:t>注：表格可扩展；本表供应商提供。项目名称、合同金额、合同签订日期、</w:t>
      </w:r>
      <w:r>
        <w:rPr>
          <w:rFonts w:hint="eastAsia"/>
          <w:sz w:val="24"/>
          <w:szCs w:val="24"/>
          <w:lang w:val="en-US"/>
        </w:rPr>
        <w:t>采购人名称</w:t>
      </w:r>
      <w:r>
        <w:rPr>
          <w:rFonts w:hint="eastAsia"/>
          <w:sz w:val="24"/>
          <w:szCs w:val="24"/>
        </w:rPr>
        <w:t>由供应商填写。</w:t>
      </w:r>
    </w:p>
    <w:p>
      <w:pPr>
        <w:spacing w:line="480" w:lineRule="exact"/>
        <w:rPr>
          <w:rFonts w:cs="宋体"/>
          <w:sz w:val="24"/>
        </w:rPr>
      </w:pPr>
      <w:r>
        <w:rPr>
          <w:rFonts w:hint="eastAsia"/>
          <w:sz w:val="24"/>
          <w:szCs w:val="24"/>
        </w:rPr>
        <w:t>后附：按上表顺序提供</w:t>
      </w:r>
      <w:r>
        <w:rPr>
          <w:rFonts w:hint="eastAsia"/>
          <w:sz w:val="24"/>
          <w:szCs w:val="24"/>
          <w:lang w:val="en-US"/>
        </w:rPr>
        <w:t>合同</w:t>
      </w:r>
      <w:r>
        <w:rPr>
          <w:rFonts w:hint="eastAsia"/>
          <w:sz w:val="24"/>
          <w:szCs w:val="24"/>
        </w:rPr>
        <w:t>原件在现场备查。</w:t>
      </w:r>
      <w:r>
        <w:rPr>
          <w:rFonts w:hint="eastAsia" w:cs="宋体"/>
          <w:b/>
          <w:bCs/>
          <w:sz w:val="24"/>
        </w:rPr>
        <w:t>本表须单独放于评审证明资料密封袋中一份，否则不予评审得分。</w:t>
      </w:r>
    </w:p>
    <w:p>
      <w:pPr>
        <w:pStyle w:val="2"/>
        <w:ind w:firstLine="640"/>
      </w:pPr>
    </w:p>
    <w:p>
      <w:pPr>
        <w:spacing w:line="360" w:lineRule="auto"/>
        <w:jc w:val="both"/>
        <w:rPr>
          <w:rFonts w:cs="宋体"/>
          <w:sz w:val="24"/>
          <w:szCs w:val="24"/>
        </w:rPr>
      </w:pPr>
      <w:r>
        <w:rPr>
          <w:rFonts w:hint="eastAsia" w:cs="宋体"/>
          <w:sz w:val="24"/>
          <w:szCs w:val="24"/>
        </w:rPr>
        <w:t>供应商名称（公章）：                            法定代表人或其授权代理人签字（或盖章）：</w:t>
      </w:r>
    </w:p>
    <w:p>
      <w:pPr>
        <w:pStyle w:val="7"/>
        <w:spacing w:line="360" w:lineRule="auto"/>
        <w:jc w:val="both"/>
        <w:rPr>
          <w:b/>
        </w:rPr>
      </w:pPr>
      <w:r>
        <w:rPr>
          <w:rFonts w:hint="eastAsia" w:cs="宋体"/>
          <w:lang w:val="en-US"/>
        </w:rPr>
        <w:t>2022年   月   日</w:t>
      </w:r>
    </w:p>
    <w:p>
      <w:pPr>
        <w:snapToGrid w:val="0"/>
        <w:textAlignment w:val="baseline"/>
        <w:rPr>
          <w:sz w:val="24"/>
          <w:szCs w:val="24"/>
        </w:rPr>
        <w:sectPr>
          <w:pgSz w:w="16838" w:h="11911" w:orient="landscape"/>
          <w:pgMar w:top="1440" w:right="1440" w:bottom="1440" w:left="1440" w:header="850" w:footer="850" w:gutter="0"/>
          <w:cols w:space="0" w:num="1"/>
        </w:sectPr>
      </w:pPr>
    </w:p>
    <w:p>
      <w:pPr>
        <w:rPr>
          <w:sz w:val="24"/>
          <w:szCs w:val="24"/>
        </w:rPr>
      </w:pPr>
      <w:r>
        <w:rPr>
          <w:rFonts w:hint="eastAsia"/>
          <w:sz w:val="24"/>
          <w:szCs w:val="24"/>
        </w:rPr>
        <w:t>附件</w:t>
      </w:r>
      <w:r>
        <w:rPr>
          <w:rFonts w:hint="eastAsia"/>
          <w:sz w:val="24"/>
          <w:szCs w:val="24"/>
          <w:lang w:val="en-US"/>
        </w:rPr>
        <w:t>7</w:t>
      </w:r>
      <w:r>
        <w:rPr>
          <w:rFonts w:hint="eastAsia"/>
          <w:sz w:val="24"/>
          <w:szCs w:val="24"/>
        </w:rPr>
        <w:t>：</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center"/>
        <w:rPr>
          <w:b/>
          <w:sz w:val="24"/>
          <w:szCs w:val="24"/>
        </w:rPr>
      </w:pPr>
      <w:r>
        <w:rPr>
          <w:rFonts w:hint="eastAsia"/>
          <w:b/>
          <w:sz w:val="24"/>
          <w:szCs w:val="24"/>
        </w:rPr>
        <w:t>详细技术参数</w:t>
      </w:r>
    </w:p>
    <w:p>
      <w:pPr>
        <w:jc w:val="center"/>
        <w:rPr>
          <w:rFonts w:hint="eastAsia"/>
          <w:b/>
        </w:rPr>
      </w:pPr>
      <w:r>
        <w:rPr>
          <w:rFonts w:hint="eastAsia"/>
          <w:b/>
          <w:sz w:val="28"/>
          <w:szCs w:val="28"/>
        </w:rPr>
        <w:t>（自行下载：</w:t>
      </w:r>
      <w:r>
        <w:rPr>
          <w:b/>
        </w:rPr>
        <w:t>sdlongzheng2022@163.com</w:t>
      </w:r>
      <w:r>
        <w:rPr>
          <w:b/>
          <w:sz w:val="28"/>
          <w:szCs w:val="28"/>
        </w:rPr>
        <w:t xml:space="preserve"> </w:t>
      </w:r>
      <w:r>
        <w:rPr>
          <w:rFonts w:hint="eastAsia"/>
          <w:b/>
          <w:sz w:val="28"/>
          <w:szCs w:val="28"/>
        </w:rPr>
        <w:t>,密码：</w:t>
      </w:r>
      <w:r>
        <w:rPr>
          <w:b/>
        </w:rPr>
        <w:t>SDlz2022</w:t>
      </w:r>
      <w:r>
        <w:rPr>
          <w:b/>
          <w:sz w:val="28"/>
          <w:szCs w:val="28"/>
        </w:rPr>
        <w:t xml:space="preserve"> </w:t>
      </w:r>
      <w:r>
        <w:rPr>
          <w:rFonts w:hint="eastAsia"/>
          <w:b/>
          <w:sz w:val="28"/>
          <w:szCs w:val="28"/>
        </w:rPr>
        <w:t>）</w:t>
      </w:r>
    </w:p>
    <w:p>
      <w:pPr>
        <w:snapToGrid w:val="0"/>
        <w:spacing w:line="360" w:lineRule="auto"/>
        <w:jc w:val="both"/>
        <w:textAlignment w:val="baseline"/>
        <w:rPr>
          <w:sz w:val="24"/>
          <w:szCs w:val="24"/>
        </w:rPr>
      </w:pPr>
    </w:p>
    <w:sectPr>
      <w:pgSz w:w="11911" w:h="16838"/>
      <w:pgMar w:top="1440" w:right="1440" w:bottom="1440" w:left="1440" w:header="850" w:footer="85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minorBidi">
    <w:altName w:val="Times New Roman"/>
    <w:panose1 w:val="00000000000000000000"/>
    <w:charset w:val="00"/>
    <w:family w:val="roman"/>
    <w:pitch w:val="default"/>
    <w:sig w:usb0="00000000" w:usb1="00000000" w:usb2="00000000" w:usb3="00000000" w:csb0="00040001" w:csb1="00000000"/>
  </w:font>
  <w:font w:name="全真中明體">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lang w:val="en-US"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-200025</wp:posOffset>
              </wp:positionV>
              <wp:extent cx="180340" cy="175895"/>
              <wp:effectExtent l="0" t="0" r="0" b="0"/>
              <wp:wrapNone/>
              <wp:docPr id="3" name="文本框 15"/>
              <wp:cNvGraphicFramePr/>
              <a:graphic xmlns:a="http://schemas.openxmlformats.org/drawingml/2006/main">
                <a:graphicData uri="http://schemas.microsoft.com/office/word/2010/wordprocessingShape">
                  <wps:wsp>
                    <wps:cNvSpPr txBox="1"/>
                    <wps:spPr>
                      <a:xfrm>
                        <a:off x="0" y="0"/>
                        <a:ext cx="180340" cy="175895"/>
                      </a:xfrm>
                      <a:prstGeom prst="rect">
                        <a:avLst/>
                      </a:prstGeom>
                      <a:noFill/>
                      <a:ln>
                        <a:noFill/>
                      </a:ln>
                    </wps:spPr>
                    <wps:txbx>
                      <w:txbxContent>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18</w:t>
                          </w:r>
                          <w:r>
                            <w:rPr>
                              <w:sz w:val="21"/>
                              <w:szCs w:val="21"/>
                            </w:rPr>
                            <w:fldChar w:fldCharType="end"/>
                          </w:r>
                        </w:p>
                      </w:txbxContent>
                    </wps:txbx>
                    <wps:bodyPr lIns="0" tIns="0" rIns="0" bIns="0"/>
                  </wps:wsp>
                </a:graphicData>
              </a:graphic>
            </wp:anchor>
          </w:drawing>
        </mc:Choice>
        <mc:Fallback>
          <w:pict>
            <v:shape id="文本框 15" o:spid="_x0000_s1026" o:spt="202" type="#_x0000_t202" style="position:absolute;left:0pt;margin-top:-15.75pt;height:13.85pt;width:14.2pt;mso-position-horizontal:right;mso-position-horizontal-relative:margin;z-index:251659264;mso-width-relative:page;mso-height-relative:page;" filled="f" stroked="f" coordsize="21600,21600" o:gfxdata="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o4wm9YAAAAGAQAADwAAAAAAAAABACAAAAAiAAAAZHJzL2Rvd25yZXYueG1sUEsBAhQAFAAAAAgA&#10;h07iQCHBAcu1AQAAZgMAAA4AAAAAAAAAAQAgAAAAJQEAAGRycy9lMm9Eb2MueG1sUEsFBgAAAAAG&#10;AAYAWQEAAEwFAAAAAA==&#10;">
              <v:fill on="f" focussize="0,0"/>
              <v:stroke on="f"/>
              <v:imagedata o:title=""/>
              <o:lock v:ext="edit" aspectratio="f"/>
              <v:textbox inset="0mm,0mm,0mm,0mm">
                <w:txbxContent>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18</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-200025</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文本框 16" o:spid="_x0000_s1026" o:spt="202" type="#_x0000_t202" style="position:absolute;left:0pt;margin-top:-15.75pt;height:144pt;width:144pt;mso-position-horizontal:right;mso-position-horizontal-relative:margin;mso-wrap-style:none;z-index:251660288;mso-width-relative:page;mso-height-relative:page;" filled="f" stroked="f" coordsize="21600,21600" o:gfxdata="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p0vtUAAAAIAQAADwAAAAAAAAABACAAAAAiAAAAZHJzL2Rvd25yZXYueG1s&#10;UEsBAhQAFAAAAAgAh07iQIA0MMvCAQAAjgMAAA4AAAAAAAAAAQAgAAAAJA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lang w:val="en-US"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-200025</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21</w:t>
                          </w:r>
                          <w:r>
                            <w:rPr>
                              <w:sz w:val="21"/>
                              <w:szCs w:val="21"/>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15.75pt;height:144pt;width:144pt;mso-position-horizontal:right;mso-position-horizontal-relative:margin;mso-wrap-style:none;z-index:251661312;mso-width-relative:page;mso-height-relative:page;" filled="f" stroked="f" coordsize="21600,21600" o:gfxdata="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p0vtUAAAAIAQAADwAAAAAAAAABACAAAAAiAAAAZHJzL2Rvd25yZXYueG1s&#10;UEsBAhQAFAAAAAgAh07iQFsaRbXCAQAAjgMAAA4AAAAAAAAAAQAgAAAAJAEAAGRycy9lMm9Eb2Mu&#10;eG1sUEsFBgAAAAAGAAYAWQEAAFgFAAAAAA==&#10;">
              <v:fill on="f" focussize="0,0"/>
              <v:stroke on="f"/>
              <v:imagedata o:title=""/>
              <o:lock v:ext="edit" aspectratio="f"/>
              <v:textbox inset="0mm,0mm,0mm,0mm" style="mso-fit-shape-to-text:t;">
                <w:txbxContent>
                  <w:p>
                    <w:pPr>
                      <w:pStyle w:val="15"/>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21</w:t>
                    </w:r>
                    <w:r>
                      <w:rPr>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lang w:val="en-US"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-200025</wp:posOffset>
              </wp:positionV>
              <wp:extent cx="190500" cy="1828800"/>
              <wp:effectExtent l="0" t="0" r="0" b="0"/>
              <wp:wrapNone/>
              <wp:docPr id="6" name="文本框 18"/>
              <wp:cNvGraphicFramePr/>
              <a:graphic xmlns:a="http://schemas.openxmlformats.org/drawingml/2006/main">
                <a:graphicData uri="http://schemas.microsoft.com/office/word/2010/wordprocessingShape">
                  <wps:wsp>
                    <wps:cNvSpPr txBox="1"/>
                    <wps:spPr>
                      <a:xfrm>
                        <a:off x="0" y="0"/>
                        <a:ext cx="190500" cy="1828800"/>
                      </a:xfrm>
                      <a:prstGeom prst="rect">
                        <a:avLst/>
                      </a:prstGeom>
                      <a:noFill/>
                      <a:ln>
                        <a:noFill/>
                      </a:ln>
                    </wps:spPr>
                    <wps:txbx>
                      <w:txbxContent>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25</w:t>
                          </w:r>
                          <w:r>
                            <w:rPr>
                              <w:sz w:val="21"/>
                              <w:szCs w:val="21"/>
                            </w:rPr>
                            <w:fldChar w:fldCharType="end"/>
                          </w:r>
                        </w:p>
                      </w:txbxContent>
                    </wps:txbx>
                    <wps:bodyPr lIns="0" tIns="0" rIns="0" bIns="0">
                      <a:spAutoFit/>
                    </wps:bodyPr>
                  </wps:wsp>
                </a:graphicData>
              </a:graphic>
            </wp:anchor>
          </w:drawing>
        </mc:Choice>
        <mc:Fallback>
          <w:pict>
            <v:shape id="文本框 18" o:spid="_x0000_s1026" o:spt="202" type="#_x0000_t202" style="position:absolute;left:0pt;margin-top:-15.75pt;height:144pt;width:15pt;mso-position-horizontal:right;mso-position-horizontal-relative:margin;z-index:251662336;mso-width-relative:page;mso-height-relative:page;" filled="f" stroked="f" coordsize="21600,21600" o:gfxdata="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RdhWNUAAAAHAQAADwAAAAAAAAABACAAAAAiAAAAZHJzL2Rvd25yZXYueG1sUEsBAhQA&#10;FAAAAAgAh07iQA5n0zi8AQAAgQMAAA4AAAAAAAAAAQAgAAAAJAEAAGRycy9lMm9Eb2MueG1sUEsF&#10;BgAAAAAGAAYAWQEAAFIFAAAAAA==&#10;">
              <v:fill on="f" focussize="0,0"/>
              <v:stroke on="f"/>
              <v:imagedata o:title=""/>
              <o:lock v:ext="edit" aspectratio="f"/>
              <v:textbox inset="0mm,0mm,0mm,0mm" style="mso-fit-shape-to-text:t;">
                <w:txbxContent>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25</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ZmQ2NDc2NTI3NDZkNDhmMWJiMjZmZWJhZmNmMzkifQ=="/>
  </w:docVars>
  <w:rsids>
    <w:rsidRoot w:val="008512A8"/>
    <w:rsid w:val="00013E66"/>
    <w:rsid w:val="00046D8E"/>
    <w:rsid w:val="000E3625"/>
    <w:rsid w:val="000F1630"/>
    <w:rsid w:val="00137A89"/>
    <w:rsid w:val="001600D0"/>
    <w:rsid w:val="001A05B4"/>
    <w:rsid w:val="002345E5"/>
    <w:rsid w:val="002B5584"/>
    <w:rsid w:val="002E7FF5"/>
    <w:rsid w:val="002F7389"/>
    <w:rsid w:val="00301D2A"/>
    <w:rsid w:val="00302A68"/>
    <w:rsid w:val="00307758"/>
    <w:rsid w:val="0031749D"/>
    <w:rsid w:val="0033410B"/>
    <w:rsid w:val="003341D4"/>
    <w:rsid w:val="00351FCF"/>
    <w:rsid w:val="00356A77"/>
    <w:rsid w:val="00386A08"/>
    <w:rsid w:val="003D0AE2"/>
    <w:rsid w:val="003D13C7"/>
    <w:rsid w:val="00460261"/>
    <w:rsid w:val="00470017"/>
    <w:rsid w:val="00473CA9"/>
    <w:rsid w:val="005054C5"/>
    <w:rsid w:val="00516886"/>
    <w:rsid w:val="0053735B"/>
    <w:rsid w:val="00544DBA"/>
    <w:rsid w:val="005710DA"/>
    <w:rsid w:val="005B5703"/>
    <w:rsid w:val="005D1428"/>
    <w:rsid w:val="005D7B81"/>
    <w:rsid w:val="00637B68"/>
    <w:rsid w:val="006600AB"/>
    <w:rsid w:val="006753D9"/>
    <w:rsid w:val="00676CF0"/>
    <w:rsid w:val="006841ED"/>
    <w:rsid w:val="00687B3C"/>
    <w:rsid w:val="00714B20"/>
    <w:rsid w:val="00715638"/>
    <w:rsid w:val="00726741"/>
    <w:rsid w:val="00763567"/>
    <w:rsid w:val="00790C5D"/>
    <w:rsid w:val="00797D4B"/>
    <w:rsid w:val="008274E9"/>
    <w:rsid w:val="00836617"/>
    <w:rsid w:val="008512A8"/>
    <w:rsid w:val="00854BBC"/>
    <w:rsid w:val="00871F0E"/>
    <w:rsid w:val="008B1B1B"/>
    <w:rsid w:val="008F1E7B"/>
    <w:rsid w:val="008F478F"/>
    <w:rsid w:val="00924A55"/>
    <w:rsid w:val="00926775"/>
    <w:rsid w:val="009308C7"/>
    <w:rsid w:val="00937DC6"/>
    <w:rsid w:val="0094507A"/>
    <w:rsid w:val="009504DF"/>
    <w:rsid w:val="009517A5"/>
    <w:rsid w:val="00960928"/>
    <w:rsid w:val="009631A0"/>
    <w:rsid w:val="00993050"/>
    <w:rsid w:val="009B144B"/>
    <w:rsid w:val="009B6D5C"/>
    <w:rsid w:val="009C2864"/>
    <w:rsid w:val="00A73359"/>
    <w:rsid w:val="00A77615"/>
    <w:rsid w:val="00A83E8C"/>
    <w:rsid w:val="00AA6220"/>
    <w:rsid w:val="00AE52AD"/>
    <w:rsid w:val="00B6324A"/>
    <w:rsid w:val="00B824F3"/>
    <w:rsid w:val="00BB4105"/>
    <w:rsid w:val="00BC342E"/>
    <w:rsid w:val="00BF035C"/>
    <w:rsid w:val="00BF6B16"/>
    <w:rsid w:val="00C619FA"/>
    <w:rsid w:val="00C64739"/>
    <w:rsid w:val="00C876CB"/>
    <w:rsid w:val="00C976E3"/>
    <w:rsid w:val="00CC5124"/>
    <w:rsid w:val="00CD79F9"/>
    <w:rsid w:val="00D10027"/>
    <w:rsid w:val="00D451D0"/>
    <w:rsid w:val="00D84EBF"/>
    <w:rsid w:val="00D94736"/>
    <w:rsid w:val="00DB657B"/>
    <w:rsid w:val="00DF589B"/>
    <w:rsid w:val="00E00626"/>
    <w:rsid w:val="00E055ED"/>
    <w:rsid w:val="00E36E0C"/>
    <w:rsid w:val="00E378BC"/>
    <w:rsid w:val="00E5250B"/>
    <w:rsid w:val="00EB30F9"/>
    <w:rsid w:val="00ED5801"/>
    <w:rsid w:val="00F317C6"/>
    <w:rsid w:val="00F56191"/>
    <w:rsid w:val="00F7515E"/>
    <w:rsid w:val="00F94E03"/>
    <w:rsid w:val="00FF688A"/>
    <w:rsid w:val="02FA093C"/>
    <w:rsid w:val="09C47500"/>
    <w:rsid w:val="0A9D7232"/>
    <w:rsid w:val="0D281319"/>
    <w:rsid w:val="0DCF145C"/>
    <w:rsid w:val="0E17228C"/>
    <w:rsid w:val="0EDC361C"/>
    <w:rsid w:val="0F0B3102"/>
    <w:rsid w:val="0F727972"/>
    <w:rsid w:val="10DB41CE"/>
    <w:rsid w:val="10FE1F13"/>
    <w:rsid w:val="125D695E"/>
    <w:rsid w:val="164D4F32"/>
    <w:rsid w:val="1BD30A8E"/>
    <w:rsid w:val="1F222BC8"/>
    <w:rsid w:val="20950BC6"/>
    <w:rsid w:val="2319743E"/>
    <w:rsid w:val="240522EF"/>
    <w:rsid w:val="29A21292"/>
    <w:rsid w:val="2ABF62BC"/>
    <w:rsid w:val="2E372B89"/>
    <w:rsid w:val="320F1351"/>
    <w:rsid w:val="340A1D0E"/>
    <w:rsid w:val="35E205D6"/>
    <w:rsid w:val="37FA3DB9"/>
    <w:rsid w:val="38B77768"/>
    <w:rsid w:val="3B6A6544"/>
    <w:rsid w:val="3B9C16B1"/>
    <w:rsid w:val="3DB330B0"/>
    <w:rsid w:val="3DFF03CF"/>
    <w:rsid w:val="3E0C346D"/>
    <w:rsid w:val="3F8136FB"/>
    <w:rsid w:val="43850BD2"/>
    <w:rsid w:val="45DB394B"/>
    <w:rsid w:val="47280A60"/>
    <w:rsid w:val="490624D9"/>
    <w:rsid w:val="4AF84CF8"/>
    <w:rsid w:val="4B8B5F64"/>
    <w:rsid w:val="4CF67BD8"/>
    <w:rsid w:val="4D2061DA"/>
    <w:rsid w:val="524A6391"/>
    <w:rsid w:val="539C6955"/>
    <w:rsid w:val="541711D4"/>
    <w:rsid w:val="55C8424B"/>
    <w:rsid w:val="5BEF4D19"/>
    <w:rsid w:val="5FC66E33"/>
    <w:rsid w:val="61840F12"/>
    <w:rsid w:val="64CD6521"/>
    <w:rsid w:val="65183FC7"/>
    <w:rsid w:val="658074D9"/>
    <w:rsid w:val="65816998"/>
    <w:rsid w:val="6C0741A7"/>
    <w:rsid w:val="6ED41169"/>
    <w:rsid w:val="7465458F"/>
    <w:rsid w:val="75BA7DCF"/>
    <w:rsid w:val="764F08A8"/>
    <w:rsid w:val="77153721"/>
    <w:rsid w:val="77807A65"/>
    <w:rsid w:val="7A5B3318"/>
    <w:rsid w:val="7AE976D9"/>
    <w:rsid w:val="7F0B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4">
    <w:name w:val="heading 1"/>
    <w:basedOn w:val="1"/>
    <w:next w:val="1"/>
    <w:qFormat/>
    <w:uiPriority w:val="1"/>
    <w:pPr>
      <w:ind w:left="217"/>
      <w:outlineLvl w:val="0"/>
    </w:pPr>
    <w:rPr>
      <w:b/>
      <w:bCs/>
      <w:sz w:val="32"/>
      <w:szCs w:val="32"/>
    </w:rPr>
  </w:style>
  <w:style w:type="paragraph" w:styleId="5">
    <w:name w:val="heading 2"/>
    <w:basedOn w:val="1"/>
    <w:next w:val="1"/>
    <w:qFormat/>
    <w:uiPriority w:val="1"/>
    <w:pPr>
      <w:ind w:right="118"/>
      <w:jc w:val="center"/>
      <w:outlineLvl w:val="1"/>
    </w:pPr>
    <w:rPr>
      <w:b/>
      <w:bCs/>
      <w:sz w:val="28"/>
      <w:szCs w:val="28"/>
    </w:rPr>
  </w:style>
  <w:style w:type="paragraph" w:styleId="6">
    <w:name w:val="heading 3"/>
    <w:basedOn w:val="1"/>
    <w:next w:val="1"/>
    <w:qFormat/>
    <w:uiPriority w:val="1"/>
    <w:pPr>
      <w:ind w:left="217"/>
      <w:outlineLvl w:val="2"/>
    </w:pPr>
    <w:rPr>
      <w:b/>
      <w:bCs/>
      <w:sz w:val="24"/>
      <w:szCs w:val="24"/>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6240"/>
      </w:tabs>
      <w:ind w:left="360" w:firstLine="420" w:firstLineChars="200"/>
    </w:pPr>
  </w:style>
  <w:style w:type="paragraph" w:styleId="3">
    <w:name w:val="Body Text Indent"/>
    <w:basedOn w:val="1"/>
    <w:next w:val="1"/>
    <w:qFormat/>
    <w:uiPriority w:val="0"/>
    <w:pPr>
      <w:ind w:firstLine="630"/>
    </w:pPr>
    <w:rPr>
      <w:rFonts w:eastAsia="仿宋_GB2312"/>
      <w:sz w:val="32"/>
      <w:szCs w:val="20"/>
    </w:rPr>
  </w:style>
  <w:style w:type="paragraph" w:styleId="7">
    <w:name w:val="Body Text"/>
    <w:basedOn w:val="1"/>
    <w:next w:val="8"/>
    <w:qFormat/>
    <w:uiPriority w:val="1"/>
    <w:rPr>
      <w:sz w:val="24"/>
      <w:szCs w:val="24"/>
    </w:rPr>
  </w:style>
  <w:style w:type="paragraph" w:customStyle="1" w:styleId="8">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9">
    <w:name w:val="Block Text"/>
    <w:basedOn w:val="1"/>
    <w:qFormat/>
    <w:uiPriority w:val="0"/>
    <w:pPr>
      <w:spacing w:after="120"/>
      <w:ind w:left="1440" w:leftChars="700" w:right="1440" w:rightChars="700"/>
    </w:pPr>
  </w:style>
  <w:style w:type="paragraph" w:styleId="10">
    <w:name w:val="index 4"/>
    <w:basedOn w:val="1"/>
    <w:next w:val="1"/>
    <w:qFormat/>
    <w:uiPriority w:val="0"/>
    <w:pPr>
      <w:ind w:left="600" w:leftChars="600"/>
    </w:pPr>
    <w:rPr>
      <w:rFonts w:ascii="DFKai-SB" w:hAnsi="Times New Roman" w:eastAsia="DFKai-SB" w:cs="Times New Roman"/>
      <w:sz w:val="28"/>
      <w:lang w:eastAsia="zh-TW"/>
    </w:rPr>
  </w:style>
  <w:style w:type="paragraph" w:styleId="11">
    <w:name w:val="Plain Text"/>
    <w:basedOn w:val="1"/>
    <w:next w:val="12"/>
    <w:link w:val="28"/>
    <w:qFormat/>
    <w:uiPriority w:val="0"/>
    <w:rPr>
      <w:rFonts w:ascii="宋体" w:hAnsi="Courier New"/>
      <w:szCs w:val="20"/>
    </w:rPr>
  </w:style>
  <w:style w:type="paragraph" w:styleId="12">
    <w:name w:val="Subtitle"/>
    <w:next w:val="1"/>
    <w:qFormat/>
    <w:uiPriority w:val="0"/>
    <w:pPr>
      <w:wordWrap w:val="0"/>
      <w:spacing w:after="60"/>
      <w:jc w:val="center"/>
    </w:pPr>
    <w:rPr>
      <w:rFonts w:ascii="minorBidi" w:hAnsi="minorBidi" w:eastAsia="仿宋_GB2312" w:cs="全真中明體"/>
      <w:sz w:val="24"/>
      <w:lang w:val="en-US" w:eastAsia="zh-CN" w:bidi="ar-SA"/>
    </w:rPr>
  </w:style>
  <w:style w:type="paragraph" w:styleId="13">
    <w:name w:val="Date"/>
    <w:basedOn w:val="1"/>
    <w:next w:val="1"/>
    <w:link w:val="32"/>
    <w:qFormat/>
    <w:uiPriority w:val="0"/>
    <w:pPr>
      <w:autoSpaceDE/>
      <w:autoSpaceDN/>
      <w:jc w:val="both"/>
    </w:pPr>
    <w:rPr>
      <w:rFonts w:ascii="Times New Roman" w:hAnsi="Times New Roman" w:eastAsia="仿宋_GB2312" w:cs="Times New Roman"/>
      <w:sz w:val="32"/>
      <w:szCs w:val="20"/>
      <w:lang w:val="en-US" w:bidi="ar-SA"/>
    </w:rPr>
  </w:style>
  <w:style w:type="paragraph" w:styleId="14">
    <w:name w:val="Balloon Text"/>
    <w:basedOn w:val="1"/>
    <w:link w:val="27"/>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Normal (Web)"/>
    <w:basedOn w:val="1"/>
    <w:link w:val="31"/>
    <w:qFormat/>
    <w:uiPriority w:val="99"/>
    <w:pPr>
      <w:widowControl/>
      <w:spacing w:before="100" w:beforeAutospacing="1" w:after="100" w:afterAutospacing="1"/>
      <w:ind w:firstLine="480"/>
    </w:pPr>
    <w:rPr>
      <w:rFonts w:ascii="宋体" w:hAnsi="宋体" w:cs="宋体"/>
      <w:sz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FollowedHyperlink"/>
    <w:basedOn w:val="20"/>
    <w:qFormat/>
    <w:uiPriority w:val="0"/>
    <w:rPr>
      <w:color w:val="800080"/>
      <w:u w:val="none"/>
    </w:rPr>
  </w:style>
  <w:style w:type="character" w:styleId="23">
    <w:name w:val="Hyperlink"/>
    <w:basedOn w:val="20"/>
    <w:qFormat/>
    <w:uiPriority w:val="0"/>
    <w:rPr>
      <w:color w:val="0000FF"/>
      <w:u w:val="none"/>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pPr>
      <w:ind w:left="217" w:firstLine="480"/>
    </w:pPr>
  </w:style>
  <w:style w:type="paragraph" w:customStyle="1" w:styleId="26">
    <w:name w:val="Table Paragraph"/>
    <w:basedOn w:val="1"/>
    <w:qFormat/>
    <w:uiPriority w:val="1"/>
  </w:style>
  <w:style w:type="character" w:customStyle="1" w:styleId="27">
    <w:name w:val="批注框文本 字符"/>
    <w:basedOn w:val="20"/>
    <w:link w:val="14"/>
    <w:qFormat/>
    <w:uiPriority w:val="0"/>
    <w:rPr>
      <w:rFonts w:ascii="仿宋" w:hAnsi="仿宋" w:eastAsia="仿宋" w:cs="仿宋"/>
      <w:sz w:val="18"/>
      <w:szCs w:val="18"/>
      <w:lang w:val="zh-CN" w:bidi="zh-CN"/>
    </w:rPr>
  </w:style>
  <w:style w:type="character" w:customStyle="1" w:styleId="28">
    <w:name w:val="纯文本 字符"/>
    <w:basedOn w:val="20"/>
    <w:link w:val="11"/>
    <w:qFormat/>
    <w:uiPriority w:val="0"/>
    <w:rPr>
      <w:rFonts w:ascii="宋体" w:hAnsi="Courier New" w:eastAsia="仿宋" w:cs="仿宋"/>
      <w:sz w:val="22"/>
      <w:lang w:val="zh-CN" w:bidi="zh-CN"/>
    </w:rPr>
  </w:style>
  <w:style w:type="paragraph" w:customStyle="1" w:styleId="29">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0">
    <w:name w:val="正文 A"/>
    <w:qFormat/>
    <w:uiPriority w:val="0"/>
    <w:pPr>
      <w:framePr w:wrap="around" w:vAnchor="margin" w:hAnchor="text" w:y="1"/>
    </w:pPr>
    <w:rPr>
      <w:rFonts w:hint="eastAsia" w:ascii="Arial Unicode MS" w:hAnsi="Arial Unicode MS" w:eastAsia="Arial Unicode MS" w:cs="Arial Unicode MS"/>
      <w:color w:val="000000"/>
      <w:sz w:val="24"/>
      <w:szCs w:val="24"/>
      <w:u w:color="000000"/>
      <w:lang w:val="zh-TW" w:eastAsia="zh-TW" w:bidi="ar-SA"/>
    </w:rPr>
  </w:style>
  <w:style w:type="character" w:customStyle="1" w:styleId="31">
    <w:name w:val="普通(网站) 字符"/>
    <w:link w:val="17"/>
    <w:qFormat/>
    <w:uiPriority w:val="0"/>
    <w:rPr>
      <w:rFonts w:ascii="宋体" w:hAnsi="宋体" w:eastAsia="仿宋" w:cs="宋体"/>
      <w:sz w:val="24"/>
      <w:szCs w:val="22"/>
      <w:lang w:val="zh-CN" w:bidi="zh-CN"/>
    </w:rPr>
  </w:style>
  <w:style w:type="character" w:customStyle="1" w:styleId="32">
    <w:name w:val="日期 字符"/>
    <w:link w:val="13"/>
    <w:qFormat/>
    <w:uiPriority w:val="0"/>
    <w:rPr>
      <w:rFonts w:eastAsia="仿宋_GB2312"/>
      <w:sz w:val="32"/>
    </w:rPr>
  </w:style>
  <w:style w:type="character" w:customStyle="1" w:styleId="33">
    <w:name w:val="日期 字符1"/>
    <w:basedOn w:val="20"/>
    <w:qFormat/>
    <w:uiPriority w:val="0"/>
    <w:rPr>
      <w:rFonts w:ascii="仿宋" w:hAnsi="仿宋" w:eastAsia="仿宋" w:cs="仿宋"/>
      <w:sz w:val="22"/>
      <w:szCs w:val="22"/>
      <w:lang w:val="zh-CN" w:bidi="zh-CN"/>
    </w:rPr>
  </w:style>
  <w:style w:type="paragraph" w:customStyle="1" w:styleId="34">
    <w:name w:val="_Style 32"/>
    <w:basedOn w:val="3"/>
    <w:next w:val="2"/>
    <w:qFormat/>
    <w:uiPriority w:val="0"/>
    <w:pPr>
      <w:autoSpaceDE/>
      <w:autoSpaceDN/>
      <w:spacing w:after="120"/>
      <w:ind w:left="420" w:leftChars="200" w:firstLine="420" w:firstLineChars="200"/>
      <w:jc w:val="both"/>
    </w:pPr>
    <w:rPr>
      <w:rFonts w:ascii="Calibri" w:hAnsi="Calibri" w:eastAsia="宋体" w:cs="Times New Roman"/>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5CE52-A338-446A-9B74-62EDDD032927}">
  <ds:schemaRefs/>
</ds:datastoreItem>
</file>

<file path=docProps/app.xml><?xml version="1.0" encoding="utf-8"?>
<Properties xmlns="http://schemas.openxmlformats.org/officeDocument/2006/extended-properties" xmlns:vt="http://schemas.openxmlformats.org/officeDocument/2006/docPropsVTypes">
  <Template>Normal</Template>
  <Pages>27</Pages>
  <Words>11890</Words>
  <Characters>12192</Characters>
  <Lines>95</Lines>
  <Paragraphs>26</Paragraphs>
  <TotalTime>6</TotalTime>
  <ScaleCrop>false</ScaleCrop>
  <LinksUpToDate>false</LinksUpToDate>
  <CharactersWithSpaces>12511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2021-07-06T10:11:00Z</dcterms:created>
  <dc:creator>Administrator.PC-20170407JAOK</dc:creator>
  <cp:lastModifiedBy>快关门</cp:lastModifiedBy>
  <cp:lastPrinted>2022-04-11T05:35:00Z</cp:lastPrinted>
  <dcterms:modified xsi:type="dcterms:W3CDTF">2022-07-06T03:35:46Z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WPS 文字</vt:lpwstr>
  </property>
  <property fmtid="{D5CDD505-2E9C-101B-9397-08002B2CF9AE}" pid="4" name="LastSaved">
    <vt:filetime>2021-07-06T00:00:00Z</vt:filetime>
  </property>
  <property fmtid="{D5CDD505-2E9C-101B-9397-08002B2CF9AE}" pid="5" name="KSOProductBuildVer">
    <vt:lpwstr>2052-11.1.0.11830</vt:lpwstr>
  </property>
  <property fmtid="{D5CDD505-2E9C-101B-9397-08002B2CF9AE}" pid="6" name="ICV">
    <vt:lpwstr>518A8D667B6743FEB734352E12E9BDE0</vt:lpwstr>
  </property>
</Properties>
</file>