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0"/>
        </w:tabs>
        <w:spacing w:before="50" w:after="100" w:line="340" w:lineRule="exact"/>
        <w:jc w:val="left"/>
        <w:rPr>
          <w:rFonts w:hint="eastAsia" w:ascii="宋体" w:hAnsi="宋体" w:eastAsia="宋体" w:cs="宋体"/>
          <w:b/>
          <w:bCs/>
          <w:sz w:val="44"/>
          <w:szCs w:val="44"/>
          <w:lang w:eastAsia="zh-CN"/>
        </w:rPr>
      </w:pPr>
      <w:bookmarkStart w:id="0" w:name="_GoBack"/>
      <w:bookmarkEnd w:id="0"/>
      <w:r>
        <w:rPr>
          <w:rFonts w:hint="eastAsia" w:ascii="仿宋_GB2312" w:hAnsi="宋体" w:eastAsia="仿宋_GB2312" w:cs="宋体"/>
          <w:b/>
          <w:bCs/>
          <w:kern w:val="0"/>
          <w:sz w:val="30"/>
          <w:szCs w:val="30"/>
        </w:rPr>
        <w:t>附件：</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44"/>
          <w:szCs w:val="44"/>
          <w:lang w:eastAsia="zh-CN"/>
        </w:rPr>
      </w:pPr>
      <w:r>
        <w:rPr>
          <w:rFonts w:hint="eastAsia" w:ascii="宋体" w:hAnsi="宋体" w:eastAsia="宋体" w:cs="宋体"/>
          <w:b/>
          <w:color w:val="auto"/>
          <w:sz w:val="44"/>
          <w:szCs w:val="44"/>
          <w:lang w:eastAsia="zh-CN"/>
        </w:rPr>
        <w:t>东营市第二人民医院</w:t>
      </w:r>
    </w:p>
    <w:p>
      <w:pPr>
        <w:widowControl/>
        <w:spacing w:line="270" w:lineRule="atLeast"/>
        <w:jc w:val="center"/>
        <w:rPr>
          <w:rFonts w:hint="eastAsia" w:ascii="宋体" w:hAnsi="宋体" w:eastAsia="宋体" w:cs="宋体"/>
          <w:b/>
          <w:kern w:val="0"/>
          <w:sz w:val="44"/>
          <w:szCs w:val="44"/>
          <w:lang w:val="en-US" w:eastAsia="zh-CN"/>
        </w:rPr>
      </w:pPr>
      <w:r>
        <w:rPr>
          <w:rFonts w:hint="eastAsia" w:ascii="宋体" w:hAnsi="宋体" w:eastAsia="宋体" w:cs="宋体"/>
          <w:b/>
          <w:kern w:val="0"/>
          <w:sz w:val="44"/>
          <w:szCs w:val="44"/>
          <w:lang w:val="en-US" w:eastAsia="zh-CN"/>
        </w:rPr>
        <w:t>高档多排螺旋CT</w:t>
      </w:r>
    </w:p>
    <w:p>
      <w:pPr>
        <w:jc w:val="center"/>
        <w:rPr>
          <w:rFonts w:hint="eastAsia" w:ascii="宋体" w:hAnsi="宋体" w:eastAsia="宋体" w:cs="宋体"/>
          <w:b/>
          <w:color w:val="auto"/>
          <w:sz w:val="44"/>
          <w:szCs w:val="44"/>
          <w:lang w:eastAsia="zh-CN"/>
        </w:rPr>
      </w:pPr>
      <w:r>
        <w:rPr>
          <w:rFonts w:hint="eastAsia" w:ascii="宋体" w:hAnsi="宋体" w:eastAsia="宋体" w:cs="宋体"/>
          <w:b/>
          <w:color w:val="auto"/>
          <w:sz w:val="44"/>
          <w:szCs w:val="44"/>
          <w:lang w:eastAsia="zh-CN"/>
        </w:rPr>
        <w:t>院内预招标</w:t>
      </w:r>
      <w:r>
        <w:rPr>
          <w:rFonts w:hint="eastAsia" w:ascii="宋体" w:hAnsi="宋体" w:eastAsia="宋体" w:cs="宋体"/>
          <w:b/>
          <w:color w:val="auto"/>
          <w:sz w:val="44"/>
          <w:szCs w:val="44"/>
        </w:rPr>
        <w:t>参数</w:t>
      </w:r>
      <w:r>
        <w:rPr>
          <w:rFonts w:hint="eastAsia" w:ascii="宋体" w:hAnsi="宋体" w:eastAsia="宋体" w:cs="宋体"/>
          <w:b/>
          <w:color w:val="auto"/>
          <w:sz w:val="44"/>
          <w:szCs w:val="44"/>
          <w:lang w:eastAsia="zh-CN"/>
        </w:rPr>
        <w:t>要求</w:t>
      </w:r>
    </w:p>
    <w:p>
      <w:pPr>
        <w:spacing w:line="360" w:lineRule="auto"/>
        <w:ind w:left="0"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一、基本要求（本要求为重要条款，无法满足</w:t>
      </w:r>
      <w:r>
        <w:rPr>
          <w:rFonts w:hint="eastAsia" w:ascii="仿宋_GB2312" w:hAnsi="仿宋_GB2312" w:eastAsia="仿宋_GB2312" w:cs="仿宋_GB2312"/>
          <w:b/>
          <w:sz w:val="24"/>
          <w:szCs w:val="24"/>
          <w:lang w:eastAsia="zh-CN"/>
        </w:rPr>
        <w:t>机型不予考虑</w:t>
      </w:r>
      <w:r>
        <w:rPr>
          <w:rFonts w:hint="eastAsia" w:ascii="仿宋_GB2312" w:hAnsi="仿宋_GB2312" w:eastAsia="仿宋_GB2312" w:cs="仿宋_GB2312"/>
          <w:b/>
          <w:sz w:val="24"/>
          <w:szCs w:val="24"/>
        </w:rPr>
        <w:t>）</w:t>
      </w:r>
    </w:p>
    <w:tbl>
      <w:tblPr>
        <w:tblStyle w:val="3"/>
        <w:tblW w:w="9319" w:type="dxa"/>
        <w:tblInd w:w="0" w:type="dxa"/>
        <w:tblLayout w:type="fixed"/>
        <w:tblCellMar>
          <w:top w:w="0" w:type="dxa"/>
          <w:left w:w="30" w:type="dxa"/>
          <w:bottom w:w="0" w:type="dxa"/>
          <w:right w:w="30" w:type="dxa"/>
        </w:tblCellMar>
      </w:tblPr>
      <w:tblGrid>
        <w:gridCol w:w="848"/>
        <w:gridCol w:w="2049"/>
        <w:gridCol w:w="683"/>
        <w:gridCol w:w="5739"/>
      </w:tblGrid>
      <w:tr>
        <w:tblPrEx>
          <w:tblCellMar>
            <w:top w:w="0" w:type="dxa"/>
            <w:left w:w="30" w:type="dxa"/>
            <w:bottom w:w="0" w:type="dxa"/>
            <w:right w:w="30" w:type="dxa"/>
          </w:tblCellMar>
        </w:tblPrEx>
        <w:trPr>
          <w:trHeight w:val="491" w:hRule="atLeast"/>
        </w:trPr>
        <w:tc>
          <w:tcPr>
            <w:tcW w:w="848"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货 物 名 称</w:t>
            </w:r>
          </w:p>
        </w:tc>
        <w:tc>
          <w:tcPr>
            <w:tcW w:w="683"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573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主要技术规格</w:t>
            </w:r>
          </w:p>
        </w:tc>
      </w:tr>
      <w:tr>
        <w:tblPrEx>
          <w:tblCellMar>
            <w:top w:w="0" w:type="dxa"/>
            <w:left w:w="30" w:type="dxa"/>
            <w:bottom w:w="0" w:type="dxa"/>
            <w:right w:w="30" w:type="dxa"/>
          </w:tblCellMar>
        </w:tblPrEx>
        <w:trPr>
          <w:cantSplit/>
          <w:trHeight w:val="1877" w:hRule="atLeast"/>
        </w:trPr>
        <w:tc>
          <w:tcPr>
            <w:tcW w:w="848"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高档多排螺旋CT</w:t>
            </w:r>
          </w:p>
        </w:tc>
        <w:tc>
          <w:tcPr>
            <w:tcW w:w="683"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1套</w:t>
            </w:r>
          </w:p>
        </w:tc>
        <w:tc>
          <w:tcPr>
            <w:tcW w:w="573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（1）探测器Z轴排列数≥32排</w:t>
            </w:r>
          </w:p>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（2）具备肺结节分析评估软件</w:t>
            </w:r>
          </w:p>
          <w:p>
            <w:pPr>
              <w:spacing w:line="360" w:lineRule="auto"/>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儿童协议，减少儿童X线照射量</w:t>
            </w:r>
          </w:p>
          <w:p>
            <w:pPr>
              <w:spacing w:line="360" w:lineRule="auto"/>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（4）提供低剂量肺部扫描方案</w:t>
            </w:r>
          </w:p>
        </w:tc>
      </w:tr>
      <w:tr>
        <w:tblPrEx>
          <w:tblCellMar>
            <w:top w:w="0" w:type="dxa"/>
            <w:left w:w="30" w:type="dxa"/>
            <w:bottom w:w="0" w:type="dxa"/>
            <w:right w:w="30" w:type="dxa"/>
          </w:tblCellMar>
        </w:tblPrEx>
        <w:trPr>
          <w:cantSplit/>
          <w:trHeight w:val="955" w:hRule="atLeast"/>
        </w:trPr>
        <w:tc>
          <w:tcPr>
            <w:tcW w:w="848"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随机附件</w:t>
            </w:r>
          </w:p>
        </w:tc>
        <w:tc>
          <w:tcPr>
            <w:tcW w:w="683"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1套</w:t>
            </w:r>
          </w:p>
        </w:tc>
        <w:tc>
          <w:tcPr>
            <w:tcW w:w="573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（包含紫外线消毒车、循环风、过氧化氢终末消毒装置）</w:t>
            </w:r>
          </w:p>
        </w:tc>
      </w:tr>
      <w:tr>
        <w:tblPrEx>
          <w:tblCellMar>
            <w:top w:w="0" w:type="dxa"/>
            <w:left w:w="30" w:type="dxa"/>
            <w:bottom w:w="0" w:type="dxa"/>
            <w:right w:w="30" w:type="dxa"/>
          </w:tblCellMar>
        </w:tblPrEx>
        <w:trPr>
          <w:cantSplit/>
          <w:trHeight w:val="521" w:hRule="atLeast"/>
        </w:trPr>
        <w:tc>
          <w:tcPr>
            <w:tcW w:w="848"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技术资料</w:t>
            </w:r>
          </w:p>
        </w:tc>
        <w:tc>
          <w:tcPr>
            <w:tcW w:w="683"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1套</w:t>
            </w:r>
          </w:p>
        </w:tc>
        <w:tc>
          <w:tcPr>
            <w:tcW w:w="5739"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w:t>
            </w:r>
          </w:p>
        </w:tc>
      </w:tr>
    </w:tbl>
    <w:p>
      <w:pPr>
        <w:ind w:left="0"/>
        <w:rPr>
          <w:rFonts w:hint="eastAsia" w:ascii="仿宋_GB2312" w:hAnsi="仿宋_GB2312" w:eastAsia="仿宋_GB2312" w:cs="仿宋_GB2312"/>
          <w:b/>
          <w:sz w:val="24"/>
          <w:szCs w:val="24"/>
        </w:rPr>
      </w:pPr>
    </w:p>
    <w:p>
      <w:pPr>
        <w:ind w:left="0"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二、技术条款（对于星号条款，无法满足即为废标）</w:t>
      </w:r>
    </w:p>
    <w:tbl>
      <w:tblPr>
        <w:tblStyle w:val="3"/>
        <w:tblW w:w="93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5299"/>
        <w:gridCol w:w="237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snapToGrid w:val="0"/>
              <w:ind w:left="0"/>
              <w:jc w:val="center"/>
              <w:rPr>
                <w:rFonts w:hint="eastAsia" w:ascii="仿宋_GB2312" w:hAnsi="仿宋_GB2312" w:eastAsia="仿宋_GB2312" w:cs="仿宋_GB2312"/>
                <w:sz w:val="24"/>
                <w:szCs w:val="24"/>
              </w:rPr>
            </w:pPr>
          </w:p>
        </w:tc>
        <w:tc>
          <w:tcPr>
            <w:tcW w:w="8515" w:type="dxa"/>
            <w:gridSpan w:val="3"/>
            <w:vAlign w:val="center"/>
          </w:tcPr>
          <w:p>
            <w:pPr>
              <w:snapToGrid w:val="0"/>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主要技术规格及配置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bCs/>
                <w:sz w:val="24"/>
                <w:szCs w:val="24"/>
              </w:rPr>
            </w:pPr>
          </w:p>
        </w:tc>
        <w:tc>
          <w:tcPr>
            <w:tcW w:w="5299" w:type="dxa"/>
            <w:vAlign w:val="center"/>
          </w:tcPr>
          <w:p>
            <w:pPr>
              <w:snapToGrid w:val="0"/>
              <w:ind w:left="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机架系统</w:t>
            </w:r>
          </w:p>
        </w:tc>
        <w:tc>
          <w:tcPr>
            <w:tcW w:w="2370" w:type="dxa"/>
            <w:vAlign w:val="center"/>
          </w:tcPr>
          <w:p>
            <w:pPr>
              <w:snapToGrid w:val="0"/>
              <w:ind w:left="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w:t>
            </w:r>
          </w:p>
        </w:tc>
        <w:tc>
          <w:tcPr>
            <w:tcW w:w="846" w:type="dxa"/>
            <w:vAlign w:val="center"/>
          </w:tcPr>
          <w:p>
            <w:pPr>
              <w:snapToGrid w:val="0"/>
              <w:ind w:left="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滑环类型</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低压滑环</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扫描架孔径</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≥65cm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shd w:val="clear" w:color="auto" w:fill="auto"/>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扫描架物理倾角（非数字倾角）</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shd w:val="clear" w:color="auto" w:fill="auto"/>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焦点到等中心点的距离</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≤560mm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shd w:val="clear" w:color="auto" w:fill="auto"/>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焦点到探测器的距离</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≤960mm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固态探测器类型</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稀土陶瓷</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机架系统</w:t>
            </w:r>
            <w:r>
              <w:rPr>
                <w:rFonts w:hint="eastAsia" w:ascii="仿宋_GB2312" w:hAnsi="仿宋_GB2312" w:eastAsia="仿宋_GB2312" w:cs="仿宋_GB2312"/>
                <w:sz w:val="24"/>
                <w:szCs w:val="24"/>
              </w:rPr>
              <w:t>可遥控</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具备机架旁摆位功能，技师可在机架旁进行升降及进出扫描床操作</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具备远程遥控摆位功能，技师可在操作台进行升降及进出扫描床操作</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具备快捷键摆位功能，技师可按住快捷键，一键将检查床调整到预设高度与床面位置</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具备人工智能摆位功能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三维激光定位系统</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机架冷却方式</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风冷</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tcBorders>
              <w:bottom w:val="single" w:color="auto" w:sz="4" w:space="0"/>
            </w:tcBorders>
            <w:vAlign w:val="center"/>
          </w:tcPr>
          <w:p>
            <w:pPr>
              <w:snapToGrid w:val="0"/>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机架最快旋转扫描时间/360</w:t>
            </w:r>
            <w:r>
              <w:rPr>
                <w:rFonts w:hint="eastAsia" w:ascii="仿宋_GB2312" w:hAnsi="仿宋_GB2312" w:eastAsia="仿宋_GB2312" w:cs="仿宋_GB2312"/>
                <w:sz w:val="24"/>
                <w:szCs w:val="24"/>
                <w:vertAlign w:val="superscript"/>
              </w:rPr>
              <w:t>°</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≤0.8s</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color w:val="FF0000"/>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每圈扫描层数</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≥32层</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最薄扫描层厚</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≤0.8mm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最薄图像重建层厚</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≤0.6mm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扫描视野</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≥50cm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最大重建矩阵</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≥512×512</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单次螺旋连续最长扫描时间</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≥100s</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单次螺旋扫描最大范围</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≥144cm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3D锥形束重建</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定位像长度</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≥160cm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最大螺距</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螺距自由选择</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扫描模式</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轴扫、螺旋</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自动螺旋</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10毫安低剂量扫描技术，满足临床诊断标准</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tcBorders>
              <w:bottom w:val="single" w:color="auto" w:sz="4" w:space="0"/>
            </w:tcBorders>
            <w:vAlign w:val="center"/>
          </w:tcPr>
          <w:p>
            <w:pPr>
              <w:snapToGrid w:val="0"/>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探测器及数据采样系统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厂家应提供最高档的探测器技术</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*探测器Z轴排列数</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≥32排</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*探测器单元Z轴最小尺寸</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≤0.8mm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探测器Z轴总宽度</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＞12.8mm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每排探测器单元数</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≥860个</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*探测器物理单元总数</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≥21800个</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bCs/>
                <w:sz w:val="24"/>
                <w:szCs w:val="24"/>
              </w:rPr>
            </w:pPr>
          </w:p>
        </w:tc>
        <w:tc>
          <w:tcPr>
            <w:tcW w:w="8515" w:type="dxa"/>
            <w:gridSpan w:val="3"/>
            <w:vAlign w:val="center"/>
          </w:tcPr>
          <w:p>
            <w:pPr>
              <w:snapToGrid w:val="0"/>
              <w:ind w:left="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球管及高压系统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color w:val="FF0000"/>
                <w:sz w:val="24"/>
                <w:szCs w:val="24"/>
              </w:rPr>
            </w:pPr>
          </w:p>
        </w:tc>
        <w:tc>
          <w:tcPr>
            <w:tcW w:w="5299" w:type="dxa"/>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厂家应提供最高档球管</w:t>
            </w:r>
          </w:p>
        </w:tc>
        <w:tc>
          <w:tcPr>
            <w:tcW w:w="2370" w:type="dxa"/>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具备</w:t>
            </w:r>
          </w:p>
        </w:tc>
        <w:tc>
          <w:tcPr>
            <w:tcW w:w="846" w:type="dxa"/>
            <w:vAlign w:val="center"/>
          </w:tcPr>
          <w:p>
            <w:pPr>
              <w:snapToGrid w:val="0"/>
              <w:ind w:left="0"/>
              <w:jc w:val="center"/>
              <w:rPr>
                <w:rFonts w:hint="eastAsia" w:ascii="仿宋_GB2312" w:hAnsi="仿宋_GB2312" w:eastAsia="仿宋_GB2312" w:cs="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球管阳极热容量</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≥2MHU</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球管阳极实际冷却率</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≥300KHU/min</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冷却方法</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风冷</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最大球管电压</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≥140KV</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最小球管电压</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≤80KV</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最大等效输出管电流</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≥600mA</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最小可调管电流</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≤10mA</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最小毫安调节范围</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≤1mA</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球管小焦点</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≤0.7mm×0.8mm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球管大焦点</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≤1.2mm×1.4mm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高压发生器功率</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≥32KW</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vAlign w:val="center"/>
          </w:tcPr>
          <w:p>
            <w:pPr>
              <w:snapToGrid w:val="0"/>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人工智能技术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具备人工智能摄像采集系统</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具备人工智能扫描方案</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摄像头具备看护功能：扫描全程中可实时观察到患者情况</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人工智能扫描方案具备面部识别功能：患者平躺于检查床后可自动识别面部位置</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人工智能扫描方案具备面部追踪功能：患者位置移动时，可自动追踪识别新的面部位置</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人工智能扫描方案具备自动定位功能：根据扫描要求和病人位置，自动进行定位；患者位置发生变化时，自动更新定位</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人工智能扫描方案可自动设置扫描计划，根据定位像定出扫描起止位置、扫描角度和FOV；不同患者的定位像会设置不同的扫描起止位置、扫描角度和FOV</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人工智能扫描方案可学习技师操作习惯，根据各扫描协议使用频率优化协议排序，将最常用的扫描协议排序至顶端，方便技师选择</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人工智能扫描方案具备预判能力，在扫描开始前加速球管旋转，缩短扫描准备时间</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人工智能扫描方案在扫描过程中可根据扫描部位密度差异，自动调整管电流量</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具备远程一键退床功能，扫描完成后可在操作台一键退床</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具备人工智能后处理及辅助诊断方案</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人工智能后处理及辅助诊断方案具备头颈部直接去骨功能，无需平扫和剪影，直接生成无骨骼的头颈部血管CTA数据</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人工智能后处理及辅助诊断方案具备骨分离功能，一键提取/去除指定骨骼</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人工智能后处理及辅助诊断方案具备计算机辅助肺结节查找及分析功能，可自动查找，筛选并提取肺结节，自动计算肺结节体积。</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人工智能后处理及辅助诊断方案具备计算机辅助肺实质分析功能，自动分析计算肺实质密度，根据不同密度区间给出对应肺实质体积；或给出不同分段内的肺实质密度分布</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824" w:type="dxa"/>
            <w:vAlign w:val="center"/>
          </w:tcPr>
          <w:p>
            <w:pPr>
              <w:pStyle w:val="5"/>
              <w:numPr>
                <w:ilvl w:val="2"/>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人工智能后处理及辅助诊断方案具备组织生长功能，可智能提取指定位置的软组织及骨骼，计算提取组织的密度</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bCs/>
                <w:sz w:val="24"/>
                <w:szCs w:val="24"/>
              </w:rPr>
            </w:pPr>
          </w:p>
        </w:tc>
        <w:tc>
          <w:tcPr>
            <w:tcW w:w="8515" w:type="dxa"/>
            <w:gridSpan w:val="3"/>
            <w:vAlign w:val="center"/>
          </w:tcPr>
          <w:p>
            <w:pPr>
              <w:snapToGrid w:val="0"/>
              <w:ind w:left="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最大移动范围</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≥1730mm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可扫描范围</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≥1480mm</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床升降最高高度</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≥950mm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床升降最低高度</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≤600mm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最大横向进床速度</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≥100mm/s</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最小横向进床速度</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≤1mm/s</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扫描床最大载重量</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≥150Kg</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扫描床控制脚踏开关</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vAlign w:val="center"/>
          </w:tcPr>
          <w:p>
            <w:pPr>
              <w:snapToGrid w:val="0"/>
              <w:ind w:left="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24" w:type="dxa"/>
            <w:tcBorders>
              <w:bottom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空间分辨率（X,Y轴) @0%MTF</w:t>
            </w:r>
          </w:p>
        </w:tc>
        <w:tc>
          <w:tcPr>
            <w:tcW w:w="2370"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 LP/CM</w:t>
            </w:r>
          </w:p>
        </w:tc>
        <w:tc>
          <w:tcPr>
            <w:tcW w:w="846" w:type="dxa"/>
            <w:tcBorders>
              <w:bottom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密度分辨率</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≤5mm@0.3%</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低剂量迭代降噪技术(必须是各厂家最新技术，与最高端设备相同)</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主控制台计算机系统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内存</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≥32GB</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硬盘</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＞3TB</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图像存储量</w:t>
            </w:r>
            <w:r>
              <w:rPr>
                <w:rFonts w:hint="eastAsia" w:ascii="仿宋_GB2312" w:hAnsi="仿宋_GB2312" w:eastAsia="仿宋_GB2312" w:cs="仿宋_GB2312"/>
                <w:color w:val="000000"/>
                <w:sz w:val="24"/>
                <w:szCs w:val="24"/>
              </w:rPr>
              <w:t>(512矩阵不压缩图像)</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sz w:val="24"/>
                <w:szCs w:val="24"/>
              </w:rPr>
              <w:t>9000,000</w:t>
            </w:r>
            <w:r>
              <w:rPr>
                <w:rFonts w:hint="eastAsia" w:ascii="仿宋_GB2312" w:hAnsi="仿宋_GB2312" w:eastAsia="仿宋_GB2312" w:cs="仿宋_GB2312"/>
                <w:color w:val="000000"/>
                <w:sz w:val="24"/>
                <w:szCs w:val="24"/>
              </w:rPr>
              <w:t>幅</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主频</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≥2.2GHz</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CPU内核数目</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≥10核</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2个24英寸高分辨率</w:t>
            </w:r>
            <w:r>
              <w:rPr>
                <w:rFonts w:hint="eastAsia" w:ascii="仿宋_GB2312" w:hAnsi="仿宋_GB2312" w:eastAsia="仿宋_GB2312" w:cs="仿宋_GB2312"/>
                <w:color w:val="FF0000"/>
                <w:sz w:val="24"/>
                <w:szCs w:val="24"/>
              </w:rPr>
              <w:t>液晶专业显示器</w:t>
            </w:r>
            <w:r>
              <w:rPr>
                <w:rFonts w:hint="eastAsia" w:ascii="仿宋_GB2312" w:hAnsi="仿宋_GB2312" w:eastAsia="仿宋_GB2312" w:cs="仿宋_GB2312"/>
                <w:sz w:val="24"/>
                <w:szCs w:val="24"/>
              </w:rPr>
              <w:t>，显示矩阵</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≥1920×1200</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显示器逐行扫描</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网络接口DICOM 3.0</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永久贮存刻录方式</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DVD</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激光相机DICOM3.0接口</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提供</w:t>
            </w:r>
            <w:r>
              <w:rPr>
                <w:rFonts w:hint="eastAsia" w:ascii="仿宋_GB2312" w:hAnsi="仿宋_GB2312" w:eastAsia="仿宋_GB2312" w:cs="仿宋_GB2312"/>
                <w:sz w:val="24"/>
                <w:szCs w:val="24"/>
              </w:rPr>
              <w:t>DICOM</w:t>
            </w:r>
            <w:r>
              <w:rPr>
                <w:rFonts w:hint="eastAsia" w:ascii="仿宋_GB2312" w:hAnsi="仿宋_GB2312" w:eastAsia="仿宋_GB2312" w:cs="仿宋_GB2312"/>
                <w:color w:val="000000"/>
                <w:sz w:val="24"/>
                <w:szCs w:val="24"/>
              </w:rPr>
              <w:t>3.0,所有传出及传入接口功能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自动照相技术</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自动语音系统及双向语音传输</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同步并行图像处理功能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主控制台可以独立完成MPR,SSD,MIP,CTA，三维容积重建等三维后处理功能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UPS</w:t>
            </w:r>
          </w:p>
        </w:tc>
        <w:tc>
          <w:tcPr>
            <w:tcW w:w="2370" w:type="dxa"/>
            <w:vAlign w:val="center"/>
          </w:tcPr>
          <w:p>
            <w:pPr>
              <w:snapToGrid w:val="0"/>
              <w:ind w:left="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可以保证工作站正常运行大约30分钟。</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vAlign w:val="center"/>
          </w:tcPr>
          <w:p>
            <w:pPr>
              <w:snapToGrid w:val="0"/>
              <w:ind w:left="0"/>
              <w:jc w:val="center"/>
              <w:rPr>
                <w:rFonts w:hint="eastAsia" w:ascii="仿宋_GB2312" w:hAnsi="仿宋_GB2312" w:eastAsia="仿宋_GB2312" w:cs="仿宋_GB2312"/>
                <w:b/>
                <w:sz w:val="24"/>
                <w:szCs w:val="24"/>
                <w:highlight w:val="yellow"/>
              </w:rPr>
            </w:pPr>
            <w:r>
              <w:rPr>
                <w:rFonts w:hint="eastAsia" w:ascii="仿宋_GB2312" w:hAnsi="仿宋_GB2312" w:eastAsia="仿宋_GB2312" w:cs="仿宋_GB2312"/>
                <w:b/>
                <w:color w:val="000000"/>
                <w:sz w:val="24"/>
                <w:szCs w:val="24"/>
              </w:rPr>
              <w:t>一体化影像后处理系统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线束硬化伪影校正软件</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后颅窝图像优化技术</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图像减影功能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CT电影功能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管电流自动调节功能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MPR/CPR/SSD/MIP/VR</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模拟手术刀</w:t>
            </w:r>
            <w:r>
              <w:rPr>
                <w:rFonts w:hint="eastAsia" w:ascii="仿宋_GB2312" w:hAnsi="仿宋_GB2312" w:eastAsia="仿宋_GB2312" w:cs="仿宋_GB2312"/>
                <w:color w:val="000000"/>
                <w:sz w:val="24"/>
                <w:szCs w:val="24"/>
              </w:rPr>
              <w:t>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三维（3D、SSD）软件</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最大及最小密度投影（MIP,MinP）</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三维容积测量评估功能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CT血管造影</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一键式容积重建</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血管测量功能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一键式去骨功能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一键式骨分离功能</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容积漫游（VRT）</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三维肺小结节分析评估软件，用于肺肿瘤筛查</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人工智能技术辅助肺结节筛查功能，自动探查肺结节，自动给出结节体积等定量数据</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三维肺气肿分析评估软件</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造影剂智能动态追踪</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vAlign w:val="center"/>
          </w:tcPr>
          <w:p>
            <w:pPr>
              <w:snapToGrid w:val="0"/>
              <w:ind w:left="0"/>
              <w:jc w:val="center"/>
              <w:rPr>
                <w:rFonts w:hint="eastAsia" w:ascii="仿宋_GB2312" w:hAnsi="仿宋_GB2312" w:eastAsia="仿宋_GB2312" w:cs="仿宋_GB2312"/>
                <w:b/>
                <w:sz w:val="24"/>
                <w:szCs w:val="24"/>
                <w:highlight w:val="yellow"/>
              </w:rPr>
            </w:pPr>
            <w:r>
              <w:rPr>
                <w:rFonts w:hint="eastAsia" w:ascii="仿宋_GB2312" w:hAnsi="仿宋_GB2312" w:eastAsia="仿宋_GB2312" w:cs="仿宋_GB2312"/>
                <w:b/>
                <w:color w:val="000000"/>
                <w:sz w:val="24"/>
                <w:szCs w:val="24"/>
              </w:rPr>
              <w:t>远程服务（终身）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远程预警，对设备的潜在故障做出预警。</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远程维修，提高备件预判命中率，减少设备停机时间。</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通过远程网络，定期访问用户。</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远程在线指导，提供专业的操作和应用培训。</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通过远程监测，提供管球健康状态报告。</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增值服务-设备使用效率报告，病毒防护，软件在线升级。</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8515" w:type="dxa"/>
            <w:gridSpan w:val="3"/>
            <w:vAlign w:val="center"/>
          </w:tcPr>
          <w:p>
            <w:pPr>
              <w:snapToGrid w:val="0"/>
              <w:ind w:left="0"/>
              <w:jc w:val="center"/>
              <w:rPr>
                <w:rFonts w:hint="eastAsia" w:ascii="仿宋_GB2312" w:hAnsi="仿宋_GB2312" w:eastAsia="仿宋_GB2312" w:cs="仿宋_GB2312"/>
                <w:b/>
                <w:sz w:val="24"/>
                <w:szCs w:val="24"/>
                <w:highlight w:val="yellow"/>
              </w:rPr>
            </w:pPr>
            <w:r>
              <w:rPr>
                <w:rFonts w:hint="eastAsia" w:ascii="仿宋_GB2312" w:hAnsi="仿宋_GB2312" w:eastAsia="仿宋_GB2312" w:cs="仿宋_GB2312"/>
                <w:b/>
                <w:color w:val="000000"/>
                <w:sz w:val="24"/>
                <w:szCs w:val="24"/>
              </w:rPr>
              <w:t>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专业图像工作站一台（配件图像工作站专用CPU酷睿i9,32G专业显卡，64G内存，大容量硬盘，双屏幕（</w:t>
            </w:r>
            <w:r>
              <w:rPr>
                <w:rFonts w:hint="eastAsia" w:ascii="仿宋_GB2312" w:hAnsi="仿宋_GB2312" w:eastAsia="仿宋_GB2312" w:cs="仿宋_GB2312"/>
                <w:color w:val="FF0000"/>
                <w:sz w:val="24"/>
                <w:szCs w:val="24"/>
              </w:rPr>
              <w:t>两块巨鲨3M显示屏（含专业显卡）</w:t>
            </w:r>
            <w:r>
              <w:rPr>
                <w:rFonts w:hint="eastAsia" w:ascii="仿宋_GB2312" w:hAnsi="仿宋_GB2312" w:eastAsia="仿宋_GB2312" w:cs="仿宋_GB2312"/>
                <w:color w:val="000000"/>
                <w:sz w:val="24"/>
                <w:szCs w:val="24"/>
              </w:rPr>
              <w:t>）EPSON L15158打印机，UPS）</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铅衣套装4套（成人及儿童各2套）</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辅助定位配件（含头托组件、头托垫、颈椎垫、膝关节垫、床垫、滑带）</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高压注射器</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电源稳压器</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维修工具一套</w:t>
            </w:r>
          </w:p>
        </w:tc>
        <w:tc>
          <w:tcPr>
            <w:tcW w:w="2370"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质控模具一套</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HIS/RIS连接接口、</w:t>
            </w:r>
          </w:p>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Worklist</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免费接入区域PACS</w:t>
            </w:r>
          </w:p>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投标设备符合射线</w:t>
            </w:r>
          </w:p>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防护标准</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投标方有剂量检测及显示系统</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配电柜：提供配电柜必须安装零、地接线端子排，原理图应贴在配电箱内，便于检修，且对部件图中标号进行标识，配电柜必须具备开盖锁定功能(明锁扣)，以确保电气安全作业之需。</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电缆，CT专用电缆</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铅门：1台移动铅门。</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b/>
                <w:color w:val="000000"/>
                <w:sz w:val="24"/>
                <w:szCs w:val="24"/>
              </w:rPr>
              <w:t>商务要求</w:t>
            </w:r>
          </w:p>
        </w:tc>
        <w:tc>
          <w:tcPr>
            <w:tcW w:w="2370" w:type="dxa"/>
            <w:vAlign w:val="center"/>
          </w:tcPr>
          <w:p>
            <w:pPr>
              <w:snapToGrid w:val="0"/>
              <w:ind w:left="0"/>
              <w:jc w:val="center"/>
              <w:rPr>
                <w:rFonts w:hint="eastAsia" w:ascii="仿宋_GB2312" w:hAnsi="仿宋_GB2312" w:eastAsia="仿宋_GB2312" w:cs="仿宋_GB2312"/>
                <w:sz w:val="24"/>
                <w:szCs w:val="24"/>
              </w:rPr>
            </w:pP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vAlign w:val="center"/>
          </w:tcPr>
          <w:p>
            <w:pPr>
              <w:pStyle w:val="5"/>
              <w:numPr>
                <w:ilvl w:val="0"/>
                <w:numId w:val="1"/>
              </w:numPr>
              <w:snapToGrid w:val="0"/>
              <w:ind w:firstLineChars="0"/>
              <w:jc w:val="center"/>
              <w:rPr>
                <w:rFonts w:hint="eastAsia" w:ascii="仿宋_GB2312" w:hAnsi="仿宋_GB2312" w:eastAsia="仿宋_GB2312" w:cs="仿宋_GB2312"/>
                <w:b/>
                <w:sz w:val="24"/>
                <w:szCs w:val="24"/>
              </w:rPr>
            </w:pPr>
          </w:p>
        </w:tc>
        <w:tc>
          <w:tcPr>
            <w:tcW w:w="5299" w:type="dxa"/>
            <w:vAlign w:val="center"/>
          </w:tcPr>
          <w:p>
            <w:pPr>
              <w:snapToGrid w:val="0"/>
              <w:ind w:left="0"/>
              <w:jc w:val="center"/>
              <w:rPr>
                <w:rFonts w:hint="eastAsia" w:ascii="仿宋_GB2312" w:hAnsi="仿宋_GB2312" w:eastAsia="仿宋_GB2312" w:cs="仿宋_GB2312"/>
                <w:b/>
                <w:sz w:val="24"/>
                <w:szCs w:val="24"/>
                <w:highlight w:val="yellow"/>
              </w:rPr>
            </w:pPr>
            <w:r>
              <w:rPr>
                <w:rFonts w:hint="eastAsia" w:ascii="仿宋_GB2312" w:hAnsi="仿宋_GB2312" w:eastAsia="仿宋_GB2312" w:cs="仿宋_GB2312"/>
                <w:color w:val="000000"/>
                <w:sz w:val="24"/>
                <w:szCs w:val="24"/>
              </w:rPr>
              <w:t>供货期限</w:t>
            </w:r>
          </w:p>
        </w:tc>
        <w:tc>
          <w:tcPr>
            <w:tcW w:w="2370" w:type="dxa"/>
            <w:vAlign w:val="center"/>
          </w:tcPr>
          <w:p>
            <w:pPr>
              <w:widowControl/>
              <w:ind w:left="0"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签订合同2个月</w:t>
            </w:r>
          </w:p>
        </w:tc>
        <w:tc>
          <w:tcPr>
            <w:tcW w:w="846" w:type="dxa"/>
            <w:vAlign w:val="center"/>
          </w:tcPr>
          <w:p>
            <w:pPr>
              <w:snapToGrid w:val="0"/>
              <w:ind w:left="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保修期限</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年，保修期内开机率必须达到95%</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售后服务</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维修响应速度1小时内作出维修方案决定。维修人员在12小时内到达最终用户现场实施维修。</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配件仓库</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国内有固定的配件仓库。提供国内配件总金额及仓库详细地址。列出国内不备货的配件</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备停产后的备件供应≥八年</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设备安装</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中标人按照制造商的要求免费安装和调试并提供剂量及防辐射检测。</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824" w:type="dxa"/>
            <w:tcBorders>
              <w:top w:val="single" w:color="auto" w:sz="4" w:space="0"/>
              <w:left w:val="single" w:color="auto" w:sz="4" w:space="0"/>
              <w:bottom w:val="single" w:color="auto" w:sz="4" w:space="0"/>
              <w:right w:val="single" w:color="auto" w:sz="4" w:space="0"/>
            </w:tcBorders>
            <w:vAlign w:val="center"/>
          </w:tcPr>
          <w:p>
            <w:pPr>
              <w:pStyle w:val="5"/>
              <w:numPr>
                <w:ilvl w:val="1"/>
                <w:numId w:val="1"/>
              </w:numPr>
              <w:snapToGrid w:val="0"/>
              <w:ind w:firstLineChars="0"/>
              <w:jc w:val="center"/>
              <w:rPr>
                <w:rFonts w:hint="eastAsia" w:ascii="仿宋_GB2312" w:hAnsi="仿宋_GB2312" w:eastAsia="仿宋_GB2312" w:cs="仿宋_GB2312"/>
                <w:sz w:val="24"/>
                <w:szCs w:val="24"/>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保修条款及球管报价</w:t>
            </w:r>
          </w:p>
        </w:tc>
        <w:tc>
          <w:tcPr>
            <w:tcW w:w="2370"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提供：保修期满后，全保（含球管）1年报价。不保修球管单独报价。所有报价都均由厂方承诺。</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ind w:left="0"/>
              <w:jc w:val="center"/>
              <w:rPr>
                <w:rFonts w:hint="eastAsia" w:ascii="仿宋_GB2312" w:hAnsi="仿宋_GB2312" w:eastAsia="仿宋_GB2312" w:cs="仿宋_GB2312"/>
                <w:sz w:val="24"/>
                <w:szCs w:val="24"/>
              </w:rPr>
            </w:pPr>
          </w:p>
        </w:tc>
      </w:tr>
    </w:tbl>
    <w:p>
      <w:pPr>
        <w:rPr>
          <w:rFonts w:hint="eastAsia" w:ascii="宋体" w:hAnsi="宋体" w:eastAsia="宋体" w:cs="宋体"/>
          <w:b/>
          <w:color w:val="auto"/>
          <w:sz w:val="44"/>
          <w:szCs w:val="44"/>
          <w:lang w:val="en-US" w:eastAsia="zh-CN"/>
        </w:rPr>
      </w:pPr>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A87"/>
    <w:multiLevelType w:val="multilevel"/>
    <w:tmpl w:val="0CC80A8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F4208"/>
    <w:rsid w:val="59F6069E"/>
    <w:rsid w:val="65CB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WPS_123155801</cp:lastModifiedBy>
  <dcterms:modified xsi:type="dcterms:W3CDTF">2021-01-12T03:18:13Z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