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41" w:beforeAutospacing="0" w:after="141" w:afterAutospacing="0"/>
        <w:ind w:left="0" w:right="0"/>
        <w:jc w:val="center"/>
        <w:rPr>
          <w:color w:val="000000"/>
          <w:sz w:val="36"/>
          <w:szCs w:val="36"/>
          <w:highlight w:val="none"/>
        </w:rPr>
      </w:pPr>
      <w:r>
        <w:rPr>
          <w:i w:val="0"/>
          <w:caps w:val="0"/>
          <w:color w:val="000000"/>
          <w:spacing w:val="0"/>
          <w:sz w:val="36"/>
          <w:szCs w:val="36"/>
        </w:rPr>
        <w:t>绥化市</w:t>
      </w:r>
      <w:r>
        <w:rPr>
          <w:rFonts w:hint="eastAsia"/>
          <w:i w:val="0"/>
          <w:caps w:val="0"/>
          <w:color w:val="000000"/>
          <w:spacing w:val="0"/>
          <w:sz w:val="36"/>
          <w:szCs w:val="36"/>
          <w:lang w:eastAsia="zh-CN"/>
        </w:rPr>
        <w:t>兰西</w:t>
      </w:r>
      <w:r>
        <w:rPr>
          <w:i w:val="0"/>
          <w:caps w:val="0"/>
          <w:color w:val="000000"/>
          <w:spacing w:val="0"/>
          <w:sz w:val="36"/>
          <w:szCs w:val="36"/>
        </w:rPr>
        <w:t>生态环境</w:t>
      </w:r>
      <w:r>
        <w:rPr>
          <w:i w:val="0"/>
          <w:caps w:val="0"/>
          <w:color w:val="000000"/>
          <w:spacing w:val="0"/>
          <w:sz w:val="36"/>
          <w:szCs w:val="36"/>
          <w:highlight w:val="none"/>
        </w:rPr>
        <w:t>局</w:t>
      </w:r>
      <w:r>
        <w:rPr>
          <w:rFonts w:hint="eastAsia"/>
          <w:i w:val="0"/>
          <w:caps w:val="0"/>
          <w:color w:val="000000"/>
          <w:spacing w:val="0"/>
          <w:sz w:val="36"/>
          <w:szCs w:val="36"/>
          <w:lang w:eastAsia="zh-CN"/>
        </w:rPr>
        <w:t>关于兰西县亿发金属标志牌制造有限公司建设项目</w:t>
      </w:r>
      <w:r>
        <w:rPr>
          <w:i w:val="0"/>
          <w:caps w:val="0"/>
          <w:color w:val="000000"/>
          <w:spacing w:val="0"/>
          <w:sz w:val="36"/>
          <w:szCs w:val="36"/>
          <w:highlight w:val="none"/>
        </w:rPr>
        <w:t>环境影响评价拟审批意见的公示</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根据建设项目环境影响评价审批程序的有关规定，经审查，2022年3月31日我局拟对1个建设项目作出环境影响评价文件审批意见。为保证此次审查工作的严肃性和公正性，现将拟作出审批意见的环境影响评价文件基本情况予以公示，公示期为2022年3月31日－2022年4月12日（8个工作日）。</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听证权利告知：依据《中华人民共和国行政许可法》，自公示起五日内申请人、利害关系人可对以下拟作出的建设项目环境影响评价文件审批意见要求听证。</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联系电话：0455-8195813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通讯地址：兰西县原武装部院内</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邮编：151500</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444444"/>
          <w:spacing w:val="0"/>
          <w:kern w:val="0"/>
          <w:sz w:val="30"/>
          <w:szCs w:val="30"/>
          <w:shd w:val="clear" w:fill="FFFFFF"/>
          <w:lang w:val="en-US" w:eastAsia="zh-CN" w:bidi="ar"/>
        </w:rPr>
      </w:pPr>
      <w:r>
        <w:rPr>
          <w:rFonts w:hint="eastAsia" w:ascii="微软雅黑" w:hAnsi="微软雅黑" w:eastAsia="微软雅黑" w:cs="微软雅黑"/>
          <w:i w:val="0"/>
          <w:caps w:val="0"/>
          <w:color w:val="444444"/>
          <w:spacing w:val="0"/>
          <w:kern w:val="0"/>
          <w:sz w:val="30"/>
          <w:szCs w:val="30"/>
          <w:shd w:val="clear" w:fill="FFFFFF"/>
          <w:lang w:val="en-US" w:eastAsia="zh-CN" w:bidi="ar"/>
        </w:rPr>
        <w:t>拟批准环境影响评价文件的建设项目</w:t>
      </w: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left="0" w:right="0" w:firstLine="42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360" w:lineRule="exact"/>
        <w:ind w:right="0"/>
        <w:jc w:val="left"/>
        <w:textAlignment w:val="auto"/>
        <w:outlineLvl w:val="9"/>
        <w:rPr>
          <w:rFonts w:hint="eastAsia" w:ascii="微软雅黑" w:hAnsi="微软雅黑" w:eastAsia="微软雅黑" w:cs="微软雅黑"/>
          <w:i w:val="0"/>
          <w:caps w:val="0"/>
          <w:color w:val="000000"/>
          <w:spacing w:val="0"/>
          <w:kern w:val="0"/>
          <w:sz w:val="24"/>
          <w:szCs w:val="24"/>
          <w:lang w:val="en-US" w:eastAsia="zh-CN" w:bidi="ar"/>
        </w:rPr>
      </w:pPr>
      <w:bookmarkStart w:id="0" w:name="_GoBack"/>
      <w:bookmarkEnd w:id="0"/>
    </w:p>
    <w:tbl>
      <w:tblPr>
        <w:tblStyle w:val="5"/>
        <w:tblW w:w="10200" w:type="dxa"/>
        <w:tblInd w:w="-118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77"/>
        <w:gridCol w:w="661"/>
        <w:gridCol w:w="555"/>
        <w:gridCol w:w="525"/>
        <w:gridCol w:w="840"/>
        <w:gridCol w:w="2835"/>
        <w:gridCol w:w="3630"/>
        <w:gridCol w:w="5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trPr>
        <w:tc>
          <w:tcPr>
            <w:tcW w:w="577"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序号</w:t>
            </w:r>
          </w:p>
        </w:tc>
        <w:tc>
          <w:tcPr>
            <w:tcW w:w="661"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项目名称</w:t>
            </w:r>
          </w:p>
        </w:tc>
        <w:tc>
          <w:tcPr>
            <w:tcW w:w="555"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建设地点</w:t>
            </w:r>
          </w:p>
        </w:tc>
        <w:tc>
          <w:tcPr>
            <w:tcW w:w="525"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建设单位</w:t>
            </w:r>
          </w:p>
        </w:tc>
        <w:tc>
          <w:tcPr>
            <w:tcW w:w="840"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环境影响评价机构</w:t>
            </w:r>
          </w:p>
        </w:tc>
        <w:tc>
          <w:tcPr>
            <w:tcW w:w="2835"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firstLine="420" w:firstLineChars="20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项目概况</w:t>
            </w:r>
          </w:p>
        </w:tc>
        <w:tc>
          <w:tcPr>
            <w:tcW w:w="3630"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主要环境影响及预防或者减轻不良环境影响的对策和措施</w:t>
            </w:r>
          </w:p>
        </w:tc>
        <w:tc>
          <w:tcPr>
            <w:tcW w:w="577" w:type="dxa"/>
            <w:tcBorders>
              <w:top w:val="inset" w:color="000000" w:sz="8" w:space="0"/>
              <w:left w:val="inset" w:color="000000" w:sz="8" w:space="0"/>
              <w:bottom w:val="single" w:color="auto" w:sz="4"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exact"/>
              <w:ind w:right="0"/>
              <w:jc w:val="both"/>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lang w:val="en-US" w:eastAsia="zh-CN" w:bidi="ar"/>
              </w:rPr>
              <w:t>公公众参与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140" w:hRule="atLeast"/>
        </w:trPr>
        <w:tc>
          <w:tcPr>
            <w:tcW w:w="577"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both"/>
              <w:textAlignment w:val="auto"/>
              <w:outlineLvl w:val="9"/>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1</w:t>
            </w:r>
          </w:p>
        </w:tc>
        <w:tc>
          <w:tcPr>
            <w:tcW w:w="661"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兰西县亿发金属标志牌制造有限公司建设项目</w:t>
            </w:r>
          </w:p>
        </w:tc>
        <w:tc>
          <w:tcPr>
            <w:tcW w:w="555"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黑龙江省绥化市兰西县红光镇义发村葛家崴子屯</w:t>
            </w:r>
          </w:p>
        </w:tc>
        <w:tc>
          <w:tcPr>
            <w:tcW w:w="525"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兰西县亿发金属标志牌制造有限公司</w:t>
            </w:r>
          </w:p>
        </w:tc>
        <w:tc>
          <w:tcPr>
            <w:tcW w:w="840"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eastAsia" w:ascii="微软雅黑" w:hAnsi="微软雅黑" w:eastAsia="微软雅黑" w:cs="微软雅黑"/>
                <w:kern w:val="0"/>
                <w:sz w:val="21"/>
                <w:szCs w:val="21"/>
                <w:lang w:val="en-US" w:eastAsia="zh-CN" w:bidi="ar"/>
              </w:rPr>
            </w:pPr>
            <w:r>
              <w:rPr>
                <w:rFonts w:hint="eastAsia" w:ascii="微软雅黑" w:hAnsi="微软雅黑" w:eastAsia="微软雅黑" w:cs="微软雅黑"/>
                <w:kern w:val="0"/>
                <w:sz w:val="21"/>
                <w:szCs w:val="21"/>
                <w:lang w:val="en-US" w:eastAsia="zh-CN" w:bidi="ar"/>
              </w:rPr>
              <w:t>黑龙江环恩环保科技有限公司</w:t>
            </w:r>
          </w:p>
        </w:tc>
        <w:tc>
          <w:tcPr>
            <w:tcW w:w="2835"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adjustRightInd w:val="0"/>
              <w:snapToGrid w:val="0"/>
              <w:spacing w:line="360" w:lineRule="auto"/>
              <w:ind w:firstLine="420"/>
              <w:rPr>
                <w:rFonts w:hint="eastAsia" w:ascii="微软雅黑" w:hAnsi="微软雅黑" w:eastAsia="微软雅黑" w:cs="微软雅黑"/>
                <w:color w:val="000000"/>
              </w:rPr>
            </w:pPr>
            <w:r>
              <w:rPr>
                <w:rFonts w:hint="eastAsia" w:ascii="微软雅黑" w:hAnsi="微软雅黑" w:eastAsia="微软雅黑" w:cs="微软雅黑"/>
                <w:color w:val="000000"/>
              </w:rPr>
              <w:t>本项目占地面积476m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，建筑面积476m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；本项目利用现有厂房，建筑面积476m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：内设一间生产车间，建筑面积196m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；两间办公室，总建筑面积140m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；一间库房，建筑面积90m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；一间危废暂存间，建筑面积20m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；一间消防库房，建筑面积30m</w:t>
            </w:r>
            <w:r>
              <w:rPr>
                <w:rFonts w:hint="eastAsia" w:ascii="微软雅黑" w:hAnsi="微软雅黑" w:eastAsia="微软雅黑" w:cs="微软雅黑"/>
                <w:color w:val="000000"/>
                <w:vertAlign w:val="superscript"/>
              </w:rPr>
              <w:t>2</w:t>
            </w:r>
            <w:r>
              <w:rPr>
                <w:rFonts w:hint="eastAsia" w:ascii="微软雅黑" w:hAnsi="微软雅黑" w:eastAsia="微软雅黑" w:cs="微软雅黑"/>
                <w:color w:val="000000"/>
              </w:rPr>
              <w:t>。本项目建设一条金属标牌生产线，年生产交通标志牌1000件。</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firstLine="420" w:firstLineChars="200"/>
              <w:jc w:val="both"/>
              <w:textAlignment w:val="auto"/>
              <w:outlineLvl w:val="9"/>
              <w:rPr>
                <w:rFonts w:hint="eastAsia" w:ascii="微软雅黑" w:hAnsi="微软雅黑" w:eastAsia="微软雅黑" w:cs="微软雅黑"/>
                <w:kern w:val="0"/>
                <w:sz w:val="21"/>
                <w:szCs w:val="21"/>
                <w:lang w:val="en-US" w:eastAsia="zh-CN" w:bidi="ar"/>
              </w:rPr>
            </w:pPr>
          </w:p>
        </w:tc>
        <w:tc>
          <w:tcPr>
            <w:tcW w:w="3630"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top"/>
          </w:tcPr>
          <w:p>
            <w:pPr>
              <w:pStyle w:val="13"/>
              <w:ind w:firstLine="420"/>
              <w:rPr>
                <w:rFonts w:hint="eastAsia"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kern w:val="0"/>
                <w:sz w:val="21"/>
                <w:szCs w:val="21"/>
                <w:lang w:val="en-US" w:eastAsia="zh-CN" w:bidi="ar"/>
              </w:rPr>
              <w:t>1、生活污水排入建设防渗旱厕，定期清掏，外运堆肥，不外排。2、冬季办公室供热使用电锅炉，生产车间无需供热。3、</w:t>
            </w:r>
            <w:r>
              <w:rPr>
                <w:rFonts w:hint="eastAsia" w:ascii="微软雅黑" w:hAnsi="微软雅黑" w:eastAsia="微软雅黑" w:cs="微软雅黑"/>
                <w:color w:val="000000" w:themeColor="text1"/>
                <w:sz w:val="21"/>
                <w:szCs w:val="21"/>
                <w14:textFill>
                  <w14:solidFill>
                    <w14:schemeClr w14:val="tx1"/>
                  </w14:solidFill>
                </w14:textFill>
              </w:rPr>
              <w:t>刻字粉尘加强车间通风，及时清扫</w:t>
            </w:r>
            <w:r>
              <w:rPr>
                <w:rFonts w:hint="eastAsia" w:ascii="微软雅黑" w:hAnsi="微软雅黑" w:eastAsia="微软雅黑" w:cs="微软雅黑"/>
                <w:color w:val="000000" w:themeColor="text1"/>
                <w:kern w:val="0"/>
                <w:sz w:val="21"/>
                <w:szCs w:val="21"/>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切割粉尘在车间内以无组织形式排放，项目采取工作时封闭门窗等措施，以减少废气无组织排放的影响，可减少80%；打磨废气在打磨平台出口连接集气管道（收集效率90%）进入一套布袋除尘器中处理(处理效率99%)后由15m高排气筒P1高空排放；焊接烟尘经移动式焊烟净化器（处理效率不低于90%）处理后经车间通风无组织排放；油墨废气和喷漆废气分别经负压收集（集气效率90%）后由一套“化学纤维过滤棉+活性炭吸附”装置处理后通过15m高排气筒P2排放。集气罩不能收集的10%的废气以无组织形式排放。项目采取工作时封闭门窗等措施，以减少废气无组织排放的影响</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color w:val="000000" w:themeColor="text1"/>
                <w:sz w:val="21"/>
                <w:szCs w:val="21"/>
                <w14:textFill>
                  <w14:solidFill>
                    <w14:schemeClr w14:val="tx1"/>
                  </w14:solidFill>
                </w14:textFill>
              </w:rPr>
              <w:t>选用低噪声设备，设备均安置于设备间内，建筑采取隔声、降噪措施，振动较大的设备采取独立基础，设置减振器，风机进出口均设软管连接等措施。合理布局，加强绿化，特别在高噪设备与厂界间设置绿化带，利用树木吸声、消声作用，减少噪声对外环境的影响。边界噪声满足《工业企业厂界环境噪声排放标准》（GB12348-2008）表1中2类标准要求</w:t>
            </w:r>
            <w:r>
              <w:rPr>
                <w:rFonts w:hint="eastAsia" w:ascii="微软雅黑" w:hAnsi="微软雅黑" w:eastAsia="微软雅黑" w:cs="微软雅黑"/>
                <w:color w:val="000000" w:themeColor="text1"/>
                <w:sz w:val="18"/>
                <w:szCs w:val="18"/>
                <w14:textFill>
                  <w14:solidFill>
                    <w14:schemeClr w14:val="tx1"/>
                  </w14:solidFill>
                </w14:textFill>
              </w:rPr>
              <w:t>。</w:t>
            </w:r>
            <w:r>
              <w:rPr>
                <w:rFonts w:hint="eastAsia" w:ascii="微软雅黑" w:hAnsi="微软雅黑" w:eastAsia="微软雅黑" w:cs="微软雅黑"/>
                <w:kern w:val="0"/>
                <w:sz w:val="21"/>
                <w:szCs w:val="21"/>
                <w:lang w:val="en-US" w:eastAsia="zh-CN" w:bidi="ar"/>
              </w:rPr>
              <w:t>5、</w:t>
            </w:r>
            <w:r>
              <w:rPr>
                <w:rFonts w:hint="eastAsia" w:ascii="微软雅黑" w:hAnsi="微软雅黑" w:eastAsia="微软雅黑" w:cs="微软雅黑"/>
                <w:color w:val="000000" w:themeColor="text1"/>
                <w:sz w:val="21"/>
                <w:szCs w:val="21"/>
                <w14:textFill>
                  <w14:solidFill>
                    <w14:schemeClr w14:val="tx1"/>
                  </w14:solidFill>
                </w14:textFill>
              </w:rPr>
              <w:t>生活垃圾</w:t>
            </w:r>
            <w:r>
              <w:rPr>
                <w:rFonts w:hint="eastAsia" w:ascii="微软雅黑" w:hAnsi="微软雅黑" w:eastAsia="微软雅黑" w:cs="微软雅黑"/>
                <w:szCs w:val="21"/>
              </w:rPr>
              <w:t>由市政部门统一清运处理</w:t>
            </w:r>
            <w:r>
              <w:rPr>
                <w:rFonts w:hint="eastAsia" w:ascii="微软雅黑" w:hAnsi="微软雅黑" w:eastAsia="微软雅黑" w:cs="微软雅黑"/>
                <w:szCs w:val="21"/>
                <w:lang w:eastAsia="zh-CN"/>
              </w:rPr>
              <w:t>；</w:t>
            </w:r>
            <w:r>
              <w:rPr>
                <w:rFonts w:hint="eastAsia" w:ascii="微软雅黑" w:hAnsi="微软雅黑" w:eastAsia="微软雅黑" w:cs="微软雅黑"/>
                <w:color w:val="000000" w:themeColor="text1"/>
                <w:sz w:val="21"/>
                <w:szCs w:val="21"/>
                <w14:textFill>
                  <w14:solidFill>
                    <w14:schemeClr w14:val="tx1"/>
                  </w14:solidFill>
                </w14:textFill>
              </w:rPr>
              <w:t>一般固体废物</w:t>
            </w:r>
            <w:r>
              <w:rPr>
                <w:rFonts w:hint="eastAsia" w:ascii="微软雅黑" w:hAnsi="微软雅黑" w:eastAsia="微软雅黑" w:cs="微软雅黑"/>
                <w:color w:val="000000" w:themeColor="text1"/>
                <w:sz w:val="2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废边角料经收集后由废品回收站回收</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焊渣收集后，外售废品回收站</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尘集中收集，外售综合利用。危险废物</w:t>
            </w:r>
            <w:r>
              <w:rPr>
                <w:rFonts w:hint="eastAsia" w:ascii="微软雅黑" w:hAnsi="微软雅黑" w:eastAsia="微软雅黑" w:cs="微软雅黑"/>
                <w:color w:val="000000" w:themeColor="text1"/>
                <w:szCs w:val="21"/>
                <w:lang w:val="en-US"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废容器</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油漆沾染物（废抹布、手套等）</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漆渣</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废活性炭</w:t>
            </w:r>
            <w:r>
              <w:rPr>
                <w:rFonts w:hint="eastAsia" w:ascii="微软雅黑" w:hAnsi="微软雅黑" w:eastAsia="微软雅黑" w:cs="微软雅黑"/>
                <w:color w:val="000000" w:themeColor="text1"/>
                <w:szCs w:val="21"/>
                <w:lang w:eastAsia="zh-CN"/>
                <w14:textFill>
                  <w14:solidFill>
                    <w14:schemeClr w14:val="tx1"/>
                  </w14:solidFill>
                </w14:textFill>
              </w:rPr>
              <w:t>、</w:t>
            </w:r>
            <w:r>
              <w:rPr>
                <w:rFonts w:hint="eastAsia" w:ascii="微软雅黑" w:hAnsi="微软雅黑" w:eastAsia="微软雅黑" w:cs="微软雅黑"/>
                <w:color w:val="000000" w:themeColor="text1"/>
                <w:szCs w:val="21"/>
                <w14:textFill>
                  <w14:solidFill>
                    <w14:schemeClr w14:val="tx1"/>
                  </w14:solidFill>
                </w14:textFill>
              </w:rPr>
              <w:t>废化学纤维过滤棉</w:t>
            </w:r>
            <w:r>
              <w:rPr>
                <w:rFonts w:hint="eastAsia" w:ascii="微软雅黑" w:hAnsi="微软雅黑" w:eastAsia="微软雅黑" w:cs="微软雅黑"/>
                <w:color w:val="000000" w:themeColor="text1"/>
                <w14:textFill>
                  <w14:solidFill>
                    <w14:schemeClr w14:val="tx1"/>
                  </w14:solidFill>
                </w14:textFill>
              </w:rPr>
              <w:t>集中收集至危废暂存间</w:t>
            </w:r>
            <w:r>
              <w:rPr>
                <w:rFonts w:hint="eastAsia" w:ascii="微软雅黑" w:hAnsi="微软雅黑" w:eastAsia="微软雅黑" w:cs="微软雅黑"/>
                <w:color w:val="000000" w:themeColor="text1"/>
                <w:szCs w:val="21"/>
                <w14:textFill>
                  <w14:solidFill>
                    <w14:schemeClr w14:val="tx1"/>
                  </w14:solidFill>
                </w14:textFill>
              </w:rPr>
              <w:t>，交由有资质单位处置。</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400" w:lineRule="exact"/>
              <w:ind w:right="0"/>
              <w:jc w:val="both"/>
              <w:textAlignment w:val="auto"/>
              <w:outlineLvl w:val="9"/>
              <w:rPr>
                <w:rFonts w:hint="eastAsia" w:ascii="微软雅黑" w:hAnsi="微软雅黑" w:cs="微软雅黑" w:eastAsiaTheme="minorEastAsia"/>
                <w:kern w:val="0"/>
                <w:sz w:val="21"/>
                <w:szCs w:val="21"/>
                <w:lang w:val="en-US" w:eastAsia="zh-CN" w:bidi="ar"/>
              </w:rPr>
            </w:pPr>
          </w:p>
        </w:tc>
        <w:tc>
          <w:tcPr>
            <w:tcW w:w="577" w:type="dxa"/>
            <w:tcBorders>
              <w:top w:val="single" w:color="auto" w:sz="4" w:space="0"/>
              <w:left w:val="inset" w:color="000000" w:sz="8" w:space="0"/>
              <w:bottom w:val="inset" w:color="000000" w:sz="8" w:space="0"/>
              <w:right w:val="inset" w:color="000000" w:sz="8" w:space="0"/>
            </w:tcBorders>
            <w:shd w:val="clear" w:color="auto" w:fill="auto"/>
            <w:tcMar>
              <w:top w:w="0" w:type="dxa"/>
              <w:left w:w="0" w:type="dxa"/>
              <w:bottom w:w="0" w:type="dxa"/>
              <w:right w:w="0" w:type="dxa"/>
            </w:tcMar>
            <w:vAlign w:val="center"/>
          </w:tcPr>
          <w:p>
            <w:pPr>
              <w:keepNext w:val="0"/>
              <w:keepLines w:val="0"/>
              <w:widowControl/>
              <w:suppressLineNumbers w:val="0"/>
              <w:wordWrap w:val="0"/>
              <w:spacing w:before="420" w:beforeAutospacing="0" w:after="420" w:afterAutospacing="0" w:line="420" w:lineRule="atLeast"/>
              <w:ind w:left="0" w:right="0" w:firstLine="420"/>
              <w:jc w:val="left"/>
              <w:rPr>
                <w:rFonts w:hint="eastAsia" w:ascii="微软雅黑" w:hAnsi="微软雅黑" w:eastAsia="微软雅黑" w:cs="微软雅黑"/>
                <w:sz w:val="21"/>
                <w:szCs w:val="21"/>
              </w:rPr>
            </w:pPr>
          </w:p>
        </w:tc>
      </w:tr>
    </w:tbl>
    <w:p>
      <w:pPr>
        <w:keepNext w:val="0"/>
        <w:keepLines w:val="0"/>
        <w:pageBreakBefore w:val="0"/>
        <w:widowControl/>
        <w:suppressLineNumbers w:val="0"/>
        <w:kinsoku/>
        <w:wordWrap w:val="0"/>
        <w:overflowPunct/>
        <w:topLinePunct w:val="0"/>
        <w:autoSpaceDE/>
        <w:autoSpaceDN/>
        <w:bidi w:val="0"/>
        <w:adjustRightInd/>
        <w:snapToGrid/>
        <w:spacing w:before="420" w:beforeAutospacing="0" w:after="420" w:afterAutospacing="0" w:line="400" w:lineRule="exact"/>
        <w:ind w:right="0"/>
        <w:jc w:val="left"/>
        <w:textAlignment w:val="auto"/>
        <w:outlineLvl w:val="9"/>
      </w:pPr>
      <w:r>
        <w:rPr>
          <w:rFonts w:hint="eastAsia" w:ascii="微软雅黑" w:hAnsi="微软雅黑" w:eastAsia="微软雅黑" w:cs="微软雅黑"/>
          <w:i w:val="0"/>
          <w:caps w:val="0"/>
          <w:color w:val="000000"/>
          <w:spacing w:val="0"/>
          <w:kern w:val="0"/>
          <w:sz w:val="24"/>
          <w:szCs w:val="24"/>
          <w:lang w:val="en-US" w:eastAsia="zh-CN" w:bidi="ar"/>
        </w:rPr>
        <w:t>注：根据《建设项目环境影响评价政府信息公开指南（试行）》的有关规定，上述报告不含涉及国家秘密、商业秘密、个人隐私以及涉及国家安全、公共安全、经济安全和社会稳定的内容。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F5FFA"/>
    <w:rsid w:val="01A237CE"/>
    <w:rsid w:val="03425557"/>
    <w:rsid w:val="055A5599"/>
    <w:rsid w:val="05A345FF"/>
    <w:rsid w:val="08843E62"/>
    <w:rsid w:val="0F136A9E"/>
    <w:rsid w:val="117136E8"/>
    <w:rsid w:val="193F08F1"/>
    <w:rsid w:val="1B5A1C2E"/>
    <w:rsid w:val="228F6BED"/>
    <w:rsid w:val="22EE6438"/>
    <w:rsid w:val="2C3446DE"/>
    <w:rsid w:val="2DAF5FFA"/>
    <w:rsid w:val="2FAD12E1"/>
    <w:rsid w:val="33BA5293"/>
    <w:rsid w:val="3D5662E4"/>
    <w:rsid w:val="48C749F2"/>
    <w:rsid w:val="4E8C7B5A"/>
    <w:rsid w:val="56C17613"/>
    <w:rsid w:val="5AA43B1F"/>
    <w:rsid w:val="5BFA0D5D"/>
    <w:rsid w:val="5C7C7108"/>
    <w:rsid w:val="600F5EED"/>
    <w:rsid w:val="61A34516"/>
    <w:rsid w:val="6A6F59FA"/>
    <w:rsid w:val="6ED57B38"/>
    <w:rsid w:val="6F59718C"/>
    <w:rsid w:val="72977F80"/>
    <w:rsid w:val="756C5936"/>
    <w:rsid w:val="773B560E"/>
    <w:rsid w:val="7EE34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内容"/>
    <w:basedOn w:val="1"/>
    <w:qFormat/>
    <w:uiPriority w:val="0"/>
    <w:pPr>
      <w:spacing w:beforeLines="50" w:afterLines="50"/>
      <w:ind w:firstLine="200" w:firstLineChars="200"/>
    </w:pPr>
    <w:rPr>
      <w:color w:val="000000"/>
    </w:rPr>
  </w:style>
  <w:style w:type="character" w:customStyle="1" w:styleId="9">
    <w:name w:val="NormalCharacter"/>
    <w:qFormat/>
    <w:uiPriority w:val="0"/>
  </w:style>
  <w:style w:type="paragraph" w:customStyle="1" w:styleId="10">
    <w:name w:val="首行缩进正文"/>
    <w:basedOn w:val="11"/>
    <w:qFormat/>
    <w:uiPriority w:val="0"/>
    <w:rPr>
      <w:sz w:val="21"/>
    </w:rPr>
  </w:style>
  <w:style w:type="paragraph" w:customStyle="1" w:styleId="11">
    <w:name w:val="【正文】"/>
    <w:basedOn w:val="1"/>
    <w:qFormat/>
    <w:uiPriority w:val="0"/>
    <w:pPr>
      <w:spacing w:line="360" w:lineRule="auto"/>
      <w:ind w:firstLine="200" w:firstLineChars="200"/>
    </w:pPr>
    <w:rPr>
      <w:rFonts w:cs="宋体"/>
      <w:color w:val="000000" w:themeColor="text1"/>
      <w:kern w:val="0"/>
      <w:sz w:val="24"/>
      <w14:textFill>
        <w14:solidFill>
          <w14:schemeClr w14:val="tx1"/>
        </w14:solidFill>
      </w14:textFill>
    </w:rPr>
  </w:style>
  <w:style w:type="paragraph" w:customStyle="1" w:styleId="12">
    <w:name w:val="【表中文字】-"/>
    <w:basedOn w:val="1"/>
    <w:qFormat/>
    <w:uiPriority w:val="0"/>
    <w:pPr>
      <w:adjustRightInd w:val="0"/>
      <w:snapToGrid w:val="0"/>
      <w:jc w:val="center"/>
    </w:pPr>
    <w:rPr>
      <w:kern w:val="0"/>
      <w:sz w:val="18"/>
      <w:szCs w:val="20"/>
    </w:rPr>
  </w:style>
  <w:style w:type="paragraph" w:customStyle="1" w:styleId="13">
    <w:name w:val="《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1220</Words>
  <Characters>1310</Characters>
  <Lines>0</Lines>
  <Paragraphs>0</Paragraphs>
  <TotalTime>3</TotalTime>
  <ScaleCrop>false</ScaleCrop>
  <LinksUpToDate>false</LinksUpToDate>
  <CharactersWithSpaces>1310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2020-11-25T02:44:00Z</dcterms:created>
  <dc:creator>Administrator</dc:creator>
  <cp:lastModifiedBy>ycj</cp:lastModifiedBy>
  <cp:lastPrinted>2021-11-18T02:43:00Z</cp:lastPrinted>
  <dcterms:modified xsi:type="dcterms:W3CDTF">2022-03-31T00:37:46Z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C7A6300CA53C4D5D9CDB407EE245D85F</vt:lpwstr>
  </property>
</Properties>
</file>