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目录</w:t>
      </w:r>
    </w:p>
    <w:p>
      <w:pPr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第一部分 兰西县兰亚街道办事处部门概况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部门职责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二、部门机构设置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三、部门人员构成</w:t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第二部分 兰西县兰亚街道办事处部门202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b/>
          <w:sz w:val="30"/>
          <w:szCs w:val="30"/>
        </w:rPr>
        <w:t>年部门预算报表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七、一般公共预算支出情况表(政府经济科目)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九、政府性基金预算支出情况表(部门经济科目)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十、政府性基金预算支出情况表(政府经济科目)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十一、一般公共预算“三公”经费支出情况表</w:t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第三部分兰西县兰亚街道办事处部门202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b/>
          <w:sz w:val="30"/>
          <w:szCs w:val="30"/>
        </w:rPr>
        <w:t>年部门预算情况说明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1、关于部门收支总体情况表的说明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2、关于部门收入总体情况表的说明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3、关于部门支出总体情况表的说明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4、关于财政拨款收支总体情况表的说明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5、关于一般公共预算支出情况表（功能科目）的说明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6、关于一般公共预算基本支出情况表（部门经济科目）的说明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7、关于一般公共预算支出情况表（政府经济科目）的说明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8、关于政府性基金预算支出情况表（功能科目）的说明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9、关于政府性基金预算支出情况表（部门经济科目）的说明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10、关于政府性基金预算支出情况表（政府经济科目）的说明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11、关于一般公共预算“三公”经费支出表的说明</w:t>
      </w:r>
    </w:p>
    <w:p>
      <w:pPr>
        <w:tabs>
          <w:tab w:val="left" w:pos="4996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12、机关运行经费安排情况说明</w:t>
      </w:r>
      <w:r>
        <w:rPr>
          <w:rFonts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13、关于政府采购预算支出情况说明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14、关于国有资产占有使用情况说明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15、关于行政事业性项目和专项资金绩效目标的说明</w:t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第四部分 名词解释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1、财政拨款收入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2、财政专户资金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3、事业收入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4、政府基金收入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5、其他收入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6、基本支出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7、因公出国（境）经费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8、公务接待费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9、公务用车购置及运行费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10、政府采购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11、预算绩效管理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12、绩效目标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61" w:firstLineChars="100"/>
        <w:jc w:val="center"/>
        <w:rPr>
          <w:rFonts w:asciiTheme="minorEastAsia" w:hAnsiTheme="minorEastAsia"/>
          <w:b/>
          <w:sz w:val="36"/>
          <w:szCs w:val="30"/>
        </w:rPr>
      </w:pPr>
      <w:r>
        <w:rPr>
          <w:rFonts w:hint="eastAsia" w:asciiTheme="minorEastAsia" w:hAnsiTheme="minorEastAsia"/>
          <w:b/>
          <w:sz w:val="36"/>
          <w:szCs w:val="30"/>
        </w:rPr>
        <w:t>兰西县兰亚街道办事处部门</w:t>
      </w:r>
    </w:p>
    <w:p>
      <w:pPr>
        <w:ind w:firstLine="361" w:firstLineChars="100"/>
        <w:jc w:val="center"/>
        <w:rPr>
          <w:rFonts w:asciiTheme="minorEastAsia" w:hAnsiTheme="minorEastAsia"/>
          <w:b/>
          <w:sz w:val="36"/>
          <w:szCs w:val="30"/>
        </w:rPr>
      </w:pPr>
      <w:r>
        <w:rPr>
          <w:rFonts w:hint="eastAsia" w:asciiTheme="minorEastAsia" w:hAnsiTheme="minorEastAsia"/>
          <w:b/>
          <w:sz w:val="36"/>
          <w:szCs w:val="30"/>
        </w:rPr>
        <w:t>2021年部门预算情况说明</w:t>
      </w:r>
    </w:p>
    <w:p>
      <w:pPr>
        <w:ind w:firstLine="301" w:firstLineChars="10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第一部分兰西县兰亚街道办事处部门概况</w:t>
      </w:r>
    </w:p>
    <w:p>
      <w:pPr>
        <w:pStyle w:val="9"/>
        <w:numPr>
          <w:ilvl w:val="0"/>
          <w:numId w:val="2"/>
        </w:numPr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部门职责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兰亚街道办事处是县政府的派出机构，对辖区的政务和事务工作行使组织领导、综合协调、监督检查等管理和服务职能。</w:t>
      </w:r>
    </w:p>
    <w:p>
      <w:pPr>
        <w:ind w:firstLine="452" w:firstLineChars="15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二、部门机构设置</w:t>
      </w:r>
    </w:p>
    <w:p>
      <w:pPr>
        <w:pStyle w:val="11"/>
        <w:spacing w:line="56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内设科室有：1、综合服务大厅2、党群综合办公室3、行政综合办公室4、社会事务管理办公室5、街区经济发展办公室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三、部门人员构成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部门总编制人数20人，在职实有人数10人，其中行政编制6人、事业编制4人。</w:t>
      </w:r>
    </w:p>
    <w:p>
      <w:pPr>
        <w:ind w:firstLine="301" w:firstLineChars="10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第二部分兰西县兰亚街道办事处部门</w:t>
      </w:r>
    </w:p>
    <w:p>
      <w:pPr>
        <w:ind w:firstLine="301" w:firstLineChars="10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2021年部门预算公开报表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一、部门收支总体情况表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二、部门收入总体情况表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三、部门支出总体情况表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四、财政拨款收支总体情况表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五、一般公共预算支出情况表(功能科目)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六、一般公共预算基本支出情况表(部门经济科目)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七、一般公共预算支出情况表(政府经济科目)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八、政府性基金预算支出情况表(功能科目)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九、政府性基金预算支出情况表(部门经济科目)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十、政府性基金预算支出情况表(政府经济科目)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十一、一般公共预算“三公”经费支出情况表。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第三部分兰西县兰亚街道办事处部门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2021年部门预算情况说明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一、关于部门收支总体情况表的说明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收支总预算239.46万元，比上年预算数增加15.01万元。收入包括一般公共预算收入239.46万元；支出包括一般公共服务支出205.85万元、社会保障和就业支出21.34万元，卫生健康支出6.94万元、住房保障支出5.33万元。按照综合预算的原则，</w:t>
      </w:r>
      <w:r>
        <w:rPr>
          <w:rFonts w:asciiTheme="minorEastAsia" w:hAnsiTheme="minorEastAsia"/>
          <w:sz w:val="28"/>
          <w:szCs w:val="28"/>
        </w:rPr>
        <w:t>兰西县兰亚街道办事处</w:t>
      </w:r>
      <w:r>
        <w:rPr>
          <w:rFonts w:hint="eastAsia" w:asciiTheme="minorEastAsia" w:hAnsiTheme="minorEastAsia"/>
          <w:sz w:val="28"/>
          <w:szCs w:val="28"/>
        </w:rPr>
        <w:t>部门所有收入和支出均纳入部门预算管理。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二、关于部门收入总体情况表的说明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部门2021年收入预算239.46万元，其中一般公共预算收入239.46万元，占100%。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三、关于部门支出总体情况表的说明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部门2021年支出预算239.46万元，其中基本支出209.46万元，占87.5%；项目支出30万元，占12.5%。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四、关于财政拨款收支总体情况表的说明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部门2021年财政拨款收支总预算239.46万元。收入包括经费拨款239.46万元。支出包括一般公共服务支出205.85万元，社会保障和就业支出21.34万元，卫生健康支出6.94万元、住房保障支出5.33万元。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五、关于一般公共预算支出情况表（功能科目）的说明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部门2021年一般公共预算支出239.46万元，比上年预算数增加15.01万元，其中：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1、2010301行政运行2021年预算数为205.85万元，比上年预算数增加5.72万元，主要原因：人员增加，调资。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2、2010302一般行政管理事务2021年预算数为30万元，与上年相同。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3、2080505机关事业单位基本养老保险缴费支出2021年预算数为21.34万元，比上年预算数增加6.95万元，主要原因：2020年人员调入，所以导致增加。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</w:rPr>
        <w:t>2210201住房公积金2021年预算数为5.33万元，比上年增加2.34万元。主要原因：人员变动。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六、关于一般公共预算基本支出情况表（部门经济科目）的说明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部门2021年一般公共预算基本支出239.46万元，其中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工资福利支出157.16万元，主要包括基本工资67.72万元、津贴补贴46.40万元、年终一次性奖金9.43万元、机关事业单位基本养老保险缴费17.07万元、职工基本医疗保险缴费6.94万元、其他社会保障缴费4.27万元、住房公积金5.33万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2、按定额管理的商品服务支出8.48万元，主要包括办公费2万元、其他交通费用6.48万元。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3、对个人和家庭补助支出43.82万元，主要包括生活补助43.82万元。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4、项目支出30万元。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七、关于一般公共预算支出情况表（政府经济科目）的说明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部门2021年一般公共预算支出239.46万元，其中：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1、机关工资福利支出157.16万元，主要包括工资津补贴123.55万元、社会保障缴费28.28万元、住房公积金5.33万元；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2、机关商品服务支出38.48万元，主要包括办公经费38.48万元。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3.对个人和家庭的补助支出</w:t>
      </w:r>
      <w:r>
        <w:rPr>
          <w:rFonts w:hint="eastAsia" w:asciiTheme="minorEastAsia" w:hAnsiTheme="minorEastAsia"/>
          <w:sz w:val="28"/>
          <w:szCs w:val="28"/>
        </w:rPr>
        <w:t>43.82万元，主要包括社会福利和救助43.82万元。</w:t>
      </w:r>
    </w:p>
    <w:p>
      <w:pPr>
        <w:ind w:firstLine="452" w:firstLineChars="15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八、关于政府性基金预算支出情况表（功能科目）的说明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本部门没有使用政府性基金预算拨款安排的支出。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九、关于政府性基金预算支出情况表（部门经济科目）的说明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本部门没有使用政府性基金预算拨款安排的支出。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十、关于政府性基金预算支出情况表（政府经济科目）的说明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本部门没有使用政府性基金预算拨款安排的支出。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十一、关于一般公共预算“三公”经费支出表的说明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部门2021年“三公”经费预算数为0万元。其中因公出国(境)费0万元，公务用车购置费0万元，公务用车运行费0万元，公务接待费0万元，与上年预算数相比无变化。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十二、机关运行经费安排情况说明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2021年本部门机关运行经费预算安排2万元，其中办公费2万元、同上年比无变化。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十三、关于政府采购预算支出情况说明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2021年</w:t>
      </w: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部门采购预算总额32万元。</w:t>
      </w:r>
    </w:p>
    <w:p>
      <w:pPr>
        <w:ind w:firstLine="452" w:firstLineChars="15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十四、关于国有资产占有使用情况说明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截止2020年12月底，</w:t>
      </w:r>
      <w:r>
        <w:rPr>
          <w:rFonts w:asciiTheme="minorEastAsia" w:hAnsiTheme="minorEastAsia"/>
          <w:sz w:val="28"/>
          <w:szCs w:val="28"/>
        </w:rPr>
        <w:t>兰亚街道办事处</w:t>
      </w:r>
      <w:r>
        <w:rPr>
          <w:rFonts w:hint="eastAsia" w:asciiTheme="minorEastAsia" w:hAnsiTheme="minorEastAsia"/>
          <w:sz w:val="28"/>
          <w:szCs w:val="28"/>
        </w:rPr>
        <w:t>部门共有房屋1400平方米，其中办公用房1400平方米。共有车辆0台。共有单位价值50万元以上设备0台，其中单位价值100万元以上设备0台。</w:t>
      </w:r>
    </w:p>
    <w:p>
      <w:pPr>
        <w:ind w:firstLine="452" w:firstLineChars="15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sz w:val="30"/>
          <w:szCs w:val="30"/>
        </w:rPr>
        <w:t>十五、关于行政事业性项目和专项资金绩效目标的说明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兰亚街道办事处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全面实行绩效评价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640" w:firstLineChars="200"/>
        <w:rPr>
          <w:rFonts w:hint="default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根据《2020年政府收支分类科目》和《2020年部门预算编制手册》，对2020年部门预算中相关词解释如下：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一、财政拨款收入：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二、财政专户资金：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三、事业收入：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四、政府基金收入：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五、其他收入：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六、基本支出：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七、因公出国（境）经费：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八、公务接待费：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九、公务用车购置及运行费：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b/>
          <w:color w:val="000000"/>
          <w:sz w:val="32"/>
          <w:szCs w:val="32"/>
          <w:shd w:val="clear" w:color="auto" w:fill="FFFFFF"/>
        </w:rPr>
        <w:t>十、政府采购：</w:t>
      </w:r>
      <w:r>
        <w:rPr>
          <w:rFonts w:hint="eastAsia" w:asciiTheme="minorEastAsia" w:hAnsiTheme="minorEastAsia"/>
          <w:color w:val="000000"/>
          <w:sz w:val="32"/>
          <w:szCs w:val="32"/>
          <w:shd w:val="clear" w:color="auto" w:fill="FFFFFF"/>
        </w:rPr>
        <w:t>是各级政府为了开展日常政务活动或为公众提供服务，在财政的监督下，以法定的方式、方法、程序，通过公开招标、公平竞争，由财政部门以直接向供应商付款的方式，从国内、外市场上为政府部门或所属团体购买货物、工程和劳务的行为。</w:t>
      </w:r>
    </w:p>
    <w:p>
      <w:pPr>
        <w:ind w:firstLine="643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十一、预算绩效管理：</w:t>
      </w:r>
      <w:r>
        <w:rPr>
          <w:rFonts w:hint="eastAsia" w:asciiTheme="minorEastAsia" w:hAnsiTheme="minorEastAsia"/>
          <w:sz w:val="32"/>
          <w:szCs w:val="32"/>
        </w:rPr>
        <w:t>是以财政支出结果为导向，将绩效管理理念和方法贯穿于预算编制、执行、监督和信息公开全过程，并实现"预算编制有目标、预算执行有监控、预算完成有评价、评价结果有反馈、反馈结果有应用"的预算管理模式，是政府绩效管理的重要组成部分。</w:t>
      </w:r>
    </w:p>
    <w:p>
      <w:pPr>
        <w:ind w:firstLine="643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十二、绩效目标：</w:t>
      </w:r>
      <w:r>
        <w:rPr>
          <w:rFonts w:hint="eastAsia" w:asciiTheme="minorEastAsia" w:hAnsiTheme="minorEastAsia"/>
          <w:sz w:val="32"/>
          <w:szCs w:val="32"/>
        </w:rPr>
        <w:t>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 xml:space="preserve">                            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兰西县兰亚街道办事处</w:t>
      </w:r>
    </w:p>
    <w:p>
      <w:pPr>
        <w:rPr>
          <w:rFonts w:hint="default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                            2021年3月25日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7633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abstractNum w:abstractNumId="1">
    <w:nsid w:val="68C9350A"/>
    <w:multiLevelType w:val="multilevel"/>
    <w:tmpl w:val="68C935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880"/>
    <w:rsid w:val="000221CD"/>
    <w:rsid w:val="00023551"/>
    <w:rsid w:val="000729EA"/>
    <w:rsid w:val="000A3605"/>
    <w:rsid w:val="000B61A9"/>
    <w:rsid w:val="000C5A48"/>
    <w:rsid w:val="000E0C04"/>
    <w:rsid w:val="000F1573"/>
    <w:rsid w:val="000F6C84"/>
    <w:rsid w:val="000F7C85"/>
    <w:rsid w:val="00100970"/>
    <w:rsid w:val="00126288"/>
    <w:rsid w:val="001419DD"/>
    <w:rsid w:val="00180B94"/>
    <w:rsid w:val="00181973"/>
    <w:rsid w:val="001E6B2F"/>
    <w:rsid w:val="001E7293"/>
    <w:rsid w:val="001F7D95"/>
    <w:rsid w:val="0027454D"/>
    <w:rsid w:val="00276AED"/>
    <w:rsid w:val="002A5823"/>
    <w:rsid w:val="002C66F9"/>
    <w:rsid w:val="002E64CC"/>
    <w:rsid w:val="00303946"/>
    <w:rsid w:val="0033099C"/>
    <w:rsid w:val="00332D38"/>
    <w:rsid w:val="00370BDF"/>
    <w:rsid w:val="003A46C8"/>
    <w:rsid w:val="003B77E7"/>
    <w:rsid w:val="003C3B9A"/>
    <w:rsid w:val="003C58A3"/>
    <w:rsid w:val="003E7BFC"/>
    <w:rsid w:val="004527B2"/>
    <w:rsid w:val="0045379C"/>
    <w:rsid w:val="004647FF"/>
    <w:rsid w:val="00477440"/>
    <w:rsid w:val="00484577"/>
    <w:rsid w:val="00487469"/>
    <w:rsid w:val="00523CD6"/>
    <w:rsid w:val="005364CA"/>
    <w:rsid w:val="0053751A"/>
    <w:rsid w:val="00547AF7"/>
    <w:rsid w:val="00567ED8"/>
    <w:rsid w:val="005A79C5"/>
    <w:rsid w:val="005B02EA"/>
    <w:rsid w:val="005E7243"/>
    <w:rsid w:val="00627BC0"/>
    <w:rsid w:val="006373EB"/>
    <w:rsid w:val="00662F3B"/>
    <w:rsid w:val="006657A1"/>
    <w:rsid w:val="006659F5"/>
    <w:rsid w:val="00686DBD"/>
    <w:rsid w:val="006A72FF"/>
    <w:rsid w:val="006E1A99"/>
    <w:rsid w:val="006E4453"/>
    <w:rsid w:val="006E7880"/>
    <w:rsid w:val="006F00E6"/>
    <w:rsid w:val="007311A9"/>
    <w:rsid w:val="007504C5"/>
    <w:rsid w:val="00753D9A"/>
    <w:rsid w:val="00776799"/>
    <w:rsid w:val="007E3D40"/>
    <w:rsid w:val="007F3EC8"/>
    <w:rsid w:val="00806C14"/>
    <w:rsid w:val="008218E2"/>
    <w:rsid w:val="00837356"/>
    <w:rsid w:val="0087533A"/>
    <w:rsid w:val="008767B9"/>
    <w:rsid w:val="00885520"/>
    <w:rsid w:val="008C337E"/>
    <w:rsid w:val="008D227B"/>
    <w:rsid w:val="008D395D"/>
    <w:rsid w:val="008D4C9C"/>
    <w:rsid w:val="009211FB"/>
    <w:rsid w:val="009268AD"/>
    <w:rsid w:val="0093236C"/>
    <w:rsid w:val="009A11A7"/>
    <w:rsid w:val="00A040AA"/>
    <w:rsid w:val="00A41E0E"/>
    <w:rsid w:val="00A55FF9"/>
    <w:rsid w:val="00A672DA"/>
    <w:rsid w:val="00A83CDF"/>
    <w:rsid w:val="00AA030E"/>
    <w:rsid w:val="00AA0B16"/>
    <w:rsid w:val="00AA4DA6"/>
    <w:rsid w:val="00AD1497"/>
    <w:rsid w:val="00AF164E"/>
    <w:rsid w:val="00B103FF"/>
    <w:rsid w:val="00B249D3"/>
    <w:rsid w:val="00B31F2C"/>
    <w:rsid w:val="00B344AE"/>
    <w:rsid w:val="00B71717"/>
    <w:rsid w:val="00BA5CFF"/>
    <w:rsid w:val="00BB7C71"/>
    <w:rsid w:val="00BD0C76"/>
    <w:rsid w:val="00BE635D"/>
    <w:rsid w:val="00BF3CD2"/>
    <w:rsid w:val="00C83F02"/>
    <w:rsid w:val="00C848FA"/>
    <w:rsid w:val="00C85385"/>
    <w:rsid w:val="00D06EA6"/>
    <w:rsid w:val="00D257F0"/>
    <w:rsid w:val="00D721F3"/>
    <w:rsid w:val="00D854A8"/>
    <w:rsid w:val="00D90C44"/>
    <w:rsid w:val="00D914DA"/>
    <w:rsid w:val="00D9535E"/>
    <w:rsid w:val="00DC0B79"/>
    <w:rsid w:val="00E324D0"/>
    <w:rsid w:val="00E418EA"/>
    <w:rsid w:val="00E4283C"/>
    <w:rsid w:val="00E6115F"/>
    <w:rsid w:val="00E612BB"/>
    <w:rsid w:val="00E63CB0"/>
    <w:rsid w:val="00E72D7C"/>
    <w:rsid w:val="00EB308A"/>
    <w:rsid w:val="00EF31BE"/>
    <w:rsid w:val="00F4077E"/>
    <w:rsid w:val="00F66010"/>
    <w:rsid w:val="00F73B04"/>
    <w:rsid w:val="00FB032F"/>
    <w:rsid w:val="00FB1807"/>
    <w:rsid w:val="00FB24E3"/>
    <w:rsid w:val="00FE5047"/>
    <w:rsid w:val="00FF0906"/>
    <w:rsid w:val="28E54F59"/>
    <w:rsid w:val="5C3B3872"/>
    <w:rsid w:val="7B6E6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45307-448D-4A34-8D65-70CA7BC69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577</Words>
  <Characters>3293</Characters>
  <Lines>27</Lines>
  <Paragraphs>7</Paragraphs>
  <TotalTime>0</TotalTime>
  <ScaleCrop>false</ScaleCrop>
  <LinksUpToDate>false</LinksUpToDate>
  <CharactersWithSpaces>3863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2019-01-28T07:14:00Z</dcterms:created>
  <dc:creator>微软用户</dc:creator>
  <cp:lastModifiedBy>Administrator</cp:lastModifiedBy>
  <cp:lastPrinted>2019-04-17T05:51:00Z</cp:lastPrinted>
  <dcterms:modified xsi:type="dcterms:W3CDTF">2021-06-16T00:56:32Z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4557FDEBBAD14EF78FC25A798F2FA576</vt:lpwstr>
  </property>
</Properties>
</file>