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兰西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年部门预算情况说明</w:t>
      </w:r>
    </w:p>
    <w:p>
      <w:pPr>
        <w:ind w:firstLine="1205" w:firstLineChars="400"/>
        <w:jc w:val="left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第一部分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兰西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镇概况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第二部分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兰西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七、一般公共预算支出情况表(政府经济科目)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九、政府性基金预算支出情况表(部门经济科目)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十、政府性基金预算支出情况表(政府经济科目)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十一、一般公共预算“三公”经费支出情况表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兰西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镇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7、关于一般公共预算支出情况表（政府经济科目）的说明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9、关于政府性基金预算支出情况表（部门经济科目）的说明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10、关于政府性基金预算支出情况表（政府经济科目）的说明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12、机关运行经费安排情况说明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13、关于政府采购预算支出情况说明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14、关于国有资产占有使用情况说明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15、关于行政事业性项目和专项资金绩效目标的说明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第四部分 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…………</w:t>
      </w:r>
    </w:p>
    <w:p>
      <w:pPr>
        <w:ind w:firstLine="361" w:firstLineChars="100"/>
        <w:jc w:val="center"/>
        <w:rPr>
          <w:rFonts w:asciiTheme="majorEastAsia" w:hAnsiTheme="majorEastAsia" w:eastAsiaTheme="majorEastAsia"/>
          <w:b/>
          <w:sz w:val="36"/>
          <w:szCs w:val="30"/>
        </w:rPr>
      </w:pPr>
      <w:r>
        <w:rPr>
          <w:rFonts w:hint="eastAsia" w:asciiTheme="majorEastAsia" w:hAnsiTheme="majorEastAsia" w:eastAsiaTheme="majorEastAsia"/>
          <w:b/>
          <w:sz w:val="36"/>
          <w:szCs w:val="30"/>
          <w:lang w:val="en-US" w:eastAsia="zh-CN"/>
        </w:rPr>
        <w:t>兰西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镇20</w:t>
      </w:r>
      <w:r>
        <w:rPr>
          <w:rFonts w:hint="eastAsia" w:asciiTheme="majorEastAsia" w:hAnsiTheme="majorEastAsia" w:eastAsiaTheme="majorEastAsia"/>
          <w:b/>
          <w:sz w:val="36"/>
          <w:szCs w:val="30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 </w:t>
      </w:r>
      <w:r>
        <w:rPr>
          <w:rFonts w:hint="eastAsia"/>
          <w:b/>
          <w:sz w:val="30"/>
          <w:szCs w:val="30"/>
          <w:lang w:val="en-US" w:eastAsia="zh-CN"/>
        </w:rPr>
        <w:t>兰西</w:t>
      </w:r>
      <w:r>
        <w:rPr>
          <w:rFonts w:hint="eastAsia"/>
          <w:b/>
          <w:sz w:val="30"/>
          <w:szCs w:val="30"/>
        </w:rPr>
        <w:t>镇概况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left="45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贯彻落实党的路线方针政策，维护农村社会稳定，负责农村社会管理、公共服务和社会化服务体系，引导农村劳动力转移和就业。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内设科室有：行政机构和事业机构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兰西</w:t>
      </w:r>
      <w:r>
        <w:rPr>
          <w:rFonts w:hint="eastAsia"/>
          <w:sz w:val="28"/>
          <w:szCs w:val="28"/>
        </w:rPr>
        <w:t>镇总编制人数</w:t>
      </w:r>
      <w:r>
        <w:rPr>
          <w:rFonts w:hint="eastAsia"/>
          <w:sz w:val="28"/>
          <w:szCs w:val="28"/>
          <w:lang w:val="en-US" w:eastAsia="zh-CN"/>
        </w:rPr>
        <w:t>110</w:t>
      </w:r>
      <w:r>
        <w:rPr>
          <w:rFonts w:hint="eastAsia"/>
          <w:sz w:val="28"/>
          <w:szCs w:val="28"/>
        </w:rPr>
        <w:t>人，在职实有人数</w:t>
      </w:r>
      <w:r>
        <w:rPr>
          <w:rFonts w:hint="eastAsia"/>
          <w:sz w:val="28"/>
          <w:szCs w:val="28"/>
          <w:lang w:val="en-US" w:eastAsia="zh-CN"/>
        </w:rPr>
        <w:t>78</w:t>
      </w:r>
      <w:r>
        <w:rPr>
          <w:rFonts w:hint="eastAsia"/>
          <w:sz w:val="28"/>
          <w:szCs w:val="28"/>
        </w:rPr>
        <w:t>人，其中行政编制</w:t>
      </w:r>
      <w:r>
        <w:rPr>
          <w:rFonts w:hint="eastAsia"/>
          <w:sz w:val="28"/>
          <w:szCs w:val="28"/>
          <w:lang w:val="en-US" w:eastAsia="zh-CN"/>
        </w:rPr>
        <w:t>39</w:t>
      </w:r>
      <w:r>
        <w:rPr>
          <w:rFonts w:hint="eastAsia"/>
          <w:sz w:val="28"/>
          <w:szCs w:val="28"/>
        </w:rPr>
        <w:t>人、参公编制0人，事业单位</w:t>
      </w:r>
      <w:r>
        <w:rPr>
          <w:rFonts w:hint="eastAsia"/>
          <w:sz w:val="28"/>
          <w:szCs w:val="28"/>
          <w:lang w:val="en-US" w:eastAsia="zh-CN"/>
        </w:rPr>
        <w:t>39</w:t>
      </w:r>
      <w:r>
        <w:rPr>
          <w:rFonts w:hint="eastAsia"/>
          <w:sz w:val="28"/>
          <w:szCs w:val="28"/>
        </w:rPr>
        <w:t>人，退休人员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>人。与20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年对比，退休人员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行政编制增加7人，事业减少1人。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</w:t>
      </w:r>
      <w:r>
        <w:rPr>
          <w:rFonts w:hint="eastAsia"/>
          <w:b/>
          <w:sz w:val="30"/>
          <w:szCs w:val="30"/>
          <w:lang w:val="en-US" w:eastAsia="zh-CN"/>
        </w:rPr>
        <w:t>兰西</w:t>
      </w:r>
      <w:r>
        <w:rPr>
          <w:rFonts w:hint="eastAsia"/>
          <w:b/>
          <w:sz w:val="30"/>
          <w:szCs w:val="30"/>
        </w:rPr>
        <w:t>镇</w:t>
      </w:r>
      <w:r>
        <w:rPr>
          <w:rFonts w:hint="eastAsia"/>
          <w:b/>
          <w:sz w:val="30"/>
          <w:szCs w:val="30"/>
          <w:lang w:val="en-US" w:eastAsia="zh-CN"/>
        </w:rPr>
        <w:t>2021</w:t>
      </w:r>
      <w:r>
        <w:rPr>
          <w:rFonts w:hint="eastAsia"/>
          <w:b/>
          <w:sz w:val="30"/>
          <w:szCs w:val="30"/>
        </w:rPr>
        <w:t>年部门预算公开报表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二、部门收入总体情况表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三、部门支出总体情况表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六、一般公共预算基本支出情况表(部门经济科目)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七、一般公共预算支出情况表(政府经济科目)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九、政府性基金预算支出情况表(部门经济科目)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十、政府性基金预算支出情况表(政府经济科目)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十一、一般公共预算“三公”经费支出情况表。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第三部分    </w:t>
      </w:r>
      <w:r>
        <w:rPr>
          <w:rFonts w:hint="eastAsia"/>
          <w:b/>
          <w:sz w:val="30"/>
          <w:szCs w:val="30"/>
          <w:lang w:val="en-US" w:eastAsia="zh-CN"/>
        </w:rPr>
        <w:t>兰西</w:t>
      </w:r>
      <w:r>
        <w:rPr>
          <w:rFonts w:hint="eastAsia"/>
          <w:b/>
          <w:sz w:val="30"/>
          <w:szCs w:val="30"/>
        </w:rPr>
        <w:t>镇</w:t>
      </w:r>
      <w:r>
        <w:rPr>
          <w:rFonts w:hint="eastAsia"/>
          <w:b/>
          <w:sz w:val="30"/>
          <w:szCs w:val="30"/>
          <w:lang w:val="en-US" w:eastAsia="zh-CN"/>
        </w:rPr>
        <w:t>2021</w:t>
      </w:r>
      <w:r>
        <w:rPr>
          <w:rFonts w:hint="eastAsia"/>
          <w:b/>
          <w:sz w:val="30"/>
          <w:szCs w:val="30"/>
        </w:rPr>
        <w:t>年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部门预算情况说明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1017.7</w:t>
      </w:r>
      <w:r>
        <w:rPr>
          <w:rFonts w:hint="eastAsia" w:asciiTheme="minorEastAsia" w:hAnsiTheme="minorEastAsia"/>
          <w:sz w:val="28"/>
          <w:szCs w:val="28"/>
        </w:rPr>
        <w:t>万元，比上年预算数增加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146.16</w:t>
      </w:r>
      <w:r>
        <w:rPr>
          <w:rFonts w:hint="eastAsia" w:asciiTheme="minorEastAsia" w:hAnsiTheme="minorEastAsia"/>
          <w:sz w:val="28"/>
          <w:szCs w:val="28"/>
        </w:rPr>
        <w:t>万元。收入包括一般公共预算收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1015.90</w:t>
      </w:r>
      <w:r>
        <w:rPr>
          <w:rFonts w:hint="eastAsia" w:asciiTheme="minorEastAsia" w:hAnsiTheme="minorEastAsia"/>
          <w:sz w:val="28"/>
          <w:szCs w:val="28"/>
        </w:rPr>
        <w:t>万元、政府性基金收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1.8</w:t>
      </w:r>
      <w:r>
        <w:rPr>
          <w:rFonts w:hint="eastAsia" w:asciiTheme="minorEastAsia" w:hAnsiTheme="minorEastAsia"/>
          <w:sz w:val="28"/>
          <w:szCs w:val="28"/>
        </w:rPr>
        <w:t>万元、国有资本经营收入0万元、财政专户资金收入0万元、事业收入0万元、事业单位经营收入0万元、其它收入0万元；支出包括一般公共服务支出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452.47</w:t>
      </w:r>
      <w:r>
        <w:rPr>
          <w:rFonts w:hint="eastAsia" w:asciiTheme="minorEastAsia" w:hAnsiTheme="minorEastAsia"/>
          <w:sz w:val="28"/>
          <w:szCs w:val="28"/>
        </w:rPr>
        <w:t>万元、社会保障和就业支出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129.45</w:t>
      </w:r>
      <w:r>
        <w:rPr>
          <w:rFonts w:hint="eastAsia" w:asciiTheme="minorEastAsia" w:hAnsiTheme="minorEastAsia"/>
          <w:sz w:val="28"/>
          <w:szCs w:val="28"/>
          <w:lang w:eastAsia="zh-CN"/>
        </w:rPr>
        <w:t>万元、医疗卫生与计划生育支出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43.38</w:t>
      </w:r>
      <w:r>
        <w:rPr>
          <w:rFonts w:hint="eastAsia" w:asciiTheme="minorEastAsia" w:hAnsiTheme="minorEastAsia"/>
          <w:sz w:val="28"/>
          <w:szCs w:val="28"/>
          <w:lang w:eastAsia="zh-CN"/>
        </w:rPr>
        <w:t>万元、农林水支出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367.53</w:t>
      </w:r>
      <w:r>
        <w:rPr>
          <w:rFonts w:hint="eastAsia" w:asciiTheme="minorEastAsia" w:hAnsiTheme="minorEastAsia"/>
          <w:sz w:val="28"/>
          <w:szCs w:val="28"/>
          <w:lang w:eastAsia="zh-CN"/>
        </w:rPr>
        <w:t>万元、住房保障支出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24.86万元。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年预算</w:t>
      </w:r>
      <w:r>
        <w:rPr>
          <w:rFonts w:hint="eastAsia" w:asciiTheme="minorEastAsia" w:hAnsiTheme="minorEastAsia"/>
          <w:sz w:val="28"/>
          <w:szCs w:val="28"/>
          <w:lang w:eastAsia="zh-CN"/>
        </w:rPr>
        <w:t>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1017.7</w:t>
      </w:r>
      <w:r>
        <w:rPr>
          <w:rFonts w:hint="eastAsia" w:asciiTheme="minorEastAsia" w:hAnsiTheme="minorEastAsia"/>
          <w:sz w:val="28"/>
          <w:szCs w:val="28"/>
        </w:rPr>
        <w:t>万元，其中一般公共预算收入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1015.90</w:t>
      </w:r>
      <w:r>
        <w:rPr>
          <w:rFonts w:hint="eastAsia" w:asciiTheme="minorEastAsia" w:hAnsiTheme="minorEastAsia"/>
          <w:sz w:val="28"/>
          <w:szCs w:val="28"/>
        </w:rPr>
        <w:t>万元，占100%；政府性基金收入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1.8</w:t>
      </w:r>
      <w:r>
        <w:rPr>
          <w:rFonts w:hint="eastAsia" w:asciiTheme="minorEastAsia" w:hAnsiTheme="minorEastAsia"/>
          <w:sz w:val="28"/>
          <w:szCs w:val="28"/>
        </w:rPr>
        <w:t>万元，占0%；国有资本经营收入0万元，占0%财政专户资金收入0万元，占0%；事业收入0万元，占0%；事业单位经营收入0万元，占0%，其它收入0万元，占0%。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镇政府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年支出预算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1017.7</w:t>
      </w:r>
      <w:r>
        <w:rPr>
          <w:rFonts w:hint="eastAsia" w:asciiTheme="minorEastAsia" w:hAnsiTheme="minorEastAsia"/>
          <w:sz w:val="28"/>
          <w:szCs w:val="28"/>
        </w:rPr>
        <w:t>万元，其中基本支出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920.90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90.65</w:t>
      </w:r>
      <w:r>
        <w:rPr>
          <w:rFonts w:hint="eastAsia" w:asciiTheme="minorEastAsia" w:hAnsiTheme="minorEastAsia"/>
          <w:sz w:val="28"/>
          <w:szCs w:val="28"/>
        </w:rPr>
        <w:t>%；项目支出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95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9.35</w:t>
      </w:r>
      <w:r>
        <w:rPr>
          <w:rFonts w:hint="eastAsia" w:asciiTheme="minorEastAsia" w:hAnsiTheme="minorEastAsia"/>
          <w:sz w:val="28"/>
          <w:szCs w:val="28"/>
        </w:rPr>
        <w:t>%；上缴上级支出0万元，占0%；事业单位经营支出0万元，占0%；对附属单位补助支出0万元，占0%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;政府性基金1.8万元。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镇政府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年财政拨款收支总预算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1017.7</w:t>
      </w:r>
      <w:r>
        <w:rPr>
          <w:rFonts w:hint="eastAsia" w:asciiTheme="minorEastAsia" w:hAnsiTheme="minorEastAsia"/>
          <w:sz w:val="28"/>
          <w:szCs w:val="28"/>
        </w:rPr>
        <w:t>万元。收入包括一般公共预算收入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1017.9</w:t>
      </w:r>
      <w:r>
        <w:rPr>
          <w:rFonts w:hint="eastAsia" w:asciiTheme="minorEastAsia" w:hAnsiTheme="minorEastAsia"/>
          <w:sz w:val="28"/>
          <w:szCs w:val="28"/>
        </w:rPr>
        <w:t>万元，政府性基金收入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1.8</w:t>
      </w:r>
      <w:r>
        <w:rPr>
          <w:rFonts w:hint="eastAsia" w:asciiTheme="minorEastAsia" w:hAnsiTheme="minorEastAsia"/>
          <w:sz w:val="28"/>
          <w:szCs w:val="28"/>
        </w:rPr>
        <w:t>万元，国有资本经营收入0万元。支出包括一般公共服务支出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452.47</w:t>
      </w:r>
      <w:r>
        <w:rPr>
          <w:rFonts w:hint="eastAsia" w:asciiTheme="minorEastAsia" w:hAnsiTheme="minorEastAsia"/>
          <w:sz w:val="28"/>
          <w:szCs w:val="28"/>
        </w:rPr>
        <w:t>万元、社会保障和就业支出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129.45</w:t>
      </w:r>
      <w:r>
        <w:rPr>
          <w:rFonts w:hint="eastAsia" w:asciiTheme="minorEastAsia" w:hAnsiTheme="minorEastAsia"/>
          <w:sz w:val="28"/>
          <w:szCs w:val="28"/>
          <w:lang w:eastAsia="zh-CN"/>
        </w:rPr>
        <w:t>万元、医疗卫生与计划生育支出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43.38</w:t>
      </w:r>
      <w:r>
        <w:rPr>
          <w:rFonts w:hint="eastAsia" w:asciiTheme="minorEastAsia" w:hAnsiTheme="minorEastAsia"/>
          <w:sz w:val="28"/>
          <w:szCs w:val="28"/>
          <w:lang w:eastAsia="zh-CN"/>
        </w:rPr>
        <w:t>万元、农林水支出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367.53</w:t>
      </w:r>
      <w:r>
        <w:rPr>
          <w:rFonts w:hint="eastAsia" w:asciiTheme="minorEastAsia" w:hAnsiTheme="minorEastAsia"/>
          <w:sz w:val="28"/>
          <w:szCs w:val="28"/>
          <w:lang w:eastAsia="zh-CN"/>
        </w:rPr>
        <w:t>万元、住房保障支出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24.86万元。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</w:t>
      </w:r>
      <w:r>
        <w:rPr>
          <w:rFonts w:hint="eastAsia" w:asciiTheme="minorEastAsia" w:hAnsiTheme="minorEastAsia"/>
          <w:sz w:val="28"/>
          <w:szCs w:val="28"/>
          <w:lang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镇人民政府部门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年一般公共预算支出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1015.9</w:t>
      </w:r>
      <w:r>
        <w:rPr>
          <w:rFonts w:hint="eastAsia" w:asciiTheme="minorEastAsia" w:hAnsiTheme="minorEastAsia"/>
          <w:sz w:val="28"/>
          <w:szCs w:val="28"/>
        </w:rPr>
        <w:t>万元，比上年预算数</w:t>
      </w:r>
      <w:r>
        <w:rPr>
          <w:rFonts w:hint="eastAsia" w:asciiTheme="minorEastAsia" w:hAnsiTheme="minorEastAsia"/>
          <w:sz w:val="28"/>
          <w:szCs w:val="28"/>
          <w:lang w:eastAsia="zh-CN"/>
        </w:rPr>
        <w:t>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13.8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1、2010301  行政运行（政府办公厅（室）及相关机构事务）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375.55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2、2013101  行政运行（党委办公厅（室）及相关机构事务）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76.92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3、2130104  事业运行（农业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272.53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4、213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0799  其他农村综合改革支出95万元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5、2080505   机关事业单位养老保险缴费支出127.65万元。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6、2101101   行政单位医疗43.38万元。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7、2210201   住房公积金24.85万元。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兰西镇</w:t>
      </w:r>
      <w:r>
        <w:rPr>
          <w:rFonts w:hint="eastAsia" w:asciiTheme="minorEastAsia" w:hAnsiTheme="minorEastAsia"/>
          <w:sz w:val="28"/>
          <w:szCs w:val="28"/>
        </w:rPr>
        <w:t>政府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年一般公共预算基本支出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1015.90</w:t>
      </w:r>
      <w:r>
        <w:rPr>
          <w:rFonts w:hint="eastAsia" w:asciiTheme="minorEastAsia" w:hAnsiTheme="minorEastAsia"/>
          <w:sz w:val="28"/>
          <w:szCs w:val="28"/>
        </w:rPr>
        <w:t>万元，其中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1、工资福利支出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759.79</w:t>
      </w:r>
      <w:r>
        <w:rPr>
          <w:rFonts w:hint="eastAsia" w:asciiTheme="minorEastAsia" w:hAnsiTheme="minorEastAsia"/>
          <w:sz w:val="28"/>
          <w:szCs w:val="28"/>
        </w:rPr>
        <w:t>万元，主要包括基本工资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305.32</w:t>
      </w:r>
      <w:r>
        <w:rPr>
          <w:rFonts w:hint="eastAsia" w:asciiTheme="minorEastAsia" w:hAnsiTheme="minorEastAsia"/>
          <w:sz w:val="28"/>
          <w:szCs w:val="28"/>
        </w:rPr>
        <w:t>万元、津贴补贴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226.12</w:t>
      </w:r>
      <w:r>
        <w:rPr>
          <w:rFonts w:hint="eastAsia" w:asciiTheme="minorEastAsia" w:hAnsiTheme="minorEastAsia"/>
          <w:sz w:val="28"/>
          <w:szCs w:val="28"/>
        </w:rPr>
        <w:t>万元、年终一次性奖金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43.52</w:t>
      </w:r>
      <w:r>
        <w:rPr>
          <w:rFonts w:hint="eastAsia" w:asciiTheme="minorEastAsia" w:hAnsiTheme="minorEastAsia"/>
          <w:sz w:val="28"/>
          <w:szCs w:val="28"/>
        </w:rPr>
        <w:t>万元、住房公积金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24.86万元，养老保险107.77万元，年金19.88万元，医保32.32万元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2、按定额管理的商品服务支出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125.08</w:t>
      </w:r>
      <w:r>
        <w:rPr>
          <w:rFonts w:hint="eastAsia" w:asciiTheme="minorEastAsia" w:hAnsiTheme="minorEastAsia"/>
          <w:sz w:val="28"/>
          <w:szCs w:val="28"/>
        </w:rPr>
        <w:t>万元，主要包括办公费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万元、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印刷费15.50万、</w:t>
      </w:r>
      <w:r>
        <w:rPr>
          <w:rFonts w:hint="eastAsia" w:asciiTheme="minorEastAsia" w:hAnsiTheme="minorEastAsia"/>
          <w:sz w:val="28"/>
          <w:szCs w:val="28"/>
        </w:rPr>
        <w:t>手续费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万元、水费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万元、电费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万元、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邮电费5万元、取暖费6万元、物业管理费1.50万元、</w:t>
      </w:r>
      <w:r>
        <w:rPr>
          <w:rFonts w:hint="eastAsia" w:asciiTheme="minorEastAsia" w:hAnsiTheme="minorEastAsia"/>
          <w:sz w:val="28"/>
          <w:szCs w:val="28"/>
        </w:rPr>
        <w:t>差旅费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8万元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租赁10万元、会议费5万元，培训费4万元、其他交通费用费25.08万元、</w:t>
      </w:r>
      <w:r>
        <w:rPr>
          <w:rFonts w:hint="eastAsia" w:asciiTheme="minorEastAsia" w:hAnsiTheme="minorEastAsia"/>
          <w:sz w:val="28"/>
          <w:szCs w:val="28"/>
          <w:lang w:eastAsia="zh-CN"/>
        </w:rPr>
        <w:t>劳务费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3、离退休公用经费和特需经费统一归口管理。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4、职工体检费支出0万元。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5、对个人和家庭补助支出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36.03</w:t>
      </w:r>
      <w:r>
        <w:rPr>
          <w:rFonts w:hint="eastAsia" w:asciiTheme="minorEastAsia" w:hAnsiTheme="minorEastAsia"/>
          <w:sz w:val="28"/>
          <w:szCs w:val="28"/>
        </w:rPr>
        <w:t>万元，主要包括离休费支出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万元、退休费支出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22.79</w:t>
      </w:r>
      <w:r>
        <w:rPr>
          <w:rFonts w:hint="eastAsia" w:asciiTheme="minorEastAsia" w:hAnsiTheme="minorEastAsia"/>
          <w:sz w:val="28"/>
          <w:szCs w:val="28"/>
        </w:rPr>
        <w:t>万元、抚恤金支出0万元、遗属补助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2.17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、医疗费补助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11.07万元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/>
          <w:sz w:val="28"/>
          <w:szCs w:val="28"/>
          <w:lang w:eastAsia="zh-CN"/>
        </w:rPr>
        <w:t>项目支出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95万元。</w:t>
      </w:r>
    </w:p>
    <w:p>
      <w:pPr>
        <w:ind w:firstLine="452" w:firstLineChars="1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30"/>
          <w:szCs w:val="30"/>
        </w:rPr>
        <w:t>七、关于一般公共预算支出情况表（政府经济科目）的说明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</w:t>
      </w:r>
      <w:r>
        <w:rPr>
          <w:rFonts w:hint="eastAsia" w:asciiTheme="minorEastAsia" w:hAnsiTheme="minorEastAsia"/>
          <w:sz w:val="28"/>
          <w:szCs w:val="28"/>
          <w:lang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镇人民政府部门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2020</w:t>
      </w:r>
      <w:r>
        <w:rPr>
          <w:rFonts w:hint="eastAsia" w:asciiTheme="minorEastAsia" w:hAnsiTheme="minorEastAsia"/>
          <w:sz w:val="28"/>
          <w:szCs w:val="28"/>
        </w:rPr>
        <w:t>年一般公共预算支出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1015.9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机关工资福利支出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854.78</w:t>
      </w:r>
      <w:r>
        <w:rPr>
          <w:rFonts w:hint="eastAsia" w:asciiTheme="minorEastAsia" w:hAnsiTheme="minorEastAsia"/>
          <w:sz w:val="28"/>
          <w:szCs w:val="28"/>
        </w:rPr>
        <w:t>万元，主要包括</w:t>
      </w:r>
      <w:r>
        <w:rPr>
          <w:rFonts w:hint="eastAsia" w:asciiTheme="minorEastAsia" w:hAnsiTheme="minorEastAsia"/>
          <w:sz w:val="28"/>
          <w:szCs w:val="28"/>
          <w:lang w:eastAsia="zh-CN"/>
        </w:rPr>
        <w:t>工资奖金津贴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574.96万元，社会保障缴费159.96万元，住房公积金24.86万元，其他工资福利支出95万元。</w:t>
      </w:r>
    </w:p>
    <w:p>
      <w:pPr>
        <w:ind w:firstLine="560" w:firstLineChars="200"/>
        <w:rPr>
          <w:rFonts w:hint="default" w:asciiTheme="minorEastAsia" w:hAnsiTheme="minorEastAsia"/>
          <w:sz w:val="28"/>
          <w:szCs w:val="28"/>
          <w:lang w:val="en-US"/>
        </w:rPr>
      </w:pPr>
      <w:r>
        <w:rPr>
          <w:rFonts w:hint="eastAsia" w:asciiTheme="minorEastAsia" w:hAnsiTheme="minorEastAsia"/>
          <w:sz w:val="28"/>
          <w:szCs w:val="28"/>
        </w:rPr>
        <w:t>2、机关商品服务支出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125.08</w:t>
      </w:r>
      <w:r>
        <w:rPr>
          <w:rFonts w:hint="eastAsia" w:asciiTheme="minorEastAsia" w:hAnsiTheme="minorEastAsia"/>
          <w:sz w:val="28"/>
          <w:szCs w:val="28"/>
        </w:rPr>
        <w:t>万元，主要包括办公经费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101.08</w:t>
      </w:r>
      <w:r>
        <w:rPr>
          <w:rFonts w:hint="eastAsia" w:asciiTheme="minorEastAsia" w:hAnsiTheme="minorEastAsia"/>
          <w:sz w:val="28"/>
          <w:szCs w:val="28"/>
        </w:rPr>
        <w:t>万元、培训</w:t>
      </w:r>
      <w:r>
        <w:rPr>
          <w:rFonts w:hint="eastAsia" w:asciiTheme="minorEastAsia" w:hAnsiTheme="minorEastAsia"/>
          <w:sz w:val="28"/>
          <w:szCs w:val="28"/>
          <w:lang w:eastAsia="zh-CN"/>
        </w:rPr>
        <w:t>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4万元，</w:t>
      </w:r>
      <w:r>
        <w:rPr>
          <w:rFonts w:hint="eastAsia" w:asciiTheme="minorEastAsia" w:hAnsiTheme="minorEastAsia"/>
          <w:sz w:val="28"/>
          <w:szCs w:val="28"/>
          <w:lang w:eastAsia="zh-CN"/>
        </w:rPr>
        <w:t>委托业务费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15万元，</w:t>
      </w:r>
      <w:r>
        <w:rPr>
          <w:rFonts w:hint="eastAsia" w:asciiTheme="minorEastAsia" w:hAnsiTheme="minorEastAsia"/>
          <w:sz w:val="28"/>
          <w:szCs w:val="28"/>
          <w:lang w:eastAsia="zh-CN"/>
        </w:rPr>
        <w:t>会议费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5万元，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3、对个人和家庭的补助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36.03</w:t>
      </w:r>
      <w:r>
        <w:rPr>
          <w:rFonts w:hint="eastAsia" w:asciiTheme="minorEastAsia" w:hAnsiTheme="minorEastAsia"/>
          <w:sz w:val="28"/>
          <w:szCs w:val="28"/>
        </w:rPr>
        <w:t>万元，主要包括社会福利和救助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13.25</w:t>
      </w:r>
      <w:r>
        <w:rPr>
          <w:rFonts w:hint="eastAsia" w:asciiTheme="minorEastAsia" w:hAnsiTheme="minorEastAsia"/>
          <w:sz w:val="28"/>
          <w:szCs w:val="28"/>
        </w:rPr>
        <w:t>万元，离退休费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22.78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2082201大中型水库后期扶持基金1.8万元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九、关于政府性基金预算支出情况表（部门经济科目）的说明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镇政府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年政府性基金预算基本支出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1.8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十、关于政府性基金预算支出情况表（政府经济科目）的说明</w:t>
      </w:r>
    </w:p>
    <w:p>
      <w:pPr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对个人和家庭补助社会福利和救助1.8万元。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十一、关于一般公共预算“三公”经费支出表的说明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</w:t>
      </w:r>
      <w:r>
        <w:rPr>
          <w:rFonts w:hint="eastAsia" w:asciiTheme="minorEastAsia" w:hAnsiTheme="minorEastAsia"/>
          <w:sz w:val="28"/>
          <w:szCs w:val="28"/>
        </w:rPr>
        <w:t>镇政府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年“三公”经费预算数为0万元，其中因公出国(境)费0万元，公务用车购置费0万元，公务用车运行费0万元，公务接待费0万元，比上年预算数增加(减少) 0万元。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十二、机关运行经费安排情况说明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/>
          <w:sz w:val="28"/>
          <w:szCs w:val="28"/>
        </w:rPr>
        <w:t>年本部门机关运行经费预算支出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125.08</w:t>
      </w:r>
      <w:r>
        <w:rPr>
          <w:rFonts w:hint="eastAsia" w:asciiTheme="minorEastAsia" w:hAnsiTheme="minorEastAsia"/>
          <w:sz w:val="28"/>
          <w:szCs w:val="28"/>
        </w:rPr>
        <w:t>万元，主要包括办公费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万元、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印刷费15.50万、</w:t>
      </w:r>
      <w:r>
        <w:rPr>
          <w:rFonts w:hint="eastAsia" w:asciiTheme="minorEastAsia" w:hAnsiTheme="minorEastAsia"/>
          <w:sz w:val="28"/>
          <w:szCs w:val="28"/>
        </w:rPr>
        <w:t>手续费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万元、水费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万元、电费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万元、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邮电费5万元、取暖费6万元、物业管理费1.50万元</w:t>
      </w:r>
      <w:r>
        <w:rPr>
          <w:rFonts w:hint="eastAsia" w:asciiTheme="minorEastAsia" w:hAnsiTheme="minorEastAsia"/>
          <w:sz w:val="28"/>
          <w:szCs w:val="28"/>
        </w:rPr>
        <w:t>差旅费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8万元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租赁10万元、会议费5万元，培训费4万元、其他交通费用费25.08万元、</w:t>
      </w:r>
      <w:r>
        <w:rPr>
          <w:rFonts w:hint="eastAsia" w:asciiTheme="minorEastAsia" w:hAnsiTheme="minorEastAsia"/>
          <w:sz w:val="28"/>
          <w:szCs w:val="28"/>
          <w:lang w:eastAsia="zh-CN"/>
        </w:rPr>
        <w:t>劳务费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15万元。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十三、关于政府采购预算支出情况说明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兰西镇</w:t>
      </w:r>
      <w:r>
        <w:rPr>
          <w:rFonts w:hint="eastAsia" w:asciiTheme="minorEastAsia" w:hAnsiTheme="minorEastAsia"/>
          <w:sz w:val="28"/>
          <w:szCs w:val="28"/>
        </w:rPr>
        <w:t>部门采购预算总额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125.08</w:t>
      </w:r>
      <w:r>
        <w:rPr>
          <w:rFonts w:hint="eastAsia" w:asciiTheme="minorEastAsia" w:hAnsiTheme="minorEastAsia"/>
          <w:sz w:val="28"/>
          <w:szCs w:val="28"/>
        </w:rPr>
        <w:t>万元，其中政府采购货物预算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125.08</w:t>
      </w:r>
      <w:r>
        <w:rPr>
          <w:rFonts w:hint="eastAsia" w:asciiTheme="minorEastAsia" w:hAnsiTheme="minorEastAsia"/>
          <w:sz w:val="28"/>
          <w:szCs w:val="28"/>
        </w:rPr>
        <w:t>万元、政府采购工程预算0万元、政府采购服务预算0万元。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十四、关于国有资产占有使用情况说明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截止20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年1月，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兰西镇</w:t>
      </w:r>
      <w:r>
        <w:rPr>
          <w:rFonts w:hint="eastAsia" w:asciiTheme="minorEastAsia" w:hAnsiTheme="minorEastAsia"/>
          <w:sz w:val="28"/>
          <w:szCs w:val="28"/>
        </w:rPr>
        <w:t>部门共有房屋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1062</w:t>
      </w:r>
      <w:r>
        <w:rPr>
          <w:rFonts w:hint="eastAsia" w:asciiTheme="minorEastAsia" w:hAnsiTheme="minorEastAsia"/>
          <w:sz w:val="28"/>
          <w:szCs w:val="28"/>
        </w:rPr>
        <w:t>平方米，其中办公用房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1062</w:t>
      </w:r>
      <w:r>
        <w:rPr>
          <w:rFonts w:hint="eastAsia" w:asciiTheme="minorEastAsia" w:hAnsiTheme="minorEastAsia"/>
          <w:sz w:val="28"/>
          <w:szCs w:val="28"/>
        </w:rPr>
        <w:t>平方米，业务用房0平方米，其他用房0平方米。共有车辆0台，其中厅级及以上领导用车0台，一般公务用车0台，一般执法执勤用车0台，特种专业技术用车0台，其他车辆0台。共有单位价值50万元以上设备0台，其中单位价值100万元以上设备0台。四是其他资产0个。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十五、关于行政事业性项目和专项资金绩效目标的说明</w:t>
      </w:r>
    </w:p>
    <w:p>
      <w:pPr>
        <w:ind w:firstLine="1120" w:firstLineChars="400"/>
        <w:jc w:val="both"/>
        <w:rPr>
          <w:rFonts w:hint="eastAsia"/>
          <w:b/>
          <w:sz w:val="30"/>
          <w:szCs w:val="30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兰西镇全面实行绩效评价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根据《20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/>
          <w:sz w:val="32"/>
          <w:szCs w:val="32"/>
        </w:rPr>
        <w:t>年政府收支分类科目》和《20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/>
          <w:sz w:val="32"/>
          <w:szCs w:val="32"/>
        </w:rPr>
        <w:t>年部门预算编制手册》，对20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/>
          <w:sz w:val="32"/>
          <w:szCs w:val="32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89D"/>
    <w:multiLevelType w:val="singleLevel"/>
    <w:tmpl w:val="0A8A08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221CD"/>
    <w:rsid w:val="00023551"/>
    <w:rsid w:val="00090543"/>
    <w:rsid w:val="000A3605"/>
    <w:rsid w:val="000B61A9"/>
    <w:rsid w:val="000C5A48"/>
    <w:rsid w:val="000E0C04"/>
    <w:rsid w:val="000F1573"/>
    <w:rsid w:val="00126288"/>
    <w:rsid w:val="00180B94"/>
    <w:rsid w:val="00212873"/>
    <w:rsid w:val="0027454D"/>
    <w:rsid w:val="002A5823"/>
    <w:rsid w:val="002C66F9"/>
    <w:rsid w:val="002E64CC"/>
    <w:rsid w:val="0033099C"/>
    <w:rsid w:val="003E7BFC"/>
    <w:rsid w:val="00523CD6"/>
    <w:rsid w:val="005364CA"/>
    <w:rsid w:val="00547AF7"/>
    <w:rsid w:val="00567ED8"/>
    <w:rsid w:val="00627BC0"/>
    <w:rsid w:val="006373EB"/>
    <w:rsid w:val="006657A1"/>
    <w:rsid w:val="00686DBD"/>
    <w:rsid w:val="006E3FA1"/>
    <w:rsid w:val="006E7880"/>
    <w:rsid w:val="007362A4"/>
    <w:rsid w:val="00785C33"/>
    <w:rsid w:val="00787CA4"/>
    <w:rsid w:val="007F3EC8"/>
    <w:rsid w:val="008218E2"/>
    <w:rsid w:val="00837356"/>
    <w:rsid w:val="008767B9"/>
    <w:rsid w:val="008D227B"/>
    <w:rsid w:val="009268AD"/>
    <w:rsid w:val="009A11A7"/>
    <w:rsid w:val="00A404EE"/>
    <w:rsid w:val="00A83CDF"/>
    <w:rsid w:val="00AA030E"/>
    <w:rsid w:val="00AD1497"/>
    <w:rsid w:val="00B00EC6"/>
    <w:rsid w:val="00B31F2C"/>
    <w:rsid w:val="00B819C2"/>
    <w:rsid w:val="00BE635D"/>
    <w:rsid w:val="00C83F02"/>
    <w:rsid w:val="00C848FA"/>
    <w:rsid w:val="00C85385"/>
    <w:rsid w:val="00D06EA6"/>
    <w:rsid w:val="00D721F3"/>
    <w:rsid w:val="00D854A8"/>
    <w:rsid w:val="00D90C44"/>
    <w:rsid w:val="00D9535E"/>
    <w:rsid w:val="00E4283C"/>
    <w:rsid w:val="00E6115F"/>
    <w:rsid w:val="00E63CB0"/>
    <w:rsid w:val="00EB308A"/>
    <w:rsid w:val="00FE5047"/>
    <w:rsid w:val="017E4126"/>
    <w:rsid w:val="01A42DFB"/>
    <w:rsid w:val="03D06096"/>
    <w:rsid w:val="0778134A"/>
    <w:rsid w:val="0DA01CCC"/>
    <w:rsid w:val="0FC00519"/>
    <w:rsid w:val="0FFE1E3B"/>
    <w:rsid w:val="12961DB6"/>
    <w:rsid w:val="176843D9"/>
    <w:rsid w:val="17732B48"/>
    <w:rsid w:val="179D23C5"/>
    <w:rsid w:val="18FB346C"/>
    <w:rsid w:val="197D2DCD"/>
    <w:rsid w:val="1A4D220C"/>
    <w:rsid w:val="1B903824"/>
    <w:rsid w:val="1F557F32"/>
    <w:rsid w:val="21FA55BF"/>
    <w:rsid w:val="2250486E"/>
    <w:rsid w:val="22833941"/>
    <w:rsid w:val="257F68E2"/>
    <w:rsid w:val="25C7469A"/>
    <w:rsid w:val="281E192B"/>
    <w:rsid w:val="2BB87BA0"/>
    <w:rsid w:val="2C074874"/>
    <w:rsid w:val="317476B8"/>
    <w:rsid w:val="34845659"/>
    <w:rsid w:val="36906286"/>
    <w:rsid w:val="373471C3"/>
    <w:rsid w:val="3ABC334E"/>
    <w:rsid w:val="3BE2756A"/>
    <w:rsid w:val="3C1D6A4C"/>
    <w:rsid w:val="3E9D1BA1"/>
    <w:rsid w:val="3F2A3F64"/>
    <w:rsid w:val="3F2F6578"/>
    <w:rsid w:val="400A4523"/>
    <w:rsid w:val="43CC632E"/>
    <w:rsid w:val="47616DC8"/>
    <w:rsid w:val="47BE34F8"/>
    <w:rsid w:val="47D57512"/>
    <w:rsid w:val="49AF28DE"/>
    <w:rsid w:val="4E0A2824"/>
    <w:rsid w:val="4E1671CA"/>
    <w:rsid w:val="4E4C38A1"/>
    <w:rsid w:val="50A36214"/>
    <w:rsid w:val="50FD2720"/>
    <w:rsid w:val="51CD089A"/>
    <w:rsid w:val="556D713F"/>
    <w:rsid w:val="57B12FC3"/>
    <w:rsid w:val="5A425316"/>
    <w:rsid w:val="5CFC2ECC"/>
    <w:rsid w:val="5DEC5E2A"/>
    <w:rsid w:val="5E335D4B"/>
    <w:rsid w:val="606738B6"/>
    <w:rsid w:val="63E62389"/>
    <w:rsid w:val="64366040"/>
    <w:rsid w:val="66020B4A"/>
    <w:rsid w:val="6901623B"/>
    <w:rsid w:val="6AE2634A"/>
    <w:rsid w:val="728F6C76"/>
    <w:rsid w:val="732575C5"/>
    <w:rsid w:val="741F5643"/>
    <w:rsid w:val="74BD24D3"/>
    <w:rsid w:val="750E0E5A"/>
    <w:rsid w:val="755A475B"/>
    <w:rsid w:val="75A8133B"/>
    <w:rsid w:val="78FC1AFB"/>
    <w:rsid w:val="79265F97"/>
    <w:rsid w:val="79747363"/>
    <w:rsid w:val="79C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0875E-2CCE-462C-9877-3D8B3062F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603</Words>
  <Characters>3440</Characters>
  <Lines>28</Lines>
  <Paragraphs>8</Paragraphs>
  <TotalTime>4</TotalTime>
  <ScaleCrop>false</ScaleCrop>
  <LinksUpToDate>false</LinksUpToDate>
  <CharactersWithSpaces>4035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微软用户</dc:creator>
  <cp:lastModifiedBy>Administrator</cp:lastModifiedBy>
  <cp:lastPrinted>2019-01-03T06:15:00Z</cp:lastPrinted>
  <dcterms:modified xsi:type="dcterms:W3CDTF">2021-06-18T01:59:12Z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8A6B090DCCCF421EA6B118F83124EBE5</vt:lpwstr>
  </property>
</Properties>
</file>