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center"/>
        <w:rPr>
          <w:rFonts w:ascii="微软雅黑" w:hAnsi="微软雅黑" w:eastAsia="微软雅黑"/>
          <w:color w:val="333333"/>
          <w:sz w:val="36"/>
          <w:szCs w:val="36"/>
        </w:rPr>
      </w:pPr>
      <w:r>
        <w:rPr>
          <w:rFonts w:hint="eastAsia" w:ascii="微软雅黑" w:hAnsi="微软雅黑" w:eastAsia="微软雅黑"/>
          <w:color w:val="333333"/>
          <w:sz w:val="36"/>
          <w:szCs w:val="36"/>
          <w:lang w:val="en-US" w:eastAsia="zh-CN"/>
        </w:rPr>
        <w:t>兰西县</w:t>
      </w:r>
      <w:bookmarkStart w:id="0" w:name="_GoBack"/>
      <w:bookmarkEnd w:id="0"/>
      <w:r>
        <w:rPr>
          <w:rFonts w:hint="eastAsia" w:ascii="微软雅黑" w:hAnsi="微软雅黑" w:eastAsia="微软雅黑"/>
          <w:color w:val="333333"/>
          <w:sz w:val="36"/>
          <w:szCs w:val="36"/>
          <w:lang w:val="en-US" w:eastAsia="zh-CN"/>
        </w:rPr>
        <w:t>燎原镇</w:t>
      </w:r>
      <w:r>
        <w:rPr>
          <w:rFonts w:ascii="微软雅黑" w:hAnsi="微软雅黑" w:eastAsia="微软雅黑"/>
          <w:color w:val="333333"/>
          <w:sz w:val="36"/>
          <w:szCs w:val="36"/>
          <w:lang w:val="en-US" w:eastAsia="zh-CN"/>
        </w:rPr>
        <w:t>2020年政府信息公开工作年度报告</w:t>
      </w:r>
    </w:p>
    <w:p>
      <w:pPr>
        <w:widowControl/>
        <w:ind w:firstLine="480"/>
        <w:jc w:val="center"/>
        <w:rPr>
          <w:rFonts w:ascii="微软雅黑" w:hAnsi="微软雅黑" w:eastAsia="微软雅黑"/>
          <w:color w:val="333333"/>
          <w:sz w:val="36"/>
          <w:szCs w:val="36"/>
        </w:rPr>
      </w:pPr>
    </w:p>
    <w:p>
      <w:pPr>
        <w:widowControl/>
        <w:ind w:firstLine="48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一、总体情况</w:t>
      </w:r>
    </w:p>
    <w:p>
      <w:pPr>
        <w:ind w:firstLine="420" w:firstLineChars="200"/>
        <w:rPr>
          <w:rFonts w:hint="default" w:ascii="微软雅黑" w:hAnsi="微软雅黑" w:eastAsia="微软雅黑"/>
          <w:color w:val="333333"/>
          <w:szCs w:val="21"/>
          <w:lang w:val="en-US" w:eastAsia="zh-CN"/>
        </w:rPr>
      </w:pPr>
      <w:r>
        <w:rPr>
          <w:rFonts w:hint="eastAsia" w:ascii="微软雅黑" w:hAnsi="微软雅黑" w:eastAsia="微软雅黑"/>
          <w:color w:val="333333"/>
          <w:szCs w:val="21"/>
        </w:rPr>
        <w:t>20</w:t>
      </w:r>
      <w:r>
        <w:rPr>
          <w:rFonts w:ascii="微软雅黑" w:hAnsi="微软雅黑" w:eastAsia="微软雅黑"/>
          <w:color w:val="333333"/>
          <w:szCs w:val="21"/>
        </w:rPr>
        <w:t>20</w:t>
      </w:r>
      <w:r>
        <w:rPr>
          <w:rFonts w:hint="eastAsia" w:ascii="微软雅黑" w:hAnsi="微软雅黑" w:eastAsia="微软雅黑"/>
          <w:color w:val="333333"/>
          <w:szCs w:val="21"/>
        </w:rPr>
        <w:t>年，在县委、县政府的正确领导下，在县政府政务信息公开领导小组的精确指导下，我镇认真贯彻落实《中华人民共和国政府信息公开条例》，努力构造阳光型政府。并结合本地实际，扎实推进政府信息公开工作，科学部署，营造良好氛围。</w:t>
      </w:r>
      <w:r>
        <w:rPr>
          <w:rFonts w:hint="eastAsia" w:ascii="微软雅黑" w:hAnsi="微软雅黑" w:eastAsia="微软雅黑"/>
          <w:color w:val="333333"/>
          <w:szCs w:val="21"/>
          <w:lang w:val="en-US" w:eastAsia="zh-CN"/>
        </w:rPr>
        <w:t>现将主要情况汇报如下：</w:t>
      </w:r>
    </w:p>
    <w:p>
      <w:pPr>
        <w:numPr>
          <w:ilvl w:val="0"/>
          <w:numId w:val="1"/>
        </w:numPr>
        <w:ind w:firstLine="420" w:firstLineChars="200"/>
        <w:rPr>
          <w:rFonts w:hint="eastAsia" w:ascii="微软雅黑" w:hAnsi="微软雅黑" w:eastAsia="微软雅黑"/>
          <w:color w:val="333333"/>
          <w:szCs w:val="21"/>
          <w:lang w:val="en-US" w:eastAsia="zh-CN"/>
        </w:rPr>
      </w:pPr>
      <w:r>
        <w:rPr>
          <w:rFonts w:hint="eastAsia" w:ascii="微软雅黑" w:hAnsi="微软雅黑" w:eastAsia="微软雅黑"/>
          <w:color w:val="333333"/>
          <w:szCs w:val="21"/>
          <w:lang w:val="en-US" w:eastAsia="zh-CN"/>
        </w:rPr>
        <w:t>主动公开</w:t>
      </w:r>
    </w:p>
    <w:p>
      <w:pPr>
        <w:numPr>
          <w:ilvl w:val="0"/>
          <w:numId w:val="0"/>
        </w:numPr>
        <w:ind w:firstLine="420" w:firstLineChars="200"/>
        <w:jc w:val="left"/>
        <w:rPr>
          <w:rFonts w:hint="default" w:ascii="微软雅黑" w:hAnsi="微软雅黑" w:eastAsia="微软雅黑"/>
          <w:color w:val="333333"/>
          <w:szCs w:val="21"/>
          <w:lang w:val="en-US" w:eastAsia="zh-CN"/>
        </w:rPr>
      </w:pPr>
      <w:r>
        <w:rPr>
          <w:rFonts w:hint="eastAsia" w:ascii="微软雅黑" w:hAnsi="微软雅黑" w:eastAsia="微软雅黑"/>
          <w:color w:val="333333"/>
          <w:szCs w:val="21"/>
          <w:lang w:val="en-US" w:eastAsia="zh-CN"/>
        </w:rPr>
        <w:t>1、</w:t>
      </w:r>
      <w:r>
        <w:rPr>
          <w:rFonts w:hint="default" w:ascii="微软雅黑" w:hAnsi="微软雅黑" w:eastAsia="微软雅黑"/>
          <w:color w:val="333333"/>
          <w:szCs w:val="21"/>
          <w:lang w:val="en-US" w:eastAsia="zh-CN"/>
        </w:rPr>
        <w:t>主动公开政府信息的数量</w:t>
      </w:r>
    </w:p>
    <w:p>
      <w:pPr>
        <w:numPr>
          <w:ilvl w:val="0"/>
          <w:numId w:val="0"/>
        </w:numPr>
        <w:rPr>
          <w:rFonts w:hint="eastAsia" w:ascii="微软雅黑" w:hAnsi="微软雅黑" w:eastAsia="微软雅黑"/>
          <w:color w:val="333333"/>
          <w:szCs w:val="21"/>
          <w:lang w:val="en-US" w:eastAsia="zh-CN"/>
        </w:rPr>
      </w:pPr>
      <w:r>
        <w:rPr>
          <w:rFonts w:hint="eastAsia" w:ascii="微软雅黑" w:hAnsi="微软雅黑" w:eastAsia="微软雅黑"/>
          <w:color w:val="333333"/>
          <w:szCs w:val="21"/>
          <w:lang w:val="en-US" w:eastAsia="zh-CN"/>
        </w:rPr>
        <w:t>2020年，全年共主动公开政府信息近15条，其中机构职能2条，通知公告12条，政策文统计信息1条。</w:t>
      </w:r>
    </w:p>
    <w:p>
      <w:pPr>
        <w:numPr>
          <w:ilvl w:val="0"/>
          <w:numId w:val="0"/>
        </w:numPr>
        <w:ind w:firstLine="420" w:firstLineChars="200"/>
        <w:rPr>
          <w:rFonts w:hint="eastAsia" w:ascii="微软雅黑" w:hAnsi="微软雅黑" w:eastAsia="微软雅黑"/>
          <w:color w:val="333333"/>
          <w:szCs w:val="21"/>
          <w:lang w:val="en-US" w:eastAsia="zh-CN"/>
        </w:rPr>
      </w:pPr>
      <w:r>
        <w:rPr>
          <w:rFonts w:hint="eastAsia" w:ascii="微软雅黑" w:hAnsi="微软雅黑" w:eastAsia="微软雅黑"/>
          <w:color w:val="333333"/>
          <w:szCs w:val="21"/>
          <w:lang w:val="en-US" w:eastAsia="zh-CN"/>
        </w:rPr>
        <w:t>2、信息公开形式</w:t>
      </w:r>
    </w:p>
    <w:p>
      <w:pPr>
        <w:numPr>
          <w:ilvl w:val="0"/>
          <w:numId w:val="0"/>
        </w:numPr>
        <w:rPr>
          <w:rFonts w:hint="default" w:ascii="微软雅黑" w:hAnsi="微软雅黑" w:eastAsia="微软雅黑"/>
          <w:color w:val="333333"/>
          <w:szCs w:val="21"/>
          <w:lang w:val="en-US" w:eastAsia="zh-CN"/>
        </w:rPr>
      </w:pPr>
      <w:r>
        <w:rPr>
          <w:rFonts w:hint="eastAsia" w:ascii="微软雅黑" w:hAnsi="微软雅黑" w:eastAsia="微软雅黑"/>
          <w:color w:val="333333"/>
          <w:szCs w:val="21"/>
          <w:lang w:val="en-US" w:eastAsia="zh-CN"/>
        </w:rPr>
        <w:t>我镇主要通过公开栏、宣传窗、电子屏等形式公开。</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（二）依申请公开情况</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依照《条例》的规定，2020年，我镇各级各部门开展了依申请公开受理工作，未收到自然人、法人或其他组织的依申请件。</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（三）政府信息管理</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一是及时更新发布政府信息，确保政府信息公开的及时性和有效性；</w:t>
      </w:r>
      <w:r>
        <w:rPr>
          <w:rFonts w:hint="eastAsia" w:ascii="微软雅黑" w:hAnsi="微软雅黑" w:eastAsia="微软雅黑"/>
          <w:color w:val="333333"/>
          <w:szCs w:val="21"/>
          <w:lang w:val="en-US" w:eastAsia="zh-CN"/>
        </w:rPr>
        <w:t>二</w:t>
      </w:r>
      <w:r>
        <w:rPr>
          <w:rFonts w:hint="eastAsia" w:ascii="微软雅黑" w:hAnsi="微软雅黑" w:eastAsia="微软雅黑"/>
          <w:color w:val="333333"/>
          <w:szCs w:val="21"/>
        </w:rPr>
        <w:t>是依据上级部门有关政府信息公开的文件精神，严格按照政府信息公开工作流程，做好政府信息的拟稿校对、保密审查、发布审批、发布登记等工作，进一步完善政府信息公开工作的标准化建设；</w:t>
      </w:r>
      <w:r>
        <w:rPr>
          <w:rFonts w:hint="eastAsia" w:ascii="微软雅黑" w:hAnsi="微软雅黑" w:eastAsia="微软雅黑"/>
          <w:color w:val="333333"/>
          <w:szCs w:val="21"/>
          <w:lang w:val="en-US" w:eastAsia="zh-CN"/>
        </w:rPr>
        <w:t>三</w:t>
      </w:r>
      <w:r>
        <w:rPr>
          <w:rFonts w:hint="eastAsia" w:ascii="微软雅黑" w:hAnsi="微软雅黑" w:eastAsia="微软雅黑"/>
          <w:color w:val="333333"/>
          <w:szCs w:val="21"/>
        </w:rPr>
        <w:t>是不断加强政府信息公开工作人员的业务水平，组织及参加政府信息公开业务培训会，全面提升工作人员的信息公开意识和工作能力。</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2020年</w:t>
      </w:r>
      <w:r>
        <w:rPr>
          <w:rFonts w:hint="eastAsia" w:ascii="微软雅黑" w:hAnsi="微软雅黑" w:eastAsia="微软雅黑"/>
          <w:color w:val="333333"/>
          <w:szCs w:val="21"/>
          <w:lang w:val="en-US" w:eastAsia="zh-CN"/>
        </w:rPr>
        <w:t>燎原</w:t>
      </w:r>
      <w:r>
        <w:rPr>
          <w:rFonts w:hint="eastAsia" w:ascii="微软雅黑" w:hAnsi="微软雅黑" w:eastAsia="微软雅黑"/>
          <w:color w:val="333333"/>
          <w:szCs w:val="21"/>
        </w:rPr>
        <w:t>镇认真按照《条例》规定公开政府信息，未收取涉及政府信息公开申请的任何费用。</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（四）公开平台建设</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为进一步拓宽政府联系、服务群众渠道，扩大对外宣传力度，提高工作透明度，所有的信息公开均层层把关，并严格按照要求设置政务公开相关目录。定期更新工作动态，对更新不及时，提供资料不及时的，予以督催，必要情况下予以通报。</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（五）监督保障</w:t>
      </w:r>
    </w:p>
    <w:p>
      <w:pPr>
        <w:ind w:firstLine="420" w:firstLineChars="200"/>
        <w:rPr>
          <w:rFonts w:hint="eastAsia" w:ascii="微软雅黑" w:hAnsi="微软雅黑" w:eastAsia="微软雅黑"/>
          <w:color w:val="333333"/>
          <w:szCs w:val="21"/>
        </w:rPr>
      </w:pPr>
      <w:r>
        <w:rPr>
          <w:rFonts w:hint="eastAsia" w:ascii="微软雅黑" w:hAnsi="微软雅黑" w:eastAsia="微软雅黑"/>
          <w:color w:val="333333"/>
          <w:szCs w:val="21"/>
        </w:rPr>
        <w:t>按照上级部门的规范要求，结合我镇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jc w:val="left"/>
      </w:pPr>
    </w:p>
    <w:p>
      <w:pPr>
        <w:widowControl/>
        <w:ind w:firstLine="48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二、主动公开政府信息情况</w:t>
      </w:r>
    </w:p>
    <w:tbl>
      <w:tblPr>
        <w:tblStyle w:val="3"/>
        <w:tblW w:w="8140" w:type="dxa"/>
        <w:jc w:val="center"/>
        <w:tblLayout w:type="fixed"/>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r>
              <w:rPr>
                <w:rFonts w:hint="eastAsia" w:ascii="宋体" w:hAnsi="宋体" w:eastAsia="宋体" w:cs="宋体"/>
                <w:color w:val="000000"/>
                <w:kern w:val="0"/>
                <w:sz w:val="20"/>
                <w:szCs w:val="20"/>
              </w:rPr>
              <w:t>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widowControl/>
        <w:ind w:firstLine="480"/>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三、收到和处理政府信息公开申请情况</w:t>
      </w:r>
      <w:r>
        <w:rPr>
          <w:rFonts w:hint="eastAsia" w:ascii="宋体" w:hAnsi="宋体" w:eastAsia="宋体" w:cs="宋体"/>
          <w:b/>
          <w:bCs/>
          <w:color w:val="000000"/>
          <w:kern w:val="0"/>
          <w:sz w:val="24"/>
          <w:szCs w:val="24"/>
        </w:rPr>
        <w:br w:type="textWrapping"/>
      </w:r>
    </w:p>
    <w:tbl>
      <w:tblPr>
        <w:tblStyle w:val="3"/>
        <w:tblW w:w="9071" w:type="dxa"/>
        <w:jc w:val="center"/>
        <w:tblLayout w:type="fixed"/>
        <w:tblCellMar>
          <w:top w:w="15" w:type="dxa"/>
          <w:left w:w="15" w:type="dxa"/>
          <w:bottom w:w="15" w:type="dxa"/>
          <w:right w:w="15" w:type="dxa"/>
        </w:tblCellMar>
      </w:tblPr>
      <w:tblGrid>
        <w:gridCol w:w="617"/>
        <w:gridCol w:w="854"/>
        <w:gridCol w:w="2086"/>
        <w:gridCol w:w="813"/>
        <w:gridCol w:w="755"/>
        <w:gridCol w:w="755"/>
        <w:gridCol w:w="813"/>
        <w:gridCol w:w="973"/>
        <w:gridCol w:w="711"/>
        <w:gridCol w:w="694"/>
      </w:tblGrid>
      <w:tr>
        <w:tblPrEx>
          <w:tblCellMar>
            <w:top w:w="15" w:type="dxa"/>
            <w:left w:w="15" w:type="dxa"/>
            <w:bottom w:w="15" w:type="dxa"/>
            <w:right w:w="15"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69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r>
      <w:tr>
        <w:tblPrEx>
          <w:tblCellMar>
            <w:top w:w="15" w:type="dxa"/>
            <w:left w:w="15" w:type="dxa"/>
            <w:bottom w:w="15" w:type="dxa"/>
            <w:right w:w="15" w:type="dxa"/>
          </w:tblCellMar>
        </w:tblPrEx>
        <w:trPr>
          <w:jc w:val="center"/>
        </w:trPr>
        <w:tc>
          <w:tcPr>
            <w:tcW w:w="3557"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 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0 </w:t>
            </w:r>
          </w:p>
        </w:tc>
        <w:tc>
          <w:tcPr>
            <w:tcW w:w="69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widowControl/>
        <w:ind w:firstLine="480"/>
        <w:rPr>
          <w:rFonts w:ascii="宋体" w:hAnsi="宋体" w:eastAsia="宋体" w:cs="宋体"/>
          <w:color w:val="000000"/>
          <w:kern w:val="0"/>
          <w:sz w:val="24"/>
          <w:szCs w:val="24"/>
        </w:rPr>
      </w:pPr>
    </w:p>
    <w:p>
      <w:pPr>
        <w:widowControl/>
        <w:ind w:firstLine="480"/>
        <w:rPr>
          <w:rFonts w:ascii="宋体" w:hAnsi="宋体" w:eastAsia="宋体" w:cs="宋体"/>
          <w:color w:val="000000"/>
          <w:kern w:val="0"/>
          <w:sz w:val="24"/>
          <w:szCs w:val="24"/>
        </w:rPr>
      </w:pPr>
    </w:p>
    <w:p>
      <w:pPr>
        <w:widowControl/>
        <w:ind w:firstLine="480"/>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四、政府信息公开行政复议、行政诉讼情况</w:t>
      </w:r>
    </w:p>
    <w:p>
      <w:pPr>
        <w:widowControl/>
        <w:ind w:firstLine="480"/>
        <w:rPr>
          <w:rFonts w:ascii="宋体" w:hAnsi="宋体" w:eastAsia="宋体" w:cs="宋体"/>
          <w:color w:val="000000"/>
          <w:kern w:val="0"/>
          <w:sz w:val="24"/>
          <w:szCs w:val="24"/>
        </w:rPr>
      </w:pPr>
    </w:p>
    <w:tbl>
      <w:tblPr>
        <w:tblStyle w:val="3"/>
        <w:tblW w:w="9071" w:type="dxa"/>
        <w:jc w:val="center"/>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Calibri" w:hAnsi="Calibri" w:eastAsia="宋体" w:cs="Calibri"/>
                <w:color w:val="000000"/>
                <w:kern w:val="0"/>
                <w:sz w:val="20"/>
                <w:szCs w:val="20"/>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0"/>
                <w:szCs w:val="20"/>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w:t>
            </w:r>
          </w:p>
        </w:tc>
      </w:tr>
    </w:tbl>
    <w:p>
      <w:pPr>
        <w:widowControl/>
        <w:jc w:val="center"/>
        <w:rPr>
          <w:rFonts w:ascii="Segoe UI" w:hAnsi="Segoe UI" w:eastAsia="宋体" w:cs="Segoe UI"/>
          <w:color w:val="000000"/>
          <w:kern w:val="0"/>
          <w:sz w:val="24"/>
          <w:szCs w:val="24"/>
        </w:rPr>
      </w:pPr>
    </w:p>
    <w:p>
      <w:pPr>
        <w:widowControl/>
        <w:ind w:firstLine="480"/>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五、存在的主要问题</w:t>
      </w:r>
      <w:r>
        <w:rPr>
          <w:rFonts w:hint="eastAsia" w:ascii="宋体" w:hAnsi="宋体" w:eastAsia="宋体" w:cs="宋体"/>
          <w:b/>
          <w:bCs/>
          <w:color w:val="000000"/>
          <w:kern w:val="0"/>
          <w:sz w:val="24"/>
          <w:szCs w:val="24"/>
          <w:lang w:eastAsia="zh-CN"/>
        </w:rPr>
        <w:t>及改进情况</w:t>
      </w:r>
    </w:p>
    <w:p>
      <w:pPr>
        <w:widowControl/>
        <w:ind w:firstLine="480"/>
        <w:rPr>
          <w:rFonts w:ascii="微软雅黑" w:hAnsi="微软雅黑" w:eastAsia="微软雅黑"/>
          <w:color w:val="333333"/>
          <w:szCs w:val="21"/>
        </w:rPr>
      </w:pPr>
      <w:r>
        <w:rPr>
          <w:rFonts w:hint="eastAsia" w:ascii="微软雅黑" w:hAnsi="微软雅黑" w:eastAsia="微软雅黑"/>
          <w:color w:val="333333"/>
          <w:szCs w:val="21"/>
        </w:rPr>
        <w:t>一年来，全镇政府信息公开工作稳步推进，发展势头良好，各项政务公开工作都取得了显著成效，但我们也清醒的认识到我镇政务公开工作中依旧存在着一些问题亟待改进；具体问题如下：</w:t>
      </w:r>
    </w:p>
    <w:p>
      <w:pPr>
        <w:widowControl/>
        <w:ind w:firstLine="480"/>
        <w:rPr>
          <w:rFonts w:ascii="微软雅黑" w:hAnsi="微软雅黑" w:eastAsia="微软雅黑"/>
          <w:color w:val="333333"/>
          <w:szCs w:val="21"/>
        </w:rPr>
      </w:pPr>
      <w:r>
        <w:rPr>
          <w:rFonts w:ascii="微软雅黑" w:hAnsi="微软雅黑" w:eastAsia="微软雅黑"/>
          <w:color w:val="333333"/>
          <w:szCs w:val="21"/>
        </w:rPr>
        <w:t>1、部分镇、村干部对实行政务公</w:t>
      </w:r>
      <w:r>
        <w:rPr>
          <w:rFonts w:hint="eastAsia" w:ascii="微软雅黑" w:hAnsi="微软雅黑" w:eastAsia="微软雅黑"/>
          <w:color w:val="333333"/>
          <w:szCs w:val="21"/>
        </w:rPr>
        <w:t>开的重要意义认识不足，对政务信息公开的理解存在偏差。</w:t>
      </w:r>
    </w:p>
    <w:p>
      <w:pPr>
        <w:widowControl/>
        <w:ind w:firstLine="480"/>
        <w:rPr>
          <w:rFonts w:ascii="微软雅黑" w:hAnsi="微软雅黑" w:eastAsia="微软雅黑"/>
          <w:color w:val="333333"/>
          <w:szCs w:val="21"/>
        </w:rPr>
      </w:pPr>
      <w:r>
        <w:rPr>
          <w:rFonts w:ascii="微软雅黑" w:hAnsi="微软雅黑" w:eastAsia="微软雅黑"/>
          <w:color w:val="333333"/>
          <w:szCs w:val="21"/>
        </w:rPr>
        <w:t>2、工作不持续，力度尚不够大。部分业务</w:t>
      </w:r>
      <w:r>
        <w:rPr>
          <w:rFonts w:hint="eastAsia" w:ascii="微软雅黑" w:hAnsi="微软雅黑" w:eastAsia="微软雅黑"/>
          <w:color w:val="333333"/>
          <w:szCs w:val="21"/>
        </w:rPr>
        <w:t>站所对政务公开工作的开展缺乏持续性，政务公开的力度也不够大，进展不快，不能适应构建阳光型政府的工作要求。</w:t>
      </w:r>
    </w:p>
    <w:p>
      <w:pPr>
        <w:widowControl/>
        <w:ind w:firstLine="480"/>
        <w:rPr>
          <w:rFonts w:ascii="微软雅黑" w:hAnsi="微软雅黑" w:eastAsia="微软雅黑"/>
          <w:color w:val="333333"/>
          <w:szCs w:val="21"/>
        </w:rPr>
      </w:pPr>
      <w:r>
        <w:rPr>
          <w:rFonts w:ascii="微软雅黑" w:hAnsi="微软雅黑" w:eastAsia="微软雅黑"/>
          <w:color w:val="333333"/>
          <w:szCs w:val="21"/>
        </w:rPr>
        <w:t>3、</w:t>
      </w:r>
      <w:r>
        <w:rPr>
          <w:rFonts w:hint="eastAsia" w:ascii="微软雅黑" w:hAnsi="微软雅黑" w:eastAsia="微软雅黑"/>
          <w:color w:val="333333"/>
          <w:szCs w:val="21"/>
        </w:rPr>
        <w:t>部分政务</w:t>
      </w:r>
      <w:r>
        <w:rPr>
          <w:rFonts w:ascii="微软雅黑" w:hAnsi="微软雅黑" w:eastAsia="微软雅黑"/>
          <w:color w:val="333333"/>
          <w:szCs w:val="21"/>
        </w:rPr>
        <w:t>公开</w:t>
      </w:r>
      <w:r>
        <w:rPr>
          <w:rFonts w:hint="eastAsia" w:ascii="微软雅黑" w:hAnsi="微软雅黑" w:eastAsia="微软雅黑"/>
          <w:color w:val="333333"/>
          <w:szCs w:val="21"/>
        </w:rPr>
        <w:t>的</w:t>
      </w:r>
      <w:r>
        <w:rPr>
          <w:rFonts w:ascii="微软雅黑" w:hAnsi="微软雅黑" w:eastAsia="微软雅黑"/>
          <w:color w:val="333333"/>
          <w:szCs w:val="21"/>
        </w:rPr>
        <w:t>内容不规范</w:t>
      </w:r>
      <w:r>
        <w:rPr>
          <w:rFonts w:hint="eastAsia" w:ascii="微软雅黑" w:hAnsi="微软雅黑" w:eastAsia="微软雅黑"/>
          <w:color w:val="333333"/>
          <w:szCs w:val="21"/>
        </w:rPr>
        <w:t>、不具体、重点不突出，对群众关心的热点问题等应该公开的未能做到全面公开，使群众难以了解全貌；</w:t>
      </w:r>
    </w:p>
    <w:p>
      <w:pPr>
        <w:widowControl/>
        <w:ind w:firstLine="480"/>
        <w:rPr>
          <w:rFonts w:hint="eastAsia" w:ascii="微软雅黑" w:hAnsi="微软雅黑" w:eastAsia="微软雅黑"/>
          <w:color w:val="333333"/>
          <w:szCs w:val="21"/>
        </w:rPr>
      </w:pPr>
      <w:r>
        <w:rPr>
          <w:rFonts w:hint="eastAsia" w:ascii="微软雅黑" w:hAnsi="微软雅黑" w:eastAsia="微软雅黑"/>
          <w:color w:val="333333"/>
          <w:szCs w:val="21"/>
          <w:lang w:eastAsia="zh-CN"/>
        </w:rPr>
        <w:t>改进情况：针对</w:t>
      </w:r>
      <w:r>
        <w:rPr>
          <w:rFonts w:hint="eastAsia" w:ascii="微软雅黑" w:hAnsi="微软雅黑" w:eastAsia="微软雅黑"/>
          <w:color w:val="333333"/>
          <w:szCs w:val="21"/>
        </w:rPr>
        <w:t>以上问题我们</w:t>
      </w:r>
      <w:r>
        <w:rPr>
          <w:rFonts w:hint="eastAsia" w:ascii="微软雅黑" w:hAnsi="微软雅黑" w:eastAsia="微软雅黑"/>
          <w:color w:val="333333"/>
          <w:szCs w:val="21"/>
          <w:lang w:eastAsia="zh-CN"/>
        </w:rPr>
        <w:t>每一条</w:t>
      </w:r>
      <w:r>
        <w:rPr>
          <w:rFonts w:hint="eastAsia" w:ascii="微软雅黑" w:hAnsi="微软雅黑" w:eastAsia="微软雅黑"/>
          <w:color w:val="333333"/>
          <w:szCs w:val="21"/>
        </w:rPr>
        <w:t>认真研究，切实解决，不断把政务公开工作推向深入。</w:t>
      </w:r>
    </w:p>
    <w:p>
      <w:pPr>
        <w:widowControl/>
        <w:ind w:firstLine="480"/>
        <w:rPr>
          <w:rFonts w:hint="eastAsia" w:ascii="微软雅黑" w:hAnsi="微软雅黑" w:eastAsia="微软雅黑"/>
          <w:color w:val="333333"/>
          <w:szCs w:val="21"/>
          <w:lang w:eastAsia="zh-CN"/>
        </w:rPr>
      </w:pPr>
      <w:r>
        <w:rPr>
          <w:rFonts w:hint="eastAsia" w:ascii="微软雅黑" w:hAnsi="微软雅黑" w:eastAsia="微软雅黑"/>
          <w:color w:val="333333"/>
          <w:szCs w:val="21"/>
          <w:lang w:eastAsia="zh-CN"/>
        </w:rPr>
        <w:t>1.加强对政务公开工作的宣传力度，提高镇、村干部对于政务公开工作必要性的认识，加强其政务公开意识。</w:t>
      </w:r>
    </w:p>
    <w:p>
      <w:pPr>
        <w:widowControl/>
        <w:ind w:firstLine="480"/>
        <w:rPr>
          <w:rFonts w:hint="eastAsia" w:ascii="微软雅黑" w:hAnsi="微软雅黑" w:eastAsia="微软雅黑"/>
          <w:color w:val="333333"/>
          <w:szCs w:val="21"/>
          <w:lang w:eastAsia="zh-CN"/>
        </w:rPr>
      </w:pPr>
      <w:r>
        <w:rPr>
          <w:rFonts w:hint="eastAsia" w:ascii="微软雅黑" w:hAnsi="微软雅黑" w:eastAsia="微软雅黑"/>
          <w:color w:val="333333"/>
          <w:szCs w:val="21"/>
          <w:lang w:eastAsia="zh-CN"/>
        </w:rPr>
        <w:t>2.切实加强政务公开工作的力度，保证各部门政务公开工作的连续性，努力构建阳光型政府。</w:t>
      </w:r>
    </w:p>
    <w:p>
      <w:pPr>
        <w:widowControl/>
        <w:ind w:firstLine="480"/>
        <w:rPr>
          <w:rFonts w:hint="eastAsia" w:ascii="微软雅黑" w:hAnsi="微软雅黑" w:eastAsia="微软雅黑"/>
          <w:color w:val="333333"/>
          <w:szCs w:val="21"/>
          <w:lang w:eastAsia="zh-CN"/>
        </w:rPr>
      </w:pPr>
      <w:r>
        <w:rPr>
          <w:rFonts w:hint="eastAsia" w:ascii="微软雅黑" w:hAnsi="微软雅黑" w:eastAsia="微软雅黑"/>
          <w:color w:val="333333"/>
          <w:szCs w:val="21"/>
          <w:lang w:eastAsia="zh-CN"/>
        </w:rPr>
        <w:t>3.加大了对政务公开工作内容的监督把关力度，保证了政务公开内容的严谨性。</w:t>
      </w:r>
    </w:p>
    <w:p>
      <w:pPr>
        <w:widowControl/>
        <w:ind w:firstLine="480"/>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六、其他需要报告的事项</w:t>
      </w:r>
    </w:p>
    <w:p>
      <w:pPr>
        <w:widowControl/>
        <w:ind w:firstLine="480"/>
        <w:rPr>
          <w:rFonts w:hint="eastAsia" w:ascii="宋体" w:hAnsi="宋体" w:eastAsia="宋体" w:cs="宋体"/>
          <w:color w:val="000000"/>
          <w:kern w:val="0"/>
          <w:sz w:val="24"/>
          <w:szCs w:val="24"/>
        </w:rPr>
      </w:pPr>
    </w:p>
    <w:p>
      <w:pPr>
        <w:widowControl/>
        <w:ind w:firstLine="480"/>
        <w:rPr>
          <w:rFonts w:hint="eastAsia" w:ascii="微软雅黑" w:hAnsi="微软雅黑" w:eastAsia="微软雅黑"/>
          <w:color w:val="333333"/>
          <w:szCs w:val="21"/>
          <w:lang w:eastAsia="zh-CN"/>
        </w:rPr>
      </w:pPr>
      <w:r>
        <w:rPr>
          <w:rFonts w:hint="eastAsia" w:ascii="微软雅黑" w:hAnsi="微软雅黑" w:eastAsia="微软雅黑"/>
          <w:color w:val="333333"/>
          <w:szCs w:val="21"/>
          <w:lang w:eastAsia="zh-CN"/>
        </w:rPr>
        <w:t>无需要说明的其他事项。</w:t>
      </w:r>
    </w:p>
    <w:p>
      <w:pPr>
        <w:widowControl/>
        <w:ind w:firstLine="480"/>
        <w:rPr>
          <w:rFonts w:ascii="宋体" w:hAnsi="宋体" w:eastAsia="宋体" w:cs="宋体"/>
          <w:color w:val="000000"/>
          <w:kern w:val="0"/>
          <w:sz w:val="24"/>
          <w:szCs w:val="24"/>
        </w:rPr>
      </w:pPr>
    </w:p>
    <w:p>
      <w:pPr>
        <w:widowControl/>
        <w:ind w:firstLine="480"/>
        <w:rPr>
          <w:rFonts w:ascii="宋体" w:hAnsi="宋体" w:eastAsia="宋体" w:cs="宋体"/>
          <w:color w:val="000000"/>
          <w:kern w:val="0"/>
          <w:sz w:val="24"/>
          <w:szCs w:val="24"/>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8A4A"/>
    <w:multiLevelType w:val="singleLevel"/>
    <w:tmpl w:val="0CA28A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BEC612A"/>
    <w:rsid w:val="2F2F1DA8"/>
    <w:rsid w:val="33B27C11"/>
    <w:rsid w:val="33D823CB"/>
    <w:rsid w:val="515F75D2"/>
    <w:rsid w:val="5ECF3269"/>
    <w:rsid w:val="73FA0A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325</Words>
  <Characters>1859</Characters>
  <Lines>15</Lines>
  <Paragraphs>4</Paragraphs>
  <TotalTime>3</TotalTime>
  <ScaleCrop>false</ScaleCrop>
  <LinksUpToDate>false</LinksUpToDate>
  <CharactersWithSpaces>2180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2021-01-25T12:47:00Z</dcterms:created>
  <dc:creator>Administrator</dc:creator>
  <cp:lastModifiedBy>Administrator</cp:lastModifiedBy>
  <cp:lastPrinted>2021-04-21T02:39:00Z</cp:lastPrinted>
  <dcterms:modified xsi:type="dcterms:W3CDTF">2021-04-25T06:25:28Z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C5B11B75906449D394591EAA8B56E70E</vt:lpwstr>
  </property>
</Properties>
</file>