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0E2D4C" w14:textId="1C52F505" w:rsidR="00D36358" w:rsidRPr="00110CAD" w:rsidRDefault="00A43531" w:rsidP="00792D12">
      <w:pPr>
        <w:pStyle w:val="comments"/>
        <w:spacing w:before="163" w:after="163"/>
        <w:ind w:firstLineChars="0" w:firstLine="0"/>
        <w:jc w:val="left"/>
      </w:pPr>
      <w:bookmarkStart w:id="0" w:name="一、财经聚焦"/>
      <w:r w:rsidRPr="00110CAD">
        <w:rPr>
          <w:noProof/>
        </w:rPr>
        <w:drawing>
          <wp:anchor distT="0" distB="0" distL="114300" distR="114300" simplePos="0" relativeHeight="251660800" behindDoc="1" locked="0" layoutInCell="1" allowOverlap="1" wp14:anchorId="0BFEBE6A" wp14:editId="77D0E9ED">
            <wp:simplePos x="0" y="0"/>
            <wp:positionH relativeFrom="column">
              <wp:posOffset>-1474299</wp:posOffset>
            </wp:positionH>
            <wp:positionV relativeFrom="paragraph">
              <wp:posOffset>-1600048</wp:posOffset>
            </wp:positionV>
            <wp:extent cx="7604011" cy="10441551"/>
            <wp:effectExtent l="0" t="0" r="0" b="0"/>
            <wp:wrapNone/>
            <wp:docPr id="6" name="图片 6" descr="../Desktop/屏幕快照%202020-10-12%20下午2.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屏幕快照%202020-10-12%20下午2.00.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5883" cy="10444122"/>
                    </a:xfrm>
                    <a:prstGeom prst="rect">
                      <a:avLst/>
                    </a:prstGeom>
                    <a:noFill/>
                    <a:ln>
                      <a:noFill/>
                    </a:ln>
                  </pic:spPr>
                </pic:pic>
              </a:graphicData>
            </a:graphic>
            <wp14:sizeRelH relativeFrom="page">
              <wp14:pctWidth>0</wp14:pctWidth>
            </wp14:sizeRelH>
            <wp14:sizeRelV relativeFrom="page">
              <wp14:pctHeight>0</wp14:pctHeight>
            </wp14:sizeRelV>
          </wp:anchor>
        </w:drawing>
      </w:r>
      <w:r w:rsidR="00792D12" w:rsidRPr="00110CAD">
        <w:rPr>
          <w:noProof/>
        </w:rPr>
        <w:drawing>
          <wp:anchor distT="0" distB="0" distL="114300" distR="114300" simplePos="0" relativeHeight="251661824" behindDoc="0" locked="0" layoutInCell="1" allowOverlap="1" wp14:anchorId="3E329D74" wp14:editId="358E7EEF">
            <wp:simplePos x="0" y="0"/>
            <wp:positionH relativeFrom="column">
              <wp:posOffset>-723265</wp:posOffset>
            </wp:positionH>
            <wp:positionV relativeFrom="paragraph">
              <wp:posOffset>-988695</wp:posOffset>
            </wp:positionV>
            <wp:extent cx="2732463" cy="371689"/>
            <wp:effectExtent l="0" t="0" r="0" b="0"/>
            <wp:wrapNone/>
            <wp:docPr id="15" name="图片 15" descr="../Desktop/联合资信/新logo/联合资信评估股份有限公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联合资信/新logo/联合资信评估股份有限公司.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2463" cy="371689"/>
                    </a:xfrm>
                    <a:prstGeom prst="rect">
                      <a:avLst/>
                    </a:prstGeom>
                    <a:noFill/>
                    <a:ln>
                      <a:noFill/>
                    </a:ln>
                  </pic:spPr>
                </pic:pic>
              </a:graphicData>
            </a:graphic>
            <wp14:sizeRelH relativeFrom="page">
              <wp14:pctWidth>0</wp14:pctWidth>
            </wp14:sizeRelH>
            <wp14:sizeRelV relativeFrom="page">
              <wp14:pctHeight>0</wp14:pctHeight>
            </wp14:sizeRelV>
          </wp:anchor>
        </w:drawing>
      </w:r>
      <w:r w:rsidR="00841356" w:rsidRPr="00110CAD">
        <w:rPr>
          <w:noProof/>
        </w:rPr>
        <w:drawing>
          <wp:anchor distT="0" distB="0" distL="114300" distR="114300" simplePos="0" relativeHeight="251656704" behindDoc="1" locked="0" layoutInCell="1" allowOverlap="1" wp14:anchorId="2CA73C95" wp14:editId="330279A8">
            <wp:simplePos x="0" y="0"/>
            <wp:positionH relativeFrom="page">
              <wp:posOffset>-297747</wp:posOffset>
            </wp:positionH>
            <wp:positionV relativeFrom="paragraph">
              <wp:posOffset>-1915930</wp:posOffset>
            </wp:positionV>
            <wp:extent cx="7665436" cy="10754041"/>
            <wp:effectExtent l="0" t="0" r="0" b="0"/>
            <wp:wrapNone/>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屏幕快照%202019-01-03%20下午3.44.09.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665436" cy="10754041"/>
                    </a:xfrm>
                    <a:prstGeom prst="rect">
                      <a:avLst/>
                    </a:prstGeom>
                    <a:noFill/>
                    <a:ln>
                      <a:noFill/>
                    </a:ln>
                  </pic:spPr>
                </pic:pic>
              </a:graphicData>
            </a:graphic>
          </wp:anchor>
        </w:drawing>
      </w:r>
    </w:p>
    <w:p w14:paraId="4E8C2E0D" w14:textId="391DC304" w:rsidR="00D36358" w:rsidRPr="00110CAD" w:rsidRDefault="00D36358" w:rsidP="00591881">
      <w:pPr>
        <w:pStyle w:val="1"/>
        <w:spacing w:after="163"/>
        <w:rPr>
          <w:color w:val="FFA700"/>
        </w:rPr>
      </w:pPr>
    </w:p>
    <w:p w14:paraId="72CF8E79" w14:textId="14F620F4" w:rsidR="00D36358" w:rsidRPr="00110CAD" w:rsidRDefault="00D36358" w:rsidP="00591881">
      <w:pPr>
        <w:pStyle w:val="1"/>
        <w:spacing w:after="163"/>
        <w:rPr>
          <w:color w:val="FFA700"/>
        </w:rPr>
      </w:pPr>
    </w:p>
    <w:p w14:paraId="1F99AB6D" w14:textId="441529FB" w:rsidR="00D36358" w:rsidRPr="00110CAD" w:rsidRDefault="009238C7" w:rsidP="00591881">
      <w:pPr>
        <w:pStyle w:val="1"/>
        <w:spacing w:after="163"/>
        <w:rPr>
          <w:color w:val="FFA700"/>
        </w:rPr>
      </w:pPr>
      <w:r w:rsidRPr="00110CAD">
        <w:rPr>
          <w:noProof/>
        </w:rPr>
        <mc:AlternateContent>
          <mc:Choice Requires="wps">
            <w:drawing>
              <wp:anchor distT="0" distB="0" distL="114300" distR="114300" simplePos="0" relativeHeight="251659776" behindDoc="0" locked="0" layoutInCell="1" allowOverlap="1" wp14:anchorId="78EB6027" wp14:editId="4D25F42C">
                <wp:simplePos x="0" y="0"/>
                <wp:positionH relativeFrom="page">
                  <wp:posOffset>1270</wp:posOffset>
                </wp:positionH>
                <wp:positionV relativeFrom="paragraph">
                  <wp:posOffset>471170</wp:posOffset>
                </wp:positionV>
                <wp:extent cx="7345680" cy="937260"/>
                <wp:effectExtent l="0" t="0" r="0" b="0"/>
                <wp:wrapThrough wrapText="bothSides">
                  <wp:wrapPolygon edited="0">
                    <wp:start x="168" y="0"/>
                    <wp:lineTo x="168" y="21073"/>
                    <wp:lineTo x="21398" y="21073"/>
                    <wp:lineTo x="21398" y="0"/>
                    <wp:lineTo x="168" y="0"/>
                  </wp:wrapPolygon>
                </wp:wrapThrough>
                <wp:docPr id="3"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5680" cy="937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42A00B" w14:textId="76528FA9" w:rsidR="00BE2552" w:rsidRPr="00331217" w:rsidRDefault="00BE2552" w:rsidP="00792D12">
                            <w:pPr>
                              <w:spacing w:line="240" w:lineRule="auto"/>
                              <w:ind w:firstLineChars="0" w:firstLine="0"/>
                              <w:jc w:val="center"/>
                              <w:rPr>
                                <w:rFonts w:ascii="Source Han Sans CN" w:eastAsia="Source Han Sans CN"/>
                                <w:b/>
                                <w:bCs/>
                                <w:color w:val="FFFFFF" w:themeColor="background1"/>
                                <w:sz w:val="90"/>
                                <w:szCs w:val="90"/>
                              </w:rPr>
                            </w:pPr>
                            <w:r w:rsidRPr="00331217">
                              <w:rPr>
                                <w:rFonts w:ascii="Source Han Sans CN" w:eastAsia="Source Han Sans CN" w:hint="eastAsia"/>
                                <w:b/>
                                <w:bCs/>
                                <w:color w:val="FFFFFF" w:themeColor="background1"/>
                                <w:sz w:val="90"/>
                                <w:szCs w:val="90"/>
                              </w:rPr>
                              <w:t>全球宏观态势每周观察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8EB6027" id="_x0000_t202" coordsize="21600,21600" o:spt="202" path="m,l,21600r21600,l21600,xe">
                <v:stroke joinstyle="miter"/>
                <v:path gradientshapeok="t" o:connecttype="rect"/>
              </v:shapetype>
              <v:shape id="文本框 12" o:spid="_x0000_s1026" type="#_x0000_t202" style="position:absolute;margin-left:.1pt;margin-top:37.1pt;width:578.4pt;height:73.8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" filled="f" stroked="f" strokeweight=".5pt">
                <v:path arrowok="t"/>
                <v:textbox>
                  <w:txbxContent>
                    <w:p w14:paraId="3F42A00B" w14:textId="76528FA9" w:rsidR="00BE2552" w:rsidRPr="00331217" w:rsidRDefault="00BE2552" w:rsidP="00792D12">
                      <w:pPr>
                        <w:spacing w:line="240" w:lineRule="auto"/>
                        <w:ind w:firstLineChars="0" w:firstLine="0"/>
                        <w:jc w:val="center"/>
                        <w:rPr>
                          <w:rFonts w:ascii="Source Han Sans CN" w:eastAsia="Source Han Sans CN"/>
                          <w:b/>
                          <w:bCs/>
                          <w:color w:val="FFFFFF" w:themeColor="background1"/>
                          <w:sz w:val="90"/>
                          <w:szCs w:val="90"/>
                        </w:rPr>
                      </w:pPr>
                      <w:r w:rsidRPr="00331217">
                        <w:rPr>
                          <w:rFonts w:ascii="Source Han Sans CN" w:eastAsia="Source Han Sans CN" w:hint="eastAsia"/>
                          <w:b/>
                          <w:bCs/>
                          <w:color w:val="FFFFFF" w:themeColor="background1"/>
                          <w:sz w:val="90"/>
                          <w:szCs w:val="90"/>
                        </w:rPr>
                        <w:t>全球宏观态势每周观察</w:t>
                      </w:r>
                    </w:p>
                  </w:txbxContent>
                </v:textbox>
                <w10:wrap type="through" anchorx="page"/>
              </v:shape>
            </w:pict>
          </mc:Fallback>
        </mc:AlternateContent>
      </w:r>
    </w:p>
    <w:p w14:paraId="1B53F887" w14:textId="72F8A3F1" w:rsidR="00D36358" w:rsidRPr="00110CAD" w:rsidRDefault="00D36358" w:rsidP="00591881">
      <w:pPr>
        <w:pStyle w:val="1"/>
        <w:spacing w:after="163"/>
        <w:rPr>
          <w:color w:val="FFA700"/>
        </w:rPr>
      </w:pPr>
    </w:p>
    <w:p w14:paraId="7F7203D1" w14:textId="78790448" w:rsidR="003872AF" w:rsidRPr="00110CAD" w:rsidRDefault="009238C7" w:rsidP="00591881">
      <w:pPr>
        <w:pStyle w:val="1"/>
        <w:spacing w:after="163"/>
        <w:rPr>
          <w:color w:val="FFA700"/>
        </w:rPr>
      </w:pPr>
      <w:r w:rsidRPr="00110CAD">
        <w:rPr>
          <w:noProof/>
          <w:color w:val="FF0000"/>
        </w:rPr>
        <mc:AlternateContent>
          <mc:Choice Requires="wps">
            <w:drawing>
              <wp:anchor distT="0" distB="0" distL="114300" distR="114300" simplePos="0" relativeHeight="251657728" behindDoc="0" locked="0" layoutInCell="1" allowOverlap="1" wp14:anchorId="78EB6027" wp14:editId="2AA43459">
                <wp:simplePos x="0" y="0"/>
                <wp:positionH relativeFrom="page">
                  <wp:posOffset>1374775</wp:posOffset>
                </wp:positionH>
                <wp:positionV relativeFrom="paragraph">
                  <wp:posOffset>170180</wp:posOffset>
                </wp:positionV>
                <wp:extent cx="4505325" cy="495300"/>
                <wp:effectExtent l="0" t="0" r="0" b="0"/>
                <wp:wrapNone/>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532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487A6F" w14:textId="11033DD9" w:rsidR="00BE2552" w:rsidRPr="00324E8A" w:rsidRDefault="00BE2552" w:rsidP="00CD4AB4">
                            <w:pPr>
                              <w:spacing w:line="240" w:lineRule="auto"/>
                              <w:ind w:firstLineChars="0" w:firstLine="0"/>
                              <w:jc w:val="center"/>
                              <w:rPr>
                                <w:rFonts w:eastAsia="黑体" w:cs="Times New Roman"/>
                                <w:b/>
                                <w:color w:val="FFFFFF" w:themeColor="background1"/>
                                <w:sz w:val="32"/>
                                <w:szCs w:val="24"/>
                              </w:rPr>
                            </w:pPr>
                            <w:r>
                              <w:rPr>
                                <w:rFonts w:eastAsia="黑体" w:cs="Times New Roman"/>
                                <w:b/>
                                <w:color w:val="FFFFFF" w:themeColor="background1"/>
                                <w:sz w:val="32"/>
                                <w:szCs w:val="24"/>
                              </w:rPr>
                              <w:t>2020</w:t>
                            </w:r>
                            <w:r w:rsidRPr="00324E8A">
                              <w:rPr>
                                <w:rFonts w:eastAsia="黑体" w:cs="Times New Roman"/>
                                <w:b/>
                                <w:color w:val="FFFFFF" w:themeColor="background1"/>
                                <w:sz w:val="32"/>
                                <w:szCs w:val="24"/>
                              </w:rPr>
                              <w:t>年第</w:t>
                            </w:r>
                            <w:r>
                              <w:rPr>
                                <w:rFonts w:eastAsia="黑体" w:cs="Times New Roman"/>
                                <w:b/>
                                <w:color w:val="FFFFFF" w:themeColor="background1"/>
                                <w:sz w:val="32"/>
                                <w:szCs w:val="24"/>
                              </w:rPr>
                              <w:t>45</w:t>
                            </w:r>
                            <w:r w:rsidRPr="00324E8A">
                              <w:rPr>
                                <w:rFonts w:eastAsia="黑体" w:cs="Times New Roman"/>
                                <w:b/>
                                <w:color w:val="FFFFFF" w:themeColor="background1"/>
                                <w:sz w:val="32"/>
                                <w:szCs w:val="24"/>
                              </w:rPr>
                              <w:t>期（</w:t>
                            </w:r>
                            <w:r>
                              <w:rPr>
                                <w:rFonts w:eastAsia="黑体" w:cs="Times New Roman"/>
                                <w:b/>
                                <w:color w:val="FFFFFF" w:themeColor="background1"/>
                                <w:sz w:val="32"/>
                                <w:szCs w:val="24"/>
                              </w:rPr>
                              <w:t>2020.11.16~2020.11.22</w:t>
                            </w:r>
                            <w:r w:rsidRPr="00324E8A">
                              <w:rPr>
                                <w:rFonts w:eastAsia="黑体" w:cs="Times New Roman"/>
                                <w:b/>
                                <w:color w:val="FFFFFF" w:themeColor="background1"/>
                                <w:sz w:val="32"/>
                                <w:szCs w:val="24"/>
                              </w:rPr>
                              <w:t>）</w:t>
                            </w:r>
                          </w:p>
                          <w:p w14:paraId="218DCD57" w14:textId="77777777" w:rsidR="00BE2552" w:rsidRDefault="00BE2552" w:rsidP="00CD4AB4">
                            <w:pPr>
                              <w:ind w:firstLine="4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8EB6027" id="_x0000_s1027" type="#_x0000_t202" style="position:absolute;margin-left:108.25pt;margin-top:13.4pt;width:354.75pt;height:3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" filled="f" stroked="f" strokeweight=".5pt">
                <v:path arrowok="t"/>
                <v:textbox>
                  <w:txbxContent>
                    <w:p w14:paraId="32487A6F" w14:textId="11033DD9" w:rsidR="00BE2552" w:rsidRPr="00324E8A" w:rsidRDefault="00BE2552" w:rsidP="00CD4AB4">
                      <w:pPr>
                        <w:spacing w:line="240" w:lineRule="auto"/>
                        <w:ind w:firstLineChars="0" w:firstLine="0"/>
                        <w:jc w:val="center"/>
                        <w:rPr>
                          <w:rFonts w:eastAsia="黑体" w:cs="Times New Roman"/>
                          <w:b/>
                          <w:color w:val="FFFFFF" w:themeColor="background1"/>
                          <w:sz w:val="32"/>
                          <w:szCs w:val="24"/>
                        </w:rPr>
                      </w:pPr>
                      <w:r>
                        <w:rPr>
                          <w:rFonts w:eastAsia="黑体" w:cs="Times New Roman"/>
                          <w:b/>
                          <w:color w:val="FFFFFF" w:themeColor="background1"/>
                          <w:sz w:val="32"/>
                          <w:szCs w:val="24"/>
                        </w:rPr>
                        <w:t>2020</w:t>
                      </w:r>
                      <w:r w:rsidRPr="00324E8A">
                        <w:rPr>
                          <w:rFonts w:eastAsia="黑体" w:cs="Times New Roman"/>
                          <w:b/>
                          <w:color w:val="FFFFFF" w:themeColor="background1"/>
                          <w:sz w:val="32"/>
                          <w:szCs w:val="24"/>
                        </w:rPr>
                        <w:t>年第</w:t>
                      </w:r>
                      <w:r>
                        <w:rPr>
                          <w:rFonts w:eastAsia="黑体" w:cs="Times New Roman"/>
                          <w:b/>
                          <w:color w:val="FFFFFF" w:themeColor="background1"/>
                          <w:sz w:val="32"/>
                          <w:szCs w:val="24"/>
                        </w:rPr>
                        <w:t>45</w:t>
                      </w:r>
                      <w:r w:rsidRPr="00324E8A">
                        <w:rPr>
                          <w:rFonts w:eastAsia="黑体" w:cs="Times New Roman"/>
                          <w:b/>
                          <w:color w:val="FFFFFF" w:themeColor="background1"/>
                          <w:sz w:val="32"/>
                          <w:szCs w:val="24"/>
                        </w:rPr>
                        <w:t>期（</w:t>
                      </w:r>
                      <w:r>
                        <w:rPr>
                          <w:rFonts w:eastAsia="黑体" w:cs="Times New Roman"/>
                          <w:b/>
                          <w:color w:val="FFFFFF" w:themeColor="background1"/>
                          <w:sz w:val="32"/>
                          <w:szCs w:val="24"/>
                        </w:rPr>
                        <w:t>2020.11.16~2020.11.22</w:t>
                      </w:r>
                      <w:r w:rsidRPr="00324E8A">
                        <w:rPr>
                          <w:rFonts w:eastAsia="黑体" w:cs="Times New Roman"/>
                          <w:b/>
                          <w:color w:val="FFFFFF" w:themeColor="background1"/>
                          <w:sz w:val="32"/>
                          <w:szCs w:val="24"/>
                        </w:rPr>
                        <w:t>）</w:t>
                      </w:r>
                    </w:p>
                    <w:p w14:paraId="218DCD57" w14:textId="77777777" w:rsidR="00BE2552" w:rsidRDefault="00BE2552" w:rsidP="00CD4AB4">
                      <w:pPr>
                        <w:ind w:firstLine="420"/>
                      </w:pPr>
                    </w:p>
                  </w:txbxContent>
                </v:textbox>
                <w10:wrap anchorx="page"/>
              </v:shape>
            </w:pict>
          </mc:Fallback>
        </mc:AlternateContent>
      </w:r>
      <w:r w:rsidR="003872AF" w:rsidRPr="00110CAD">
        <w:rPr>
          <w:color w:val="FFA700"/>
        </w:rPr>
        <w:br w:type="page"/>
      </w:r>
    </w:p>
    <w:p w14:paraId="540972A5" w14:textId="4390BF1B" w:rsidR="00CE2CED" w:rsidRPr="00110CAD" w:rsidRDefault="00CE2CED" w:rsidP="00100593">
      <w:pPr>
        <w:framePr w:w="3098" w:h="12869" w:hRule="exact" w:hSpace="284" w:wrap="around" w:vAnchor="page" w:hAnchor="page" w:x="789" w:y="2617"/>
        <w:adjustRightInd w:val="0"/>
        <w:snapToGrid w:val="0"/>
        <w:spacing w:line="360" w:lineRule="auto"/>
        <w:ind w:firstLineChars="0" w:firstLine="0"/>
        <w:rPr>
          <w:rFonts w:ascii="宋体" w:hAnsi="宋体"/>
          <w:b/>
          <w:color w:val="323E4F" w:themeColor="text2" w:themeShade="BF"/>
          <w:sz w:val="22"/>
          <w:szCs w:val="15"/>
          <w:u w:val="single"/>
        </w:rPr>
      </w:pPr>
      <w:r w:rsidRPr="00110CAD">
        <w:rPr>
          <w:rFonts w:ascii="黑体" w:eastAsia="黑体" w:hAnsi="黑体" w:cs="Arial" w:hint="eastAsia"/>
          <w:b/>
          <w:color w:val="5262AD"/>
          <w:sz w:val="22"/>
          <w:szCs w:val="15"/>
          <w:u w:val="single"/>
        </w:rPr>
        <w:lastRenderedPageBreak/>
        <w:t>本期</w:t>
      </w:r>
      <w:r w:rsidRPr="00110CAD">
        <w:rPr>
          <w:rFonts w:ascii="黑体" w:eastAsia="黑体" w:hAnsi="黑体" w:cs="Arial"/>
          <w:b/>
          <w:color w:val="5262AD"/>
          <w:sz w:val="22"/>
          <w:szCs w:val="15"/>
          <w:u w:val="single"/>
        </w:rPr>
        <w:t>摘要</w:t>
      </w:r>
    </w:p>
    <w:p w14:paraId="097FF864" w14:textId="7A1ADAE9" w:rsidR="00055696" w:rsidRDefault="00CE2CED" w:rsidP="00100593">
      <w:pPr>
        <w:framePr w:w="3098" w:h="12869" w:hRule="exact" w:hSpace="284" w:wrap="around" w:vAnchor="page" w:hAnchor="page" w:x="789" w:y="2617"/>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0" w:firstLine="0"/>
        <w:rPr>
          <w:rFonts w:ascii="Heiti SC Light" w:eastAsia="Heiti SC Light" w:hAnsi="黑体"/>
          <w:b/>
          <w:color w:val="000000" w:themeColor="text1"/>
          <w:sz w:val="16"/>
          <w:szCs w:val="15"/>
          <w:u w:val="single"/>
        </w:rPr>
      </w:pPr>
      <w:r w:rsidRPr="00110CAD">
        <w:rPr>
          <w:rFonts w:ascii="Heiti SC Light" w:eastAsia="Heiti SC Light" w:hAnsi="黑体" w:hint="eastAsia"/>
          <w:b/>
          <w:color w:val="000000" w:themeColor="text1"/>
          <w:sz w:val="16"/>
          <w:szCs w:val="15"/>
          <w:u w:val="single"/>
        </w:rPr>
        <w:t>政经聚焦</w:t>
      </w:r>
    </w:p>
    <w:p w14:paraId="5502A7AA" w14:textId="77777777" w:rsidR="00297D31" w:rsidRPr="00110CAD" w:rsidRDefault="00297D31" w:rsidP="00297D31">
      <w:pPr>
        <w:framePr w:w="3098" w:h="12869" w:hRule="exact" w:hSpace="284" w:wrap="around" w:vAnchor="page" w:hAnchor="page" w:x="789" w:y="2617"/>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tLeast"/>
        <w:ind w:firstLineChars="0" w:firstLine="0"/>
        <w:rPr>
          <w:rFonts w:ascii="Heiti SC Light" w:eastAsia="Heiti SC Light" w:hAnsi="黑体" w:cs="Times New Roman"/>
          <w:color w:val="FFFFFF" w:themeColor="background1"/>
          <w:sz w:val="15"/>
          <w:szCs w:val="15"/>
          <w:shd w:val="clear" w:color="auto" w:fill="5262AD"/>
        </w:rPr>
      </w:pPr>
      <w:r w:rsidRPr="00110CAD">
        <w:rPr>
          <w:rFonts w:ascii="Heiti SC Light" w:eastAsia="Heiti SC Light" w:hAnsi="黑体" w:cs="Times New Roman" w:hint="eastAsia"/>
          <w:color w:val="FFFFFF" w:themeColor="background1"/>
          <w:sz w:val="15"/>
          <w:szCs w:val="15"/>
          <w:shd w:val="clear" w:color="auto" w:fill="5262AD"/>
        </w:rPr>
        <w:t>美国</w:t>
      </w:r>
    </w:p>
    <w:p w14:paraId="4DA250CC" w14:textId="77777777" w:rsidR="005B7CB5" w:rsidRDefault="005B7CB5" w:rsidP="006A4B70">
      <w:pPr>
        <w:framePr w:w="3098" w:h="12869" w:hRule="exact" w:hSpace="284" w:wrap="around" w:vAnchor="page" w:hAnchor="page" w:x="789" w:y="2617"/>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firstLineChars="0" w:firstLine="0"/>
        <w:rPr>
          <w:rFonts w:ascii="Heiti SC Light" w:eastAsia="Heiti SC Light" w:hAnsi="黑体" w:cs="Times New Roman"/>
          <w:color w:val="000000" w:themeColor="text1"/>
          <w:sz w:val="15"/>
          <w:szCs w:val="15"/>
        </w:rPr>
      </w:pPr>
      <w:r w:rsidRPr="005B7CB5">
        <w:rPr>
          <w:rFonts w:ascii="Heiti SC Light" w:eastAsia="Heiti SC Light" w:hAnsi="黑体" w:cs="Times New Roman" w:hint="eastAsia"/>
          <w:color w:val="000000" w:themeColor="text1"/>
          <w:sz w:val="15"/>
          <w:szCs w:val="15"/>
        </w:rPr>
        <w:t>美国财政部拒绝延长美联储部分贷款计划，并要求归还4,550亿美元闲置资金</w:t>
      </w:r>
    </w:p>
    <w:p w14:paraId="53AB7783" w14:textId="77777777" w:rsidR="00BE2552" w:rsidRPr="00110CAD" w:rsidRDefault="00BE2552" w:rsidP="00BE2552">
      <w:pPr>
        <w:framePr w:w="3098" w:h="12869" w:hRule="exact" w:hSpace="284" w:wrap="around" w:vAnchor="page" w:hAnchor="page" w:x="789" w:y="2617"/>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firstLineChars="0" w:firstLine="0"/>
        <w:rPr>
          <w:rFonts w:ascii="Heiti SC Light" w:eastAsia="Heiti SC Light" w:hAnsi="黑体" w:cs="Times New Roman"/>
          <w:color w:val="FFFFFF" w:themeColor="background1"/>
          <w:sz w:val="15"/>
          <w:szCs w:val="15"/>
          <w:shd w:val="clear" w:color="auto" w:fill="5262AD"/>
        </w:rPr>
      </w:pPr>
      <w:r>
        <w:rPr>
          <w:rFonts w:ascii="Heiti SC Light" w:eastAsia="Heiti SC Light" w:hAnsi="黑体" w:cs="Times New Roman" w:hint="eastAsia"/>
          <w:color w:val="FFFFFF" w:themeColor="background1"/>
          <w:sz w:val="15"/>
          <w:szCs w:val="15"/>
          <w:shd w:val="clear" w:color="auto" w:fill="5262AD"/>
        </w:rPr>
        <w:t>日本</w:t>
      </w:r>
    </w:p>
    <w:p w14:paraId="7414BE38" w14:textId="77777777" w:rsidR="00BE2552" w:rsidRDefault="00BE2552" w:rsidP="00BE2552">
      <w:pPr>
        <w:framePr w:w="3098" w:h="12869" w:hRule="exact" w:hSpace="284" w:wrap="around" w:vAnchor="page" w:hAnchor="page" w:x="789" w:y="2617"/>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firstLineChars="0" w:firstLine="0"/>
        <w:jc w:val="left"/>
        <w:rPr>
          <w:rFonts w:ascii="Heiti SC Light" w:eastAsia="Heiti SC Light" w:hAnsi="黑体" w:cs="Times New Roman"/>
          <w:color w:val="000000" w:themeColor="text1"/>
          <w:sz w:val="15"/>
          <w:szCs w:val="15"/>
        </w:rPr>
      </w:pPr>
      <w:r w:rsidRPr="00C05BFE">
        <w:rPr>
          <w:rFonts w:ascii="Heiti SC Light" w:eastAsia="Heiti SC Light" w:hAnsi="黑体" w:cs="Times New Roman" w:hint="eastAsia"/>
          <w:color w:val="000000" w:themeColor="text1"/>
          <w:sz w:val="15"/>
          <w:szCs w:val="15"/>
        </w:rPr>
        <w:t>日本核心CPI连续3个月同比下降</w:t>
      </w:r>
    </w:p>
    <w:p w14:paraId="7CA0EC2F" w14:textId="6702914D" w:rsidR="006A4B70" w:rsidRPr="00110CAD" w:rsidRDefault="006A4B70" w:rsidP="006A4B70">
      <w:pPr>
        <w:framePr w:w="3098" w:h="12869" w:hRule="exact" w:hSpace="284" w:wrap="around" w:vAnchor="page" w:hAnchor="page" w:x="789" w:y="2617"/>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firstLineChars="0" w:firstLine="0"/>
        <w:rPr>
          <w:rFonts w:ascii="Heiti SC Light" w:eastAsia="Heiti SC Light" w:hAnsi="黑体" w:cs="Times New Roman"/>
          <w:color w:val="FFFFFF" w:themeColor="background1"/>
          <w:sz w:val="15"/>
          <w:szCs w:val="15"/>
          <w:shd w:val="clear" w:color="auto" w:fill="5262AD"/>
        </w:rPr>
      </w:pPr>
      <w:r w:rsidRPr="00110CAD">
        <w:rPr>
          <w:rFonts w:ascii="Heiti SC Light" w:eastAsia="Heiti SC Light" w:hAnsi="黑体" w:cs="Times New Roman" w:hint="eastAsia"/>
          <w:color w:val="FFFFFF" w:themeColor="background1"/>
          <w:sz w:val="15"/>
          <w:szCs w:val="15"/>
          <w:shd w:val="clear" w:color="auto" w:fill="5262AD"/>
        </w:rPr>
        <w:t>欧洲</w:t>
      </w:r>
    </w:p>
    <w:p w14:paraId="5551B505" w14:textId="77777777" w:rsidR="00EB6C08" w:rsidRDefault="00C05BFE" w:rsidP="008D61B9">
      <w:pPr>
        <w:framePr w:w="3098" w:h="12869" w:hRule="exact" w:hSpace="284" w:wrap="around" w:vAnchor="page" w:hAnchor="page" w:x="789" w:y="2617"/>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firstLineChars="0" w:firstLine="0"/>
        <w:rPr>
          <w:rFonts w:ascii="Heiti SC Light" w:eastAsia="Heiti SC Light" w:hAnsi="黑体" w:cs="Times New Roman"/>
          <w:color w:val="000000" w:themeColor="text1"/>
          <w:sz w:val="15"/>
          <w:szCs w:val="15"/>
        </w:rPr>
      </w:pPr>
      <w:r>
        <w:rPr>
          <w:rFonts w:ascii="Heiti SC Light" w:eastAsia="Heiti SC Light" w:hAnsi="黑体" w:cs="Times New Roman" w:hint="eastAsia"/>
          <w:color w:val="000000" w:themeColor="text1"/>
          <w:sz w:val="15"/>
          <w:szCs w:val="15"/>
        </w:rPr>
        <w:t>欧元区</w:t>
      </w:r>
      <w:r w:rsidR="000C26A5" w:rsidRPr="000C26A5">
        <w:rPr>
          <w:rFonts w:ascii="Heiti SC Light" w:eastAsia="Heiti SC Light" w:hAnsi="黑体" w:cs="Times New Roman" w:hint="eastAsia"/>
          <w:color w:val="000000" w:themeColor="text1"/>
          <w:sz w:val="15"/>
          <w:szCs w:val="15"/>
        </w:rPr>
        <w:t>CPI</w:t>
      </w:r>
      <w:r>
        <w:rPr>
          <w:rFonts w:ascii="Heiti SC Light" w:eastAsia="Heiti SC Light" w:hAnsi="黑体" w:cs="Times New Roman" w:hint="eastAsia"/>
          <w:color w:val="000000" w:themeColor="text1"/>
          <w:sz w:val="15"/>
          <w:szCs w:val="15"/>
        </w:rPr>
        <w:t>表现疲软，</w:t>
      </w:r>
      <w:r w:rsidR="000C26A5" w:rsidRPr="000C26A5">
        <w:rPr>
          <w:rFonts w:ascii="Heiti SC Light" w:eastAsia="Heiti SC Light" w:hAnsi="黑体" w:cs="Times New Roman" w:hint="eastAsia"/>
          <w:color w:val="000000" w:themeColor="text1"/>
          <w:sz w:val="15"/>
          <w:szCs w:val="15"/>
        </w:rPr>
        <w:t>12月欧央行宽松预期</w:t>
      </w:r>
      <w:r>
        <w:rPr>
          <w:rFonts w:ascii="Heiti SC Light" w:eastAsia="Heiti SC Light" w:hAnsi="黑体" w:cs="Times New Roman" w:hint="eastAsia"/>
          <w:color w:val="000000" w:themeColor="text1"/>
          <w:sz w:val="15"/>
          <w:szCs w:val="15"/>
        </w:rPr>
        <w:t>升温</w:t>
      </w:r>
    </w:p>
    <w:p w14:paraId="4CA6481E" w14:textId="5E738F44" w:rsidR="000C26A5" w:rsidRDefault="00EB6C08" w:rsidP="008D61B9">
      <w:pPr>
        <w:framePr w:w="3098" w:h="12869" w:hRule="exact" w:hSpace="284" w:wrap="around" w:vAnchor="page" w:hAnchor="page" w:x="789" w:y="2617"/>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firstLineChars="0" w:firstLine="0"/>
        <w:rPr>
          <w:rFonts w:ascii="Heiti SC Light" w:eastAsia="Heiti SC Light" w:hAnsi="黑体" w:cs="Times New Roman"/>
          <w:color w:val="000000" w:themeColor="text1"/>
          <w:sz w:val="15"/>
          <w:szCs w:val="15"/>
        </w:rPr>
      </w:pPr>
      <w:r w:rsidRPr="00EB6C08">
        <w:rPr>
          <w:rFonts w:ascii="Heiti SC Light" w:eastAsia="Heiti SC Light" w:hAnsi="黑体" w:cs="Times New Roman" w:hint="eastAsia"/>
          <w:color w:val="000000" w:themeColor="text1"/>
          <w:sz w:val="15"/>
          <w:szCs w:val="15"/>
        </w:rPr>
        <w:t>英国与加拿大达成过</w:t>
      </w:r>
      <w:bookmarkStart w:id="1" w:name="_GoBack"/>
      <w:bookmarkEnd w:id="1"/>
      <w:r w:rsidRPr="00EB6C08">
        <w:rPr>
          <w:rFonts w:ascii="Heiti SC Light" w:eastAsia="Heiti SC Light" w:hAnsi="黑体" w:cs="Times New Roman" w:hint="eastAsia"/>
          <w:color w:val="000000" w:themeColor="text1"/>
          <w:sz w:val="15"/>
          <w:szCs w:val="15"/>
        </w:rPr>
        <w:t>渡贸易协议</w:t>
      </w:r>
      <w:r w:rsidR="000C26A5" w:rsidRPr="000C26A5">
        <w:rPr>
          <w:rFonts w:ascii="Heiti SC Light" w:eastAsia="Heiti SC Light" w:hAnsi="黑体" w:cs="Times New Roman" w:hint="eastAsia"/>
          <w:color w:val="000000" w:themeColor="text1"/>
          <w:sz w:val="15"/>
          <w:szCs w:val="15"/>
        </w:rPr>
        <w:tab/>
      </w:r>
    </w:p>
    <w:p w14:paraId="59CAC723" w14:textId="398726D2" w:rsidR="007471E9" w:rsidRDefault="00610F85" w:rsidP="00100593">
      <w:pPr>
        <w:framePr w:w="3098" w:h="12869" w:hRule="exact" w:hSpace="284" w:wrap="around" w:vAnchor="page" w:hAnchor="page" w:x="789" w:y="2617"/>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firstLineChars="0" w:firstLine="0"/>
        <w:jc w:val="left"/>
        <w:rPr>
          <w:rFonts w:ascii="Heiti SC Light" w:eastAsia="Heiti SC Light" w:hAnsi="黑体" w:cs="Times New Roman"/>
          <w:color w:val="FFFFFF" w:themeColor="background1"/>
          <w:sz w:val="15"/>
          <w:szCs w:val="15"/>
          <w:shd w:val="clear" w:color="auto" w:fill="5262AD"/>
        </w:rPr>
      </w:pPr>
      <w:r w:rsidRPr="00B915C0">
        <w:rPr>
          <w:rFonts w:ascii="Heiti SC Light" w:eastAsia="Heiti SC Light" w:hAnsi="黑体" w:cs="Times New Roman" w:hint="eastAsia"/>
          <w:color w:val="FFFFFF" w:themeColor="background1"/>
          <w:sz w:val="15"/>
          <w:szCs w:val="15"/>
          <w:shd w:val="clear" w:color="auto" w:fill="5262AD"/>
        </w:rPr>
        <w:t>新兴市场</w:t>
      </w:r>
      <w:r w:rsidRPr="00B915C0">
        <w:rPr>
          <w:rFonts w:ascii="Heiti SC Light" w:eastAsia="Heiti SC Light" w:hAnsi="黑体" w:cs="Times New Roman"/>
          <w:color w:val="FFFFFF" w:themeColor="background1"/>
          <w:sz w:val="15"/>
          <w:szCs w:val="15"/>
          <w:shd w:val="clear" w:color="auto" w:fill="5262AD"/>
        </w:rPr>
        <w:t>及其他国家</w:t>
      </w:r>
    </w:p>
    <w:p w14:paraId="0C7CFAD7" w14:textId="124C1154" w:rsidR="00E7623A" w:rsidRDefault="00E7623A" w:rsidP="00100593">
      <w:pPr>
        <w:framePr w:w="3098" w:h="12869" w:hRule="exact" w:hSpace="284" w:wrap="around" w:vAnchor="page" w:hAnchor="page" w:x="789" w:y="2617"/>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firstLineChars="0" w:firstLine="0"/>
        <w:jc w:val="left"/>
        <w:rPr>
          <w:rFonts w:ascii="Heiti SC Light" w:eastAsia="Heiti SC Light" w:hAnsi="黑体" w:cs="Times New Roman"/>
          <w:color w:val="000000" w:themeColor="text1"/>
          <w:sz w:val="15"/>
          <w:szCs w:val="15"/>
        </w:rPr>
      </w:pPr>
      <w:r w:rsidRPr="00E7623A">
        <w:rPr>
          <w:rFonts w:ascii="Heiti SC Light" w:eastAsia="Heiti SC Light" w:hAnsi="黑体" w:cs="Times New Roman" w:hint="eastAsia"/>
          <w:color w:val="000000" w:themeColor="text1"/>
          <w:sz w:val="15"/>
          <w:szCs w:val="15"/>
        </w:rPr>
        <w:t>通胀压力下土耳其央行逆势加息</w:t>
      </w:r>
    </w:p>
    <w:p w14:paraId="25252D83" w14:textId="7E2242E7" w:rsidR="008D4199" w:rsidRDefault="00D75E28" w:rsidP="00100593">
      <w:pPr>
        <w:framePr w:w="3098" w:h="12869" w:hRule="exact" w:hSpace="284" w:wrap="around" w:vAnchor="page" w:hAnchor="page" w:x="789" w:y="2617"/>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firstLineChars="0" w:firstLine="0"/>
        <w:jc w:val="left"/>
        <w:rPr>
          <w:rFonts w:ascii="Heiti SC Light" w:eastAsia="Heiti SC Light" w:hAnsi="黑体" w:cs="Times New Roman"/>
          <w:color w:val="000000" w:themeColor="text1"/>
          <w:sz w:val="15"/>
          <w:szCs w:val="15"/>
        </w:rPr>
      </w:pPr>
      <w:r w:rsidRPr="00D75E28">
        <w:rPr>
          <w:rFonts w:ascii="Heiti SC Light" w:eastAsia="Heiti SC Light" w:hAnsi="黑体" w:cs="Times New Roman" w:hint="eastAsia"/>
          <w:color w:val="000000" w:themeColor="text1"/>
          <w:sz w:val="15"/>
          <w:szCs w:val="15"/>
        </w:rPr>
        <w:t>印尼、菲律宾央行利率决议均下调关键利率</w:t>
      </w:r>
    </w:p>
    <w:p w14:paraId="036D8ED5" w14:textId="77777777" w:rsidR="00D75E28" w:rsidRPr="00110CAD" w:rsidRDefault="00D75E28" w:rsidP="00100593">
      <w:pPr>
        <w:framePr w:w="3098" w:h="12869" w:hRule="exact" w:hSpace="284" w:wrap="around" w:vAnchor="page" w:hAnchor="page" w:x="789" w:y="2617"/>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firstLineChars="0" w:firstLine="0"/>
        <w:jc w:val="left"/>
        <w:rPr>
          <w:rFonts w:ascii="Heiti SC Light" w:eastAsia="Heiti SC Light" w:hAnsi="黑体" w:cs="Times New Roman"/>
          <w:color w:val="000000" w:themeColor="text1"/>
          <w:sz w:val="15"/>
          <w:szCs w:val="15"/>
        </w:rPr>
      </w:pPr>
    </w:p>
    <w:p w14:paraId="53466474" w14:textId="77777777" w:rsidR="00EE0886" w:rsidRPr="00110CAD" w:rsidRDefault="00CE2CED" w:rsidP="00100593">
      <w:pPr>
        <w:framePr w:w="3098" w:h="12869" w:hRule="exact" w:hSpace="284" w:wrap="around" w:vAnchor="page" w:hAnchor="page" w:x="789" w:y="2617"/>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firstLineChars="0" w:firstLine="0"/>
        <w:jc w:val="left"/>
        <w:rPr>
          <w:rFonts w:ascii="Heiti SC Light" w:eastAsia="Heiti SC Light" w:hAnsi="黑体"/>
          <w:b/>
          <w:color w:val="000000" w:themeColor="text1"/>
          <w:sz w:val="16"/>
          <w:szCs w:val="15"/>
          <w:u w:val="single"/>
        </w:rPr>
      </w:pPr>
      <w:r w:rsidRPr="00110CAD">
        <w:rPr>
          <w:rFonts w:ascii="Heiti SC Light" w:eastAsia="Heiti SC Light" w:hAnsi="黑体" w:hint="eastAsia"/>
          <w:b/>
          <w:color w:val="000000" w:themeColor="text1"/>
          <w:sz w:val="16"/>
          <w:szCs w:val="15"/>
          <w:u w:val="single"/>
        </w:rPr>
        <w:t>国家主权评级动态</w:t>
      </w:r>
    </w:p>
    <w:p w14:paraId="2A9F7E21" w14:textId="77777777" w:rsidR="00F12617" w:rsidRDefault="00F12617" w:rsidP="002E29F3">
      <w:pPr>
        <w:framePr w:w="3098" w:h="12869" w:hRule="exact" w:hSpace="284" w:wrap="around" w:vAnchor="page" w:hAnchor="page" w:x="789" w:y="2617"/>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firstLineChars="0" w:firstLine="0"/>
        <w:rPr>
          <w:rFonts w:ascii="Heiti SC Light" w:eastAsia="Heiti SC Light" w:hAnsi="黑体" w:cs="Times New Roman"/>
          <w:color w:val="auto"/>
          <w:sz w:val="15"/>
          <w:szCs w:val="15"/>
        </w:rPr>
      </w:pPr>
      <w:r w:rsidRPr="00F12617">
        <w:rPr>
          <w:rFonts w:ascii="Heiti SC Light" w:eastAsia="Heiti SC Light" w:hAnsi="黑体" w:cs="Times New Roman" w:hint="eastAsia"/>
          <w:color w:val="auto"/>
          <w:sz w:val="15"/>
          <w:szCs w:val="15"/>
        </w:rPr>
        <w:t>标普将危地马拉列入“负面观察清单”</w:t>
      </w:r>
    </w:p>
    <w:p w14:paraId="2BE7395E" w14:textId="5F2CDD64" w:rsidR="004F586A" w:rsidRPr="002E29F3" w:rsidRDefault="00F12617" w:rsidP="002E29F3">
      <w:pPr>
        <w:framePr w:w="3098" w:h="12869" w:hRule="exact" w:hSpace="284" w:wrap="around" w:vAnchor="page" w:hAnchor="page" w:x="789" w:y="2617"/>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firstLineChars="0" w:firstLine="0"/>
        <w:rPr>
          <w:rFonts w:ascii="Heiti SC Light" w:eastAsia="Heiti SC Light" w:hAnsi="黑体" w:cs="Times New Roman"/>
          <w:color w:val="auto"/>
          <w:sz w:val="15"/>
          <w:szCs w:val="15"/>
        </w:rPr>
      </w:pPr>
      <w:r w:rsidRPr="00F12617">
        <w:rPr>
          <w:rFonts w:ascii="Heiti SC Light" w:eastAsia="Heiti SC Light" w:hAnsi="黑体" w:cs="Times New Roman" w:hint="eastAsia"/>
          <w:color w:val="auto"/>
          <w:sz w:val="15"/>
          <w:szCs w:val="15"/>
        </w:rPr>
        <w:t>惠誉将南非长期主权本、外币信用等级下调至“BB-”</w:t>
      </w:r>
    </w:p>
    <w:p w14:paraId="15E5BD2B" w14:textId="1AB4EB41" w:rsidR="004F586A" w:rsidRDefault="00F12617" w:rsidP="00100593">
      <w:pPr>
        <w:framePr w:w="3098" w:h="12869" w:hRule="exact" w:hSpace="284" w:wrap="around" w:vAnchor="page" w:hAnchor="page" w:x="789" w:y="2617"/>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firstLineChars="0" w:firstLine="0"/>
        <w:rPr>
          <w:rFonts w:ascii="Heiti SC Light" w:eastAsia="Heiti SC Light" w:hAnsi="黑体" w:cs="Times New Roman"/>
          <w:color w:val="auto"/>
          <w:sz w:val="15"/>
          <w:szCs w:val="15"/>
        </w:rPr>
      </w:pPr>
      <w:r w:rsidRPr="00F12617">
        <w:rPr>
          <w:rFonts w:ascii="Heiti SC Light" w:eastAsia="Heiti SC Light" w:hAnsi="黑体" w:cs="Times New Roman" w:hint="eastAsia"/>
          <w:color w:val="auto"/>
          <w:sz w:val="15"/>
          <w:szCs w:val="15"/>
        </w:rPr>
        <w:t>穆迪将萨尔瓦多列入“负面观察清单”</w:t>
      </w:r>
    </w:p>
    <w:p w14:paraId="29B1E3B9" w14:textId="77777777" w:rsidR="00F12617" w:rsidRPr="00F12617" w:rsidRDefault="00F12617" w:rsidP="00100593">
      <w:pPr>
        <w:framePr w:w="3098" w:h="12869" w:hRule="exact" w:hSpace="284" w:wrap="around" w:vAnchor="page" w:hAnchor="page" w:x="789" w:y="2617"/>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firstLineChars="0" w:firstLine="0"/>
        <w:rPr>
          <w:rFonts w:ascii="Heiti SC Light" w:eastAsia="Heiti SC Light" w:hAnsi="黑体" w:cs="Times New Roman"/>
          <w:color w:val="auto"/>
          <w:sz w:val="15"/>
          <w:szCs w:val="15"/>
        </w:rPr>
      </w:pPr>
    </w:p>
    <w:p w14:paraId="43F18A58" w14:textId="77777777" w:rsidR="00264534" w:rsidRPr="00110CAD" w:rsidRDefault="00CE2CED" w:rsidP="00100593">
      <w:pPr>
        <w:framePr w:w="3098" w:h="12869" w:hRule="exact" w:hSpace="284" w:wrap="around" w:vAnchor="page" w:hAnchor="page" w:x="789" w:y="2617"/>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firstLineChars="0" w:firstLine="0"/>
        <w:jc w:val="left"/>
        <w:rPr>
          <w:rFonts w:ascii="Heiti SC Light" w:eastAsia="Heiti SC Light" w:hAnsi="黑体"/>
          <w:b/>
          <w:color w:val="000000" w:themeColor="text1"/>
          <w:sz w:val="16"/>
          <w:szCs w:val="15"/>
          <w:u w:val="single"/>
        </w:rPr>
      </w:pPr>
      <w:r w:rsidRPr="00110CAD">
        <w:rPr>
          <w:rFonts w:ascii="Heiti SC Light" w:eastAsia="Heiti SC Light" w:hAnsi="黑体" w:hint="eastAsia"/>
          <w:b/>
          <w:color w:val="000000" w:themeColor="text1"/>
          <w:sz w:val="16"/>
          <w:szCs w:val="15"/>
          <w:u w:val="single"/>
        </w:rPr>
        <w:t>主要经济体利率及汇率走势</w:t>
      </w:r>
    </w:p>
    <w:p w14:paraId="2CADB952" w14:textId="77777777" w:rsidR="00950791" w:rsidRDefault="00950791" w:rsidP="00100593">
      <w:pPr>
        <w:framePr w:w="3098" w:h="12869" w:hRule="exact" w:hSpace="284" w:wrap="around" w:vAnchor="page" w:hAnchor="page" w:x="789" w:y="2617"/>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firstLineChars="0" w:firstLine="0"/>
        <w:jc w:val="left"/>
        <w:rPr>
          <w:rFonts w:ascii="Heiti SC Light" w:eastAsia="Heiti SC Light" w:hAnsi="黑体" w:cs="Times New Roman"/>
          <w:color w:val="auto"/>
          <w:sz w:val="15"/>
          <w:szCs w:val="15"/>
        </w:rPr>
      </w:pPr>
      <w:r w:rsidRPr="00950791">
        <w:rPr>
          <w:rFonts w:ascii="Heiti SC Light" w:eastAsia="Heiti SC Light" w:hAnsi="黑体" w:cs="Times New Roman" w:hint="eastAsia"/>
          <w:color w:val="auto"/>
          <w:sz w:val="15"/>
          <w:szCs w:val="15"/>
        </w:rPr>
        <w:t>本周美债收益率全线下行，除中国外主要经济体国债与美债利差多数收窄</w:t>
      </w:r>
    </w:p>
    <w:p w14:paraId="0D57736D" w14:textId="36B16261" w:rsidR="00F11FE2" w:rsidRDefault="00343D3E" w:rsidP="00100593">
      <w:pPr>
        <w:framePr w:w="3098" w:h="12869" w:hRule="exact" w:hSpace="284" w:wrap="around" w:vAnchor="page" w:hAnchor="page" w:x="789" w:y="2617"/>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firstLineChars="0" w:firstLine="0"/>
        <w:jc w:val="left"/>
        <w:rPr>
          <w:rFonts w:ascii="Heiti SC Light" w:eastAsia="Heiti SC Light" w:hAnsi="黑体" w:cs="Times New Roman"/>
          <w:color w:val="auto"/>
          <w:sz w:val="15"/>
          <w:szCs w:val="15"/>
        </w:rPr>
      </w:pPr>
      <w:r w:rsidRPr="00343D3E">
        <w:rPr>
          <w:rFonts w:ascii="Heiti SC Light" w:eastAsia="Heiti SC Light" w:hAnsi="黑体" w:cs="Times New Roman" w:hint="eastAsia"/>
          <w:color w:val="auto"/>
          <w:sz w:val="15"/>
          <w:szCs w:val="15"/>
        </w:rPr>
        <w:t>美元指数走弱，主要非美货币纷纷走强</w:t>
      </w:r>
    </w:p>
    <w:p w14:paraId="4E17F595" w14:textId="77777777" w:rsidR="00343D3E" w:rsidRPr="00110CAD" w:rsidRDefault="00343D3E" w:rsidP="00100593">
      <w:pPr>
        <w:framePr w:w="3098" w:h="12869" w:hRule="exact" w:hSpace="284" w:wrap="around" w:vAnchor="page" w:hAnchor="page" w:x="789" w:y="2617"/>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firstLineChars="0" w:firstLine="0"/>
        <w:jc w:val="left"/>
        <w:rPr>
          <w:rFonts w:ascii="Heiti SC Light" w:eastAsia="Heiti SC Light" w:hAnsi="黑体" w:cs="Times New Roman"/>
          <w:color w:val="auto"/>
          <w:sz w:val="15"/>
          <w:szCs w:val="15"/>
        </w:rPr>
      </w:pPr>
    </w:p>
    <w:p w14:paraId="6080D6CA" w14:textId="77777777" w:rsidR="00CE2CED" w:rsidRPr="00110CAD" w:rsidRDefault="00CE2CED" w:rsidP="00100593">
      <w:pPr>
        <w:framePr w:w="3098" w:h="12869" w:hRule="exact" w:hSpace="284" w:wrap="around" w:vAnchor="page" w:hAnchor="page" w:x="789" w:y="2617"/>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firstLineChars="0" w:firstLine="0"/>
        <w:jc w:val="left"/>
        <w:rPr>
          <w:rFonts w:ascii="Heiti SC Light" w:eastAsia="Heiti SC Light" w:hAnsi="黑体"/>
          <w:b/>
          <w:color w:val="000000" w:themeColor="text1"/>
          <w:sz w:val="16"/>
          <w:szCs w:val="15"/>
          <w:u w:val="single"/>
        </w:rPr>
      </w:pPr>
      <w:r w:rsidRPr="00110CAD">
        <w:rPr>
          <w:rFonts w:ascii="Heiti SC Light" w:eastAsia="Heiti SC Light" w:hAnsi="黑体" w:hint="eastAsia"/>
          <w:b/>
          <w:color w:val="000000" w:themeColor="text1"/>
          <w:sz w:val="16"/>
          <w:szCs w:val="15"/>
          <w:u w:val="single"/>
        </w:rPr>
        <w:t>国际大宗商品价格走势</w:t>
      </w:r>
    </w:p>
    <w:p w14:paraId="2FC9CC51" w14:textId="77777777" w:rsidR="00F12617" w:rsidRDefault="00F12617" w:rsidP="00100593">
      <w:pPr>
        <w:framePr w:w="3098" w:h="12869" w:hRule="exact" w:hSpace="284" w:wrap="around" w:vAnchor="page" w:hAnchor="page" w:x="789" w:y="2617"/>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firstLineChars="0" w:firstLine="0"/>
        <w:jc w:val="left"/>
        <w:rPr>
          <w:rFonts w:ascii="Heiti SC Light" w:eastAsia="Heiti SC Light" w:hAnsi="黑体" w:cs="Times New Roman"/>
          <w:bCs/>
          <w:color w:val="auto"/>
          <w:sz w:val="15"/>
          <w:szCs w:val="15"/>
        </w:rPr>
      </w:pPr>
      <w:r w:rsidRPr="00222132">
        <w:rPr>
          <w:rFonts w:ascii="Heiti SC Light" w:eastAsia="Heiti SC Light" w:hAnsi="黑体" w:cs="Times New Roman" w:hint="eastAsia"/>
          <w:bCs/>
          <w:color w:val="auto"/>
          <w:sz w:val="15"/>
          <w:szCs w:val="15"/>
        </w:rPr>
        <w:t>国际原油价格连续三周上涨</w:t>
      </w:r>
    </w:p>
    <w:p w14:paraId="58B02B57" w14:textId="6BB01EA8" w:rsidR="00F11FE2" w:rsidRDefault="00222132" w:rsidP="00100593">
      <w:pPr>
        <w:framePr w:w="3098" w:h="12869" w:hRule="exact" w:hSpace="284" w:wrap="around" w:vAnchor="page" w:hAnchor="page" w:x="789" w:y="2617"/>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firstLineChars="0" w:firstLine="0"/>
        <w:jc w:val="left"/>
        <w:rPr>
          <w:rFonts w:ascii="Heiti SC Light" w:eastAsia="Heiti SC Light" w:hAnsi="黑体" w:cs="Times New Roman"/>
          <w:bCs/>
          <w:color w:val="auto"/>
          <w:sz w:val="15"/>
          <w:szCs w:val="15"/>
        </w:rPr>
      </w:pPr>
      <w:r w:rsidRPr="00222132">
        <w:rPr>
          <w:rFonts w:ascii="Heiti SC Light" w:eastAsia="Heiti SC Light" w:hAnsi="黑体" w:cs="Times New Roman" w:hint="eastAsia"/>
          <w:bCs/>
          <w:color w:val="auto"/>
          <w:sz w:val="15"/>
          <w:szCs w:val="15"/>
        </w:rPr>
        <w:t>黄金价格继续小幅下跌</w:t>
      </w:r>
    </w:p>
    <w:p w14:paraId="413EAEF2" w14:textId="77777777" w:rsidR="00222132" w:rsidRPr="00110CAD" w:rsidRDefault="00222132" w:rsidP="00100593">
      <w:pPr>
        <w:framePr w:w="3098" w:h="12869" w:hRule="exact" w:hSpace="284" w:wrap="around" w:vAnchor="page" w:hAnchor="page" w:x="789" w:y="2617"/>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firstLineChars="0" w:firstLine="0"/>
        <w:jc w:val="left"/>
        <w:rPr>
          <w:rFonts w:ascii="Heiti SC Light" w:eastAsia="Heiti SC Light" w:hAnsi="黑体" w:cs="Times New Roman"/>
          <w:color w:val="auto"/>
          <w:sz w:val="15"/>
          <w:szCs w:val="15"/>
          <w:u w:val="single"/>
        </w:rPr>
      </w:pPr>
    </w:p>
    <w:p w14:paraId="1958C8D5" w14:textId="315E5574" w:rsidR="00CE2CED" w:rsidRPr="00110CAD" w:rsidRDefault="00CE2CED" w:rsidP="00100593">
      <w:pPr>
        <w:framePr w:w="3098" w:h="12869" w:hRule="exact" w:hSpace="284" w:wrap="around" w:vAnchor="page" w:hAnchor="page" w:x="789" w:y="2617"/>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firstLineChars="0" w:firstLine="0"/>
        <w:jc w:val="left"/>
        <w:rPr>
          <w:rFonts w:ascii="黑体" w:eastAsia="黑体" w:hAnsi="黑体" w:cs="Arial"/>
          <w:b/>
          <w:color w:val="000000" w:themeColor="text1"/>
          <w:sz w:val="15"/>
          <w:szCs w:val="15"/>
        </w:rPr>
      </w:pPr>
      <w:r w:rsidRPr="00110CAD">
        <w:rPr>
          <w:rFonts w:ascii="Heiti SC Light" w:eastAsia="Heiti SC Light" w:hAnsi="黑体"/>
          <w:b/>
          <w:color w:val="000000" w:themeColor="text1"/>
          <w:sz w:val="16"/>
          <w:szCs w:val="15"/>
        </w:rPr>
        <w:t>联合资信</w:t>
      </w:r>
      <w:r w:rsidRPr="00110CAD">
        <w:rPr>
          <w:rFonts w:ascii="Heiti SC Light" w:eastAsia="Heiti SC Light" w:hAnsi="黑体" w:hint="eastAsia"/>
          <w:b/>
          <w:color w:val="000000" w:themeColor="text1"/>
          <w:sz w:val="16"/>
          <w:szCs w:val="15"/>
        </w:rPr>
        <w:t>评估</w:t>
      </w:r>
      <w:r w:rsidR="00451C74" w:rsidRPr="00110CAD">
        <w:rPr>
          <w:rFonts w:ascii="Heiti SC Light" w:eastAsia="Heiti SC Light" w:hAnsi="黑体" w:hint="eastAsia"/>
          <w:b/>
          <w:color w:val="000000" w:themeColor="text1"/>
          <w:sz w:val="16"/>
          <w:szCs w:val="15"/>
        </w:rPr>
        <w:t>股份</w:t>
      </w:r>
      <w:r w:rsidRPr="00110CAD">
        <w:rPr>
          <w:rFonts w:ascii="Heiti SC Light" w:eastAsia="Heiti SC Light" w:hAnsi="黑体" w:hint="eastAsia"/>
          <w:b/>
          <w:color w:val="000000" w:themeColor="text1"/>
          <w:sz w:val="16"/>
          <w:szCs w:val="15"/>
        </w:rPr>
        <w:t>有限</w:t>
      </w:r>
      <w:r w:rsidRPr="00110CAD">
        <w:rPr>
          <w:rFonts w:ascii="Heiti SC Light" w:eastAsia="Heiti SC Light" w:hAnsi="黑体"/>
          <w:b/>
          <w:color w:val="000000" w:themeColor="text1"/>
          <w:sz w:val="16"/>
          <w:szCs w:val="15"/>
        </w:rPr>
        <w:t>公司</w:t>
      </w:r>
    </w:p>
    <w:p w14:paraId="7E1D505E" w14:textId="77777777" w:rsidR="00CE2CED" w:rsidRPr="00110CAD" w:rsidRDefault="00CE2CED" w:rsidP="00100593">
      <w:pPr>
        <w:framePr w:w="3098" w:h="12869" w:hRule="exact" w:hSpace="284" w:wrap="around" w:vAnchor="page" w:hAnchor="page" w:x="789" w:y="2617"/>
        <w:widowControl w:val="0"/>
        <w:snapToGrid w:val="0"/>
        <w:spacing w:line="240" w:lineRule="auto"/>
        <w:ind w:firstLineChars="0" w:firstLine="0"/>
        <w:jc w:val="left"/>
        <w:rPr>
          <w:rFonts w:eastAsia="黑体" w:cs="Times New Roman"/>
          <w:color w:val="5262AD"/>
          <w:kern w:val="2"/>
          <w:sz w:val="15"/>
          <w:szCs w:val="15"/>
        </w:rPr>
      </w:pPr>
      <w:r w:rsidRPr="00110CAD">
        <w:rPr>
          <w:rFonts w:ascii="黑体" w:eastAsia="黑体" w:hAnsi="黑体"/>
          <w:color w:val="5262AD"/>
          <w:kern w:val="2"/>
          <w:sz w:val="15"/>
          <w:szCs w:val="15"/>
        </w:rPr>
        <w:t>电话</w:t>
      </w:r>
      <w:r w:rsidRPr="00110CAD">
        <w:rPr>
          <w:rFonts w:ascii="黑体" w:eastAsia="黑体" w:hAnsi="黑体" w:hint="eastAsia"/>
          <w:color w:val="5262AD"/>
          <w:kern w:val="2"/>
          <w:sz w:val="15"/>
          <w:szCs w:val="15"/>
        </w:rPr>
        <w:t>：</w:t>
      </w:r>
      <w:r w:rsidRPr="00110CAD">
        <w:rPr>
          <w:rFonts w:eastAsia="黑体" w:cs="Times New Roman"/>
          <w:color w:val="5262AD"/>
          <w:kern w:val="2"/>
          <w:sz w:val="15"/>
          <w:szCs w:val="15"/>
        </w:rPr>
        <w:t>010-85679696</w:t>
      </w:r>
    </w:p>
    <w:p w14:paraId="45A120CE" w14:textId="77777777" w:rsidR="00CE2CED" w:rsidRPr="00110CAD" w:rsidRDefault="00CE2CED" w:rsidP="00100593">
      <w:pPr>
        <w:framePr w:w="3098" w:h="12869" w:hRule="exact" w:hSpace="284" w:wrap="around" w:vAnchor="page" w:hAnchor="page" w:x="789" w:y="2617"/>
        <w:widowControl w:val="0"/>
        <w:snapToGrid w:val="0"/>
        <w:spacing w:line="240" w:lineRule="auto"/>
        <w:ind w:firstLineChars="0" w:firstLine="0"/>
        <w:jc w:val="left"/>
        <w:rPr>
          <w:rFonts w:ascii="黑体" w:eastAsia="黑体" w:hAnsi="黑体"/>
          <w:color w:val="5262AD"/>
          <w:kern w:val="2"/>
          <w:sz w:val="15"/>
          <w:szCs w:val="15"/>
        </w:rPr>
      </w:pPr>
      <w:r w:rsidRPr="00110CAD">
        <w:rPr>
          <w:rFonts w:eastAsia="黑体" w:cs="Times New Roman" w:hint="eastAsia"/>
          <w:color w:val="5262AD"/>
          <w:kern w:val="2"/>
          <w:sz w:val="15"/>
          <w:szCs w:val="15"/>
        </w:rPr>
        <w:t>传真：</w:t>
      </w:r>
      <w:r w:rsidRPr="00110CAD">
        <w:rPr>
          <w:rFonts w:eastAsia="黑体" w:cs="Times New Roman"/>
          <w:color w:val="5262AD"/>
          <w:kern w:val="2"/>
          <w:sz w:val="15"/>
          <w:szCs w:val="15"/>
        </w:rPr>
        <w:t>010-85679228</w:t>
      </w:r>
    </w:p>
    <w:p w14:paraId="51746603" w14:textId="77777777" w:rsidR="00CE2CED" w:rsidRPr="00110CAD" w:rsidRDefault="00CE2CED" w:rsidP="00100593">
      <w:pPr>
        <w:framePr w:w="3098" w:h="12869" w:hRule="exact" w:hSpace="284" w:wrap="around" w:vAnchor="page" w:hAnchor="page" w:x="789" w:y="2617"/>
        <w:widowControl w:val="0"/>
        <w:snapToGrid w:val="0"/>
        <w:spacing w:line="240" w:lineRule="auto"/>
        <w:ind w:firstLineChars="0" w:firstLine="0"/>
        <w:jc w:val="left"/>
        <w:rPr>
          <w:rFonts w:eastAsia="黑体" w:cs="Times New Roman"/>
          <w:color w:val="5262AD"/>
          <w:kern w:val="2"/>
          <w:sz w:val="15"/>
          <w:szCs w:val="15"/>
        </w:rPr>
      </w:pPr>
      <w:r w:rsidRPr="00110CAD">
        <w:rPr>
          <w:rFonts w:eastAsia="黑体" w:cs="Times New Roman"/>
          <w:color w:val="5262AD"/>
          <w:kern w:val="2"/>
          <w:sz w:val="15"/>
          <w:szCs w:val="15"/>
        </w:rPr>
        <w:t>地址：北京市朝阳区建国门外大街</w:t>
      </w:r>
      <w:r w:rsidRPr="00110CAD">
        <w:rPr>
          <w:rFonts w:eastAsia="黑体" w:cs="Times New Roman"/>
          <w:color w:val="5262AD"/>
          <w:kern w:val="2"/>
          <w:sz w:val="15"/>
          <w:szCs w:val="15"/>
        </w:rPr>
        <w:t>2</w:t>
      </w:r>
      <w:r w:rsidRPr="00110CAD">
        <w:rPr>
          <w:rFonts w:eastAsia="黑体" w:cs="Times New Roman"/>
          <w:color w:val="5262AD"/>
          <w:kern w:val="2"/>
          <w:sz w:val="15"/>
          <w:szCs w:val="15"/>
        </w:rPr>
        <w:t>号</w:t>
      </w:r>
    </w:p>
    <w:p w14:paraId="797A5F7F" w14:textId="77777777" w:rsidR="00CE2CED" w:rsidRPr="00110CAD" w:rsidRDefault="00CE2CED" w:rsidP="00100593">
      <w:pPr>
        <w:framePr w:w="3098" w:h="12869" w:hRule="exact" w:hSpace="284" w:wrap="around" w:vAnchor="page" w:hAnchor="page" w:x="789" w:y="2617"/>
        <w:widowControl w:val="0"/>
        <w:snapToGrid w:val="0"/>
        <w:spacing w:line="240" w:lineRule="auto"/>
        <w:ind w:firstLineChars="0" w:firstLine="0"/>
        <w:jc w:val="left"/>
        <w:rPr>
          <w:rFonts w:eastAsia="黑体" w:cs="Times New Roman"/>
          <w:color w:val="5262AD"/>
          <w:kern w:val="2"/>
          <w:sz w:val="15"/>
          <w:szCs w:val="15"/>
        </w:rPr>
      </w:pPr>
      <w:r w:rsidRPr="00110CAD">
        <w:rPr>
          <w:rFonts w:eastAsia="黑体" w:cs="Times New Roman"/>
          <w:color w:val="5262AD"/>
          <w:kern w:val="2"/>
          <w:sz w:val="15"/>
          <w:szCs w:val="15"/>
        </w:rPr>
        <w:t>PICC</w:t>
      </w:r>
      <w:r w:rsidRPr="00110CAD">
        <w:rPr>
          <w:rFonts w:eastAsia="黑体" w:cs="Times New Roman"/>
          <w:color w:val="5262AD"/>
          <w:kern w:val="2"/>
          <w:sz w:val="15"/>
          <w:szCs w:val="15"/>
        </w:rPr>
        <w:t>大厦</w:t>
      </w:r>
      <w:r w:rsidRPr="00110CAD">
        <w:rPr>
          <w:rFonts w:eastAsia="黑体" w:cs="Times New Roman"/>
          <w:color w:val="5262AD"/>
          <w:kern w:val="2"/>
          <w:sz w:val="15"/>
          <w:szCs w:val="15"/>
        </w:rPr>
        <w:t>17</w:t>
      </w:r>
      <w:r w:rsidRPr="00110CAD">
        <w:rPr>
          <w:rFonts w:eastAsia="黑体" w:cs="Times New Roman"/>
          <w:color w:val="5262AD"/>
          <w:kern w:val="2"/>
          <w:sz w:val="15"/>
          <w:szCs w:val="15"/>
        </w:rPr>
        <w:t>层</w:t>
      </w:r>
    </w:p>
    <w:p w14:paraId="66AE863E" w14:textId="77777777" w:rsidR="00CE2CED" w:rsidRPr="00110CAD" w:rsidRDefault="00CE2CED" w:rsidP="00100593">
      <w:pPr>
        <w:framePr w:w="3098" w:h="12869" w:hRule="exact" w:hSpace="284" w:wrap="around" w:vAnchor="page" w:hAnchor="page" w:x="789" w:y="2617"/>
        <w:widowControl w:val="0"/>
        <w:snapToGrid w:val="0"/>
        <w:spacing w:line="240" w:lineRule="auto"/>
        <w:ind w:firstLineChars="0" w:firstLine="0"/>
        <w:jc w:val="left"/>
        <w:rPr>
          <w:rFonts w:eastAsia="黑体" w:cs="Times New Roman"/>
          <w:color w:val="5262AD"/>
          <w:kern w:val="2"/>
          <w:sz w:val="15"/>
          <w:szCs w:val="15"/>
        </w:rPr>
      </w:pPr>
      <w:r w:rsidRPr="00110CAD">
        <w:rPr>
          <w:rFonts w:ascii="黑体" w:eastAsia="黑体" w:hAnsi="黑体" w:hint="eastAsia"/>
          <w:color w:val="5262AD"/>
          <w:kern w:val="2"/>
          <w:sz w:val="15"/>
          <w:szCs w:val="15"/>
        </w:rPr>
        <w:t>网址：</w:t>
      </w:r>
      <w:hyperlink r:id="rId11" w:history="1">
        <w:r w:rsidRPr="00110CAD">
          <w:rPr>
            <w:rStyle w:val="aa"/>
            <w:rFonts w:eastAsia="黑体" w:cs="Times New Roman"/>
            <w:color w:val="5262AD"/>
            <w:kern w:val="2"/>
            <w:sz w:val="15"/>
            <w:szCs w:val="15"/>
            <w:u w:val="none"/>
          </w:rPr>
          <w:t>www</w:t>
        </w:r>
        <w:r w:rsidRPr="00110CAD">
          <w:rPr>
            <w:rStyle w:val="aa"/>
            <w:rFonts w:eastAsia="黑体" w:cs="Times New Roman" w:hint="eastAsia"/>
            <w:color w:val="5262AD"/>
            <w:kern w:val="2"/>
            <w:sz w:val="15"/>
            <w:szCs w:val="15"/>
            <w:u w:val="none"/>
          </w:rPr>
          <w:t>.</w:t>
        </w:r>
        <w:r w:rsidRPr="00110CAD">
          <w:rPr>
            <w:rStyle w:val="aa"/>
            <w:rFonts w:eastAsia="黑体" w:cs="Times New Roman"/>
            <w:color w:val="5262AD"/>
            <w:kern w:val="2"/>
            <w:sz w:val="15"/>
            <w:szCs w:val="15"/>
            <w:u w:val="none"/>
          </w:rPr>
          <w:t>lhratings.com</w:t>
        </w:r>
      </w:hyperlink>
    </w:p>
    <w:p w14:paraId="5060E325" w14:textId="79667601" w:rsidR="00CE2CED" w:rsidRPr="00110CAD" w:rsidRDefault="00CE2CED" w:rsidP="00100593">
      <w:pPr>
        <w:framePr w:w="3098" w:h="12869" w:hRule="exact" w:hSpace="284" w:wrap="around" w:vAnchor="page" w:hAnchor="page" w:x="789" w:y="2617"/>
        <w:widowControl w:val="0"/>
        <w:snapToGrid w:val="0"/>
        <w:spacing w:line="240" w:lineRule="auto"/>
        <w:ind w:firstLineChars="0" w:firstLine="0"/>
        <w:jc w:val="left"/>
        <w:rPr>
          <w:color w:val="000000" w:themeColor="text1"/>
          <w:kern w:val="2"/>
          <w:sz w:val="15"/>
          <w:szCs w:val="15"/>
        </w:rPr>
      </w:pPr>
    </w:p>
    <w:p w14:paraId="74E74D9B" w14:textId="3BEA2B73" w:rsidR="000464B0" w:rsidRPr="00110CAD" w:rsidRDefault="000464B0" w:rsidP="00D30257">
      <w:pPr>
        <w:spacing w:afterLines="50" w:after="163"/>
        <w:ind w:firstLineChars="0" w:firstLine="0"/>
        <w:rPr>
          <w:rFonts w:cs="Times New Roman"/>
          <w:b/>
          <w:bCs/>
          <w:color w:val="auto"/>
          <w:szCs w:val="21"/>
        </w:rPr>
      </w:pPr>
      <w:bookmarkStart w:id="2" w:name="美联储发布半年度货币政策报告"/>
      <w:bookmarkEnd w:id="0"/>
      <w:r w:rsidRPr="00110CAD">
        <w:rPr>
          <w:rFonts w:ascii="宋体" w:hAnsi="宋体" w:cs="宋体" w:hint="eastAsia"/>
          <w:b/>
          <w:bCs/>
          <w:color w:val="FF0000"/>
          <w:sz w:val="28"/>
          <w:szCs w:val="24"/>
        </w:rPr>
        <w:t>政经聚焦</w:t>
      </w:r>
      <w:r w:rsidR="009238C7" w:rsidRPr="00110CAD">
        <w:rPr>
          <w:noProof/>
        </w:rPr>
        <mc:AlternateContent>
          <mc:Choice Requires="wps">
            <w:drawing>
              <wp:anchor distT="0" distB="0" distL="114300" distR="114300" simplePos="0" relativeHeight="251663872" behindDoc="0" locked="0" layoutInCell="1" allowOverlap="1" wp14:anchorId="415377CE" wp14:editId="2FA73006">
                <wp:simplePos x="0" y="0"/>
                <wp:positionH relativeFrom="page">
                  <wp:posOffset>-31750</wp:posOffset>
                </wp:positionH>
                <wp:positionV relativeFrom="paragraph">
                  <wp:posOffset>-891540</wp:posOffset>
                </wp:positionV>
                <wp:extent cx="7598410" cy="414020"/>
                <wp:effectExtent l="0" t="0" r="0" b="0"/>
                <wp:wrapNone/>
                <wp:docPr id="231" name="文本框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8410" cy="4140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E11C4C" w14:textId="2A7204C7" w:rsidR="00BE2552" w:rsidRPr="002D7F3E" w:rsidRDefault="00BE2552" w:rsidP="000464B0">
                            <w:pPr>
                              <w:spacing w:line="240" w:lineRule="auto"/>
                              <w:ind w:firstLineChars="0" w:firstLine="0"/>
                              <w:jc w:val="center"/>
                              <w:rPr>
                                <w:rFonts w:eastAsia="黑体" w:cs="Times New Roman"/>
                                <w:b/>
                                <w:color w:val="7F7F7F" w:themeColor="text1" w:themeTint="80"/>
                                <w:sz w:val="32"/>
                                <w:szCs w:val="24"/>
                              </w:rPr>
                            </w:pPr>
                            <w:r>
                              <w:rPr>
                                <w:rFonts w:eastAsia="黑体" w:cs="Times New Roman"/>
                                <w:b/>
                                <w:color w:val="7F7F7F" w:themeColor="text1" w:themeTint="80"/>
                                <w:sz w:val="32"/>
                                <w:szCs w:val="24"/>
                              </w:rPr>
                              <w:t>2020</w:t>
                            </w:r>
                            <w:r w:rsidRPr="002D7F3E">
                              <w:rPr>
                                <w:rFonts w:eastAsia="黑体" w:cs="Times New Roman"/>
                                <w:b/>
                                <w:color w:val="7F7F7F" w:themeColor="text1" w:themeTint="80"/>
                                <w:sz w:val="32"/>
                                <w:szCs w:val="24"/>
                              </w:rPr>
                              <w:t>年第</w:t>
                            </w:r>
                            <w:r>
                              <w:rPr>
                                <w:rFonts w:eastAsia="黑体" w:cs="Times New Roman" w:hint="eastAsia"/>
                                <w:b/>
                                <w:color w:val="7F7F7F" w:themeColor="text1" w:themeTint="80"/>
                                <w:sz w:val="32"/>
                                <w:szCs w:val="24"/>
                              </w:rPr>
                              <w:t>4</w:t>
                            </w:r>
                            <w:r>
                              <w:rPr>
                                <w:rFonts w:eastAsia="黑体" w:cs="Times New Roman"/>
                                <w:b/>
                                <w:color w:val="7F7F7F" w:themeColor="text1" w:themeTint="80"/>
                                <w:sz w:val="32"/>
                                <w:szCs w:val="24"/>
                              </w:rPr>
                              <w:t>5</w:t>
                            </w:r>
                            <w:r w:rsidRPr="002D7F3E">
                              <w:rPr>
                                <w:rFonts w:eastAsia="黑体" w:cs="Times New Roman"/>
                                <w:b/>
                                <w:color w:val="7F7F7F" w:themeColor="text1" w:themeTint="80"/>
                                <w:sz w:val="32"/>
                                <w:szCs w:val="24"/>
                              </w:rPr>
                              <w:t>期（</w:t>
                            </w:r>
                            <w:r>
                              <w:rPr>
                                <w:rFonts w:eastAsia="黑体" w:cs="Times New Roman"/>
                                <w:b/>
                                <w:color w:val="7F7F7F" w:themeColor="text1" w:themeTint="80"/>
                                <w:sz w:val="32"/>
                                <w:szCs w:val="24"/>
                              </w:rPr>
                              <w:t>2020.11.16~2020.11.22</w:t>
                            </w:r>
                            <w:r w:rsidRPr="002D7F3E">
                              <w:rPr>
                                <w:rFonts w:eastAsia="黑体" w:cs="Times New Roman"/>
                                <w:b/>
                                <w:color w:val="7F7F7F" w:themeColor="text1" w:themeTint="80"/>
                                <w:sz w:val="32"/>
                                <w:szCs w:val="24"/>
                              </w:rPr>
                              <w:t>）</w:t>
                            </w:r>
                          </w:p>
                          <w:p w14:paraId="4B0734C6" w14:textId="77777777" w:rsidR="00BE2552" w:rsidRPr="0007553B" w:rsidRDefault="00BE2552" w:rsidP="000464B0">
                            <w:pPr>
                              <w:ind w:firstLine="640"/>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15377CE" id="文本框 231" o:spid="_x0000_s1028" type="#_x0000_t202" style="position:absolute;left:0;text-align:left;margin-left:-2.5pt;margin-top:-70.2pt;width:598.3pt;height:32.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" filled="f" stroked="f">
                <v:path arrowok="t"/>
                <v:textbox>
                  <w:txbxContent>
                    <w:p w14:paraId="04E11C4C" w14:textId="2A7204C7" w:rsidR="00BE2552" w:rsidRPr="002D7F3E" w:rsidRDefault="00BE2552" w:rsidP="000464B0">
                      <w:pPr>
                        <w:spacing w:line="240" w:lineRule="auto"/>
                        <w:ind w:firstLineChars="0" w:firstLine="0"/>
                        <w:jc w:val="center"/>
                        <w:rPr>
                          <w:rFonts w:eastAsia="黑体" w:cs="Times New Roman"/>
                          <w:b/>
                          <w:color w:val="7F7F7F" w:themeColor="text1" w:themeTint="80"/>
                          <w:sz w:val="32"/>
                          <w:szCs w:val="24"/>
                        </w:rPr>
                      </w:pPr>
                      <w:r>
                        <w:rPr>
                          <w:rFonts w:eastAsia="黑体" w:cs="Times New Roman"/>
                          <w:b/>
                          <w:color w:val="7F7F7F" w:themeColor="text1" w:themeTint="80"/>
                          <w:sz w:val="32"/>
                          <w:szCs w:val="24"/>
                        </w:rPr>
                        <w:t>2020</w:t>
                      </w:r>
                      <w:r w:rsidRPr="002D7F3E">
                        <w:rPr>
                          <w:rFonts w:eastAsia="黑体" w:cs="Times New Roman"/>
                          <w:b/>
                          <w:color w:val="7F7F7F" w:themeColor="text1" w:themeTint="80"/>
                          <w:sz w:val="32"/>
                          <w:szCs w:val="24"/>
                        </w:rPr>
                        <w:t>年第</w:t>
                      </w:r>
                      <w:r>
                        <w:rPr>
                          <w:rFonts w:eastAsia="黑体" w:cs="Times New Roman" w:hint="eastAsia"/>
                          <w:b/>
                          <w:color w:val="7F7F7F" w:themeColor="text1" w:themeTint="80"/>
                          <w:sz w:val="32"/>
                          <w:szCs w:val="24"/>
                        </w:rPr>
                        <w:t>4</w:t>
                      </w:r>
                      <w:r>
                        <w:rPr>
                          <w:rFonts w:eastAsia="黑体" w:cs="Times New Roman"/>
                          <w:b/>
                          <w:color w:val="7F7F7F" w:themeColor="text1" w:themeTint="80"/>
                          <w:sz w:val="32"/>
                          <w:szCs w:val="24"/>
                        </w:rPr>
                        <w:t>5</w:t>
                      </w:r>
                      <w:r w:rsidRPr="002D7F3E">
                        <w:rPr>
                          <w:rFonts w:eastAsia="黑体" w:cs="Times New Roman"/>
                          <w:b/>
                          <w:color w:val="7F7F7F" w:themeColor="text1" w:themeTint="80"/>
                          <w:sz w:val="32"/>
                          <w:szCs w:val="24"/>
                        </w:rPr>
                        <w:t>期（</w:t>
                      </w:r>
                      <w:r>
                        <w:rPr>
                          <w:rFonts w:eastAsia="黑体" w:cs="Times New Roman"/>
                          <w:b/>
                          <w:color w:val="7F7F7F" w:themeColor="text1" w:themeTint="80"/>
                          <w:sz w:val="32"/>
                          <w:szCs w:val="24"/>
                        </w:rPr>
                        <w:t>2020.11.16~2020.11.22</w:t>
                      </w:r>
                      <w:r w:rsidRPr="002D7F3E">
                        <w:rPr>
                          <w:rFonts w:eastAsia="黑体" w:cs="Times New Roman"/>
                          <w:b/>
                          <w:color w:val="7F7F7F" w:themeColor="text1" w:themeTint="80"/>
                          <w:sz w:val="32"/>
                          <w:szCs w:val="24"/>
                        </w:rPr>
                        <w:t>）</w:t>
                      </w:r>
                    </w:p>
                    <w:p w14:paraId="4B0734C6" w14:textId="77777777" w:rsidR="00BE2552" w:rsidRPr="0007553B" w:rsidRDefault="00BE2552" w:rsidP="000464B0">
                      <w:pPr>
                        <w:ind w:firstLine="640"/>
                        <w:rPr>
                          <w:sz w:val="32"/>
                        </w:rPr>
                      </w:pPr>
                    </w:p>
                  </w:txbxContent>
                </v:textbox>
                <w10:wrap anchorx="page"/>
              </v:shape>
            </w:pict>
          </mc:Fallback>
        </mc:AlternateContent>
      </w:r>
    </w:p>
    <w:p w14:paraId="4A08C687" w14:textId="0318568A" w:rsidR="00617B87" w:rsidRPr="00110CAD" w:rsidRDefault="00A87115" w:rsidP="00617B87">
      <w:pPr>
        <w:spacing w:afterLines="50" w:after="163"/>
        <w:ind w:firstLineChars="0" w:firstLine="0"/>
        <w:rPr>
          <w:rFonts w:cs="Times New Roman"/>
          <w:b/>
          <w:bCs/>
          <w:color w:val="auto"/>
          <w:szCs w:val="21"/>
        </w:rPr>
      </w:pPr>
      <w:r w:rsidRPr="00297D31">
        <w:rPr>
          <w:rFonts w:cs="Times New Roman" w:hint="eastAsia"/>
          <w:b/>
          <w:bCs/>
          <w:color w:val="auto"/>
          <w:szCs w:val="21"/>
        </w:rPr>
        <w:t>美国</w:t>
      </w:r>
      <w:r w:rsidR="00495BE3">
        <w:rPr>
          <w:rFonts w:cs="Times New Roman" w:hint="eastAsia"/>
          <w:b/>
          <w:bCs/>
          <w:color w:val="auto"/>
          <w:szCs w:val="21"/>
        </w:rPr>
        <w:t>财政部拒绝延长美联储部分贷款计划，并要求归还</w:t>
      </w:r>
      <w:r w:rsidR="00495BE3">
        <w:rPr>
          <w:rFonts w:cs="Times New Roman" w:hint="eastAsia"/>
          <w:b/>
          <w:bCs/>
          <w:color w:val="auto"/>
          <w:szCs w:val="21"/>
        </w:rPr>
        <w:t>4</w:t>
      </w:r>
      <w:r w:rsidR="00FF7BCF">
        <w:rPr>
          <w:rFonts w:cs="Times New Roman"/>
          <w:b/>
          <w:bCs/>
          <w:color w:val="auto"/>
          <w:szCs w:val="21"/>
        </w:rPr>
        <w:t>,</w:t>
      </w:r>
      <w:r w:rsidR="00495BE3">
        <w:rPr>
          <w:rFonts w:cs="Times New Roman"/>
          <w:b/>
          <w:bCs/>
          <w:color w:val="auto"/>
          <w:szCs w:val="21"/>
        </w:rPr>
        <w:t>550</w:t>
      </w:r>
      <w:r w:rsidR="00495BE3">
        <w:rPr>
          <w:rFonts w:cs="Times New Roman"/>
          <w:b/>
          <w:bCs/>
          <w:color w:val="auto"/>
          <w:szCs w:val="21"/>
        </w:rPr>
        <w:t>亿美元闲置资金</w:t>
      </w:r>
    </w:p>
    <w:p w14:paraId="3CADE0E3" w14:textId="6E4FF94D" w:rsidR="00C966DC" w:rsidRPr="00FF7BCF" w:rsidRDefault="00F479CE" w:rsidP="00FF7BCF">
      <w:pPr>
        <w:spacing w:afterLines="50" w:after="163"/>
        <w:ind w:firstLine="420"/>
      </w:pPr>
      <w:r>
        <w:rPr>
          <w:rFonts w:hint="eastAsia"/>
        </w:rPr>
        <w:t>当地时间</w:t>
      </w:r>
      <w:r>
        <w:rPr>
          <w:rFonts w:hint="eastAsia"/>
        </w:rPr>
        <w:t>1</w:t>
      </w:r>
      <w:r>
        <w:t>1</w:t>
      </w:r>
      <w:r>
        <w:t>月</w:t>
      </w:r>
      <w:r>
        <w:rPr>
          <w:rFonts w:hint="eastAsia"/>
        </w:rPr>
        <w:t>1</w:t>
      </w:r>
      <w:r>
        <w:t>9</w:t>
      </w:r>
      <w:r>
        <w:rPr>
          <w:rFonts w:hint="eastAsia"/>
        </w:rPr>
        <w:t>日，美</w:t>
      </w:r>
      <w:r w:rsidRPr="00C966DC">
        <w:rPr>
          <w:rFonts w:hint="eastAsia"/>
        </w:rPr>
        <w:t>财政部部长姆努钦</w:t>
      </w:r>
      <w:r>
        <w:rPr>
          <w:rFonts w:hint="eastAsia"/>
        </w:rPr>
        <w:t>表示，</w:t>
      </w:r>
      <w:r w:rsidRPr="00C966DC">
        <w:rPr>
          <w:rFonts w:hint="eastAsia"/>
        </w:rPr>
        <w:t>财政部将拒绝延长美联储的部分贷款计划要求，这意味着美联储一系列由财政部支持的便利工具待</w:t>
      </w:r>
      <w:r w:rsidRPr="00C966DC">
        <w:rPr>
          <w:rFonts w:hint="eastAsia"/>
        </w:rPr>
        <w:t>12</w:t>
      </w:r>
      <w:r w:rsidRPr="00C966DC">
        <w:rPr>
          <w:rFonts w:hint="eastAsia"/>
        </w:rPr>
        <w:t>月</w:t>
      </w:r>
      <w:r w:rsidRPr="00C966DC">
        <w:rPr>
          <w:rFonts w:hint="eastAsia"/>
        </w:rPr>
        <w:t>31</w:t>
      </w:r>
      <w:r w:rsidRPr="00C966DC">
        <w:rPr>
          <w:rFonts w:hint="eastAsia"/>
        </w:rPr>
        <w:t>日授权到期后，支持多个救济项目的资金将不会续期；除此之外，姆努钦还催促美联储，希望其尽快归还</w:t>
      </w:r>
      <w:r w:rsidRPr="00C966DC">
        <w:rPr>
          <w:rFonts w:hint="eastAsia"/>
        </w:rPr>
        <w:t>4</w:t>
      </w:r>
      <w:r w:rsidR="006D14EE">
        <w:t>,</w:t>
      </w:r>
      <w:r w:rsidRPr="00C966DC">
        <w:rPr>
          <w:rFonts w:hint="eastAsia"/>
        </w:rPr>
        <w:t>550</w:t>
      </w:r>
      <w:r w:rsidRPr="00C966DC">
        <w:rPr>
          <w:rFonts w:hint="eastAsia"/>
        </w:rPr>
        <w:t>亿美元（约合人民币</w:t>
      </w:r>
      <w:r w:rsidRPr="00C966DC">
        <w:rPr>
          <w:rFonts w:hint="eastAsia"/>
        </w:rPr>
        <w:t>3</w:t>
      </w:r>
      <w:r w:rsidRPr="00C966DC">
        <w:rPr>
          <w:rFonts w:hint="eastAsia"/>
        </w:rPr>
        <w:t>万亿元）的闲置资金。</w:t>
      </w:r>
      <w:r>
        <w:rPr>
          <w:rFonts w:hint="eastAsia"/>
        </w:rPr>
        <w:t>次日，</w:t>
      </w:r>
      <w:r w:rsidRPr="00F479CE">
        <w:t>美联储表态称：按照法律规定，美国财政部的举措是合法的，因此美联储将按要求退还五项紧急贷款工具中未使用的资金。</w:t>
      </w:r>
    </w:p>
    <w:p w14:paraId="7A8D8DCF" w14:textId="09C3F597" w:rsidR="00675581" w:rsidRDefault="00A219AB" w:rsidP="0047481B">
      <w:pPr>
        <w:spacing w:afterLines="50" w:after="163"/>
        <w:ind w:firstLine="422"/>
        <w:rPr>
          <w:rFonts w:eastAsia="楷体" w:cs="Times New Roman"/>
          <w:color w:val="767171" w:themeColor="background2" w:themeShade="80"/>
          <w:szCs w:val="21"/>
        </w:rPr>
      </w:pPr>
      <w:r w:rsidRPr="00110CAD">
        <w:rPr>
          <w:rFonts w:eastAsia="楷体" w:cs="Times New Roman"/>
          <w:b/>
          <w:color w:val="767171" w:themeColor="background2" w:themeShade="80"/>
          <w:szCs w:val="21"/>
        </w:rPr>
        <w:t>联合点评：</w:t>
      </w:r>
      <w:r w:rsidR="009F7168" w:rsidRPr="009F7168">
        <w:rPr>
          <w:rFonts w:eastAsia="楷体" w:cs="Times New Roman"/>
          <w:color w:val="767171" w:themeColor="background2" w:themeShade="80"/>
          <w:szCs w:val="21"/>
        </w:rPr>
        <w:t>当前美国仍深陷疫情的泥沼中</w:t>
      </w:r>
      <w:r w:rsidR="009F7168" w:rsidRPr="009F7168">
        <w:rPr>
          <w:rFonts w:eastAsia="楷体" w:cs="Times New Roman" w:hint="eastAsia"/>
          <w:color w:val="767171" w:themeColor="background2" w:themeShade="80"/>
          <w:szCs w:val="21"/>
        </w:rPr>
        <w:t>，</w:t>
      </w:r>
      <w:r w:rsidR="00A5536D">
        <w:rPr>
          <w:rFonts w:eastAsia="楷体" w:cs="Times New Roman" w:hint="eastAsia"/>
          <w:color w:val="767171" w:themeColor="background2" w:themeShade="80"/>
          <w:szCs w:val="21"/>
        </w:rPr>
        <w:t>本周</w:t>
      </w:r>
      <w:r w:rsidR="00A861BF">
        <w:rPr>
          <w:rFonts w:eastAsia="楷体" w:cs="Times New Roman" w:hint="eastAsia"/>
          <w:color w:val="767171" w:themeColor="background2" w:themeShade="80"/>
          <w:szCs w:val="21"/>
        </w:rPr>
        <w:t>美国公布的初请失业金人数</w:t>
      </w:r>
      <w:r w:rsidR="00A5536D">
        <w:rPr>
          <w:rFonts w:eastAsia="楷体" w:cs="Times New Roman" w:hint="eastAsia"/>
          <w:color w:val="767171" w:themeColor="background2" w:themeShade="80"/>
          <w:szCs w:val="21"/>
        </w:rPr>
        <w:t>在</w:t>
      </w:r>
      <w:r w:rsidR="00A861BF">
        <w:rPr>
          <w:rFonts w:eastAsia="楷体" w:cs="Times New Roman" w:hint="eastAsia"/>
          <w:color w:val="767171" w:themeColor="background2" w:themeShade="80"/>
          <w:szCs w:val="21"/>
        </w:rPr>
        <w:t>连续数周持续下降后再度反弹，意味着</w:t>
      </w:r>
      <w:r w:rsidR="00524003">
        <w:rPr>
          <w:rFonts w:eastAsia="楷体" w:cs="Times New Roman" w:hint="eastAsia"/>
          <w:color w:val="767171" w:themeColor="background2" w:themeShade="80"/>
          <w:szCs w:val="21"/>
        </w:rPr>
        <w:t>当前美国</w:t>
      </w:r>
      <w:r w:rsidR="009F7168">
        <w:rPr>
          <w:rFonts w:eastAsia="楷体" w:cs="Times New Roman" w:hint="eastAsia"/>
          <w:color w:val="767171" w:themeColor="background2" w:themeShade="80"/>
          <w:szCs w:val="21"/>
        </w:rPr>
        <w:t>的经济复苏态势可能再度</w:t>
      </w:r>
      <w:r w:rsidR="001A2D37">
        <w:rPr>
          <w:rFonts w:eastAsia="楷体" w:cs="Times New Roman" w:hint="eastAsia"/>
          <w:color w:val="767171" w:themeColor="background2" w:themeShade="80"/>
          <w:szCs w:val="21"/>
        </w:rPr>
        <w:t>转差，经济复苏前景仍然面临较大不确定性。同时美国</w:t>
      </w:r>
      <w:r w:rsidR="00524003">
        <w:rPr>
          <w:rFonts w:eastAsia="楷体" w:cs="Times New Roman" w:hint="eastAsia"/>
          <w:color w:val="767171" w:themeColor="background2" w:themeShade="80"/>
          <w:szCs w:val="21"/>
        </w:rPr>
        <w:t>两党尚未就财政刺激计划达成一致，</w:t>
      </w:r>
      <w:r w:rsidR="001A2D37">
        <w:rPr>
          <w:rFonts w:eastAsia="楷体" w:cs="Times New Roman" w:hint="eastAsia"/>
          <w:color w:val="767171" w:themeColor="background2" w:themeShade="80"/>
          <w:szCs w:val="21"/>
        </w:rPr>
        <w:t>在此背景下，</w:t>
      </w:r>
      <w:r w:rsidR="00524003">
        <w:rPr>
          <w:rFonts w:eastAsia="楷体" w:cs="Times New Roman" w:hint="eastAsia"/>
          <w:color w:val="767171" w:themeColor="background2" w:themeShade="80"/>
          <w:szCs w:val="21"/>
        </w:rPr>
        <w:t>代表</w:t>
      </w:r>
      <w:r w:rsidR="00D12487">
        <w:rPr>
          <w:rFonts w:eastAsia="楷体" w:cs="Times New Roman" w:hint="eastAsia"/>
          <w:color w:val="767171" w:themeColor="background2" w:themeShade="80"/>
          <w:szCs w:val="21"/>
        </w:rPr>
        <w:t>美国</w:t>
      </w:r>
      <w:r w:rsidR="00524003">
        <w:rPr>
          <w:rFonts w:eastAsia="楷体" w:cs="Times New Roman" w:hint="eastAsia"/>
          <w:color w:val="767171" w:themeColor="background2" w:themeShade="80"/>
          <w:szCs w:val="21"/>
        </w:rPr>
        <w:t>财政政策和货币政策</w:t>
      </w:r>
      <w:r w:rsidR="00D12487">
        <w:rPr>
          <w:rFonts w:eastAsia="楷体" w:cs="Times New Roman" w:hint="eastAsia"/>
          <w:color w:val="767171" w:themeColor="background2" w:themeShade="80"/>
          <w:szCs w:val="21"/>
        </w:rPr>
        <w:t>方向</w:t>
      </w:r>
      <w:r w:rsidR="00524003">
        <w:rPr>
          <w:rFonts w:eastAsia="楷体" w:cs="Times New Roman" w:hint="eastAsia"/>
          <w:color w:val="767171" w:themeColor="background2" w:themeShade="80"/>
          <w:szCs w:val="21"/>
        </w:rPr>
        <w:t>的财政部和美联储</w:t>
      </w:r>
      <w:r w:rsidR="00A861BF">
        <w:rPr>
          <w:rFonts w:eastAsia="楷体" w:cs="Times New Roman" w:hint="eastAsia"/>
          <w:color w:val="767171" w:themeColor="background2" w:themeShade="80"/>
          <w:szCs w:val="21"/>
        </w:rPr>
        <w:t>在行动</w:t>
      </w:r>
      <w:r w:rsidR="006B05CD">
        <w:rPr>
          <w:rFonts w:eastAsia="楷体" w:cs="Times New Roman" w:hint="eastAsia"/>
          <w:color w:val="767171" w:themeColor="background2" w:themeShade="80"/>
          <w:szCs w:val="21"/>
        </w:rPr>
        <w:t>和对</w:t>
      </w:r>
      <w:r w:rsidR="00B43B22">
        <w:rPr>
          <w:rFonts w:eastAsia="楷体" w:cs="Times New Roman" w:hint="eastAsia"/>
          <w:color w:val="767171" w:themeColor="background2" w:themeShade="80"/>
          <w:szCs w:val="21"/>
        </w:rPr>
        <w:t>未来</w:t>
      </w:r>
      <w:r w:rsidR="006B05CD">
        <w:rPr>
          <w:rFonts w:eastAsia="楷体" w:cs="Times New Roman" w:hint="eastAsia"/>
          <w:color w:val="767171" w:themeColor="background2" w:themeShade="80"/>
          <w:szCs w:val="21"/>
        </w:rPr>
        <w:t>经济展望</w:t>
      </w:r>
      <w:r w:rsidR="00A861BF">
        <w:rPr>
          <w:rFonts w:eastAsia="楷体" w:cs="Times New Roman" w:hint="eastAsia"/>
          <w:color w:val="767171" w:themeColor="background2" w:themeShade="80"/>
          <w:szCs w:val="21"/>
        </w:rPr>
        <w:t>上出现分歧</w:t>
      </w:r>
      <w:r w:rsidR="00D12487">
        <w:rPr>
          <w:rFonts w:eastAsia="楷体" w:cs="Times New Roman" w:hint="eastAsia"/>
          <w:color w:val="767171" w:themeColor="background2" w:themeShade="80"/>
          <w:szCs w:val="21"/>
        </w:rPr>
        <w:t>，</w:t>
      </w:r>
      <w:r w:rsidR="006B05CD">
        <w:rPr>
          <w:rFonts w:eastAsia="楷体" w:cs="Times New Roman" w:hint="eastAsia"/>
          <w:color w:val="767171" w:themeColor="background2" w:themeShade="80"/>
          <w:szCs w:val="21"/>
        </w:rPr>
        <w:t>相关刺激计划的中止</w:t>
      </w:r>
      <w:r w:rsidR="00B43B22">
        <w:rPr>
          <w:rFonts w:eastAsia="楷体" w:cs="Times New Roman" w:hint="eastAsia"/>
          <w:color w:val="767171" w:themeColor="background2" w:themeShade="80"/>
          <w:szCs w:val="21"/>
        </w:rPr>
        <w:t>将致使</w:t>
      </w:r>
      <w:r w:rsidR="006B05CD">
        <w:rPr>
          <w:rFonts w:eastAsia="楷体" w:cs="Times New Roman" w:hint="eastAsia"/>
          <w:color w:val="767171" w:themeColor="background2" w:themeShade="80"/>
          <w:szCs w:val="21"/>
        </w:rPr>
        <w:t>众多</w:t>
      </w:r>
      <w:r w:rsidR="00D74323">
        <w:rPr>
          <w:rFonts w:eastAsia="楷体" w:cs="Times New Roman" w:hint="eastAsia"/>
          <w:color w:val="767171" w:themeColor="background2" w:themeShade="80"/>
          <w:szCs w:val="21"/>
        </w:rPr>
        <w:t>中小企业或因资金缺失而面临倒闭和破产，</w:t>
      </w:r>
      <w:r w:rsidR="006B05CD">
        <w:rPr>
          <w:rFonts w:eastAsia="楷体" w:cs="Times New Roman" w:hint="eastAsia"/>
          <w:color w:val="767171" w:themeColor="background2" w:themeShade="80"/>
          <w:szCs w:val="21"/>
        </w:rPr>
        <w:t>美</w:t>
      </w:r>
      <w:r w:rsidR="005B7CB5">
        <w:rPr>
          <w:rFonts w:eastAsia="楷体" w:cs="Times New Roman" w:hint="eastAsia"/>
          <w:color w:val="767171" w:themeColor="background2" w:themeShade="80"/>
          <w:szCs w:val="21"/>
        </w:rPr>
        <w:t>国</w:t>
      </w:r>
      <w:r w:rsidR="00D74323">
        <w:rPr>
          <w:rFonts w:eastAsia="楷体" w:cs="Times New Roman" w:hint="eastAsia"/>
          <w:color w:val="767171" w:themeColor="background2" w:themeShade="80"/>
          <w:szCs w:val="21"/>
        </w:rPr>
        <w:t>经济前景再度蒙尘；另一方面也将加大了市场对于美联储</w:t>
      </w:r>
      <w:r w:rsidR="00D74323">
        <w:rPr>
          <w:rFonts w:eastAsia="楷体" w:cs="Times New Roman" w:hint="eastAsia"/>
          <w:color w:val="767171" w:themeColor="background2" w:themeShade="80"/>
          <w:szCs w:val="21"/>
        </w:rPr>
        <w:t>1</w:t>
      </w:r>
      <w:r w:rsidR="00D74323">
        <w:rPr>
          <w:rFonts w:eastAsia="楷体" w:cs="Times New Roman"/>
          <w:color w:val="767171" w:themeColor="background2" w:themeShade="80"/>
          <w:szCs w:val="21"/>
        </w:rPr>
        <w:t>2</w:t>
      </w:r>
      <w:r w:rsidR="00D74323">
        <w:rPr>
          <w:rFonts w:eastAsia="楷体" w:cs="Times New Roman"/>
          <w:color w:val="767171" w:themeColor="background2" w:themeShade="80"/>
          <w:szCs w:val="21"/>
        </w:rPr>
        <w:t>月份加大货币行动的预期</w:t>
      </w:r>
      <w:r w:rsidR="00D74323">
        <w:rPr>
          <w:rFonts w:eastAsia="楷体" w:cs="Times New Roman" w:hint="eastAsia"/>
          <w:color w:val="767171" w:themeColor="background2" w:themeShade="80"/>
          <w:szCs w:val="21"/>
        </w:rPr>
        <w:t>。</w:t>
      </w:r>
    </w:p>
    <w:p w14:paraId="4B81B815" w14:textId="0BC3A6C2" w:rsidR="00035C79" w:rsidRPr="00110CAD" w:rsidRDefault="00035C79" w:rsidP="00035C79">
      <w:pPr>
        <w:spacing w:afterLines="50" w:after="163"/>
        <w:ind w:firstLineChars="0" w:firstLine="0"/>
        <w:rPr>
          <w:rFonts w:cs="Times New Roman"/>
          <w:b/>
          <w:bCs/>
          <w:color w:val="auto"/>
          <w:szCs w:val="21"/>
        </w:rPr>
      </w:pPr>
      <w:r>
        <w:rPr>
          <w:rFonts w:cs="Times New Roman" w:hint="eastAsia"/>
          <w:b/>
          <w:bCs/>
          <w:color w:val="auto"/>
          <w:szCs w:val="21"/>
        </w:rPr>
        <w:t>日本核心</w:t>
      </w:r>
      <w:r w:rsidRPr="000C26A5">
        <w:rPr>
          <w:rFonts w:cs="Times New Roman" w:hint="eastAsia"/>
          <w:b/>
          <w:bCs/>
          <w:color w:val="auto"/>
          <w:szCs w:val="21"/>
        </w:rPr>
        <w:t>C</w:t>
      </w:r>
      <w:r w:rsidRPr="000C26A5">
        <w:rPr>
          <w:rFonts w:cs="Times New Roman"/>
          <w:b/>
          <w:bCs/>
          <w:color w:val="auto"/>
          <w:szCs w:val="21"/>
        </w:rPr>
        <w:t>PI</w:t>
      </w:r>
      <w:r w:rsidR="00C05BFE">
        <w:rPr>
          <w:rFonts w:cs="Times New Roman"/>
          <w:b/>
          <w:bCs/>
          <w:color w:val="auto"/>
          <w:szCs w:val="21"/>
        </w:rPr>
        <w:t>连续</w:t>
      </w:r>
      <w:r w:rsidR="00C05BFE">
        <w:rPr>
          <w:rFonts w:cs="Times New Roman" w:hint="eastAsia"/>
          <w:b/>
          <w:bCs/>
          <w:color w:val="auto"/>
          <w:szCs w:val="21"/>
        </w:rPr>
        <w:t>3</w:t>
      </w:r>
      <w:r w:rsidR="00C05BFE">
        <w:rPr>
          <w:rFonts w:cs="Times New Roman" w:hint="eastAsia"/>
          <w:b/>
          <w:bCs/>
          <w:color w:val="auto"/>
          <w:szCs w:val="21"/>
        </w:rPr>
        <w:t>个月同比下降</w:t>
      </w:r>
    </w:p>
    <w:p w14:paraId="44F3BC7F" w14:textId="77777777" w:rsidR="00C05BFE" w:rsidRDefault="00035C79" w:rsidP="00035C79">
      <w:pPr>
        <w:spacing w:afterLines="50" w:after="163"/>
        <w:ind w:firstLine="420"/>
      </w:pPr>
      <w:r>
        <w:rPr>
          <w:rFonts w:hint="eastAsia"/>
        </w:rPr>
        <w:t>1</w:t>
      </w:r>
      <w:r>
        <w:t>1</w:t>
      </w:r>
      <w:r>
        <w:t>月</w:t>
      </w:r>
      <w:r w:rsidR="00C05BFE">
        <w:t>20</w:t>
      </w:r>
      <w:r>
        <w:rPr>
          <w:rFonts w:hint="eastAsia"/>
        </w:rPr>
        <w:t>日，</w:t>
      </w:r>
      <w:r w:rsidR="00C05BFE">
        <w:rPr>
          <w:rFonts w:hint="eastAsia"/>
        </w:rPr>
        <w:t>日本总务省发布数据显示，</w:t>
      </w:r>
      <w:r w:rsidR="00C05BFE">
        <w:rPr>
          <w:rFonts w:hint="eastAsia"/>
        </w:rPr>
        <w:t>1</w:t>
      </w:r>
      <w:r w:rsidR="00C05BFE">
        <w:t>0</w:t>
      </w:r>
      <w:r w:rsidR="00C05BFE">
        <w:t>月日本除生鲜食品外的核心</w:t>
      </w:r>
      <w:r w:rsidR="00C05BFE">
        <w:rPr>
          <w:rFonts w:hint="eastAsia"/>
        </w:rPr>
        <w:t>C</w:t>
      </w:r>
      <w:r w:rsidR="00C05BFE">
        <w:t>PI</w:t>
      </w:r>
      <w:r w:rsidR="00C05BFE">
        <w:t>经季节调整后为</w:t>
      </w:r>
      <w:r w:rsidR="00C05BFE">
        <w:rPr>
          <w:rFonts w:hint="eastAsia"/>
        </w:rPr>
        <w:t>1</w:t>
      </w:r>
      <w:r w:rsidR="00C05BFE">
        <w:t>01.3</w:t>
      </w:r>
      <w:r w:rsidR="00C05BFE">
        <w:rPr>
          <w:rFonts w:hint="eastAsia"/>
        </w:rPr>
        <w:t>，</w:t>
      </w:r>
      <w:r w:rsidR="00C05BFE">
        <w:t>同比下降</w:t>
      </w:r>
      <w:r w:rsidR="00C05BFE">
        <w:rPr>
          <w:rFonts w:hint="eastAsia"/>
        </w:rPr>
        <w:t>0</w:t>
      </w:r>
      <w:r w:rsidR="00C05BFE">
        <w:t>.7</w:t>
      </w:r>
      <w:r w:rsidR="00C05BFE">
        <w:rPr>
          <w:rFonts w:hint="eastAsia"/>
        </w:rPr>
        <w:t>%</w:t>
      </w:r>
      <w:r w:rsidR="00C05BFE">
        <w:rPr>
          <w:rFonts w:hint="eastAsia"/>
        </w:rPr>
        <w:t>，</w:t>
      </w:r>
      <w:r w:rsidR="00C05BFE">
        <w:t>已经连续</w:t>
      </w:r>
      <w:r w:rsidR="00C05BFE">
        <w:rPr>
          <w:rFonts w:hint="eastAsia"/>
        </w:rPr>
        <w:t>3</w:t>
      </w:r>
      <w:r w:rsidR="00C05BFE">
        <w:rPr>
          <w:rFonts w:hint="eastAsia"/>
        </w:rPr>
        <w:t>个月同比下降，为</w:t>
      </w:r>
      <w:r w:rsidR="00C05BFE">
        <w:rPr>
          <w:rFonts w:hint="eastAsia"/>
        </w:rPr>
        <w:t>9</w:t>
      </w:r>
      <w:r w:rsidR="00C05BFE">
        <w:rPr>
          <w:rFonts w:hint="eastAsia"/>
        </w:rPr>
        <w:t>年多以来最大降幅。</w:t>
      </w:r>
    </w:p>
    <w:p w14:paraId="2745D393" w14:textId="457D5067" w:rsidR="00035C79" w:rsidRDefault="00035C79" w:rsidP="00035C79">
      <w:pPr>
        <w:spacing w:afterLines="50" w:after="163"/>
        <w:ind w:firstLine="422"/>
        <w:rPr>
          <w:rFonts w:eastAsia="楷体" w:cs="Times New Roman"/>
          <w:color w:val="767171" w:themeColor="background2" w:themeShade="80"/>
          <w:szCs w:val="21"/>
        </w:rPr>
      </w:pPr>
      <w:r w:rsidRPr="00110CAD">
        <w:rPr>
          <w:rFonts w:eastAsia="楷体" w:cs="Times New Roman"/>
          <w:b/>
          <w:color w:val="767171" w:themeColor="background2" w:themeShade="80"/>
          <w:szCs w:val="21"/>
        </w:rPr>
        <w:t>联合点评：</w:t>
      </w:r>
      <w:r w:rsidR="009B0AF5">
        <w:rPr>
          <w:rFonts w:eastAsia="楷体" w:cs="Times New Roman" w:hint="eastAsia"/>
          <w:color w:val="767171" w:themeColor="background2" w:themeShade="80"/>
          <w:szCs w:val="21"/>
        </w:rPr>
        <w:t>日本</w:t>
      </w:r>
      <w:r w:rsidR="009B0AF5">
        <w:rPr>
          <w:rFonts w:eastAsia="楷体" w:cs="Times New Roman" w:hint="eastAsia"/>
          <w:color w:val="767171" w:themeColor="background2" w:themeShade="80"/>
          <w:szCs w:val="21"/>
        </w:rPr>
        <w:t>1</w:t>
      </w:r>
      <w:r w:rsidR="009B0AF5">
        <w:rPr>
          <w:rFonts w:eastAsia="楷体" w:cs="Times New Roman"/>
          <w:color w:val="767171" w:themeColor="background2" w:themeShade="80"/>
          <w:szCs w:val="21"/>
        </w:rPr>
        <w:t>0</w:t>
      </w:r>
      <w:r w:rsidR="009B0AF5">
        <w:rPr>
          <w:rFonts w:eastAsia="楷体" w:cs="Times New Roman"/>
          <w:color w:val="767171" w:themeColor="background2" w:themeShade="80"/>
          <w:szCs w:val="21"/>
        </w:rPr>
        <w:t>月核心</w:t>
      </w:r>
      <w:r w:rsidR="009B0AF5">
        <w:rPr>
          <w:rFonts w:eastAsia="楷体" w:cs="Times New Roman" w:hint="eastAsia"/>
          <w:color w:val="767171" w:themeColor="background2" w:themeShade="80"/>
          <w:szCs w:val="21"/>
        </w:rPr>
        <w:t>C</w:t>
      </w:r>
      <w:r w:rsidR="009B0AF5">
        <w:rPr>
          <w:rFonts w:eastAsia="楷体" w:cs="Times New Roman"/>
          <w:color w:val="767171" w:themeColor="background2" w:themeShade="80"/>
          <w:szCs w:val="21"/>
        </w:rPr>
        <w:t>PI</w:t>
      </w:r>
      <w:r w:rsidR="009B0AF5">
        <w:rPr>
          <w:rFonts w:eastAsia="楷体" w:cs="Times New Roman"/>
          <w:color w:val="767171" w:themeColor="background2" w:themeShade="80"/>
          <w:szCs w:val="21"/>
        </w:rPr>
        <w:t>下滑的主要原因包括政府</w:t>
      </w:r>
      <w:r w:rsidR="00476942">
        <w:rPr>
          <w:rFonts w:eastAsia="楷体" w:cs="Times New Roman"/>
          <w:color w:val="767171" w:themeColor="background2" w:themeShade="80"/>
          <w:szCs w:val="21"/>
        </w:rPr>
        <w:t>推出旅游促销政策下</w:t>
      </w:r>
      <w:r w:rsidR="009B0AF5">
        <w:rPr>
          <w:rFonts w:eastAsia="楷体" w:cs="Times New Roman" w:hint="eastAsia"/>
          <w:color w:val="767171" w:themeColor="background2" w:themeShade="80"/>
          <w:szCs w:val="21"/>
        </w:rPr>
        <w:t>旅游产品价格</w:t>
      </w:r>
      <w:r w:rsidR="00476942">
        <w:rPr>
          <w:rFonts w:eastAsia="楷体" w:cs="Times New Roman" w:hint="eastAsia"/>
          <w:color w:val="767171" w:themeColor="background2" w:themeShade="80"/>
          <w:szCs w:val="21"/>
        </w:rPr>
        <w:t>下跌更为明显，</w:t>
      </w:r>
      <w:r w:rsidR="009B0AF5">
        <w:rPr>
          <w:rFonts w:eastAsia="楷体" w:cs="Times New Roman" w:hint="eastAsia"/>
          <w:color w:val="767171" w:themeColor="background2" w:themeShade="80"/>
          <w:szCs w:val="21"/>
        </w:rPr>
        <w:t>能源价格下跌导致电价、汽油价格下跌</w:t>
      </w:r>
      <w:r w:rsidR="00476942">
        <w:rPr>
          <w:rFonts w:eastAsia="楷体" w:cs="Times New Roman" w:hint="eastAsia"/>
          <w:color w:val="767171" w:themeColor="background2" w:themeShade="80"/>
          <w:szCs w:val="21"/>
        </w:rPr>
        <w:t>，以及私立幼儿园等教育机构学杂费下降等。当前日本疫情</w:t>
      </w:r>
      <w:r w:rsidR="00BA709C">
        <w:rPr>
          <w:rFonts w:eastAsia="楷体" w:cs="Times New Roman" w:hint="eastAsia"/>
          <w:color w:val="767171" w:themeColor="background2" w:themeShade="80"/>
          <w:szCs w:val="21"/>
        </w:rPr>
        <w:t>新增确诊人数屡创新高，疫情形势不容乐观，受此影响，政府宣布暂停消费鼓励政策以遏制疫情，但</w:t>
      </w:r>
      <w:r w:rsidR="00EC4B0B">
        <w:rPr>
          <w:rFonts w:eastAsia="楷体" w:cs="Times New Roman" w:hint="eastAsia"/>
          <w:color w:val="767171" w:themeColor="background2" w:themeShade="80"/>
          <w:szCs w:val="21"/>
        </w:rPr>
        <w:t>暂时未给出实施时间和范围。</w:t>
      </w:r>
      <w:r w:rsidR="00F3555B">
        <w:rPr>
          <w:rFonts w:eastAsia="楷体" w:cs="Times New Roman" w:hint="eastAsia"/>
          <w:color w:val="767171" w:themeColor="background2" w:themeShade="80"/>
          <w:szCs w:val="21"/>
        </w:rPr>
        <w:t>民众普遍对于疫情仍处在谨慎态度，消费意愿不高，</w:t>
      </w:r>
      <w:r w:rsidR="00EC4B0B">
        <w:rPr>
          <w:rFonts w:eastAsia="楷体" w:cs="Times New Roman" w:hint="eastAsia"/>
          <w:color w:val="767171" w:themeColor="background2" w:themeShade="80"/>
          <w:szCs w:val="21"/>
        </w:rPr>
        <w:t>预计</w:t>
      </w:r>
      <w:r w:rsidR="00F3555B">
        <w:rPr>
          <w:rFonts w:eastAsia="楷体" w:cs="Times New Roman" w:hint="eastAsia"/>
          <w:color w:val="767171" w:themeColor="background2" w:themeShade="80"/>
          <w:szCs w:val="21"/>
        </w:rPr>
        <w:t>日本面临的通缩压力仍然较大。</w:t>
      </w:r>
    </w:p>
    <w:p w14:paraId="48439DDF" w14:textId="34C3B02A" w:rsidR="008D61B9" w:rsidRPr="00110CAD" w:rsidRDefault="00C05BFE" w:rsidP="008D61B9">
      <w:pPr>
        <w:spacing w:afterLines="50" w:after="163"/>
        <w:ind w:firstLineChars="0" w:firstLine="0"/>
        <w:rPr>
          <w:rFonts w:cs="Times New Roman"/>
          <w:b/>
          <w:bCs/>
          <w:color w:val="auto"/>
          <w:szCs w:val="21"/>
        </w:rPr>
      </w:pPr>
      <w:r>
        <w:rPr>
          <w:rFonts w:cs="Times New Roman" w:hint="eastAsia"/>
          <w:b/>
          <w:bCs/>
          <w:color w:val="auto"/>
          <w:szCs w:val="21"/>
        </w:rPr>
        <w:t>欧元区</w:t>
      </w:r>
      <w:r w:rsidR="002575E8" w:rsidRPr="000C26A5">
        <w:rPr>
          <w:rFonts w:cs="Times New Roman" w:hint="eastAsia"/>
          <w:b/>
          <w:bCs/>
          <w:color w:val="auto"/>
          <w:szCs w:val="21"/>
        </w:rPr>
        <w:t>C</w:t>
      </w:r>
      <w:r w:rsidR="002575E8" w:rsidRPr="000C26A5">
        <w:rPr>
          <w:rFonts w:cs="Times New Roman"/>
          <w:b/>
          <w:bCs/>
          <w:color w:val="auto"/>
          <w:szCs w:val="21"/>
        </w:rPr>
        <w:t>PI</w:t>
      </w:r>
      <w:r w:rsidR="001D7C0B" w:rsidRPr="000C26A5">
        <w:rPr>
          <w:rFonts w:cs="Times New Roman"/>
          <w:b/>
          <w:bCs/>
          <w:color w:val="auto"/>
          <w:szCs w:val="21"/>
        </w:rPr>
        <w:t>表现疲软</w:t>
      </w:r>
      <w:r w:rsidR="001D7C0B" w:rsidRPr="000C26A5">
        <w:rPr>
          <w:rFonts w:cs="Times New Roman" w:hint="eastAsia"/>
          <w:b/>
          <w:bCs/>
          <w:color w:val="auto"/>
          <w:szCs w:val="21"/>
        </w:rPr>
        <w:t>，</w:t>
      </w:r>
      <w:r w:rsidR="001D7C0B" w:rsidRPr="000C26A5">
        <w:rPr>
          <w:rFonts w:cs="Times New Roman" w:hint="eastAsia"/>
          <w:b/>
          <w:bCs/>
          <w:color w:val="auto"/>
          <w:szCs w:val="21"/>
        </w:rPr>
        <w:t>12</w:t>
      </w:r>
      <w:r w:rsidR="001D7C0B" w:rsidRPr="000C26A5">
        <w:rPr>
          <w:rFonts w:cs="Times New Roman" w:hint="eastAsia"/>
          <w:b/>
          <w:bCs/>
          <w:color w:val="auto"/>
          <w:szCs w:val="21"/>
        </w:rPr>
        <w:t>月欧央行宽松预期</w:t>
      </w:r>
      <w:r w:rsidR="006D14EE">
        <w:rPr>
          <w:rFonts w:cs="Times New Roman" w:hint="eastAsia"/>
          <w:b/>
          <w:bCs/>
          <w:color w:val="auto"/>
          <w:szCs w:val="21"/>
        </w:rPr>
        <w:t>进一步上升</w:t>
      </w:r>
      <w:r w:rsidR="002575E8">
        <w:rPr>
          <w:rFonts w:cs="Times New Roman"/>
          <w:b/>
          <w:bCs/>
          <w:color w:val="auto"/>
          <w:szCs w:val="21"/>
        </w:rPr>
        <w:tab/>
      </w:r>
    </w:p>
    <w:p w14:paraId="650C5292" w14:textId="50E18306" w:rsidR="008D61B9" w:rsidRPr="00110CAD" w:rsidRDefault="008D61B9" w:rsidP="008D61B9">
      <w:pPr>
        <w:spacing w:afterLines="50" w:after="163"/>
        <w:ind w:firstLine="420"/>
      </w:pPr>
      <w:r>
        <w:rPr>
          <w:rFonts w:hint="eastAsia"/>
        </w:rPr>
        <w:lastRenderedPageBreak/>
        <w:t>1</w:t>
      </w:r>
      <w:r>
        <w:t>1</w:t>
      </w:r>
      <w:r>
        <w:t>月</w:t>
      </w:r>
      <w:r w:rsidR="001D7C0B">
        <w:rPr>
          <w:rFonts w:hint="eastAsia"/>
        </w:rPr>
        <w:t>1</w:t>
      </w:r>
      <w:r w:rsidR="001D7C0B">
        <w:t>8</w:t>
      </w:r>
      <w:r>
        <w:rPr>
          <w:rFonts w:hint="eastAsia"/>
        </w:rPr>
        <w:t>日，</w:t>
      </w:r>
      <w:r w:rsidR="001D7C0B">
        <w:rPr>
          <w:rFonts w:hint="eastAsia"/>
        </w:rPr>
        <w:t>欧元区</w:t>
      </w:r>
      <w:r w:rsidR="001D7C0B">
        <w:rPr>
          <w:rFonts w:hint="eastAsia"/>
        </w:rPr>
        <w:t>1</w:t>
      </w:r>
      <w:r w:rsidR="001D7C0B">
        <w:t>0</w:t>
      </w:r>
      <w:r w:rsidR="001D7C0B">
        <w:t>月</w:t>
      </w:r>
      <w:r w:rsidR="001D7C0B">
        <w:t>CPI</w:t>
      </w:r>
      <w:r w:rsidR="001D7C0B">
        <w:t>数据公布</w:t>
      </w:r>
      <w:r w:rsidR="001D7C0B">
        <w:rPr>
          <w:rFonts w:hint="eastAsia"/>
        </w:rPr>
        <w:t>，</w:t>
      </w:r>
      <w:r w:rsidR="0049297F">
        <w:rPr>
          <w:rFonts w:hint="eastAsia"/>
        </w:rPr>
        <w:t>同比</w:t>
      </w:r>
      <w:r w:rsidR="000C1925">
        <w:rPr>
          <w:rFonts w:hint="eastAsia"/>
        </w:rPr>
        <w:t>录得</w:t>
      </w:r>
      <w:r w:rsidR="0049297F">
        <w:rPr>
          <w:rFonts w:hint="eastAsia"/>
        </w:rPr>
        <w:t>-</w:t>
      </w:r>
      <w:r w:rsidR="000C1925">
        <w:rPr>
          <w:rFonts w:hint="eastAsia"/>
        </w:rPr>
        <w:t>0</w:t>
      </w:r>
      <w:r w:rsidR="000C1925">
        <w:t>.3</w:t>
      </w:r>
      <w:r w:rsidR="000C1925">
        <w:rPr>
          <w:rFonts w:hint="eastAsia"/>
        </w:rPr>
        <w:t>%</w:t>
      </w:r>
      <w:r w:rsidR="000C1925">
        <w:rPr>
          <w:rFonts w:hint="eastAsia"/>
        </w:rPr>
        <w:t>，</w:t>
      </w:r>
      <w:r w:rsidR="000C1925">
        <w:t>环比录得</w:t>
      </w:r>
      <w:r w:rsidR="0049297F">
        <w:rPr>
          <w:rFonts w:hint="eastAsia"/>
        </w:rPr>
        <w:t>0</w:t>
      </w:r>
      <w:r w:rsidR="0049297F">
        <w:t>.1</w:t>
      </w:r>
      <w:r w:rsidR="0049297F">
        <w:rPr>
          <w:rFonts w:hint="eastAsia"/>
        </w:rPr>
        <w:t>%</w:t>
      </w:r>
      <w:r w:rsidR="0049297F">
        <w:rPr>
          <w:rFonts w:hint="eastAsia"/>
        </w:rPr>
        <w:t>，</w:t>
      </w:r>
      <w:r w:rsidR="0049297F">
        <w:t>基本符合市场预期</w:t>
      </w:r>
      <w:r w:rsidRPr="008D61B9">
        <w:rPr>
          <w:rFonts w:hint="eastAsia"/>
        </w:rPr>
        <w:t>。</w:t>
      </w:r>
    </w:p>
    <w:p w14:paraId="714DBC61" w14:textId="524A0968" w:rsidR="00090103" w:rsidRDefault="008D61B9" w:rsidP="004226C6">
      <w:pPr>
        <w:spacing w:afterLines="50" w:after="163"/>
        <w:ind w:firstLine="422"/>
        <w:rPr>
          <w:rFonts w:eastAsia="楷体" w:cs="Times New Roman"/>
          <w:color w:val="767171" w:themeColor="background2" w:themeShade="80"/>
          <w:szCs w:val="21"/>
        </w:rPr>
      </w:pPr>
      <w:r w:rsidRPr="00110CAD">
        <w:rPr>
          <w:rFonts w:eastAsia="楷体" w:cs="Times New Roman"/>
          <w:b/>
          <w:color w:val="767171" w:themeColor="background2" w:themeShade="80"/>
          <w:szCs w:val="21"/>
        </w:rPr>
        <w:t>联合点评：</w:t>
      </w:r>
      <w:r w:rsidR="0049297F">
        <w:rPr>
          <w:rFonts w:eastAsia="楷体" w:cs="Times New Roman" w:hint="eastAsia"/>
          <w:color w:val="767171" w:themeColor="background2" w:themeShade="80"/>
          <w:szCs w:val="21"/>
        </w:rPr>
        <w:t>当前欧洲面临二次疫情暴发</w:t>
      </w:r>
      <w:r w:rsidR="00F16AC2">
        <w:rPr>
          <w:rFonts w:eastAsia="楷体" w:cs="Times New Roman" w:hint="eastAsia"/>
          <w:color w:val="767171" w:themeColor="background2" w:themeShade="80"/>
          <w:szCs w:val="21"/>
        </w:rPr>
        <w:t>，各国均再次加大防疫隔离措施，经济活动被迫再度面临封锁，居民消费需求低迷，导致</w:t>
      </w:r>
      <w:r w:rsidR="0005316E">
        <w:rPr>
          <w:rFonts w:eastAsia="楷体" w:cs="Times New Roman" w:hint="eastAsia"/>
          <w:color w:val="767171" w:themeColor="background2" w:themeShade="80"/>
          <w:szCs w:val="21"/>
        </w:rPr>
        <w:t>1</w:t>
      </w:r>
      <w:r w:rsidR="0005316E">
        <w:rPr>
          <w:rFonts w:eastAsia="楷体" w:cs="Times New Roman"/>
          <w:color w:val="767171" w:themeColor="background2" w:themeShade="80"/>
          <w:szCs w:val="21"/>
        </w:rPr>
        <w:t>0</w:t>
      </w:r>
      <w:r w:rsidR="0005316E">
        <w:rPr>
          <w:rFonts w:eastAsia="楷体" w:cs="Times New Roman"/>
          <w:color w:val="767171" w:themeColor="background2" w:themeShade="80"/>
          <w:szCs w:val="21"/>
        </w:rPr>
        <w:t>月物价乏力</w:t>
      </w:r>
      <w:r w:rsidR="0005316E">
        <w:rPr>
          <w:rFonts w:eastAsia="楷体" w:cs="Times New Roman" w:hint="eastAsia"/>
          <w:color w:val="767171" w:themeColor="background2" w:themeShade="80"/>
          <w:szCs w:val="21"/>
        </w:rPr>
        <w:t>，</w:t>
      </w:r>
      <w:r w:rsidR="0005316E">
        <w:rPr>
          <w:rFonts w:eastAsia="楷体" w:cs="Times New Roman"/>
          <w:color w:val="767171" w:themeColor="background2" w:themeShade="80"/>
          <w:szCs w:val="21"/>
        </w:rPr>
        <w:t>远低于欧洲央行设定的</w:t>
      </w:r>
      <w:r w:rsidR="0005316E">
        <w:rPr>
          <w:rFonts w:eastAsia="楷体" w:cs="Times New Roman" w:hint="eastAsia"/>
          <w:color w:val="767171" w:themeColor="background2" w:themeShade="80"/>
          <w:szCs w:val="21"/>
        </w:rPr>
        <w:t>2%</w:t>
      </w:r>
      <w:r w:rsidR="0005316E">
        <w:rPr>
          <w:rFonts w:eastAsia="楷体" w:cs="Times New Roman" w:hint="eastAsia"/>
          <w:color w:val="767171" w:themeColor="background2" w:themeShade="80"/>
          <w:szCs w:val="21"/>
        </w:rPr>
        <w:t>的</w:t>
      </w:r>
      <w:r w:rsidR="006D14EE">
        <w:rPr>
          <w:rFonts w:eastAsia="楷体" w:cs="Times New Roman" w:hint="eastAsia"/>
          <w:color w:val="767171" w:themeColor="background2" w:themeShade="80"/>
          <w:szCs w:val="21"/>
        </w:rPr>
        <w:t>目标</w:t>
      </w:r>
      <w:r w:rsidR="0005316E">
        <w:rPr>
          <w:rFonts w:eastAsia="楷体" w:cs="Times New Roman" w:hint="eastAsia"/>
          <w:color w:val="767171" w:themeColor="background2" w:themeShade="80"/>
          <w:szCs w:val="21"/>
        </w:rPr>
        <w:t>。在此背景下，欧洲各国纷纷加大财政刺激力度，欧央行也继续推行</w:t>
      </w:r>
      <w:r w:rsidR="00090103" w:rsidRPr="00090103">
        <w:rPr>
          <w:rFonts w:eastAsia="楷体" w:cs="Times New Roman" w:hint="eastAsia"/>
          <w:color w:val="767171" w:themeColor="background2" w:themeShade="80"/>
          <w:szCs w:val="21"/>
        </w:rPr>
        <w:t>紧急抗疫购债方案</w:t>
      </w:r>
      <w:r w:rsidR="00090103" w:rsidRPr="00090103">
        <w:rPr>
          <w:rFonts w:eastAsia="楷体" w:cs="Times New Roman" w:hint="eastAsia"/>
          <w:color w:val="767171" w:themeColor="background2" w:themeShade="80"/>
          <w:szCs w:val="21"/>
        </w:rPr>
        <w:t>(PEPP)</w:t>
      </w:r>
      <w:r w:rsidR="00090103" w:rsidRPr="00090103">
        <w:rPr>
          <w:rFonts w:eastAsia="楷体" w:cs="Times New Roman" w:hint="eastAsia"/>
          <w:color w:val="767171" w:themeColor="background2" w:themeShade="80"/>
          <w:szCs w:val="21"/>
        </w:rPr>
        <w:t>和定向长期再融资操作</w:t>
      </w:r>
      <w:r w:rsidR="00090103" w:rsidRPr="00090103">
        <w:rPr>
          <w:rFonts w:eastAsia="楷体" w:cs="Times New Roman" w:hint="eastAsia"/>
          <w:color w:val="767171" w:themeColor="background2" w:themeShade="80"/>
          <w:szCs w:val="21"/>
        </w:rPr>
        <w:t>(TLTRO)</w:t>
      </w:r>
      <w:r w:rsidR="00090103">
        <w:rPr>
          <w:rFonts w:eastAsia="楷体" w:cs="Times New Roman" w:hint="eastAsia"/>
          <w:color w:val="767171" w:themeColor="background2" w:themeShade="80"/>
          <w:szCs w:val="21"/>
        </w:rPr>
        <w:t>，在一定程度上保证了信贷流动</w:t>
      </w:r>
      <w:r w:rsidR="000C26A5">
        <w:rPr>
          <w:rFonts w:eastAsia="楷体" w:cs="Times New Roman" w:hint="eastAsia"/>
          <w:color w:val="767171" w:themeColor="background2" w:themeShade="80"/>
          <w:szCs w:val="21"/>
        </w:rPr>
        <w:t>支持，</w:t>
      </w:r>
      <w:r w:rsidR="00090103">
        <w:rPr>
          <w:rFonts w:eastAsia="楷体" w:cs="Times New Roman" w:hint="eastAsia"/>
          <w:color w:val="767171" w:themeColor="background2" w:themeShade="80"/>
          <w:szCs w:val="21"/>
        </w:rPr>
        <w:t>并且欧央行行长表示疫苗接近问世的消息不会从根本</w:t>
      </w:r>
      <w:r w:rsidR="000C26A5">
        <w:rPr>
          <w:rFonts w:eastAsia="楷体" w:cs="Times New Roman" w:hint="eastAsia"/>
          <w:color w:val="767171" w:themeColor="background2" w:themeShade="80"/>
          <w:szCs w:val="21"/>
        </w:rPr>
        <w:t>上</w:t>
      </w:r>
      <w:r w:rsidR="00090103">
        <w:rPr>
          <w:rFonts w:eastAsia="楷体" w:cs="Times New Roman" w:hint="eastAsia"/>
          <w:color w:val="767171" w:themeColor="background2" w:themeShade="80"/>
          <w:szCs w:val="21"/>
        </w:rPr>
        <w:t>改动央行进一步增加刺激的方案，进一步加大了市场对于欧央行</w:t>
      </w:r>
      <w:r w:rsidR="00090103">
        <w:rPr>
          <w:rFonts w:eastAsia="楷体" w:cs="Times New Roman" w:hint="eastAsia"/>
          <w:color w:val="767171" w:themeColor="background2" w:themeShade="80"/>
          <w:szCs w:val="21"/>
        </w:rPr>
        <w:t>1</w:t>
      </w:r>
      <w:r w:rsidR="00090103">
        <w:rPr>
          <w:rFonts w:eastAsia="楷体" w:cs="Times New Roman"/>
          <w:color w:val="767171" w:themeColor="background2" w:themeShade="80"/>
          <w:szCs w:val="21"/>
        </w:rPr>
        <w:t>2</w:t>
      </w:r>
      <w:r w:rsidR="00090103">
        <w:rPr>
          <w:rFonts w:eastAsia="楷体" w:cs="Times New Roman"/>
          <w:color w:val="767171" w:themeColor="background2" w:themeShade="80"/>
          <w:szCs w:val="21"/>
        </w:rPr>
        <w:t>月继续维持宽松政策的预期</w:t>
      </w:r>
      <w:r w:rsidR="00090103">
        <w:rPr>
          <w:rFonts w:eastAsia="楷体" w:cs="Times New Roman" w:hint="eastAsia"/>
          <w:color w:val="767171" w:themeColor="background2" w:themeShade="80"/>
          <w:szCs w:val="21"/>
        </w:rPr>
        <w:t>。</w:t>
      </w:r>
      <w:r w:rsidR="000C26A5">
        <w:rPr>
          <w:rFonts w:eastAsia="楷体" w:cs="Times New Roman" w:hint="eastAsia"/>
          <w:color w:val="767171" w:themeColor="background2" w:themeShade="80"/>
          <w:szCs w:val="21"/>
        </w:rPr>
        <w:t>预计</w:t>
      </w:r>
      <w:r w:rsidR="000C26A5">
        <w:rPr>
          <w:rFonts w:eastAsia="楷体" w:cs="Times New Roman" w:hint="eastAsia"/>
          <w:color w:val="767171" w:themeColor="background2" w:themeShade="80"/>
          <w:szCs w:val="21"/>
        </w:rPr>
        <w:t>1</w:t>
      </w:r>
      <w:r w:rsidR="000C26A5">
        <w:rPr>
          <w:rFonts w:eastAsia="楷体" w:cs="Times New Roman"/>
          <w:color w:val="767171" w:themeColor="background2" w:themeShade="80"/>
          <w:szCs w:val="21"/>
        </w:rPr>
        <w:t>2</w:t>
      </w:r>
      <w:r w:rsidR="000C26A5">
        <w:rPr>
          <w:rFonts w:eastAsia="楷体" w:cs="Times New Roman"/>
          <w:color w:val="767171" w:themeColor="background2" w:themeShade="80"/>
          <w:szCs w:val="21"/>
        </w:rPr>
        <w:t>月欧央行利率会议大概率将继续维持宽松政策</w:t>
      </w:r>
      <w:r w:rsidR="000C26A5">
        <w:rPr>
          <w:rFonts w:eastAsia="楷体" w:cs="Times New Roman" w:hint="eastAsia"/>
          <w:color w:val="767171" w:themeColor="background2" w:themeShade="80"/>
          <w:szCs w:val="21"/>
        </w:rPr>
        <w:t>。</w:t>
      </w:r>
    </w:p>
    <w:p w14:paraId="101E0E63" w14:textId="33327C31" w:rsidR="000C1925" w:rsidRPr="00110CAD" w:rsidRDefault="000C26A5" w:rsidP="000C1925">
      <w:pPr>
        <w:spacing w:afterLines="50" w:after="163"/>
        <w:ind w:firstLineChars="0" w:firstLine="0"/>
        <w:rPr>
          <w:rFonts w:cs="Times New Roman"/>
          <w:b/>
          <w:bCs/>
          <w:color w:val="auto"/>
          <w:szCs w:val="21"/>
        </w:rPr>
      </w:pPr>
      <w:r w:rsidRPr="000C26A5">
        <w:rPr>
          <w:rFonts w:cs="Times New Roman" w:hint="eastAsia"/>
          <w:b/>
          <w:bCs/>
          <w:color w:val="auto"/>
          <w:szCs w:val="21"/>
        </w:rPr>
        <w:t>英国与加拿大</w:t>
      </w:r>
      <w:r w:rsidR="00BE2552">
        <w:rPr>
          <w:rFonts w:cs="Times New Roman" w:hint="eastAsia"/>
          <w:b/>
          <w:bCs/>
          <w:color w:val="auto"/>
          <w:szCs w:val="21"/>
        </w:rPr>
        <w:t>达成过渡</w:t>
      </w:r>
      <w:r w:rsidR="000C1925" w:rsidRPr="000C26A5">
        <w:rPr>
          <w:rFonts w:cs="Times New Roman" w:hint="eastAsia"/>
          <w:b/>
          <w:bCs/>
          <w:color w:val="auto"/>
          <w:szCs w:val="21"/>
        </w:rPr>
        <w:t>贸易协议</w:t>
      </w:r>
    </w:p>
    <w:p w14:paraId="6C1AAC07" w14:textId="691307E0" w:rsidR="000C1925" w:rsidRDefault="000C1925" w:rsidP="000C1925">
      <w:pPr>
        <w:spacing w:afterLines="50" w:after="163"/>
        <w:ind w:firstLine="420"/>
      </w:pPr>
      <w:r>
        <w:rPr>
          <w:rFonts w:hint="eastAsia"/>
        </w:rPr>
        <w:t>1</w:t>
      </w:r>
      <w:r>
        <w:t>1</w:t>
      </w:r>
      <w:r>
        <w:t>月</w:t>
      </w:r>
      <w:r>
        <w:rPr>
          <w:rFonts w:hint="eastAsia"/>
        </w:rPr>
        <w:t>2</w:t>
      </w:r>
      <w:r>
        <w:t>1</w:t>
      </w:r>
      <w:r w:rsidR="00BE2552">
        <w:rPr>
          <w:rFonts w:hint="eastAsia"/>
        </w:rPr>
        <w:t>日，英国和加拿大</w:t>
      </w:r>
      <w:r>
        <w:rPr>
          <w:rFonts w:hint="eastAsia"/>
        </w:rPr>
        <w:t>宣布，两国</w:t>
      </w:r>
      <w:r>
        <w:t>政府达成过渡贸易延续协议，并计划就一项新的全面自由贸易协定展开谈判。英国</w:t>
      </w:r>
      <w:r w:rsidRPr="009D498A">
        <w:rPr>
          <w:rFonts w:ascii="宋体" w:hAnsi="宋体"/>
        </w:rPr>
        <w:t>“</w:t>
      </w:r>
      <w:r>
        <w:t>脱欧</w:t>
      </w:r>
      <w:r w:rsidRPr="009D498A">
        <w:rPr>
          <w:rFonts w:ascii="宋体" w:hAnsi="宋体"/>
        </w:rPr>
        <w:t>”</w:t>
      </w:r>
      <w:r>
        <w:t>过渡期即将在今年底结束，加拿大与欧盟之间的全面经济贸易协定</w:t>
      </w:r>
      <w:r w:rsidRPr="009D498A">
        <w:rPr>
          <w:rFonts w:ascii="宋体" w:hAnsi="宋体"/>
        </w:rPr>
        <w:t>(</w:t>
      </w:r>
      <w:r>
        <w:t>CETA</w:t>
      </w:r>
      <w:r w:rsidRPr="009D498A">
        <w:rPr>
          <w:rFonts w:ascii="宋体" w:hAnsi="宋体"/>
        </w:rPr>
        <w:t>)</w:t>
      </w:r>
      <w:r w:rsidRPr="009D498A">
        <w:rPr>
          <w:rFonts w:ascii="宋体" w:hAnsi="宋体" w:hint="eastAsia"/>
        </w:rPr>
        <w:t>将</w:t>
      </w:r>
      <w:r>
        <w:t>自</w:t>
      </w:r>
      <w:r>
        <w:t>2021</w:t>
      </w:r>
      <w:r>
        <w:t>年元旦起不再适用于英国。加拿大全球事务部表示，这项新的过渡延续协议将允许双方继续享有</w:t>
      </w:r>
      <w:r>
        <w:t>CETA</w:t>
      </w:r>
      <w:r>
        <w:t>优惠待遇，包括对</w:t>
      </w:r>
      <w:r>
        <w:t>98%</w:t>
      </w:r>
      <w:r>
        <w:t>出口至英国的加拿大产品免除关税；同时，该协议可为两国企业、出口商和工人们带来稳定性和可预测性。这份将于</w:t>
      </w:r>
      <w:r>
        <w:t>2021</w:t>
      </w:r>
      <w:r>
        <w:t>年</w:t>
      </w:r>
      <w:r>
        <w:t>1</w:t>
      </w:r>
      <w:r>
        <w:t>月</w:t>
      </w:r>
      <w:r>
        <w:t>1</w:t>
      </w:r>
      <w:r>
        <w:t>日生效的过渡协议仍有待双方进行法律程序上的最后确认。在加拿大，需要议会予以批准。</w:t>
      </w:r>
    </w:p>
    <w:p w14:paraId="56466DFF" w14:textId="5F354D88" w:rsidR="000C1925" w:rsidRDefault="000C1925" w:rsidP="000C1925">
      <w:pPr>
        <w:spacing w:afterLines="50" w:after="163"/>
        <w:ind w:firstLine="422"/>
        <w:rPr>
          <w:rFonts w:eastAsia="楷体" w:cs="Times New Roman"/>
          <w:color w:val="767171" w:themeColor="background2" w:themeShade="80"/>
          <w:szCs w:val="21"/>
        </w:rPr>
      </w:pPr>
      <w:r w:rsidRPr="00110CAD">
        <w:rPr>
          <w:rFonts w:eastAsia="楷体" w:cs="Times New Roman"/>
          <w:b/>
          <w:color w:val="767171" w:themeColor="background2" w:themeShade="80"/>
          <w:szCs w:val="21"/>
        </w:rPr>
        <w:t>联合点评：</w:t>
      </w:r>
      <w:r>
        <w:rPr>
          <w:rFonts w:eastAsia="楷体" w:cs="Times New Roman" w:hint="eastAsia"/>
          <w:color w:val="767171" w:themeColor="background2" w:themeShade="80"/>
          <w:szCs w:val="21"/>
        </w:rPr>
        <w:t>英国脱欧过渡期将于年底结束，而当前英欧谈判因参会官员感染新冠而中断，同时双方仍然面对很大分歧，预计在过渡期结束前无法达成协议的风险仍然存在。在此背景下，英国加大与其他国家的贸易协议谈判进度，此前已经</w:t>
      </w:r>
      <w:r w:rsidR="006D14EE">
        <w:rPr>
          <w:rFonts w:eastAsia="楷体" w:cs="Times New Roman" w:hint="eastAsia"/>
          <w:color w:val="767171" w:themeColor="background2" w:themeShade="80"/>
          <w:szCs w:val="21"/>
        </w:rPr>
        <w:t>在</w:t>
      </w:r>
      <w:r>
        <w:rPr>
          <w:rFonts w:eastAsia="楷体" w:cs="Times New Roman" w:hint="eastAsia"/>
          <w:color w:val="767171" w:themeColor="background2" w:themeShade="80"/>
          <w:szCs w:val="21"/>
        </w:rPr>
        <w:t>9</w:t>
      </w:r>
      <w:r>
        <w:rPr>
          <w:rFonts w:eastAsia="楷体" w:cs="Times New Roman" w:hint="eastAsia"/>
          <w:color w:val="767171" w:themeColor="background2" w:themeShade="80"/>
          <w:szCs w:val="21"/>
        </w:rPr>
        <w:t>月与日本达成了贸易协议。加拿大是英国的重要贸易伙伴，</w:t>
      </w:r>
      <w:r>
        <w:rPr>
          <w:rFonts w:eastAsia="楷体" w:cs="Times New Roman" w:hint="eastAsia"/>
          <w:color w:val="767171" w:themeColor="background2" w:themeShade="80"/>
          <w:szCs w:val="21"/>
        </w:rPr>
        <w:t>2</w:t>
      </w:r>
      <w:r>
        <w:rPr>
          <w:rFonts w:eastAsia="楷体" w:cs="Times New Roman"/>
          <w:color w:val="767171" w:themeColor="background2" w:themeShade="80"/>
          <w:szCs w:val="21"/>
        </w:rPr>
        <w:t>019</w:t>
      </w:r>
      <w:r>
        <w:rPr>
          <w:rFonts w:eastAsia="楷体" w:cs="Times New Roman"/>
          <w:color w:val="767171" w:themeColor="background2" w:themeShade="80"/>
          <w:szCs w:val="21"/>
        </w:rPr>
        <w:t>年双边贸易总额达到</w:t>
      </w:r>
      <w:r>
        <w:rPr>
          <w:rFonts w:eastAsia="楷体" w:cs="Times New Roman" w:hint="eastAsia"/>
          <w:color w:val="767171" w:themeColor="background2" w:themeShade="80"/>
          <w:szCs w:val="21"/>
        </w:rPr>
        <w:t>2</w:t>
      </w:r>
      <w:r>
        <w:rPr>
          <w:rFonts w:eastAsia="楷体" w:cs="Times New Roman"/>
          <w:color w:val="767171" w:themeColor="background2" w:themeShade="80"/>
          <w:szCs w:val="21"/>
        </w:rPr>
        <w:t>90</w:t>
      </w:r>
      <w:r>
        <w:rPr>
          <w:rFonts w:eastAsia="楷体" w:cs="Times New Roman"/>
          <w:color w:val="767171" w:themeColor="background2" w:themeShade="80"/>
          <w:szCs w:val="21"/>
        </w:rPr>
        <w:t>亿加元</w:t>
      </w:r>
      <w:r>
        <w:rPr>
          <w:rFonts w:eastAsia="楷体" w:cs="Times New Roman" w:hint="eastAsia"/>
          <w:color w:val="767171" w:themeColor="background2" w:themeShade="80"/>
          <w:szCs w:val="21"/>
        </w:rPr>
        <w:t>。</w:t>
      </w:r>
      <w:r>
        <w:rPr>
          <w:rFonts w:eastAsia="楷体" w:cs="Times New Roman"/>
          <w:color w:val="767171" w:themeColor="background2" w:themeShade="80"/>
          <w:szCs w:val="21"/>
        </w:rPr>
        <w:t>此次协议的达成</w:t>
      </w:r>
      <w:r>
        <w:rPr>
          <w:rFonts w:eastAsia="楷体" w:cs="Times New Roman" w:hint="eastAsia"/>
          <w:color w:val="767171" w:themeColor="background2" w:themeShade="80"/>
          <w:szCs w:val="21"/>
        </w:rPr>
        <w:t>将为过渡期后英加两国贸易平稳过渡提供保障，符合两国的贸易利益，同时也是英国在面临硬脱欧风险下做出的积极努力。</w:t>
      </w:r>
    </w:p>
    <w:p w14:paraId="1F3051E2" w14:textId="24CDFE6B" w:rsidR="006C161B" w:rsidRPr="00F811C2" w:rsidRDefault="00596997" w:rsidP="006C161B">
      <w:pPr>
        <w:spacing w:afterLines="50" w:after="163"/>
        <w:ind w:firstLineChars="0" w:firstLine="0"/>
        <w:rPr>
          <w:rFonts w:cs="Times New Roman"/>
          <w:b/>
          <w:bCs/>
          <w:color w:val="auto"/>
          <w:szCs w:val="21"/>
        </w:rPr>
      </w:pPr>
      <w:r w:rsidRPr="00142EB8">
        <w:rPr>
          <w:rFonts w:cs="Times New Roman" w:hint="eastAsia"/>
          <w:b/>
          <w:bCs/>
          <w:color w:val="auto"/>
          <w:szCs w:val="21"/>
        </w:rPr>
        <w:t>通胀压力下土耳其央行逆势加息</w:t>
      </w:r>
    </w:p>
    <w:p w14:paraId="1BC20E8A" w14:textId="0F1A9608" w:rsidR="006C161B" w:rsidRDefault="00891AFD" w:rsidP="006C161B">
      <w:pPr>
        <w:spacing w:afterLines="50" w:after="163"/>
        <w:ind w:firstLine="420"/>
      </w:pPr>
      <w:r>
        <w:rPr>
          <w:rFonts w:hint="eastAsia"/>
        </w:rPr>
        <w:t>11</w:t>
      </w:r>
      <w:r>
        <w:rPr>
          <w:rFonts w:hint="eastAsia"/>
        </w:rPr>
        <w:t>月</w:t>
      </w:r>
      <w:r w:rsidR="00142EB8">
        <w:rPr>
          <w:rFonts w:hint="eastAsia"/>
        </w:rPr>
        <w:t>2</w:t>
      </w:r>
      <w:r>
        <w:rPr>
          <w:rFonts w:hint="eastAsia"/>
        </w:rPr>
        <w:t>0</w:t>
      </w:r>
      <w:r>
        <w:rPr>
          <w:rFonts w:hint="eastAsia"/>
        </w:rPr>
        <w:t>日，</w:t>
      </w:r>
      <w:r w:rsidR="00BC5BF4" w:rsidRPr="00AA785A">
        <w:rPr>
          <w:rFonts w:hint="eastAsia"/>
        </w:rPr>
        <w:t>土耳</w:t>
      </w:r>
      <w:r w:rsidR="00BC5BF4" w:rsidRPr="00BC5BF4">
        <w:rPr>
          <w:rFonts w:hint="eastAsia"/>
        </w:rPr>
        <w:t>其</w:t>
      </w:r>
      <w:r w:rsidR="00142EB8">
        <w:rPr>
          <w:rFonts w:hint="eastAsia"/>
        </w:rPr>
        <w:t>央行将关键利率大幅上调</w:t>
      </w:r>
      <w:r w:rsidR="00142EB8">
        <w:rPr>
          <w:rFonts w:hint="eastAsia"/>
        </w:rPr>
        <w:t>4</w:t>
      </w:r>
      <w:r w:rsidR="00142EB8">
        <w:t>75</w:t>
      </w:r>
      <w:r w:rsidR="00142EB8">
        <w:t>个</w:t>
      </w:r>
      <w:r w:rsidR="00142EB8">
        <w:rPr>
          <w:rFonts w:hint="eastAsia"/>
        </w:rPr>
        <w:t>B</w:t>
      </w:r>
      <w:r w:rsidR="00142EB8">
        <w:t>P</w:t>
      </w:r>
      <w:r w:rsidR="00142EB8">
        <w:rPr>
          <w:rFonts w:hint="eastAsia"/>
        </w:rPr>
        <w:t>至</w:t>
      </w:r>
      <w:r w:rsidR="00142EB8">
        <w:rPr>
          <w:rFonts w:hint="eastAsia"/>
        </w:rPr>
        <w:t>1</w:t>
      </w:r>
      <w:r w:rsidR="00142EB8">
        <w:t>5</w:t>
      </w:r>
      <w:r w:rsidR="00142EB8">
        <w:rPr>
          <w:rFonts w:hint="eastAsia"/>
        </w:rPr>
        <w:t>%</w:t>
      </w:r>
      <w:r w:rsidR="00142EB8">
        <w:rPr>
          <w:rFonts w:hint="eastAsia"/>
        </w:rPr>
        <w:t>，加息幅度为两年以来最大，符合市场预期。</w:t>
      </w:r>
      <w:r w:rsidR="00244BDC">
        <w:rPr>
          <w:rFonts w:hint="eastAsia"/>
        </w:rPr>
        <w:t>土耳其央行表示，“我们将考虑影响通胀的各种因素，果断地维持紧缩的货币政策，知道通胀永久性的下降。”“建立长期低通胀环境将通过降低国家风险溢价、逆转美元化趋势，从而对宏观经济和金融稳定产生积极影响。”</w:t>
      </w:r>
    </w:p>
    <w:p w14:paraId="5811EEE7" w14:textId="2B510B90" w:rsidR="00A41B57" w:rsidRPr="00B32720" w:rsidRDefault="006C161B" w:rsidP="00A41B57">
      <w:pPr>
        <w:spacing w:afterLines="50" w:after="163"/>
        <w:ind w:firstLine="422"/>
        <w:rPr>
          <w:rFonts w:eastAsia="楷体" w:cs="Times New Roman"/>
          <w:color w:val="767171" w:themeColor="background2" w:themeShade="80"/>
          <w:szCs w:val="21"/>
        </w:rPr>
      </w:pPr>
      <w:r w:rsidRPr="00110CAD">
        <w:rPr>
          <w:rFonts w:eastAsia="楷体" w:cs="Times New Roman"/>
          <w:b/>
          <w:color w:val="767171" w:themeColor="background2" w:themeShade="80"/>
          <w:szCs w:val="21"/>
        </w:rPr>
        <w:t>联合点评：</w:t>
      </w:r>
      <w:r w:rsidR="00B32720" w:rsidRPr="00B32720">
        <w:rPr>
          <w:rFonts w:eastAsia="楷体" w:cs="Times New Roman" w:hint="eastAsia"/>
          <w:color w:val="767171" w:themeColor="background2" w:themeShade="80"/>
          <w:szCs w:val="21"/>
        </w:rPr>
        <w:t>自实行总统制以来土央行独立性和货币政策有效性受到广泛质疑，低利率政策导向下里拉面临长期贬值压力</w:t>
      </w:r>
      <w:r w:rsidR="00B32720">
        <w:rPr>
          <w:rFonts w:eastAsia="楷体" w:cs="Times New Roman" w:hint="eastAsia"/>
          <w:color w:val="767171" w:themeColor="background2" w:themeShade="80"/>
          <w:szCs w:val="21"/>
        </w:rPr>
        <w:t>。</w:t>
      </w:r>
      <w:r w:rsidR="00B32720" w:rsidRPr="00B32720">
        <w:rPr>
          <w:rFonts w:eastAsia="楷体" w:cs="Times New Roman" w:hint="eastAsia"/>
          <w:color w:val="767171" w:themeColor="background2" w:themeShade="80"/>
          <w:szCs w:val="21"/>
        </w:rPr>
        <w:t>当前央行逆全球宽松重启加息一方面是高通胀局面下的货币</w:t>
      </w:r>
      <w:r w:rsidR="00B32720" w:rsidRPr="00B32720">
        <w:rPr>
          <w:rFonts w:eastAsia="楷体" w:cs="Times New Roman" w:hint="eastAsia"/>
          <w:color w:val="767171" w:themeColor="background2" w:themeShade="80"/>
          <w:szCs w:val="21"/>
        </w:rPr>
        <w:lastRenderedPageBreak/>
        <w:t>政策纠正，另一方面体现出经济压力下埃尔多安政府的局部妥协</w:t>
      </w:r>
      <w:r w:rsidR="00B32720">
        <w:rPr>
          <w:rFonts w:eastAsia="楷体" w:cs="Times New Roman" w:hint="eastAsia"/>
          <w:color w:val="767171" w:themeColor="background2" w:themeShade="80"/>
          <w:szCs w:val="21"/>
        </w:rPr>
        <w:t>。</w:t>
      </w:r>
      <w:r w:rsidR="00FA78DB">
        <w:rPr>
          <w:rFonts w:eastAsia="楷体" w:cs="Times New Roman" w:hint="eastAsia"/>
          <w:color w:val="767171" w:themeColor="background2" w:themeShade="80"/>
          <w:szCs w:val="21"/>
        </w:rPr>
        <w:t>土耳其经济自</w:t>
      </w:r>
      <w:r w:rsidR="00FA78DB">
        <w:rPr>
          <w:rFonts w:eastAsia="楷体" w:cs="Times New Roman" w:hint="eastAsia"/>
          <w:color w:val="767171" w:themeColor="background2" w:themeShade="80"/>
          <w:szCs w:val="21"/>
        </w:rPr>
        <w:t>2</w:t>
      </w:r>
      <w:r w:rsidR="00FA78DB">
        <w:rPr>
          <w:rFonts w:eastAsia="楷体" w:cs="Times New Roman"/>
          <w:color w:val="767171" w:themeColor="background2" w:themeShade="80"/>
          <w:szCs w:val="21"/>
        </w:rPr>
        <w:t>018</w:t>
      </w:r>
      <w:r w:rsidR="00FA78DB">
        <w:rPr>
          <w:rFonts w:eastAsia="楷体" w:cs="Times New Roman"/>
          <w:color w:val="767171" w:themeColor="background2" w:themeShade="80"/>
          <w:szCs w:val="21"/>
        </w:rPr>
        <w:t>年逐步放缓</w:t>
      </w:r>
      <w:r w:rsidR="00FA78DB">
        <w:rPr>
          <w:rFonts w:eastAsia="楷体" w:cs="Times New Roman" w:hint="eastAsia"/>
          <w:color w:val="767171" w:themeColor="background2" w:themeShade="80"/>
          <w:szCs w:val="21"/>
        </w:rPr>
        <w:t>，</w:t>
      </w:r>
      <w:r w:rsidR="00FA78DB">
        <w:rPr>
          <w:rFonts w:eastAsia="楷体" w:cs="Times New Roman"/>
          <w:color w:val="767171" w:themeColor="background2" w:themeShade="80"/>
          <w:szCs w:val="21"/>
        </w:rPr>
        <w:t>国内面临高通胀高失业双局面</w:t>
      </w:r>
      <w:r w:rsidR="00FA78DB">
        <w:rPr>
          <w:rFonts w:eastAsia="楷体" w:cs="Times New Roman" w:hint="eastAsia"/>
          <w:color w:val="767171" w:themeColor="background2" w:themeShade="80"/>
          <w:szCs w:val="21"/>
        </w:rPr>
        <w:t>，</w:t>
      </w:r>
      <w:r w:rsidR="00FA78DB">
        <w:rPr>
          <w:rFonts w:eastAsia="楷体" w:cs="Times New Roman"/>
          <w:color w:val="767171" w:themeColor="background2" w:themeShade="80"/>
          <w:szCs w:val="21"/>
        </w:rPr>
        <w:t>里拉</w:t>
      </w:r>
      <w:r w:rsidR="00A41B57">
        <w:rPr>
          <w:rFonts w:eastAsia="楷体" w:cs="Times New Roman"/>
          <w:color w:val="767171" w:themeColor="background2" w:themeShade="80"/>
          <w:szCs w:val="21"/>
        </w:rPr>
        <w:t>频频大幅贬值</w:t>
      </w:r>
      <w:r w:rsidR="00A41B57">
        <w:rPr>
          <w:rFonts w:eastAsia="楷体" w:cs="Times New Roman" w:hint="eastAsia"/>
          <w:color w:val="767171" w:themeColor="background2" w:themeShade="80"/>
          <w:szCs w:val="21"/>
        </w:rPr>
        <w:t>。</w:t>
      </w:r>
      <w:r w:rsidR="00A41B57">
        <w:rPr>
          <w:rFonts w:eastAsia="楷体" w:cs="Times New Roman"/>
          <w:color w:val="767171" w:themeColor="background2" w:themeShade="80"/>
          <w:szCs w:val="21"/>
        </w:rPr>
        <w:t>新冠疫情以来</w:t>
      </w:r>
      <w:r w:rsidR="00A41B57">
        <w:rPr>
          <w:rFonts w:eastAsia="楷体" w:cs="Times New Roman" w:hint="eastAsia"/>
          <w:color w:val="767171" w:themeColor="background2" w:themeShade="80"/>
          <w:szCs w:val="21"/>
        </w:rPr>
        <w:t>，</w:t>
      </w:r>
      <w:r w:rsidR="00A41B57">
        <w:rPr>
          <w:rFonts w:eastAsia="楷体" w:cs="Times New Roman"/>
          <w:color w:val="767171" w:themeColor="background2" w:themeShade="80"/>
          <w:szCs w:val="21"/>
        </w:rPr>
        <w:t>土耳其债务增速加快</w:t>
      </w:r>
      <w:r w:rsidR="00A41B57">
        <w:rPr>
          <w:rFonts w:eastAsia="楷体" w:cs="Times New Roman" w:hint="eastAsia"/>
          <w:color w:val="767171" w:themeColor="background2" w:themeShade="80"/>
          <w:szCs w:val="21"/>
        </w:rPr>
        <w:t>，</w:t>
      </w:r>
      <w:r w:rsidR="00A41B57">
        <w:rPr>
          <w:rFonts w:eastAsia="楷体" w:cs="Times New Roman"/>
          <w:color w:val="767171" w:themeColor="background2" w:themeShade="80"/>
          <w:szCs w:val="21"/>
        </w:rPr>
        <w:t>同时二次暴发下通胀压力再次爆发</w:t>
      </w:r>
      <w:r w:rsidR="006D14EE">
        <w:rPr>
          <w:rFonts w:eastAsia="楷体" w:cs="Times New Roman"/>
          <w:color w:val="767171" w:themeColor="background2" w:themeShade="80"/>
          <w:szCs w:val="21"/>
        </w:rPr>
        <w:t>。</w:t>
      </w:r>
      <w:r w:rsidR="0007384C">
        <w:rPr>
          <w:rFonts w:eastAsia="楷体" w:cs="Times New Roman" w:hint="eastAsia"/>
          <w:color w:val="767171" w:themeColor="background2" w:themeShade="80"/>
          <w:szCs w:val="21"/>
        </w:rPr>
        <w:t>另一方面土耳其国际摩擦不断，国际投资者信心下滑，</w:t>
      </w:r>
      <w:r w:rsidR="00A41B57">
        <w:rPr>
          <w:rFonts w:eastAsia="楷体" w:cs="Times New Roman"/>
          <w:color w:val="767171" w:themeColor="background2" w:themeShade="80"/>
          <w:szCs w:val="21"/>
        </w:rPr>
        <w:t>外资流入放缓</w:t>
      </w:r>
      <w:r w:rsidR="00A41B57">
        <w:rPr>
          <w:rFonts w:eastAsia="楷体" w:cs="Times New Roman" w:hint="eastAsia"/>
          <w:color w:val="767171" w:themeColor="background2" w:themeShade="80"/>
          <w:szCs w:val="21"/>
        </w:rPr>
        <w:t>，</w:t>
      </w:r>
      <w:r w:rsidR="00A41B57" w:rsidRPr="00B32720">
        <w:rPr>
          <w:rFonts w:eastAsia="楷体" w:cs="Times New Roman" w:hint="eastAsia"/>
          <w:color w:val="767171" w:themeColor="background2" w:themeShade="80"/>
          <w:szCs w:val="21"/>
        </w:rPr>
        <w:t>内外增长动力不足，经济前景难以对里拉形成有效支撑</w:t>
      </w:r>
      <w:r w:rsidR="00A41B57">
        <w:rPr>
          <w:rFonts w:eastAsia="楷体" w:cs="Times New Roman" w:hint="eastAsia"/>
          <w:color w:val="767171" w:themeColor="background2" w:themeShade="80"/>
          <w:szCs w:val="21"/>
        </w:rPr>
        <w:t>。</w:t>
      </w:r>
      <w:r w:rsidR="0007384C">
        <w:rPr>
          <w:rFonts w:eastAsia="楷体" w:cs="Times New Roman" w:hint="eastAsia"/>
          <w:color w:val="767171" w:themeColor="background2" w:themeShade="80"/>
          <w:szCs w:val="21"/>
        </w:rPr>
        <w:t>国内民众不满情绪升温，执政基础有所削弱，政治环境不确定性更加大了货币贬值压力。</w:t>
      </w:r>
      <w:r w:rsidR="000526F5">
        <w:rPr>
          <w:rFonts w:eastAsia="楷体" w:cs="Times New Roman" w:hint="eastAsia"/>
          <w:color w:val="767171" w:themeColor="background2" w:themeShade="80"/>
          <w:szCs w:val="21"/>
        </w:rPr>
        <w:t>综合来看，</w:t>
      </w:r>
      <w:r w:rsidR="000526F5" w:rsidRPr="000526F5">
        <w:rPr>
          <w:rFonts w:eastAsia="楷体" w:cs="Times New Roman" w:hint="eastAsia"/>
          <w:color w:val="767171" w:themeColor="background2" w:themeShade="80"/>
          <w:szCs w:val="21"/>
        </w:rPr>
        <w:t>尽管加息在短期内有助于提振里拉汇率表现，但受经济前景黯淡、外部脆弱性突出、政治环境不稳定等因素影响里拉前景难言明朗</w:t>
      </w:r>
      <w:r w:rsidR="000526F5">
        <w:rPr>
          <w:rFonts w:eastAsia="楷体" w:cs="Times New Roman" w:hint="eastAsia"/>
          <w:color w:val="767171" w:themeColor="background2" w:themeShade="80"/>
          <w:szCs w:val="21"/>
        </w:rPr>
        <w:t>。</w:t>
      </w:r>
    </w:p>
    <w:p w14:paraId="1B45B757" w14:textId="71D62D46" w:rsidR="002575E8" w:rsidRPr="00662402" w:rsidRDefault="002575E8" w:rsidP="004226C6">
      <w:pPr>
        <w:spacing w:afterLines="50" w:after="163"/>
        <w:ind w:firstLineChars="0" w:firstLine="0"/>
        <w:rPr>
          <w:rFonts w:cs="Times New Roman"/>
          <w:b/>
          <w:bCs/>
          <w:color w:val="auto"/>
          <w:szCs w:val="21"/>
        </w:rPr>
      </w:pPr>
      <w:r w:rsidRPr="00662402">
        <w:rPr>
          <w:rFonts w:cs="Times New Roman" w:hint="eastAsia"/>
          <w:b/>
          <w:bCs/>
          <w:color w:val="auto"/>
          <w:szCs w:val="21"/>
        </w:rPr>
        <w:t>印尼、菲律宾央行利率决议</w:t>
      </w:r>
      <w:r w:rsidR="000526F5" w:rsidRPr="00662402">
        <w:rPr>
          <w:rFonts w:cs="Times New Roman" w:hint="eastAsia"/>
          <w:b/>
          <w:bCs/>
          <w:color w:val="auto"/>
          <w:szCs w:val="21"/>
        </w:rPr>
        <w:t>均下调</w:t>
      </w:r>
      <w:r w:rsidR="00662402" w:rsidRPr="00662402">
        <w:rPr>
          <w:rFonts w:cs="Times New Roman" w:hint="eastAsia"/>
          <w:b/>
          <w:bCs/>
          <w:color w:val="auto"/>
          <w:szCs w:val="21"/>
        </w:rPr>
        <w:t>关键利率</w:t>
      </w:r>
    </w:p>
    <w:p w14:paraId="0260B48D" w14:textId="7EA606F1" w:rsidR="002575E8" w:rsidRDefault="00171A37" w:rsidP="00012A54">
      <w:pPr>
        <w:spacing w:afterLines="50" w:after="163"/>
        <w:ind w:firstLine="420"/>
      </w:pPr>
      <w:r w:rsidRPr="00012A54">
        <w:rPr>
          <w:rFonts w:hint="eastAsia"/>
        </w:rPr>
        <w:t>本周多个国家央行发表利率决议</w:t>
      </w:r>
      <w:r w:rsidR="00C96240">
        <w:rPr>
          <w:rFonts w:hint="eastAsia"/>
        </w:rPr>
        <w:t>。</w:t>
      </w:r>
      <w:r w:rsidRPr="00012A54">
        <w:rPr>
          <w:rFonts w:hint="eastAsia"/>
        </w:rPr>
        <w:t>其中</w:t>
      </w:r>
      <w:r w:rsidR="00012A54">
        <w:rPr>
          <w:rFonts w:hint="eastAsia"/>
        </w:rPr>
        <w:t>，</w:t>
      </w:r>
      <w:r w:rsidR="00524A58">
        <w:rPr>
          <w:rFonts w:hint="eastAsia"/>
        </w:rPr>
        <w:t>泰国央行、</w:t>
      </w:r>
      <w:r w:rsidRPr="00012A54">
        <w:rPr>
          <w:rFonts w:hint="eastAsia"/>
        </w:rPr>
        <w:t>南非央行、澳大利亚</w:t>
      </w:r>
      <w:r w:rsidR="00E7623A">
        <w:rPr>
          <w:rFonts w:hint="eastAsia"/>
        </w:rPr>
        <w:t>联储</w:t>
      </w:r>
      <w:r w:rsidRPr="00012A54">
        <w:rPr>
          <w:rFonts w:hint="eastAsia"/>
        </w:rPr>
        <w:t>均维持当前利率政策不变，符合市场预期；菲律宾央行将关键利率从</w:t>
      </w:r>
      <w:r w:rsidRPr="00012A54">
        <w:rPr>
          <w:rFonts w:hint="eastAsia"/>
        </w:rPr>
        <w:t>2</w:t>
      </w:r>
      <w:r w:rsidRPr="00012A54">
        <w:t>.25</w:t>
      </w:r>
      <w:r w:rsidRPr="00012A54">
        <w:rPr>
          <w:rFonts w:hint="eastAsia"/>
        </w:rPr>
        <w:t>%</w:t>
      </w:r>
      <w:r w:rsidRPr="00012A54">
        <w:rPr>
          <w:rFonts w:hint="eastAsia"/>
        </w:rPr>
        <w:t>下调</w:t>
      </w:r>
      <w:r w:rsidRPr="00012A54">
        <w:rPr>
          <w:rFonts w:hint="eastAsia"/>
        </w:rPr>
        <w:t>2</w:t>
      </w:r>
      <w:r w:rsidRPr="00012A54">
        <w:t>5</w:t>
      </w:r>
      <w:r w:rsidRPr="00012A54">
        <w:t>个</w:t>
      </w:r>
      <w:r w:rsidRPr="00012A54">
        <w:rPr>
          <w:rFonts w:hint="eastAsia"/>
        </w:rPr>
        <w:t>B</w:t>
      </w:r>
      <w:r w:rsidRPr="00012A54">
        <w:t>P</w:t>
      </w:r>
      <w:r w:rsidRPr="00012A54">
        <w:t>至</w:t>
      </w:r>
      <w:r w:rsidRPr="00012A54">
        <w:rPr>
          <w:rFonts w:hint="eastAsia"/>
        </w:rPr>
        <w:t>2</w:t>
      </w:r>
      <w:r w:rsidRPr="00012A54">
        <w:t>.00</w:t>
      </w:r>
      <w:r w:rsidRPr="00012A54">
        <w:rPr>
          <w:rFonts w:hint="eastAsia"/>
        </w:rPr>
        <w:t>%</w:t>
      </w:r>
      <w:r w:rsidR="00C96240">
        <w:rPr>
          <w:rFonts w:hint="eastAsia"/>
        </w:rPr>
        <w:t>，</w:t>
      </w:r>
      <w:r w:rsidR="00012A54" w:rsidRPr="00012A54">
        <w:t>印度尼西亚央行将</w:t>
      </w:r>
      <w:r w:rsidR="00012A54" w:rsidRPr="00012A54">
        <w:rPr>
          <w:rFonts w:hint="eastAsia"/>
        </w:rPr>
        <w:t>7</w:t>
      </w:r>
      <w:r w:rsidR="00012A54" w:rsidRPr="00012A54">
        <w:rPr>
          <w:rFonts w:hint="eastAsia"/>
        </w:rPr>
        <w:t>天回购利率从</w:t>
      </w:r>
      <w:r w:rsidR="00012A54" w:rsidRPr="00012A54">
        <w:rPr>
          <w:rFonts w:hint="eastAsia"/>
        </w:rPr>
        <w:t>4</w:t>
      </w:r>
      <w:r w:rsidR="00012A54" w:rsidRPr="00012A54">
        <w:t>.00</w:t>
      </w:r>
      <w:r w:rsidR="00012A54" w:rsidRPr="00012A54">
        <w:rPr>
          <w:rFonts w:hint="eastAsia"/>
        </w:rPr>
        <w:t>%</w:t>
      </w:r>
      <w:r w:rsidR="00012A54" w:rsidRPr="00012A54">
        <w:t>下调至</w:t>
      </w:r>
      <w:r w:rsidR="00012A54" w:rsidRPr="00012A54">
        <w:rPr>
          <w:rFonts w:hint="eastAsia"/>
        </w:rPr>
        <w:t>3.75%</w:t>
      </w:r>
      <w:r w:rsidR="00012A54" w:rsidRPr="00012A54">
        <w:rPr>
          <w:rFonts w:hint="eastAsia"/>
        </w:rPr>
        <w:t>，均打破市场保持利率不变的预期。</w:t>
      </w:r>
    </w:p>
    <w:p w14:paraId="4E681DEB" w14:textId="07E0F4CA" w:rsidR="003D1D2C" w:rsidRDefault="004226C6" w:rsidP="00BC5BF4">
      <w:pPr>
        <w:spacing w:afterLines="50" w:after="163"/>
        <w:ind w:firstLine="422"/>
        <w:rPr>
          <w:rFonts w:eastAsia="楷体" w:cs="Times New Roman"/>
          <w:color w:val="767171" w:themeColor="background2" w:themeShade="80"/>
          <w:szCs w:val="21"/>
        </w:rPr>
      </w:pPr>
      <w:r w:rsidRPr="00110CAD">
        <w:rPr>
          <w:rFonts w:eastAsia="楷体" w:cs="Times New Roman"/>
          <w:b/>
          <w:color w:val="767171" w:themeColor="background2" w:themeShade="80"/>
          <w:szCs w:val="21"/>
        </w:rPr>
        <w:t>联合点评：</w:t>
      </w:r>
      <w:r w:rsidR="00662402" w:rsidRPr="00662402">
        <w:rPr>
          <w:rFonts w:eastAsia="楷体" w:cs="Times New Roman" w:hint="eastAsia"/>
          <w:color w:val="767171" w:themeColor="background2" w:themeShade="80"/>
          <w:szCs w:val="21"/>
        </w:rPr>
        <w:t>当前</w:t>
      </w:r>
      <w:r w:rsidR="00662402">
        <w:rPr>
          <w:rFonts w:eastAsia="楷体" w:cs="Times New Roman" w:hint="eastAsia"/>
          <w:color w:val="767171" w:themeColor="background2" w:themeShade="80"/>
          <w:szCs w:val="21"/>
        </w:rPr>
        <w:t>全球</w:t>
      </w:r>
      <w:r>
        <w:rPr>
          <w:rFonts w:eastAsia="楷体" w:cs="Times New Roman" w:hint="eastAsia"/>
          <w:color w:val="767171" w:themeColor="background2" w:themeShade="80"/>
          <w:szCs w:val="21"/>
        </w:rPr>
        <w:t>新冠疫情</w:t>
      </w:r>
      <w:r w:rsidR="00662402">
        <w:rPr>
          <w:rFonts w:eastAsia="楷体" w:cs="Times New Roman" w:hint="eastAsia"/>
          <w:color w:val="767171" w:themeColor="background2" w:themeShade="80"/>
          <w:szCs w:val="21"/>
        </w:rPr>
        <w:t>尚未平息，疫苗无法短期内问世，</w:t>
      </w:r>
      <w:r w:rsidR="003D1D2C">
        <w:rPr>
          <w:rFonts w:eastAsia="楷体" w:cs="Times New Roman" w:hint="eastAsia"/>
          <w:color w:val="767171" w:themeColor="background2" w:themeShade="80"/>
          <w:szCs w:val="21"/>
        </w:rPr>
        <w:t>美联储维持宽松货币政策不变，以及美国可能继续加大财政刺激力度的背景下，</w:t>
      </w:r>
      <w:r w:rsidR="00D95E91">
        <w:rPr>
          <w:rFonts w:eastAsia="楷体" w:cs="Times New Roman" w:hint="eastAsia"/>
          <w:color w:val="767171" w:themeColor="background2" w:themeShade="80"/>
          <w:szCs w:val="21"/>
        </w:rPr>
        <w:t>基于美元和本国货币流动性考虑，</w:t>
      </w:r>
      <w:r w:rsidR="00662402">
        <w:rPr>
          <w:rFonts w:eastAsia="楷体" w:cs="Times New Roman" w:hint="eastAsia"/>
          <w:color w:val="767171" w:themeColor="background2" w:themeShade="80"/>
          <w:szCs w:val="21"/>
        </w:rPr>
        <w:t>全球各国央行</w:t>
      </w:r>
      <w:r w:rsidR="003D1D2C">
        <w:rPr>
          <w:rFonts w:eastAsia="楷体" w:cs="Times New Roman" w:hint="eastAsia"/>
          <w:color w:val="767171" w:themeColor="background2" w:themeShade="80"/>
          <w:szCs w:val="21"/>
        </w:rPr>
        <w:t>维持宽松利率环境的</w:t>
      </w:r>
      <w:r w:rsidR="00F45AA4">
        <w:rPr>
          <w:rFonts w:eastAsia="楷体" w:cs="Times New Roman" w:hint="eastAsia"/>
          <w:color w:val="767171" w:themeColor="background2" w:themeShade="80"/>
          <w:szCs w:val="21"/>
        </w:rPr>
        <w:t>基础理论不变，各国后疫情时代经济恢复力</w:t>
      </w:r>
      <w:r w:rsidR="00DC7CED">
        <w:rPr>
          <w:rFonts w:eastAsia="楷体" w:cs="Times New Roman" w:hint="eastAsia"/>
          <w:color w:val="767171" w:themeColor="background2" w:themeShade="80"/>
          <w:szCs w:val="21"/>
        </w:rPr>
        <w:t>是未来</w:t>
      </w:r>
      <w:r w:rsidR="00F45AA4">
        <w:rPr>
          <w:rFonts w:eastAsia="楷体" w:cs="Times New Roman" w:hint="eastAsia"/>
          <w:color w:val="767171" w:themeColor="background2" w:themeShade="80"/>
          <w:szCs w:val="21"/>
        </w:rPr>
        <w:t>各国央行利率政策</w:t>
      </w:r>
      <w:r w:rsidR="00DC7CED">
        <w:rPr>
          <w:rFonts w:eastAsia="楷体" w:cs="Times New Roman" w:hint="eastAsia"/>
          <w:color w:val="767171" w:themeColor="background2" w:themeShade="80"/>
          <w:szCs w:val="21"/>
        </w:rPr>
        <w:t>调整的主要驱动力</w:t>
      </w:r>
      <w:r w:rsidR="00F45AA4">
        <w:rPr>
          <w:rFonts w:eastAsia="楷体" w:cs="Times New Roman" w:hint="eastAsia"/>
          <w:color w:val="767171" w:themeColor="background2" w:themeShade="80"/>
          <w:szCs w:val="21"/>
        </w:rPr>
        <w:t>。</w:t>
      </w:r>
      <w:r w:rsidR="00507DEA">
        <w:rPr>
          <w:rFonts w:eastAsia="楷体" w:cs="Times New Roman" w:hint="eastAsia"/>
          <w:color w:val="767171" w:themeColor="background2" w:themeShade="80"/>
          <w:szCs w:val="21"/>
        </w:rPr>
        <w:t>得益于前一段时间政府的刺激政策，</w:t>
      </w:r>
      <w:r w:rsidR="008E778A">
        <w:rPr>
          <w:rFonts w:eastAsia="楷体" w:cs="Times New Roman" w:hint="eastAsia"/>
          <w:color w:val="767171" w:themeColor="background2" w:themeShade="80"/>
          <w:szCs w:val="21"/>
        </w:rPr>
        <w:t>泰国、澳大利亚</w:t>
      </w:r>
      <w:r w:rsidR="00507DEA">
        <w:rPr>
          <w:rFonts w:eastAsia="楷体" w:cs="Times New Roman" w:hint="eastAsia"/>
          <w:color w:val="767171" w:themeColor="background2" w:themeShade="80"/>
          <w:szCs w:val="21"/>
        </w:rPr>
        <w:t>和南非</w:t>
      </w:r>
      <w:r w:rsidR="00D35CF9">
        <w:rPr>
          <w:rFonts w:eastAsia="楷体" w:cs="Times New Roman" w:hint="eastAsia"/>
          <w:color w:val="767171" w:themeColor="background2" w:themeShade="80"/>
          <w:szCs w:val="21"/>
        </w:rPr>
        <w:t>近期经济前景略有改善，</w:t>
      </w:r>
      <w:r w:rsidR="00507DEA">
        <w:rPr>
          <w:rFonts w:eastAsia="楷体" w:cs="Times New Roman" w:hint="eastAsia"/>
          <w:color w:val="767171" w:themeColor="background2" w:themeShade="80"/>
          <w:szCs w:val="21"/>
        </w:rPr>
        <w:t>因此均维持了当前利率政策不变，但在未来</w:t>
      </w:r>
      <w:r w:rsidR="00E7623A">
        <w:rPr>
          <w:rFonts w:eastAsia="楷体" w:cs="Times New Roman" w:hint="eastAsia"/>
          <w:color w:val="767171" w:themeColor="background2" w:themeShade="80"/>
          <w:szCs w:val="21"/>
        </w:rPr>
        <w:t>预期</w:t>
      </w:r>
      <w:r w:rsidR="00507DEA">
        <w:rPr>
          <w:rFonts w:eastAsia="楷体" w:cs="Times New Roman" w:hint="eastAsia"/>
          <w:color w:val="767171" w:themeColor="background2" w:themeShade="80"/>
          <w:szCs w:val="21"/>
        </w:rPr>
        <w:t>上，澳大利亚联储则表示利率未来三年内不会进一步下降，而南非则因货币走强，通胀</w:t>
      </w:r>
      <w:r w:rsidR="00D75E28">
        <w:rPr>
          <w:rFonts w:eastAsia="楷体" w:cs="Times New Roman" w:hint="eastAsia"/>
          <w:color w:val="767171" w:themeColor="background2" w:themeShade="80"/>
          <w:szCs w:val="21"/>
        </w:rPr>
        <w:t>稳定等因素存在，</w:t>
      </w:r>
      <w:r w:rsidR="00507DEA">
        <w:rPr>
          <w:rFonts w:eastAsia="楷体" w:cs="Times New Roman" w:hint="eastAsia"/>
          <w:color w:val="767171" w:themeColor="background2" w:themeShade="80"/>
          <w:szCs w:val="21"/>
        </w:rPr>
        <w:t>有进一步放松的空间</w:t>
      </w:r>
      <w:r w:rsidR="00B41758">
        <w:rPr>
          <w:rFonts w:eastAsia="楷体" w:cs="Times New Roman" w:hint="eastAsia"/>
          <w:color w:val="767171" w:themeColor="background2" w:themeShade="80"/>
          <w:szCs w:val="21"/>
        </w:rPr>
        <w:t>。</w:t>
      </w:r>
      <w:r w:rsidR="004228B9">
        <w:rPr>
          <w:rFonts w:eastAsia="楷体" w:cs="Times New Roman" w:hint="eastAsia"/>
          <w:color w:val="767171" w:themeColor="background2" w:themeShade="80"/>
          <w:szCs w:val="21"/>
        </w:rPr>
        <w:t>而</w:t>
      </w:r>
      <w:r w:rsidR="00524A58">
        <w:rPr>
          <w:rFonts w:eastAsia="楷体" w:cs="Times New Roman" w:hint="eastAsia"/>
          <w:color w:val="767171" w:themeColor="background2" w:themeShade="80"/>
          <w:szCs w:val="21"/>
        </w:rPr>
        <w:t>泰国则</w:t>
      </w:r>
      <w:r w:rsidR="004228B9">
        <w:rPr>
          <w:rFonts w:eastAsia="楷体" w:cs="Times New Roman" w:hint="eastAsia"/>
          <w:color w:val="767171" w:themeColor="background2" w:themeShade="80"/>
          <w:szCs w:val="21"/>
        </w:rPr>
        <w:t>因</w:t>
      </w:r>
      <w:r w:rsidR="00524A58">
        <w:rPr>
          <w:rFonts w:eastAsia="楷体" w:cs="Times New Roman" w:hint="eastAsia"/>
          <w:color w:val="767171" w:themeColor="background2" w:themeShade="80"/>
          <w:szCs w:val="21"/>
        </w:rPr>
        <w:t>利率空间有限，央行表示将直接接入市场以干预泰铢，</w:t>
      </w:r>
      <w:r w:rsidR="004228B9">
        <w:rPr>
          <w:rFonts w:eastAsia="楷体" w:cs="Times New Roman" w:hint="eastAsia"/>
          <w:color w:val="767171" w:themeColor="background2" w:themeShade="80"/>
          <w:szCs w:val="21"/>
        </w:rPr>
        <w:t>并已经连续四次保持利率不变以节省其有限的政策空间。</w:t>
      </w:r>
      <w:r w:rsidR="00B41758">
        <w:rPr>
          <w:rFonts w:eastAsia="楷体" w:cs="Times New Roman" w:hint="eastAsia"/>
          <w:color w:val="767171" w:themeColor="background2" w:themeShade="80"/>
          <w:szCs w:val="21"/>
        </w:rPr>
        <w:t>菲律宾因近期三大台风影响，国内农业和基础设施均遭遇重大损失，叠加新冠疫情</w:t>
      </w:r>
      <w:r w:rsidR="00D707F4">
        <w:rPr>
          <w:rFonts w:eastAsia="楷体" w:cs="Times New Roman" w:hint="eastAsia"/>
          <w:color w:val="767171" w:themeColor="background2" w:themeShade="80"/>
          <w:szCs w:val="21"/>
        </w:rPr>
        <w:t>仍未平息</w:t>
      </w:r>
      <w:r w:rsidR="00B41758">
        <w:rPr>
          <w:rFonts w:eastAsia="楷体" w:cs="Times New Roman" w:hint="eastAsia"/>
          <w:color w:val="767171" w:themeColor="background2" w:themeShade="80"/>
          <w:szCs w:val="21"/>
        </w:rPr>
        <w:t>，央行降息以支持经济发展。</w:t>
      </w:r>
      <w:r w:rsidR="00D707F4">
        <w:rPr>
          <w:rFonts w:eastAsia="楷体" w:cs="Times New Roman" w:hint="eastAsia"/>
          <w:color w:val="767171" w:themeColor="background2" w:themeShade="80"/>
          <w:szCs w:val="21"/>
        </w:rPr>
        <w:t>而印度尼西亚同样面临类似的经济困境</w:t>
      </w:r>
      <w:r w:rsidR="007A7BDB">
        <w:rPr>
          <w:rFonts w:eastAsia="楷体" w:cs="Times New Roman" w:hint="eastAsia"/>
          <w:color w:val="767171" w:themeColor="background2" w:themeShade="80"/>
          <w:szCs w:val="21"/>
        </w:rPr>
        <w:t>，受新冠以及天气影响，</w:t>
      </w:r>
      <w:r w:rsidR="0075249E">
        <w:rPr>
          <w:rFonts w:eastAsia="楷体" w:cs="Times New Roman" w:hint="eastAsia"/>
          <w:color w:val="767171" w:themeColor="background2" w:themeShade="80"/>
          <w:szCs w:val="21"/>
        </w:rPr>
        <w:t>国内旅游业遭遇重创，三季度经济同比下滑</w:t>
      </w:r>
      <w:r w:rsidR="0075249E">
        <w:rPr>
          <w:rFonts w:eastAsia="楷体" w:cs="Times New Roman" w:hint="eastAsia"/>
          <w:color w:val="767171" w:themeColor="background2" w:themeShade="80"/>
          <w:szCs w:val="21"/>
        </w:rPr>
        <w:t>3</w:t>
      </w:r>
      <w:r w:rsidR="0075249E">
        <w:rPr>
          <w:rFonts w:eastAsia="楷体" w:cs="Times New Roman"/>
          <w:color w:val="767171" w:themeColor="background2" w:themeShade="80"/>
          <w:szCs w:val="21"/>
        </w:rPr>
        <w:t>.49</w:t>
      </w:r>
      <w:r w:rsidR="0075249E">
        <w:rPr>
          <w:rFonts w:eastAsia="楷体" w:cs="Times New Roman" w:hint="eastAsia"/>
          <w:color w:val="767171" w:themeColor="background2" w:themeShade="80"/>
          <w:szCs w:val="21"/>
        </w:rPr>
        <w:t>%</w:t>
      </w:r>
      <w:r w:rsidR="00D707F4">
        <w:rPr>
          <w:rFonts w:eastAsia="楷体" w:cs="Times New Roman" w:hint="eastAsia"/>
          <w:color w:val="767171" w:themeColor="background2" w:themeShade="80"/>
          <w:szCs w:val="21"/>
        </w:rPr>
        <w:t>，预计</w:t>
      </w:r>
      <w:r w:rsidR="0075249E">
        <w:rPr>
          <w:rFonts w:eastAsia="楷体" w:cs="Times New Roman" w:hint="eastAsia"/>
          <w:color w:val="767171" w:themeColor="background2" w:themeShade="80"/>
          <w:szCs w:val="21"/>
        </w:rPr>
        <w:t>印尼</w:t>
      </w:r>
      <w:r w:rsidR="00D707F4">
        <w:rPr>
          <w:rFonts w:eastAsia="楷体" w:cs="Times New Roman" w:hint="eastAsia"/>
          <w:color w:val="767171" w:themeColor="background2" w:themeShade="80"/>
          <w:szCs w:val="21"/>
        </w:rPr>
        <w:t>央行仍存在进一步降息空间以支持经济增长。</w:t>
      </w:r>
    </w:p>
    <w:p w14:paraId="2D17E01D" w14:textId="77777777" w:rsidR="00E157A0" w:rsidRPr="004226C6" w:rsidRDefault="00E157A0" w:rsidP="00BC5BF4">
      <w:pPr>
        <w:spacing w:afterLines="50" w:after="163"/>
        <w:ind w:firstLine="420"/>
        <w:rPr>
          <w:rFonts w:eastAsia="楷体" w:cs="Times New Roman"/>
          <w:color w:val="767171" w:themeColor="background2" w:themeShade="80"/>
          <w:szCs w:val="21"/>
        </w:rPr>
      </w:pPr>
    </w:p>
    <w:p w14:paraId="218DDAE3" w14:textId="77777777" w:rsidR="00D30257" w:rsidRPr="00110CAD" w:rsidRDefault="00D30257" w:rsidP="00D30257">
      <w:pPr>
        <w:pStyle w:val="1"/>
        <w:spacing w:beforeLines="100" w:before="326" w:afterLines="100" w:after="326"/>
        <w:rPr>
          <w:rFonts w:ascii="宋体" w:eastAsia="宋体" w:hAnsi="宋体" w:cs="宋体"/>
          <w:color w:val="FF0000"/>
        </w:rPr>
      </w:pPr>
      <w:bookmarkStart w:id="3" w:name="二、国家主权评级动态"/>
      <w:bookmarkEnd w:id="2"/>
      <w:r w:rsidRPr="00110CAD">
        <w:rPr>
          <w:rFonts w:ascii="宋体" w:eastAsia="宋体" w:hAnsi="宋体" w:cs="宋体" w:hint="eastAsia"/>
          <w:color w:val="FF0000"/>
        </w:rPr>
        <w:t>国家主权</w:t>
      </w:r>
      <w:r w:rsidRPr="00110CAD">
        <w:rPr>
          <w:rFonts w:ascii="宋体" w:eastAsia="宋体" w:hAnsi="宋体" w:cs="宋体"/>
          <w:color w:val="FF0000"/>
        </w:rPr>
        <w:t>评级动态</w:t>
      </w:r>
      <w:bookmarkEnd w:id="3"/>
    </w:p>
    <w:p w14:paraId="5642A392" w14:textId="77777777" w:rsidR="007D2393" w:rsidRPr="00110CAD" w:rsidRDefault="007D2393" w:rsidP="007D2393">
      <w:pPr>
        <w:pStyle w:val="2"/>
        <w:spacing w:beforeLines="50" w:before="163"/>
        <w:rPr>
          <w:rFonts w:ascii="Times New Roman" w:eastAsia="宋体" w:hAnsi="Times New Roman" w:cs="Times New Roman"/>
        </w:rPr>
      </w:pPr>
      <w:r>
        <w:rPr>
          <w:rFonts w:ascii="Times New Roman" w:eastAsia="宋体" w:hAnsi="Times New Roman" w:cs="Times New Roman" w:hint="eastAsia"/>
        </w:rPr>
        <w:t>标普</w:t>
      </w:r>
      <w:r w:rsidRPr="00110CAD">
        <w:rPr>
          <w:rFonts w:ascii="Times New Roman" w:eastAsia="宋体" w:hAnsi="Times New Roman" w:cs="Times New Roman" w:hint="eastAsia"/>
        </w:rPr>
        <w:t>将</w:t>
      </w:r>
      <w:r>
        <w:rPr>
          <w:rFonts w:ascii="Times New Roman" w:eastAsia="宋体" w:hAnsi="Times New Roman" w:cs="Times New Roman" w:hint="eastAsia"/>
        </w:rPr>
        <w:t>危地马拉列入“负面观察清单”</w:t>
      </w:r>
    </w:p>
    <w:p w14:paraId="558A0CA0" w14:textId="77777777" w:rsidR="007D2393" w:rsidRDefault="007D2393" w:rsidP="007D2393">
      <w:pPr>
        <w:spacing w:afterLines="50" w:after="163"/>
        <w:ind w:firstLine="420"/>
        <w:rPr>
          <w:rFonts w:cs="Times New Roman"/>
          <w:color w:val="auto"/>
        </w:rPr>
      </w:pPr>
      <w:r>
        <w:rPr>
          <w:rFonts w:cs="Times New Roman"/>
          <w:color w:val="auto"/>
        </w:rPr>
        <w:t>11</w:t>
      </w:r>
      <w:r w:rsidRPr="00110CAD">
        <w:rPr>
          <w:rFonts w:cs="Times New Roman" w:hint="eastAsia"/>
          <w:color w:val="auto"/>
        </w:rPr>
        <w:t>月</w:t>
      </w:r>
      <w:r>
        <w:rPr>
          <w:rFonts w:cs="Times New Roman"/>
          <w:color w:val="auto"/>
        </w:rPr>
        <w:t>20</w:t>
      </w:r>
      <w:r w:rsidRPr="00110CAD">
        <w:rPr>
          <w:rFonts w:cs="Times New Roman" w:hint="eastAsia"/>
          <w:color w:val="auto"/>
        </w:rPr>
        <w:t>日，</w:t>
      </w:r>
      <w:r>
        <w:rPr>
          <w:rFonts w:cs="Times New Roman" w:hint="eastAsia"/>
          <w:color w:val="auto"/>
        </w:rPr>
        <w:t>标普维持危地马拉</w:t>
      </w:r>
      <w:r w:rsidRPr="00110CAD">
        <w:rPr>
          <w:rFonts w:cs="Times New Roman" w:hint="eastAsia"/>
          <w:color w:val="auto"/>
        </w:rPr>
        <w:t>长期</w:t>
      </w:r>
      <w:r w:rsidRPr="00110CAD">
        <w:rPr>
          <w:rFonts w:cs="Times New Roman"/>
          <w:color w:val="auto"/>
        </w:rPr>
        <w:t>主权</w:t>
      </w:r>
      <w:r>
        <w:rPr>
          <w:rFonts w:cs="Times New Roman" w:hint="eastAsia"/>
          <w:color w:val="auto"/>
        </w:rPr>
        <w:t>本</w:t>
      </w:r>
      <w:r>
        <w:rPr>
          <w:rFonts w:cs="Times New Roman"/>
          <w:color w:val="auto"/>
        </w:rPr>
        <w:t>币信用评级</w:t>
      </w:r>
      <w:r>
        <w:rPr>
          <w:rFonts w:cs="Times New Roman" w:hint="eastAsia"/>
          <w:color w:val="auto"/>
        </w:rPr>
        <w:t>为</w:t>
      </w:r>
      <w:r w:rsidRPr="00110CAD">
        <w:rPr>
          <w:rFonts w:cs="Times New Roman" w:hint="eastAsia"/>
          <w:color w:val="auto"/>
        </w:rPr>
        <w:t>“</w:t>
      </w:r>
      <w:r>
        <w:rPr>
          <w:rFonts w:cs="Times New Roman"/>
          <w:color w:val="auto"/>
        </w:rPr>
        <w:t>BB</w:t>
      </w:r>
      <w:r w:rsidRPr="00110CAD">
        <w:rPr>
          <w:rFonts w:cs="Times New Roman" w:hint="eastAsia"/>
          <w:color w:val="auto"/>
        </w:rPr>
        <w:t>”</w:t>
      </w:r>
      <w:r>
        <w:rPr>
          <w:rFonts w:cs="Times New Roman" w:hint="eastAsia"/>
          <w:color w:val="auto"/>
        </w:rPr>
        <w:t>、</w:t>
      </w:r>
      <w:r w:rsidRPr="00110CAD">
        <w:rPr>
          <w:rFonts w:cs="Times New Roman" w:hint="eastAsia"/>
          <w:color w:val="auto"/>
        </w:rPr>
        <w:t>长期</w:t>
      </w:r>
      <w:r w:rsidRPr="00110CAD">
        <w:rPr>
          <w:rFonts w:cs="Times New Roman"/>
          <w:color w:val="auto"/>
        </w:rPr>
        <w:t>主权</w:t>
      </w:r>
      <w:r>
        <w:rPr>
          <w:rFonts w:cs="Times New Roman" w:hint="eastAsia"/>
          <w:color w:val="auto"/>
        </w:rPr>
        <w:t>外</w:t>
      </w:r>
      <w:r>
        <w:rPr>
          <w:rFonts w:cs="Times New Roman"/>
          <w:color w:val="auto"/>
        </w:rPr>
        <w:t>币信用评级</w:t>
      </w:r>
      <w:r>
        <w:rPr>
          <w:rFonts w:cs="Times New Roman" w:hint="eastAsia"/>
          <w:color w:val="auto"/>
        </w:rPr>
        <w:t>为</w:t>
      </w:r>
      <w:r w:rsidRPr="00110CAD">
        <w:rPr>
          <w:rFonts w:cs="Times New Roman" w:hint="eastAsia"/>
          <w:color w:val="auto"/>
        </w:rPr>
        <w:t>“</w:t>
      </w:r>
      <w:r>
        <w:rPr>
          <w:rFonts w:cs="Times New Roman"/>
          <w:color w:val="auto"/>
        </w:rPr>
        <w:t>BB-</w:t>
      </w:r>
      <w:r w:rsidRPr="00110CAD">
        <w:rPr>
          <w:rFonts w:cs="Times New Roman" w:hint="eastAsia"/>
          <w:color w:val="auto"/>
        </w:rPr>
        <w:t>”</w:t>
      </w:r>
      <w:r>
        <w:rPr>
          <w:rFonts w:cs="Times New Roman" w:hint="eastAsia"/>
          <w:color w:val="auto"/>
        </w:rPr>
        <w:t>。但标普将危地马拉</w:t>
      </w:r>
      <w:r w:rsidRPr="00173206">
        <w:rPr>
          <w:rFonts w:cs="Times New Roman" w:hint="eastAsia"/>
          <w:color w:val="auto"/>
        </w:rPr>
        <w:t>列入“负面观察清单”</w:t>
      </w:r>
      <w:r>
        <w:rPr>
          <w:rFonts w:cs="Times New Roman" w:hint="eastAsia"/>
          <w:color w:val="auto"/>
        </w:rPr>
        <w:t>，主要是因为</w:t>
      </w:r>
      <w:r w:rsidRPr="00173206">
        <w:rPr>
          <w:rFonts w:cs="Times New Roman" w:hint="eastAsia"/>
          <w:color w:val="auto"/>
        </w:rPr>
        <w:t>危地马拉</w:t>
      </w:r>
      <w:r>
        <w:rPr>
          <w:rFonts w:cs="Times New Roman" w:hint="eastAsia"/>
          <w:color w:val="auto"/>
        </w:rPr>
        <w:t>政府</w:t>
      </w:r>
      <w:r w:rsidRPr="00173206">
        <w:rPr>
          <w:rFonts w:cs="Times New Roman" w:hint="eastAsia"/>
          <w:color w:val="auto"/>
        </w:rPr>
        <w:t>与</w:t>
      </w:r>
      <w:r>
        <w:rPr>
          <w:rFonts w:cs="Times New Roman" w:hint="eastAsia"/>
          <w:color w:val="auto"/>
        </w:rPr>
        <w:t>本国电力公司（</w:t>
      </w:r>
      <w:r w:rsidRPr="00173206">
        <w:rPr>
          <w:rFonts w:cs="Times New Roman" w:hint="eastAsia"/>
          <w:color w:val="auto"/>
        </w:rPr>
        <w:t>TECO</w:t>
      </w:r>
      <w:r>
        <w:rPr>
          <w:rFonts w:cs="Times New Roman" w:hint="eastAsia"/>
          <w:color w:val="auto"/>
        </w:rPr>
        <w:t>）之间存在</w:t>
      </w:r>
      <w:r w:rsidRPr="00173206">
        <w:rPr>
          <w:rFonts w:cs="Times New Roman" w:hint="eastAsia"/>
          <w:color w:val="auto"/>
        </w:rPr>
        <w:t>商业纠纷</w:t>
      </w:r>
      <w:r>
        <w:rPr>
          <w:rFonts w:cs="Times New Roman" w:hint="eastAsia"/>
          <w:color w:val="auto"/>
        </w:rPr>
        <w:t>，根据最高法院的判决，政府需要对</w:t>
      </w:r>
      <w:r>
        <w:rPr>
          <w:rFonts w:cs="Times New Roman" w:hint="eastAsia"/>
          <w:color w:val="auto"/>
        </w:rPr>
        <w:t>T</w:t>
      </w:r>
      <w:r>
        <w:rPr>
          <w:rFonts w:cs="Times New Roman"/>
          <w:color w:val="auto"/>
        </w:rPr>
        <w:t>ECO</w:t>
      </w:r>
      <w:r>
        <w:rPr>
          <w:rFonts w:cs="Times New Roman" w:hint="eastAsia"/>
          <w:color w:val="auto"/>
        </w:rPr>
        <w:t>进行大规模赔偿。因此，危地马拉政府在</w:t>
      </w:r>
      <w:r>
        <w:rPr>
          <w:rFonts w:cs="Times New Roman" w:hint="eastAsia"/>
          <w:color w:val="auto"/>
        </w:rPr>
        <w:t>11</w:t>
      </w:r>
      <w:r>
        <w:rPr>
          <w:rFonts w:cs="Times New Roman" w:hint="eastAsia"/>
          <w:color w:val="auto"/>
        </w:rPr>
        <w:t>月</w:t>
      </w:r>
      <w:r>
        <w:rPr>
          <w:rFonts w:cs="Times New Roman" w:hint="eastAsia"/>
          <w:color w:val="auto"/>
        </w:rPr>
        <w:t>3</w:t>
      </w:r>
      <w:r>
        <w:rPr>
          <w:rFonts w:cs="Times New Roman" w:hint="eastAsia"/>
          <w:color w:val="auto"/>
        </w:rPr>
        <w:t>日未能偿还价值</w:t>
      </w:r>
      <w:r>
        <w:rPr>
          <w:rFonts w:cs="Times New Roman" w:hint="eastAsia"/>
          <w:color w:val="auto"/>
        </w:rPr>
        <w:t>1</w:t>
      </w:r>
      <w:r>
        <w:rPr>
          <w:rFonts w:cs="Times New Roman"/>
          <w:color w:val="auto"/>
        </w:rPr>
        <w:t>,</w:t>
      </w:r>
      <w:r>
        <w:rPr>
          <w:rFonts w:cs="Times New Roman" w:hint="eastAsia"/>
          <w:color w:val="auto"/>
        </w:rPr>
        <w:t>575</w:t>
      </w:r>
      <w:r>
        <w:rPr>
          <w:rFonts w:cs="Times New Roman" w:hint="eastAsia"/>
          <w:color w:val="auto"/>
        </w:rPr>
        <w:t>万美元欧洲债券的票息（</w:t>
      </w:r>
      <w:r>
        <w:rPr>
          <w:rFonts w:cs="Times New Roman" w:hint="eastAsia"/>
          <w:color w:val="auto"/>
        </w:rPr>
        <w:t>2026</w:t>
      </w:r>
      <w:r>
        <w:rPr>
          <w:rFonts w:cs="Times New Roman" w:hint="eastAsia"/>
          <w:color w:val="auto"/>
        </w:rPr>
        <w:t>年到期，</w:t>
      </w:r>
      <w:r>
        <w:rPr>
          <w:rFonts w:cs="Times New Roman" w:hint="eastAsia"/>
          <w:color w:val="auto"/>
        </w:rPr>
        <w:lastRenderedPageBreak/>
        <w:t>价值</w:t>
      </w:r>
      <w:r>
        <w:rPr>
          <w:rFonts w:cs="Times New Roman" w:hint="eastAsia"/>
          <w:color w:val="auto"/>
        </w:rPr>
        <w:t>7</w:t>
      </w:r>
      <w:r>
        <w:rPr>
          <w:rFonts w:cs="Times New Roman" w:hint="eastAsia"/>
          <w:color w:val="auto"/>
        </w:rPr>
        <w:t>亿美元）。由于该欧洲债券有</w:t>
      </w:r>
      <w:r>
        <w:rPr>
          <w:rFonts w:cs="Times New Roman" w:hint="eastAsia"/>
          <w:color w:val="auto"/>
        </w:rPr>
        <w:t>30</w:t>
      </w:r>
      <w:r>
        <w:rPr>
          <w:rFonts w:cs="Times New Roman" w:hint="eastAsia"/>
          <w:color w:val="auto"/>
        </w:rPr>
        <w:t>天宽限期，如果截至</w:t>
      </w:r>
      <w:r>
        <w:rPr>
          <w:rFonts w:cs="Times New Roman" w:hint="eastAsia"/>
          <w:color w:val="auto"/>
        </w:rPr>
        <w:t>2020</w:t>
      </w:r>
      <w:r>
        <w:rPr>
          <w:rFonts w:cs="Times New Roman" w:hint="eastAsia"/>
          <w:color w:val="auto"/>
        </w:rPr>
        <w:t>年</w:t>
      </w:r>
      <w:r>
        <w:rPr>
          <w:rFonts w:cs="Times New Roman" w:hint="eastAsia"/>
          <w:color w:val="auto"/>
        </w:rPr>
        <w:t>12</w:t>
      </w:r>
      <w:r>
        <w:rPr>
          <w:rFonts w:cs="Times New Roman" w:hint="eastAsia"/>
          <w:color w:val="auto"/>
        </w:rPr>
        <w:t>月</w:t>
      </w:r>
      <w:r>
        <w:rPr>
          <w:rFonts w:cs="Times New Roman" w:hint="eastAsia"/>
          <w:color w:val="auto"/>
        </w:rPr>
        <w:t>3</w:t>
      </w:r>
      <w:r>
        <w:rPr>
          <w:rFonts w:cs="Times New Roman" w:hint="eastAsia"/>
          <w:color w:val="auto"/>
        </w:rPr>
        <w:t>日危地马拉政府不能偿付票息，则出现主权违约。</w:t>
      </w:r>
    </w:p>
    <w:p w14:paraId="2C13483E" w14:textId="77777777" w:rsidR="007D2393" w:rsidRPr="00110CAD" w:rsidRDefault="007D2393" w:rsidP="007D2393">
      <w:pPr>
        <w:pStyle w:val="2"/>
        <w:spacing w:beforeLines="50" w:before="163"/>
        <w:rPr>
          <w:rFonts w:ascii="Times New Roman" w:eastAsia="宋体" w:hAnsi="Times New Roman" w:cs="Times New Roman"/>
        </w:rPr>
      </w:pPr>
      <w:r>
        <w:rPr>
          <w:rFonts w:ascii="Times New Roman" w:eastAsia="宋体" w:hAnsi="Times New Roman" w:cs="Times New Roman" w:hint="eastAsia"/>
        </w:rPr>
        <w:t>惠誉</w:t>
      </w:r>
      <w:r w:rsidRPr="00110CAD">
        <w:rPr>
          <w:rFonts w:ascii="Times New Roman" w:eastAsia="宋体" w:hAnsi="Times New Roman" w:cs="Times New Roman" w:hint="eastAsia"/>
        </w:rPr>
        <w:t>将</w:t>
      </w:r>
      <w:r>
        <w:rPr>
          <w:rFonts w:ascii="Times New Roman" w:eastAsia="宋体" w:hAnsi="Times New Roman" w:cs="Times New Roman" w:hint="eastAsia"/>
        </w:rPr>
        <w:t>南非</w:t>
      </w:r>
      <w:r w:rsidRPr="00110CAD">
        <w:rPr>
          <w:rFonts w:ascii="Times New Roman" w:eastAsia="宋体" w:hAnsi="Times New Roman" w:cs="Times New Roman" w:hint="eastAsia"/>
        </w:rPr>
        <w:t>长期</w:t>
      </w:r>
      <w:r w:rsidRPr="00110CAD">
        <w:rPr>
          <w:rFonts w:ascii="Times New Roman" w:eastAsia="宋体" w:hAnsi="Times New Roman" w:cs="Times New Roman"/>
        </w:rPr>
        <w:t>主权</w:t>
      </w:r>
      <w:r>
        <w:rPr>
          <w:rFonts w:ascii="Times New Roman" w:eastAsia="宋体" w:hAnsi="Times New Roman" w:cs="Times New Roman" w:hint="eastAsia"/>
        </w:rPr>
        <w:t>本、</w:t>
      </w:r>
      <w:r w:rsidRPr="00110CAD">
        <w:rPr>
          <w:rFonts w:ascii="Times New Roman" w:eastAsia="宋体" w:hAnsi="Times New Roman" w:cs="Times New Roman"/>
        </w:rPr>
        <w:t>外币信用</w:t>
      </w:r>
      <w:r w:rsidRPr="00110CAD">
        <w:rPr>
          <w:rFonts w:ascii="Times New Roman" w:eastAsia="宋体" w:hAnsi="Times New Roman" w:cs="Times New Roman" w:hint="eastAsia"/>
        </w:rPr>
        <w:t>等级下调</w:t>
      </w:r>
      <w:r w:rsidRPr="00110CAD">
        <w:rPr>
          <w:rFonts w:ascii="Times New Roman" w:eastAsia="宋体" w:hAnsi="Times New Roman" w:cs="Times New Roman"/>
        </w:rPr>
        <w:t>至</w:t>
      </w:r>
      <w:r>
        <w:rPr>
          <w:rFonts w:ascii="Times New Roman" w:eastAsia="宋体" w:hAnsi="Times New Roman" w:cs="Times New Roman" w:hint="eastAsia"/>
        </w:rPr>
        <w:t>“</w:t>
      </w:r>
      <w:r>
        <w:rPr>
          <w:rFonts w:ascii="Times New Roman" w:eastAsia="宋体" w:hAnsi="Times New Roman" w:cs="Times New Roman"/>
        </w:rPr>
        <w:t>BB-</w:t>
      </w:r>
      <w:r>
        <w:rPr>
          <w:rFonts w:ascii="Times New Roman" w:eastAsia="宋体" w:hAnsi="Times New Roman" w:cs="Times New Roman" w:hint="eastAsia"/>
        </w:rPr>
        <w:t>”</w:t>
      </w:r>
    </w:p>
    <w:p w14:paraId="7AC73E7F" w14:textId="77777777" w:rsidR="007D2393" w:rsidRDefault="007D2393" w:rsidP="007D2393">
      <w:pPr>
        <w:spacing w:afterLines="50" w:after="163"/>
        <w:ind w:firstLine="420"/>
        <w:rPr>
          <w:rFonts w:cs="Times New Roman"/>
          <w:color w:val="auto"/>
        </w:rPr>
      </w:pPr>
      <w:r>
        <w:rPr>
          <w:rFonts w:cs="Times New Roman"/>
          <w:color w:val="auto"/>
        </w:rPr>
        <w:t>11</w:t>
      </w:r>
      <w:r w:rsidRPr="00110CAD">
        <w:rPr>
          <w:rFonts w:cs="Times New Roman" w:hint="eastAsia"/>
          <w:color w:val="auto"/>
        </w:rPr>
        <w:t>月</w:t>
      </w:r>
      <w:r>
        <w:rPr>
          <w:rFonts w:cs="Times New Roman"/>
          <w:color w:val="auto"/>
        </w:rPr>
        <w:t>20</w:t>
      </w:r>
      <w:r w:rsidRPr="00110CAD">
        <w:rPr>
          <w:rFonts w:cs="Times New Roman" w:hint="eastAsia"/>
          <w:color w:val="auto"/>
        </w:rPr>
        <w:t>日，</w:t>
      </w:r>
      <w:r>
        <w:rPr>
          <w:rFonts w:cs="Times New Roman" w:hint="eastAsia"/>
          <w:color w:val="auto"/>
        </w:rPr>
        <w:t>惠誉</w:t>
      </w:r>
      <w:r w:rsidRPr="00110CAD">
        <w:rPr>
          <w:rFonts w:cs="Times New Roman" w:hint="eastAsia"/>
          <w:color w:val="auto"/>
        </w:rPr>
        <w:t>将</w:t>
      </w:r>
      <w:r>
        <w:rPr>
          <w:rFonts w:cs="Times New Roman" w:hint="eastAsia"/>
          <w:color w:val="auto"/>
        </w:rPr>
        <w:t>南非</w:t>
      </w:r>
      <w:r w:rsidRPr="00110CAD">
        <w:rPr>
          <w:rFonts w:cs="Times New Roman" w:hint="eastAsia"/>
          <w:color w:val="auto"/>
        </w:rPr>
        <w:t>长期</w:t>
      </w:r>
      <w:r w:rsidRPr="00110CAD">
        <w:rPr>
          <w:rFonts w:cs="Times New Roman"/>
          <w:color w:val="auto"/>
        </w:rPr>
        <w:t>主权</w:t>
      </w:r>
      <w:r>
        <w:rPr>
          <w:rFonts w:cs="Times New Roman" w:hint="eastAsia"/>
          <w:color w:val="auto"/>
        </w:rPr>
        <w:t>本、</w:t>
      </w:r>
      <w:r>
        <w:rPr>
          <w:rFonts w:cs="Times New Roman"/>
          <w:color w:val="auto"/>
        </w:rPr>
        <w:t>外币信用评级</w:t>
      </w:r>
      <w:r w:rsidRPr="00110CAD">
        <w:rPr>
          <w:rFonts w:cs="Times New Roman"/>
          <w:color w:val="auto"/>
        </w:rPr>
        <w:t>由</w:t>
      </w:r>
      <w:r w:rsidRPr="00110CAD">
        <w:rPr>
          <w:rFonts w:ascii="宋体" w:hAnsi="宋体" w:cs="Times New Roman"/>
          <w:color w:val="auto"/>
        </w:rPr>
        <w:t>“</w:t>
      </w:r>
      <w:r>
        <w:rPr>
          <w:rFonts w:cs="Times New Roman"/>
          <w:color w:val="auto"/>
        </w:rPr>
        <w:t>BB</w:t>
      </w:r>
      <w:r w:rsidRPr="00110CAD">
        <w:rPr>
          <w:rFonts w:ascii="宋体" w:hAnsi="宋体" w:cs="Times New Roman"/>
          <w:color w:val="auto"/>
        </w:rPr>
        <w:t>”</w:t>
      </w:r>
      <w:r w:rsidRPr="00110CAD">
        <w:rPr>
          <w:rFonts w:cs="Times New Roman" w:hint="eastAsia"/>
          <w:color w:val="auto"/>
        </w:rPr>
        <w:t>下调至“</w:t>
      </w:r>
      <w:r>
        <w:rPr>
          <w:rFonts w:cs="Times New Roman"/>
          <w:color w:val="auto"/>
        </w:rPr>
        <w:t>BB-</w:t>
      </w:r>
      <w:r w:rsidRPr="00110CAD">
        <w:rPr>
          <w:rFonts w:cs="Times New Roman" w:hint="eastAsia"/>
          <w:color w:val="auto"/>
        </w:rPr>
        <w:t>”</w:t>
      </w:r>
      <w:r>
        <w:rPr>
          <w:rFonts w:cs="Times New Roman" w:hint="eastAsia"/>
          <w:color w:val="auto"/>
        </w:rPr>
        <w:t>，评级展望维持“负面”。惠誉认为，新冠疫情对南非的经济发展造成严重冲击，预计</w:t>
      </w:r>
      <w:r>
        <w:rPr>
          <w:rFonts w:cs="Times New Roman" w:hint="eastAsia"/>
          <w:color w:val="auto"/>
        </w:rPr>
        <w:t>2020-2022</w:t>
      </w:r>
      <w:r>
        <w:rPr>
          <w:rFonts w:cs="Times New Roman" w:hint="eastAsia"/>
          <w:color w:val="auto"/>
        </w:rPr>
        <w:t>年经济增速均难以恢复至</w:t>
      </w:r>
      <w:r>
        <w:rPr>
          <w:rFonts w:cs="Times New Roman" w:hint="eastAsia"/>
          <w:color w:val="auto"/>
        </w:rPr>
        <w:t>2019</w:t>
      </w:r>
      <w:r>
        <w:rPr>
          <w:rFonts w:cs="Times New Roman" w:hint="eastAsia"/>
          <w:color w:val="auto"/>
        </w:rPr>
        <w:t>年的表现。疫情暴发后，政府为刺激经济发展而加大财政支出，导致</w:t>
      </w:r>
      <w:r w:rsidRPr="00173206">
        <w:rPr>
          <w:rFonts w:cs="Times New Roman" w:hint="eastAsia"/>
          <w:color w:val="auto"/>
        </w:rPr>
        <w:t>财政收支</w:t>
      </w:r>
      <w:r>
        <w:rPr>
          <w:rFonts w:cs="Times New Roman" w:hint="eastAsia"/>
          <w:color w:val="auto"/>
        </w:rPr>
        <w:t>进一步</w:t>
      </w:r>
      <w:r w:rsidRPr="00173206">
        <w:rPr>
          <w:rFonts w:cs="Times New Roman" w:hint="eastAsia"/>
          <w:color w:val="auto"/>
        </w:rPr>
        <w:t>失衡</w:t>
      </w:r>
      <w:r>
        <w:rPr>
          <w:rFonts w:cs="Times New Roman" w:hint="eastAsia"/>
          <w:color w:val="auto"/>
        </w:rPr>
        <w:t>，且政府债务压力大幅上升，政府债务偿付实力大幅削弱。</w:t>
      </w:r>
    </w:p>
    <w:p w14:paraId="48B59562" w14:textId="77777777" w:rsidR="007D2393" w:rsidRPr="00110CAD" w:rsidRDefault="007D2393" w:rsidP="007D2393">
      <w:pPr>
        <w:pStyle w:val="2"/>
        <w:spacing w:beforeLines="50" w:before="163"/>
        <w:rPr>
          <w:rFonts w:ascii="Times New Roman" w:eastAsia="宋体" w:hAnsi="Times New Roman" w:cs="Times New Roman"/>
        </w:rPr>
      </w:pPr>
      <w:r>
        <w:rPr>
          <w:rFonts w:ascii="Times New Roman" w:eastAsia="宋体" w:hAnsi="Times New Roman" w:cs="Times New Roman" w:hint="eastAsia"/>
        </w:rPr>
        <w:t>穆迪</w:t>
      </w:r>
      <w:r w:rsidRPr="00110CAD">
        <w:rPr>
          <w:rFonts w:ascii="Times New Roman" w:eastAsia="宋体" w:hAnsi="Times New Roman" w:cs="Times New Roman" w:hint="eastAsia"/>
        </w:rPr>
        <w:t>将</w:t>
      </w:r>
      <w:r w:rsidRPr="00C72BEE">
        <w:rPr>
          <w:rFonts w:ascii="Times New Roman" w:eastAsia="宋体" w:hAnsi="Times New Roman" w:cs="Times New Roman" w:hint="eastAsia"/>
        </w:rPr>
        <w:t>萨尔瓦多</w:t>
      </w:r>
      <w:r>
        <w:rPr>
          <w:rFonts w:ascii="Times New Roman" w:eastAsia="宋体" w:hAnsi="Times New Roman" w:cs="Times New Roman" w:hint="eastAsia"/>
        </w:rPr>
        <w:t>列入“负面观察清单”</w:t>
      </w:r>
    </w:p>
    <w:p w14:paraId="7930A531" w14:textId="77777777" w:rsidR="007D2393" w:rsidRDefault="007D2393" w:rsidP="007D2393">
      <w:pPr>
        <w:spacing w:afterLines="50" w:after="163"/>
        <w:ind w:firstLine="420"/>
        <w:rPr>
          <w:rFonts w:cs="Times New Roman"/>
          <w:color w:val="auto"/>
        </w:rPr>
      </w:pPr>
      <w:r>
        <w:rPr>
          <w:rFonts w:cs="Times New Roman"/>
          <w:color w:val="auto"/>
        </w:rPr>
        <w:t>11</w:t>
      </w:r>
      <w:r w:rsidRPr="00110CAD">
        <w:rPr>
          <w:rFonts w:cs="Times New Roman" w:hint="eastAsia"/>
          <w:color w:val="auto"/>
        </w:rPr>
        <w:t>月</w:t>
      </w:r>
      <w:r>
        <w:rPr>
          <w:rFonts w:cs="Times New Roman"/>
          <w:color w:val="auto"/>
        </w:rPr>
        <w:t>16</w:t>
      </w:r>
      <w:r w:rsidRPr="00110CAD">
        <w:rPr>
          <w:rFonts w:cs="Times New Roman" w:hint="eastAsia"/>
          <w:color w:val="auto"/>
        </w:rPr>
        <w:t>日，</w:t>
      </w:r>
      <w:r>
        <w:rPr>
          <w:rFonts w:cs="Times New Roman" w:hint="eastAsia"/>
          <w:color w:val="auto"/>
        </w:rPr>
        <w:t>穆迪维持</w:t>
      </w:r>
      <w:r w:rsidRPr="00C72BEE">
        <w:rPr>
          <w:rFonts w:cs="Times New Roman" w:hint="eastAsia"/>
          <w:color w:val="auto"/>
        </w:rPr>
        <w:t>萨尔瓦多</w:t>
      </w:r>
      <w:r w:rsidRPr="00110CAD">
        <w:rPr>
          <w:rFonts w:cs="Times New Roman" w:hint="eastAsia"/>
          <w:color w:val="auto"/>
        </w:rPr>
        <w:t>长期</w:t>
      </w:r>
      <w:r w:rsidRPr="00110CAD">
        <w:rPr>
          <w:rFonts w:cs="Times New Roman"/>
          <w:color w:val="auto"/>
        </w:rPr>
        <w:t>主权</w:t>
      </w:r>
      <w:r>
        <w:rPr>
          <w:rFonts w:cs="Times New Roman" w:hint="eastAsia"/>
          <w:color w:val="auto"/>
        </w:rPr>
        <w:t>本、外</w:t>
      </w:r>
      <w:r>
        <w:rPr>
          <w:rFonts w:cs="Times New Roman"/>
          <w:color w:val="auto"/>
        </w:rPr>
        <w:t>币信用评级</w:t>
      </w:r>
      <w:r>
        <w:rPr>
          <w:rFonts w:cs="Times New Roman" w:hint="eastAsia"/>
          <w:color w:val="auto"/>
        </w:rPr>
        <w:t>为</w:t>
      </w:r>
      <w:r w:rsidRPr="00110CAD">
        <w:rPr>
          <w:rFonts w:cs="Times New Roman" w:hint="eastAsia"/>
          <w:color w:val="auto"/>
        </w:rPr>
        <w:t>“</w:t>
      </w:r>
      <w:r>
        <w:rPr>
          <w:rFonts w:cs="Times New Roman"/>
          <w:color w:val="auto"/>
        </w:rPr>
        <w:t>B3</w:t>
      </w:r>
      <w:r w:rsidRPr="00110CAD">
        <w:rPr>
          <w:rFonts w:cs="Times New Roman" w:hint="eastAsia"/>
          <w:color w:val="auto"/>
        </w:rPr>
        <w:t>”</w:t>
      </w:r>
      <w:r>
        <w:rPr>
          <w:rFonts w:cs="Times New Roman" w:hint="eastAsia"/>
          <w:color w:val="auto"/>
        </w:rPr>
        <w:t>。穆迪将其列入“负面观察清单”，主要是因为新冠疫情冲击</w:t>
      </w:r>
      <w:r w:rsidRPr="00C72BEE">
        <w:rPr>
          <w:rFonts w:cs="Times New Roman" w:hint="eastAsia"/>
          <w:color w:val="auto"/>
        </w:rPr>
        <w:t>萨尔瓦多</w:t>
      </w:r>
      <w:r>
        <w:rPr>
          <w:rFonts w:cs="Times New Roman" w:hint="eastAsia"/>
          <w:color w:val="auto"/>
        </w:rPr>
        <w:t>的经济和财政表现，政府的总融资需求大幅</w:t>
      </w:r>
      <w:r w:rsidRPr="00C72BEE">
        <w:rPr>
          <w:rFonts w:cs="Times New Roman" w:hint="eastAsia"/>
          <w:color w:val="auto"/>
        </w:rPr>
        <w:t>增加，</w:t>
      </w:r>
      <w:r>
        <w:rPr>
          <w:rFonts w:cs="Times New Roman" w:hint="eastAsia"/>
          <w:color w:val="auto"/>
        </w:rPr>
        <w:t>但在</w:t>
      </w:r>
      <w:r w:rsidRPr="00C72BEE">
        <w:rPr>
          <w:rFonts w:cs="Times New Roman" w:hint="eastAsia"/>
          <w:color w:val="auto"/>
        </w:rPr>
        <w:t>外部融资条件趋紧以及国内市场</w:t>
      </w:r>
      <w:r>
        <w:rPr>
          <w:rFonts w:cs="Times New Roman" w:hint="eastAsia"/>
          <w:color w:val="auto"/>
        </w:rPr>
        <w:t>融资渠道有限的背景下</w:t>
      </w:r>
      <w:r w:rsidRPr="00C72BEE">
        <w:rPr>
          <w:rFonts w:cs="Times New Roman" w:hint="eastAsia"/>
          <w:color w:val="auto"/>
        </w:rPr>
        <w:t>，政府</w:t>
      </w:r>
      <w:r>
        <w:rPr>
          <w:rFonts w:cs="Times New Roman" w:hint="eastAsia"/>
          <w:color w:val="auto"/>
        </w:rPr>
        <w:t>的流动性严重不足。此外，政府为应对疫情对经济造成的冲击而实施税收减免举措，进一步加剧政府财政收支失衡和政府债务偿付压力。</w:t>
      </w:r>
    </w:p>
    <w:p w14:paraId="5A3E4BC6" w14:textId="77777777" w:rsidR="007D2393" w:rsidRDefault="007D2393" w:rsidP="007D2393">
      <w:pPr>
        <w:ind w:firstLineChars="0" w:firstLine="0"/>
        <w:jc w:val="left"/>
        <w:rPr>
          <w:rFonts w:ascii="黑体" w:eastAsia="黑体" w:hAnsi="黑体" w:cs="Times New Roman"/>
          <w:color w:val="auto"/>
          <w:sz w:val="18"/>
          <w:szCs w:val="18"/>
        </w:rPr>
      </w:pPr>
      <w:r w:rsidRPr="00110CAD">
        <w:rPr>
          <w:rFonts w:ascii="黑体" w:eastAsia="黑体" w:hAnsi="黑体" w:cs="Times New Roman"/>
          <w:color w:val="auto"/>
          <w:sz w:val="18"/>
          <w:szCs w:val="18"/>
        </w:rPr>
        <w:t xml:space="preserve">表1 </w:t>
      </w:r>
      <w:r w:rsidRPr="00110CAD">
        <w:rPr>
          <w:rFonts w:ascii="黑体" w:eastAsia="黑体" w:hAnsi="黑体" w:cs="Times New Roman" w:hint="eastAsia"/>
          <w:color w:val="auto"/>
          <w:sz w:val="18"/>
          <w:szCs w:val="18"/>
        </w:rPr>
        <w:t>国家主权评级</w:t>
      </w:r>
      <w:r w:rsidRPr="00110CAD">
        <w:rPr>
          <w:rFonts w:ascii="黑体" w:eastAsia="黑体" w:hAnsi="黑体" w:cs="Times New Roman"/>
          <w:color w:val="auto"/>
          <w:sz w:val="18"/>
          <w:szCs w:val="18"/>
        </w:rPr>
        <w:t>调整</w:t>
      </w:r>
      <w:r w:rsidRPr="00110CAD">
        <w:rPr>
          <w:rFonts w:ascii="黑体" w:eastAsia="黑体" w:hAnsi="黑体" w:cs="Times New Roman" w:hint="eastAsia"/>
          <w:color w:val="auto"/>
          <w:sz w:val="18"/>
          <w:szCs w:val="18"/>
        </w:rPr>
        <w:t>情况</w:t>
      </w:r>
    </w:p>
    <w:tbl>
      <w:tblPr>
        <w:tblW w:w="8841" w:type="dxa"/>
        <w:tblInd w:w="-142"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134"/>
        <w:gridCol w:w="993"/>
        <w:gridCol w:w="1134"/>
        <w:gridCol w:w="1134"/>
        <w:gridCol w:w="1044"/>
        <w:gridCol w:w="1134"/>
        <w:gridCol w:w="992"/>
      </w:tblGrid>
      <w:tr w:rsidR="007D2393" w:rsidRPr="00B915C0" w14:paraId="43DCE6C1" w14:textId="77777777" w:rsidTr="00BE2552">
        <w:trPr>
          <w:trHeight w:val="283"/>
        </w:trPr>
        <w:tc>
          <w:tcPr>
            <w:tcW w:w="1276" w:type="dxa"/>
            <w:shd w:val="clear" w:color="000000" w:fill="5262AD"/>
            <w:vAlign w:val="center"/>
            <w:hideMark/>
          </w:tcPr>
          <w:p w14:paraId="22EDD841" w14:textId="77777777" w:rsidR="007D2393" w:rsidRPr="00B915C0" w:rsidRDefault="007D2393" w:rsidP="00BE2552">
            <w:pPr>
              <w:adjustRightInd w:val="0"/>
              <w:snapToGrid w:val="0"/>
              <w:spacing w:line="240" w:lineRule="auto"/>
              <w:ind w:firstLineChars="0" w:firstLine="0"/>
              <w:jc w:val="center"/>
              <w:rPr>
                <w:rFonts w:cs="Times New Roman"/>
                <w:b/>
                <w:color w:val="FFFFFF" w:themeColor="background1"/>
                <w:sz w:val="18"/>
                <w:szCs w:val="18"/>
              </w:rPr>
            </w:pPr>
            <w:r w:rsidRPr="00B915C0">
              <w:rPr>
                <w:rFonts w:cs="Times New Roman"/>
                <w:b/>
                <w:color w:val="FFFFFF" w:themeColor="background1"/>
                <w:sz w:val="18"/>
                <w:szCs w:val="18"/>
              </w:rPr>
              <w:t>国家</w:t>
            </w:r>
          </w:p>
        </w:tc>
        <w:tc>
          <w:tcPr>
            <w:tcW w:w="1134" w:type="dxa"/>
            <w:shd w:val="clear" w:color="000000" w:fill="5262AD"/>
            <w:vAlign w:val="center"/>
            <w:hideMark/>
          </w:tcPr>
          <w:p w14:paraId="198DE99E" w14:textId="77777777" w:rsidR="007D2393" w:rsidRPr="00B915C0" w:rsidRDefault="007D2393" w:rsidP="00BE2552">
            <w:pPr>
              <w:adjustRightInd w:val="0"/>
              <w:snapToGrid w:val="0"/>
              <w:spacing w:line="240" w:lineRule="auto"/>
              <w:ind w:firstLineChars="0" w:firstLine="0"/>
              <w:jc w:val="center"/>
              <w:rPr>
                <w:rFonts w:cs="Times New Roman"/>
                <w:b/>
                <w:color w:val="FFFFFF" w:themeColor="background1"/>
                <w:sz w:val="18"/>
                <w:szCs w:val="18"/>
              </w:rPr>
            </w:pPr>
            <w:r w:rsidRPr="00B915C0">
              <w:rPr>
                <w:rFonts w:cs="Times New Roman"/>
                <w:b/>
                <w:color w:val="FFFFFF" w:themeColor="background1"/>
                <w:sz w:val="18"/>
                <w:szCs w:val="18"/>
              </w:rPr>
              <w:t>最新评级</w:t>
            </w:r>
          </w:p>
        </w:tc>
        <w:tc>
          <w:tcPr>
            <w:tcW w:w="993" w:type="dxa"/>
            <w:shd w:val="clear" w:color="000000" w:fill="5262AD"/>
            <w:vAlign w:val="center"/>
            <w:hideMark/>
          </w:tcPr>
          <w:p w14:paraId="7448081F" w14:textId="77777777" w:rsidR="007D2393" w:rsidRPr="00B915C0" w:rsidRDefault="007D2393" w:rsidP="00BE2552">
            <w:pPr>
              <w:adjustRightInd w:val="0"/>
              <w:snapToGrid w:val="0"/>
              <w:spacing w:line="240" w:lineRule="auto"/>
              <w:ind w:firstLineChars="0" w:firstLine="0"/>
              <w:jc w:val="center"/>
              <w:rPr>
                <w:rFonts w:cs="Times New Roman"/>
                <w:b/>
                <w:color w:val="FFFFFF" w:themeColor="background1"/>
                <w:sz w:val="18"/>
                <w:szCs w:val="18"/>
              </w:rPr>
            </w:pPr>
            <w:r w:rsidRPr="00B915C0">
              <w:rPr>
                <w:rFonts w:cs="Times New Roman"/>
                <w:b/>
                <w:color w:val="FFFFFF" w:themeColor="background1"/>
                <w:sz w:val="18"/>
                <w:szCs w:val="18"/>
              </w:rPr>
              <w:t>评级展望</w:t>
            </w:r>
          </w:p>
        </w:tc>
        <w:tc>
          <w:tcPr>
            <w:tcW w:w="1134" w:type="dxa"/>
            <w:shd w:val="clear" w:color="000000" w:fill="5262AD"/>
            <w:vAlign w:val="center"/>
            <w:hideMark/>
          </w:tcPr>
          <w:p w14:paraId="0A6C702C" w14:textId="77777777" w:rsidR="007D2393" w:rsidRPr="00B915C0" w:rsidRDefault="007D2393" w:rsidP="00BE2552">
            <w:pPr>
              <w:adjustRightInd w:val="0"/>
              <w:snapToGrid w:val="0"/>
              <w:spacing w:line="240" w:lineRule="auto"/>
              <w:ind w:firstLineChars="0" w:firstLine="0"/>
              <w:jc w:val="center"/>
              <w:rPr>
                <w:rFonts w:cs="Times New Roman"/>
                <w:b/>
                <w:color w:val="FFFFFF" w:themeColor="background1"/>
                <w:sz w:val="18"/>
                <w:szCs w:val="18"/>
              </w:rPr>
            </w:pPr>
            <w:r w:rsidRPr="00B915C0">
              <w:rPr>
                <w:rFonts w:cs="Times New Roman"/>
                <w:b/>
                <w:color w:val="FFFFFF" w:themeColor="background1"/>
                <w:sz w:val="18"/>
                <w:szCs w:val="18"/>
              </w:rPr>
              <w:t>评级日期</w:t>
            </w:r>
          </w:p>
        </w:tc>
        <w:tc>
          <w:tcPr>
            <w:tcW w:w="1134" w:type="dxa"/>
            <w:shd w:val="clear" w:color="000000" w:fill="5262AD"/>
            <w:vAlign w:val="center"/>
            <w:hideMark/>
          </w:tcPr>
          <w:p w14:paraId="7D17F277" w14:textId="77777777" w:rsidR="007D2393" w:rsidRPr="00B915C0" w:rsidRDefault="007D2393" w:rsidP="00BE2552">
            <w:pPr>
              <w:adjustRightInd w:val="0"/>
              <w:snapToGrid w:val="0"/>
              <w:spacing w:line="240" w:lineRule="auto"/>
              <w:ind w:firstLineChars="0" w:firstLine="0"/>
              <w:jc w:val="center"/>
              <w:rPr>
                <w:rFonts w:cs="Times New Roman"/>
                <w:b/>
                <w:color w:val="FFFFFF" w:themeColor="background1"/>
                <w:sz w:val="18"/>
                <w:szCs w:val="18"/>
              </w:rPr>
            </w:pPr>
            <w:r w:rsidRPr="00B915C0">
              <w:rPr>
                <w:rFonts w:cs="Times New Roman"/>
                <w:b/>
                <w:color w:val="FFFFFF" w:themeColor="background1"/>
                <w:sz w:val="18"/>
                <w:szCs w:val="18"/>
              </w:rPr>
              <w:t>上次评级</w:t>
            </w:r>
          </w:p>
        </w:tc>
        <w:tc>
          <w:tcPr>
            <w:tcW w:w="1044" w:type="dxa"/>
            <w:shd w:val="clear" w:color="000000" w:fill="5262AD"/>
            <w:vAlign w:val="center"/>
            <w:hideMark/>
          </w:tcPr>
          <w:p w14:paraId="1ABDBF10" w14:textId="77777777" w:rsidR="007D2393" w:rsidRPr="00B915C0" w:rsidRDefault="007D2393" w:rsidP="00BE2552">
            <w:pPr>
              <w:adjustRightInd w:val="0"/>
              <w:snapToGrid w:val="0"/>
              <w:spacing w:line="240" w:lineRule="auto"/>
              <w:ind w:firstLineChars="0" w:firstLine="0"/>
              <w:jc w:val="center"/>
              <w:rPr>
                <w:rFonts w:cs="Times New Roman"/>
                <w:b/>
                <w:color w:val="FFFFFF" w:themeColor="background1"/>
                <w:sz w:val="18"/>
                <w:szCs w:val="18"/>
              </w:rPr>
            </w:pPr>
            <w:r w:rsidRPr="00B915C0">
              <w:rPr>
                <w:rFonts w:cs="Times New Roman"/>
                <w:b/>
                <w:color w:val="FFFFFF" w:themeColor="background1"/>
                <w:sz w:val="18"/>
                <w:szCs w:val="18"/>
              </w:rPr>
              <w:t>上次</w:t>
            </w:r>
          </w:p>
          <w:p w14:paraId="7C5777CA" w14:textId="77777777" w:rsidR="007D2393" w:rsidRPr="00B915C0" w:rsidRDefault="007D2393" w:rsidP="00BE2552">
            <w:pPr>
              <w:adjustRightInd w:val="0"/>
              <w:snapToGrid w:val="0"/>
              <w:spacing w:line="240" w:lineRule="auto"/>
              <w:ind w:firstLineChars="0" w:firstLine="0"/>
              <w:jc w:val="center"/>
              <w:rPr>
                <w:rFonts w:cs="Times New Roman"/>
                <w:b/>
                <w:color w:val="FFFFFF" w:themeColor="background1"/>
                <w:sz w:val="18"/>
                <w:szCs w:val="18"/>
              </w:rPr>
            </w:pPr>
            <w:r w:rsidRPr="00B915C0">
              <w:rPr>
                <w:rFonts w:cs="Times New Roman"/>
                <w:b/>
                <w:color w:val="FFFFFF" w:themeColor="background1"/>
                <w:sz w:val="18"/>
                <w:szCs w:val="18"/>
              </w:rPr>
              <w:t>评级展望</w:t>
            </w:r>
          </w:p>
        </w:tc>
        <w:tc>
          <w:tcPr>
            <w:tcW w:w="1134" w:type="dxa"/>
            <w:shd w:val="clear" w:color="000000" w:fill="5262AD"/>
            <w:vAlign w:val="center"/>
          </w:tcPr>
          <w:p w14:paraId="429B7C50" w14:textId="77777777" w:rsidR="007D2393" w:rsidRPr="00B915C0" w:rsidRDefault="007D2393" w:rsidP="00BE2552">
            <w:pPr>
              <w:adjustRightInd w:val="0"/>
              <w:snapToGrid w:val="0"/>
              <w:spacing w:line="240" w:lineRule="auto"/>
              <w:ind w:firstLineChars="0" w:firstLine="0"/>
              <w:jc w:val="center"/>
              <w:rPr>
                <w:rFonts w:cs="Times New Roman"/>
                <w:b/>
                <w:color w:val="FFFFFF" w:themeColor="background1"/>
                <w:sz w:val="18"/>
                <w:szCs w:val="18"/>
              </w:rPr>
            </w:pPr>
            <w:r w:rsidRPr="00B915C0">
              <w:rPr>
                <w:rFonts w:cs="Times New Roman"/>
                <w:b/>
                <w:color w:val="FFFFFF" w:themeColor="background1"/>
                <w:sz w:val="18"/>
                <w:szCs w:val="18"/>
              </w:rPr>
              <w:t>上次</w:t>
            </w:r>
          </w:p>
          <w:p w14:paraId="61FCF3AF" w14:textId="77777777" w:rsidR="007D2393" w:rsidRPr="00B915C0" w:rsidRDefault="007D2393" w:rsidP="00BE2552">
            <w:pPr>
              <w:adjustRightInd w:val="0"/>
              <w:snapToGrid w:val="0"/>
              <w:spacing w:line="240" w:lineRule="auto"/>
              <w:ind w:firstLineChars="0" w:firstLine="0"/>
              <w:jc w:val="center"/>
              <w:rPr>
                <w:rFonts w:cs="Times New Roman"/>
                <w:b/>
                <w:color w:val="FFFFFF" w:themeColor="background1"/>
                <w:sz w:val="18"/>
                <w:szCs w:val="18"/>
              </w:rPr>
            </w:pPr>
            <w:r w:rsidRPr="00B915C0">
              <w:rPr>
                <w:rFonts w:cs="Times New Roman"/>
                <w:b/>
                <w:color w:val="FFFFFF" w:themeColor="background1"/>
                <w:sz w:val="18"/>
                <w:szCs w:val="18"/>
              </w:rPr>
              <w:t>评级日期</w:t>
            </w:r>
          </w:p>
        </w:tc>
        <w:tc>
          <w:tcPr>
            <w:tcW w:w="992" w:type="dxa"/>
            <w:shd w:val="clear" w:color="000000" w:fill="5262AD"/>
            <w:vAlign w:val="center"/>
          </w:tcPr>
          <w:p w14:paraId="401D6C9F" w14:textId="77777777" w:rsidR="007D2393" w:rsidRPr="00B915C0" w:rsidRDefault="007D2393" w:rsidP="00BE2552">
            <w:pPr>
              <w:adjustRightInd w:val="0"/>
              <w:snapToGrid w:val="0"/>
              <w:spacing w:line="240" w:lineRule="auto"/>
              <w:ind w:firstLineChars="0" w:firstLine="0"/>
              <w:jc w:val="center"/>
              <w:rPr>
                <w:rFonts w:cs="Times New Roman"/>
                <w:b/>
                <w:color w:val="FFFFFF" w:themeColor="background1"/>
                <w:sz w:val="18"/>
                <w:szCs w:val="18"/>
              </w:rPr>
            </w:pPr>
            <w:r w:rsidRPr="00B915C0">
              <w:rPr>
                <w:rFonts w:cs="Times New Roman"/>
                <w:b/>
                <w:color w:val="FFFFFF" w:themeColor="background1"/>
                <w:sz w:val="18"/>
                <w:szCs w:val="18"/>
              </w:rPr>
              <w:t>评级变动</w:t>
            </w:r>
          </w:p>
        </w:tc>
      </w:tr>
      <w:tr w:rsidR="007D2393" w:rsidRPr="00B915C0" w14:paraId="2430F0F2" w14:textId="77777777" w:rsidTr="00BE2552">
        <w:trPr>
          <w:trHeight w:val="283"/>
        </w:trPr>
        <w:tc>
          <w:tcPr>
            <w:tcW w:w="8841" w:type="dxa"/>
            <w:gridSpan w:val="8"/>
            <w:shd w:val="clear" w:color="auto" w:fill="D9E2F3" w:themeFill="accent5" w:themeFillTint="33"/>
            <w:vAlign w:val="center"/>
          </w:tcPr>
          <w:p w14:paraId="0C8D4F89" w14:textId="77777777" w:rsidR="007D2393" w:rsidRPr="00B915C0" w:rsidRDefault="007D2393" w:rsidP="00BE2552">
            <w:pPr>
              <w:adjustRightInd w:val="0"/>
              <w:snapToGrid w:val="0"/>
              <w:spacing w:line="240" w:lineRule="auto"/>
              <w:ind w:firstLineChars="0" w:firstLine="0"/>
              <w:jc w:val="left"/>
              <w:rPr>
                <w:color w:val="000000" w:themeColor="text1"/>
                <w:sz w:val="18"/>
                <w:szCs w:val="18"/>
              </w:rPr>
            </w:pPr>
            <w:r w:rsidRPr="00B915C0">
              <w:rPr>
                <w:rFonts w:hint="eastAsia"/>
                <w:b/>
                <w:color w:val="auto"/>
                <w:sz w:val="18"/>
                <w:szCs w:val="18"/>
              </w:rPr>
              <w:t>标普（</w:t>
            </w:r>
            <w:r w:rsidRPr="00B915C0">
              <w:rPr>
                <w:b/>
                <w:color w:val="auto"/>
                <w:sz w:val="18"/>
                <w:szCs w:val="18"/>
              </w:rPr>
              <w:t>S</w:t>
            </w:r>
            <w:r w:rsidRPr="00B915C0">
              <w:rPr>
                <w:rFonts w:hint="eastAsia"/>
                <w:b/>
                <w:color w:val="auto"/>
                <w:sz w:val="18"/>
                <w:szCs w:val="18"/>
              </w:rPr>
              <w:t>&amp;</w:t>
            </w:r>
            <w:r w:rsidRPr="00B915C0">
              <w:rPr>
                <w:b/>
                <w:color w:val="auto"/>
                <w:sz w:val="18"/>
                <w:szCs w:val="18"/>
              </w:rPr>
              <w:t>P</w:t>
            </w:r>
            <w:r w:rsidRPr="00B915C0">
              <w:rPr>
                <w:rFonts w:hint="eastAsia"/>
                <w:b/>
                <w:color w:val="auto"/>
                <w:sz w:val="18"/>
                <w:szCs w:val="18"/>
              </w:rPr>
              <w:t>）</w:t>
            </w:r>
          </w:p>
        </w:tc>
      </w:tr>
      <w:tr w:rsidR="007D2393" w:rsidRPr="00B915C0" w14:paraId="6555D28D" w14:textId="77777777" w:rsidTr="00BE2552">
        <w:trPr>
          <w:trHeight w:val="283"/>
        </w:trPr>
        <w:tc>
          <w:tcPr>
            <w:tcW w:w="1276" w:type="dxa"/>
            <w:shd w:val="clear" w:color="auto" w:fill="FFFFFF" w:themeFill="background1"/>
            <w:vAlign w:val="center"/>
          </w:tcPr>
          <w:p w14:paraId="049833E8" w14:textId="77777777" w:rsidR="007D2393" w:rsidRPr="00B915C0" w:rsidRDefault="007D2393" w:rsidP="00BE2552">
            <w:pPr>
              <w:adjustRightInd w:val="0"/>
              <w:snapToGrid w:val="0"/>
              <w:spacing w:line="240" w:lineRule="auto"/>
              <w:ind w:firstLineChars="0" w:firstLine="0"/>
              <w:jc w:val="center"/>
              <w:rPr>
                <w:color w:val="auto"/>
                <w:sz w:val="18"/>
                <w:szCs w:val="18"/>
              </w:rPr>
            </w:pPr>
            <w:r>
              <w:rPr>
                <w:rFonts w:hint="eastAsia"/>
                <w:color w:val="auto"/>
                <w:sz w:val="18"/>
                <w:szCs w:val="18"/>
              </w:rPr>
              <w:t>危地马拉</w:t>
            </w:r>
          </w:p>
        </w:tc>
        <w:tc>
          <w:tcPr>
            <w:tcW w:w="1134" w:type="dxa"/>
            <w:shd w:val="clear" w:color="auto" w:fill="FFFFFF" w:themeFill="background1"/>
            <w:vAlign w:val="center"/>
          </w:tcPr>
          <w:p w14:paraId="5E0C0367" w14:textId="77777777" w:rsidR="007D2393" w:rsidRPr="00B915C0" w:rsidRDefault="007D2393" w:rsidP="00BE2552">
            <w:pPr>
              <w:adjustRightInd w:val="0"/>
              <w:snapToGrid w:val="0"/>
              <w:spacing w:line="240" w:lineRule="auto"/>
              <w:ind w:firstLineChars="0" w:firstLine="0"/>
              <w:jc w:val="center"/>
              <w:rPr>
                <w:rFonts w:cs="Times New Roman"/>
                <w:color w:val="auto"/>
                <w:sz w:val="18"/>
                <w:szCs w:val="18"/>
              </w:rPr>
            </w:pPr>
            <w:r>
              <w:rPr>
                <w:rFonts w:cs="Times New Roman"/>
                <w:color w:val="auto"/>
                <w:sz w:val="18"/>
                <w:szCs w:val="18"/>
              </w:rPr>
              <w:t>BB/BB-</w:t>
            </w:r>
          </w:p>
        </w:tc>
        <w:tc>
          <w:tcPr>
            <w:tcW w:w="993" w:type="dxa"/>
            <w:shd w:val="clear" w:color="auto" w:fill="FFFFFF" w:themeFill="background1"/>
            <w:vAlign w:val="center"/>
          </w:tcPr>
          <w:p w14:paraId="0DEB6222" w14:textId="77777777" w:rsidR="007D2393" w:rsidRPr="00B915C0" w:rsidRDefault="007D2393" w:rsidP="00BE2552">
            <w:pPr>
              <w:adjustRightInd w:val="0"/>
              <w:snapToGrid w:val="0"/>
              <w:spacing w:line="240" w:lineRule="auto"/>
              <w:ind w:firstLineChars="0" w:firstLine="0"/>
              <w:jc w:val="center"/>
              <w:rPr>
                <w:color w:val="auto"/>
                <w:sz w:val="18"/>
                <w:szCs w:val="18"/>
              </w:rPr>
            </w:pPr>
            <w:r>
              <w:rPr>
                <w:rFonts w:hint="eastAsia"/>
                <w:color w:val="auto"/>
                <w:sz w:val="18"/>
                <w:szCs w:val="18"/>
              </w:rPr>
              <w:t>列入负面观察清单</w:t>
            </w:r>
          </w:p>
        </w:tc>
        <w:tc>
          <w:tcPr>
            <w:tcW w:w="1134" w:type="dxa"/>
            <w:shd w:val="clear" w:color="auto" w:fill="FFFFFF" w:themeFill="background1"/>
            <w:vAlign w:val="center"/>
          </w:tcPr>
          <w:p w14:paraId="1A20726B" w14:textId="77777777" w:rsidR="007D2393" w:rsidRPr="00B915C0" w:rsidRDefault="007D2393" w:rsidP="00BE2552">
            <w:pPr>
              <w:adjustRightInd w:val="0"/>
              <w:snapToGrid w:val="0"/>
              <w:spacing w:line="240" w:lineRule="auto"/>
              <w:ind w:firstLineChars="0" w:firstLine="0"/>
              <w:jc w:val="center"/>
              <w:rPr>
                <w:rFonts w:cs="Times New Roman"/>
                <w:color w:val="auto"/>
                <w:sz w:val="18"/>
                <w:szCs w:val="18"/>
              </w:rPr>
            </w:pPr>
            <w:r>
              <w:rPr>
                <w:rFonts w:cs="Times New Roman" w:hint="eastAsia"/>
                <w:color w:val="000000"/>
                <w:sz w:val="18"/>
                <w:szCs w:val="18"/>
              </w:rPr>
              <w:t>2</w:t>
            </w:r>
            <w:r>
              <w:rPr>
                <w:rFonts w:cs="Times New Roman"/>
                <w:color w:val="000000"/>
                <w:sz w:val="18"/>
                <w:szCs w:val="18"/>
              </w:rPr>
              <w:t>020/11/20</w:t>
            </w:r>
          </w:p>
        </w:tc>
        <w:tc>
          <w:tcPr>
            <w:tcW w:w="1134" w:type="dxa"/>
            <w:shd w:val="clear" w:color="auto" w:fill="FFFFFF" w:themeFill="background1"/>
            <w:vAlign w:val="center"/>
          </w:tcPr>
          <w:p w14:paraId="69D231F5" w14:textId="77777777" w:rsidR="007D2393" w:rsidRPr="00B915C0" w:rsidRDefault="007D2393" w:rsidP="00BE2552">
            <w:pPr>
              <w:adjustRightInd w:val="0"/>
              <w:snapToGrid w:val="0"/>
              <w:spacing w:line="240" w:lineRule="auto"/>
              <w:ind w:firstLineChars="0" w:firstLine="0"/>
              <w:jc w:val="center"/>
              <w:rPr>
                <w:rFonts w:cs="Times New Roman"/>
                <w:color w:val="auto"/>
                <w:sz w:val="18"/>
                <w:szCs w:val="18"/>
              </w:rPr>
            </w:pPr>
            <w:r>
              <w:rPr>
                <w:rFonts w:cs="Times New Roman"/>
                <w:color w:val="auto"/>
                <w:sz w:val="18"/>
                <w:szCs w:val="18"/>
              </w:rPr>
              <w:t>BB/BB-</w:t>
            </w:r>
          </w:p>
        </w:tc>
        <w:tc>
          <w:tcPr>
            <w:tcW w:w="1044" w:type="dxa"/>
            <w:shd w:val="clear" w:color="auto" w:fill="FFFFFF" w:themeFill="background1"/>
            <w:vAlign w:val="center"/>
          </w:tcPr>
          <w:p w14:paraId="3FD381F5" w14:textId="77777777" w:rsidR="007D2393" w:rsidRPr="00B915C0" w:rsidRDefault="007D2393" w:rsidP="00BE2552">
            <w:pPr>
              <w:adjustRightInd w:val="0"/>
              <w:snapToGrid w:val="0"/>
              <w:spacing w:line="240" w:lineRule="auto"/>
              <w:ind w:firstLineChars="0" w:firstLine="0"/>
              <w:jc w:val="center"/>
              <w:rPr>
                <w:color w:val="auto"/>
                <w:sz w:val="18"/>
                <w:szCs w:val="18"/>
              </w:rPr>
            </w:pPr>
            <w:r>
              <w:rPr>
                <w:rFonts w:hint="eastAsia"/>
                <w:color w:val="auto"/>
                <w:sz w:val="18"/>
                <w:szCs w:val="18"/>
              </w:rPr>
              <w:t>稳定</w:t>
            </w:r>
          </w:p>
        </w:tc>
        <w:tc>
          <w:tcPr>
            <w:tcW w:w="1134" w:type="dxa"/>
            <w:shd w:val="clear" w:color="auto" w:fill="FFFFFF" w:themeFill="background1"/>
            <w:vAlign w:val="center"/>
          </w:tcPr>
          <w:p w14:paraId="302D7ACF" w14:textId="77777777" w:rsidR="007D2393" w:rsidRPr="00B915C0" w:rsidRDefault="007D2393" w:rsidP="00BE2552">
            <w:pPr>
              <w:spacing w:line="240" w:lineRule="auto"/>
              <w:ind w:firstLineChars="0" w:firstLine="0"/>
              <w:jc w:val="center"/>
              <w:rPr>
                <w:rFonts w:cs="Times New Roman"/>
                <w:color w:val="auto"/>
                <w:sz w:val="18"/>
                <w:szCs w:val="18"/>
              </w:rPr>
            </w:pPr>
            <w:r>
              <w:rPr>
                <w:rFonts w:cs="Times New Roman" w:hint="eastAsia"/>
                <w:color w:val="000000"/>
                <w:sz w:val="18"/>
                <w:szCs w:val="18"/>
              </w:rPr>
              <w:t>2</w:t>
            </w:r>
            <w:r>
              <w:rPr>
                <w:rFonts w:cs="Times New Roman"/>
                <w:color w:val="000000"/>
                <w:sz w:val="18"/>
                <w:szCs w:val="18"/>
              </w:rPr>
              <w:t>017/10/18</w:t>
            </w:r>
          </w:p>
        </w:tc>
        <w:tc>
          <w:tcPr>
            <w:tcW w:w="992" w:type="dxa"/>
            <w:shd w:val="clear" w:color="auto" w:fill="FFFFFF" w:themeFill="background1"/>
            <w:vAlign w:val="center"/>
          </w:tcPr>
          <w:p w14:paraId="5BCD12C4" w14:textId="77777777" w:rsidR="007D2393" w:rsidRPr="00B915C0" w:rsidRDefault="007D2393" w:rsidP="00BE2552">
            <w:pPr>
              <w:adjustRightInd w:val="0"/>
              <w:snapToGrid w:val="0"/>
              <w:spacing w:line="240" w:lineRule="auto"/>
              <w:ind w:firstLineChars="0" w:firstLine="0"/>
              <w:jc w:val="center"/>
              <w:rPr>
                <w:color w:val="auto"/>
                <w:sz w:val="18"/>
                <w:szCs w:val="18"/>
              </w:rPr>
            </w:pPr>
            <w:r>
              <w:rPr>
                <w:rFonts w:hint="eastAsia"/>
                <w:color w:val="00B050"/>
                <w:sz w:val="18"/>
                <w:szCs w:val="18"/>
              </w:rPr>
              <w:t>下调展望</w:t>
            </w:r>
          </w:p>
        </w:tc>
      </w:tr>
      <w:tr w:rsidR="007D2393" w:rsidRPr="00B915C0" w14:paraId="1E4E6EE1" w14:textId="77777777" w:rsidTr="00BE2552">
        <w:trPr>
          <w:trHeight w:val="283"/>
        </w:trPr>
        <w:tc>
          <w:tcPr>
            <w:tcW w:w="8841" w:type="dxa"/>
            <w:gridSpan w:val="8"/>
            <w:shd w:val="clear" w:color="auto" w:fill="D9E2F3" w:themeFill="accent5" w:themeFillTint="33"/>
            <w:vAlign w:val="center"/>
          </w:tcPr>
          <w:p w14:paraId="287B53E6" w14:textId="77777777" w:rsidR="007D2393" w:rsidRPr="00B915C0" w:rsidRDefault="007D2393" w:rsidP="00BE2552">
            <w:pPr>
              <w:adjustRightInd w:val="0"/>
              <w:snapToGrid w:val="0"/>
              <w:spacing w:line="240" w:lineRule="auto"/>
              <w:ind w:firstLineChars="0" w:firstLine="0"/>
              <w:jc w:val="left"/>
              <w:rPr>
                <w:color w:val="auto"/>
                <w:sz w:val="18"/>
                <w:szCs w:val="18"/>
              </w:rPr>
            </w:pPr>
            <w:r w:rsidRPr="00B915C0">
              <w:rPr>
                <w:rFonts w:hint="eastAsia"/>
                <w:b/>
                <w:color w:val="auto"/>
                <w:sz w:val="18"/>
                <w:szCs w:val="18"/>
              </w:rPr>
              <w:t>惠誉（</w:t>
            </w:r>
            <w:r w:rsidRPr="00B915C0">
              <w:rPr>
                <w:b/>
                <w:color w:val="auto"/>
                <w:sz w:val="18"/>
                <w:szCs w:val="18"/>
              </w:rPr>
              <w:t>Fitch</w:t>
            </w:r>
            <w:r w:rsidRPr="00B915C0">
              <w:rPr>
                <w:rFonts w:hint="eastAsia"/>
                <w:b/>
                <w:color w:val="auto"/>
                <w:sz w:val="18"/>
                <w:szCs w:val="18"/>
              </w:rPr>
              <w:t>）</w:t>
            </w:r>
          </w:p>
        </w:tc>
      </w:tr>
      <w:tr w:rsidR="007D2393" w:rsidRPr="00B915C0" w14:paraId="3CF7A59E" w14:textId="77777777" w:rsidTr="00BE2552">
        <w:trPr>
          <w:trHeight w:val="283"/>
        </w:trPr>
        <w:tc>
          <w:tcPr>
            <w:tcW w:w="1276" w:type="dxa"/>
            <w:shd w:val="clear" w:color="auto" w:fill="FFFFFF" w:themeFill="background1"/>
            <w:vAlign w:val="center"/>
          </w:tcPr>
          <w:p w14:paraId="42007CCA" w14:textId="77777777" w:rsidR="007D2393" w:rsidRDefault="007D2393" w:rsidP="00BE2552">
            <w:pPr>
              <w:adjustRightInd w:val="0"/>
              <w:snapToGrid w:val="0"/>
              <w:spacing w:line="240" w:lineRule="auto"/>
              <w:ind w:firstLineChars="0" w:firstLine="0"/>
              <w:jc w:val="center"/>
              <w:rPr>
                <w:color w:val="000000"/>
                <w:sz w:val="18"/>
                <w:szCs w:val="18"/>
              </w:rPr>
            </w:pPr>
            <w:r>
              <w:rPr>
                <w:rFonts w:hint="eastAsia"/>
                <w:color w:val="000000"/>
                <w:sz w:val="18"/>
                <w:szCs w:val="18"/>
              </w:rPr>
              <w:t>危地马拉</w:t>
            </w:r>
          </w:p>
        </w:tc>
        <w:tc>
          <w:tcPr>
            <w:tcW w:w="1134" w:type="dxa"/>
            <w:shd w:val="clear" w:color="auto" w:fill="FFFFFF" w:themeFill="background1"/>
            <w:vAlign w:val="center"/>
          </w:tcPr>
          <w:p w14:paraId="27C01D10" w14:textId="77777777" w:rsidR="007D2393" w:rsidRDefault="007D2393" w:rsidP="00BE2552">
            <w:pPr>
              <w:adjustRightInd w:val="0"/>
              <w:snapToGrid w:val="0"/>
              <w:spacing w:line="240" w:lineRule="auto"/>
              <w:ind w:firstLineChars="0" w:firstLine="0"/>
              <w:jc w:val="center"/>
              <w:rPr>
                <w:rFonts w:cs="Times New Roman"/>
                <w:color w:val="000000"/>
                <w:sz w:val="18"/>
                <w:szCs w:val="18"/>
              </w:rPr>
            </w:pPr>
            <w:r>
              <w:rPr>
                <w:rFonts w:cs="Times New Roman"/>
                <w:color w:val="000000"/>
                <w:sz w:val="18"/>
                <w:szCs w:val="18"/>
              </w:rPr>
              <w:t>BB-/BB-</w:t>
            </w:r>
          </w:p>
        </w:tc>
        <w:tc>
          <w:tcPr>
            <w:tcW w:w="993" w:type="dxa"/>
            <w:shd w:val="clear" w:color="auto" w:fill="FFFFFF" w:themeFill="background1"/>
            <w:vAlign w:val="center"/>
          </w:tcPr>
          <w:p w14:paraId="1027B3D3" w14:textId="77777777" w:rsidR="007D2393" w:rsidRDefault="007D2393" w:rsidP="00BE2552">
            <w:pPr>
              <w:adjustRightInd w:val="0"/>
              <w:snapToGrid w:val="0"/>
              <w:spacing w:line="240" w:lineRule="auto"/>
              <w:ind w:firstLineChars="0" w:firstLine="0"/>
              <w:jc w:val="center"/>
              <w:rPr>
                <w:color w:val="000000"/>
                <w:sz w:val="18"/>
                <w:szCs w:val="18"/>
              </w:rPr>
            </w:pPr>
            <w:r>
              <w:rPr>
                <w:rFonts w:hint="eastAsia"/>
                <w:color w:val="000000"/>
                <w:sz w:val="18"/>
                <w:szCs w:val="18"/>
              </w:rPr>
              <w:t>负面</w:t>
            </w:r>
          </w:p>
        </w:tc>
        <w:tc>
          <w:tcPr>
            <w:tcW w:w="1134" w:type="dxa"/>
            <w:shd w:val="clear" w:color="auto" w:fill="FFFFFF" w:themeFill="background1"/>
            <w:vAlign w:val="center"/>
          </w:tcPr>
          <w:p w14:paraId="5E2A644A" w14:textId="77777777" w:rsidR="007D2393" w:rsidRPr="006F31F5" w:rsidRDefault="007D2393" w:rsidP="00BE2552">
            <w:pPr>
              <w:adjustRightInd w:val="0"/>
              <w:snapToGrid w:val="0"/>
              <w:spacing w:line="240" w:lineRule="auto"/>
              <w:ind w:firstLineChars="0" w:firstLine="0"/>
              <w:jc w:val="center"/>
              <w:rPr>
                <w:rFonts w:cs="Times New Roman"/>
                <w:color w:val="000000"/>
                <w:sz w:val="18"/>
                <w:szCs w:val="18"/>
              </w:rPr>
            </w:pPr>
            <w:r w:rsidRPr="006F31F5">
              <w:rPr>
                <w:rFonts w:cs="Times New Roman" w:hint="eastAsia"/>
                <w:color w:val="000000"/>
                <w:sz w:val="18"/>
                <w:szCs w:val="18"/>
              </w:rPr>
              <w:t>2</w:t>
            </w:r>
            <w:r>
              <w:rPr>
                <w:rFonts w:cs="Times New Roman"/>
                <w:color w:val="000000"/>
                <w:sz w:val="18"/>
                <w:szCs w:val="18"/>
              </w:rPr>
              <w:t>020/11/17</w:t>
            </w:r>
          </w:p>
        </w:tc>
        <w:tc>
          <w:tcPr>
            <w:tcW w:w="1134" w:type="dxa"/>
            <w:shd w:val="clear" w:color="auto" w:fill="FFFFFF" w:themeFill="background1"/>
            <w:vAlign w:val="center"/>
          </w:tcPr>
          <w:p w14:paraId="1B566565" w14:textId="77777777" w:rsidR="007D2393" w:rsidRDefault="007D2393" w:rsidP="00BE2552">
            <w:pPr>
              <w:adjustRightInd w:val="0"/>
              <w:snapToGrid w:val="0"/>
              <w:spacing w:line="240" w:lineRule="auto"/>
              <w:ind w:firstLineChars="0" w:firstLine="0"/>
              <w:jc w:val="center"/>
              <w:rPr>
                <w:rFonts w:cs="Times New Roman"/>
                <w:color w:val="000000"/>
                <w:sz w:val="18"/>
                <w:szCs w:val="18"/>
              </w:rPr>
            </w:pPr>
            <w:r>
              <w:rPr>
                <w:rFonts w:cs="Times New Roman"/>
                <w:color w:val="000000"/>
                <w:sz w:val="18"/>
                <w:szCs w:val="18"/>
              </w:rPr>
              <w:t>BB-/BB-</w:t>
            </w:r>
          </w:p>
        </w:tc>
        <w:tc>
          <w:tcPr>
            <w:tcW w:w="1044" w:type="dxa"/>
            <w:shd w:val="clear" w:color="auto" w:fill="FFFFFF" w:themeFill="background1"/>
            <w:vAlign w:val="center"/>
          </w:tcPr>
          <w:p w14:paraId="5C7C867E" w14:textId="77777777" w:rsidR="007D2393" w:rsidRDefault="007D2393" w:rsidP="00BE2552">
            <w:pPr>
              <w:adjustRightInd w:val="0"/>
              <w:snapToGrid w:val="0"/>
              <w:spacing w:line="240" w:lineRule="auto"/>
              <w:ind w:firstLineChars="0" w:firstLine="0"/>
              <w:jc w:val="center"/>
              <w:rPr>
                <w:color w:val="000000"/>
                <w:sz w:val="18"/>
                <w:szCs w:val="18"/>
              </w:rPr>
            </w:pPr>
            <w:r>
              <w:rPr>
                <w:rFonts w:hint="eastAsia"/>
                <w:color w:val="000000"/>
                <w:sz w:val="18"/>
                <w:szCs w:val="18"/>
              </w:rPr>
              <w:t>稳定</w:t>
            </w:r>
          </w:p>
        </w:tc>
        <w:tc>
          <w:tcPr>
            <w:tcW w:w="1134" w:type="dxa"/>
            <w:shd w:val="clear" w:color="auto" w:fill="FFFFFF" w:themeFill="background1"/>
            <w:vAlign w:val="center"/>
          </w:tcPr>
          <w:p w14:paraId="30406F75" w14:textId="77777777" w:rsidR="007D2393" w:rsidRDefault="007D2393" w:rsidP="00BE2552">
            <w:pPr>
              <w:spacing w:line="240" w:lineRule="auto"/>
              <w:ind w:firstLineChars="0" w:firstLine="0"/>
              <w:jc w:val="center"/>
              <w:rPr>
                <w:rFonts w:cs="Times New Roman"/>
                <w:color w:val="auto"/>
                <w:sz w:val="18"/>
                <w:szCs w:val="18"/>
              </w:rPr>
            </w:pPr>
            <w:r>
              <w:rPr>
                <w:rFonts w:cs="Times New Roman" w:hint="eastAsia"/>
                <w:color w:val="auto"/>
                <w:sz w:val="18"/>
                <w:szCs w:val="18"/>
              </w:rPr>
              <w:t>2</w:t>
            </w:r>
            <w:r>
              <w:rPr>
                <w:rFonts w:cs="Times New Roman"/>
                <w:color w:val="auto"/>
                <w:sz w:val="18"/>
                <w:szCs w:val="18"/>
              </w:rPr>
              <w:t>020/4/3</w:t>
            </w:r>
          </w:p>
        </w:tc>
        <w:tc>
          <w:tcPr>
            <w:tcW w:w="992" w:type="dxa"/>
            <w:shd w:val="clear" w:color="auto" w:fill="FFFFFF" w:themeFill="background1"/>
            <w:vAlign w:val="center"/>
          </w:tcPr>
          <w:p w14:paraId="3300B39F" w14:textId="77777777" w:rsidR="007D2393" w:rsidRDefault="007D2393" w:rsidP="00BE2552">
            <w:pPr>
              <w:adjustRightInd w:val="0"/>
              <w:snapToGrid w:val="0"/>
              <w:spacing w:line="240" w:lineRule="auto"/>
              <w:ind w:firstLineChars="0" w:firstLine="0"/>
              <w:jc w:val="center"/>
              <w:rPr>
                <w:color w:val="auto"/>
                <w:sz w:val="18"/>
                <w:szCs w:val="18"/>
              </w:rPr>
            </w:pPr>
            <w:r>
              <w:rPr>
                <w:rFonts w:hint="eastAsia"/>
                <w:color w:val="00B050"/>
                <w:sz w:val="18"/>
                <w:szCs w:val="18"/>
              </w:rPr>
              <w:t>下调展望</w:t>
            </w:r>
          </w:p>
        </w:tc>
      </w:tr>
      <w:tr w:rsidR="007D2393" w:rsidRPr="00B915C0" w14:paraId="0625AD17" w14:textId="77777777" w:rsidTr="00BE2552">
        <w:trPr>
          <w:trHeight w:val="283"/>
        </w:trPr>
        <w:tc>
          <w:tcPr>
            <w:tcW w:w="1276" w:type="dxa"/>
            <w:shd w:val="clear" w:color="auto" w:fill="FFFFFF" w:themeFill="background1"/>
            <w:vAlign w:val="center"/>
          </w:tcPr>
          <w:p w14:paraId="0399637D" w14:textId="77777777" w:rsidR="007D2393" w:rsidRDefault="007D2393" w:rsidP="00BE2552">
            <w:pPr>
              <w:adjustRightInd w:val="0"/>
              <w:snapToGrid w:val="0"/>
              <w:spacing w:line="240" w:lineRule="auto"/>
              <w:ind w:firstLineChars="0" w:firstLine="0"/>
              <w:jc w:val="center"/>
              <w:rPr>
                <w:color w:val="000000"/>
                <w:sz w:val="18"/>
                <w:szCs w:val="18"/>
              </w:rPr>
            </w:pPr>
            <w:r>
              <w:rPr>
                <w:rFonts w:hint="eastAsia"/>
                <w:color w:val="000000"/>
                <w:sz w:val="18"/>
                <w:szCs w:val="18"/>
              </w:rPr>
              <w:t>巴西</w:t>
            </w:r>
          </w:p>
        </w:tc>
        <w:tc>
          <w:tcPr>
            <w:tcW w:w="1134" w:type="dxa"/>
            <w:shd w:val="clear" w:color="auto" w:fill="FFFFFF" w:themeFill="background1"/>
            <w:vAlign w:val="center"/>
          </w:tcPr>
          <w:p w14:paraId="2E8A51A8" w14:textId="77777777" w:rsidR="007D2393" w:rsidRDefault="007D2393" w:rsidP="00BE2552">
            <w:pPr>
              <w:adjustRightInd w:val="0"/>
              <w:snapToGrid w:val="0"/>
              <w:spacing w:line="240" w:lineRule="auto"/>
              <w:ind w:firstLineChars="0" w:firstLine="0"/>
              <w:jc w:val="center"/>
              <w:rPr>
                <w:rFonts w:cs="Times New Roman"/>
                <w:color w:val="000000"/>
                <w:sz w:val="18"/>
                <w:szCs w:val="18"/>
              </w:rPr>
            </w:pPr>
            <w:r>
              <w:rPr>
                <w:rFonts w:cs="Times New Roman"/>
                <w:color w:val="000000"/>
                <w:sz w:val="18"/>
                <w:szCs w:val="18"/>
              </w:rPr>
              <w:t>BB-/BB-</w:t>
            </w:r>
          </w:p>
        </w:tc>
        <w:tc>
          <w:tcPr>
            <w:tcW w:w="993" w:type="dxa"/>
            <w:shd w:val="clear" w:color="auto" w:fill="FFFFFF" w:themeFill="background1"/>
            <w:vAlign w:val="center"/>
          </w:tcPr>
          <w:p w14:paraId="0B6B6A0F" w14:textId="77777777" w:rsidR="007D2393" w:rsidRDefault="007D2393" w:rsidP="00BE2552">
            <w:pPr>
              <w:adjustRightInd w:val="0"/>
              <w:snapToGrid w:val="0"/>
              <w:spacing w:line="240" w:lineRule="auto"/>
              <w:ind w:firstLineChars="0" w:firstLine="0"/>
              <w:jc w:val="center"/>
              <w:rPr>
                <w:color w:val="000000"/>
                <w:sz w:val="18"/>
                <w:szCs w:val="18"/>
              </w:rPr>
            </w:pPr>
            <w:r>
              <w:rPr>
                <w:rFonts w:hint="eastAsia"/>
                <w:color w:val="000000"/>
                <w:sz w:val="18"/>
                <w:szCs w:val="18"/>
              </w:rPr>
              <w:t>负面</w:t>
            </w:r>
          </w:p>
        </w:tc>
        <w:tc>
          <w:tcPr>
            <w:tcW w:w="1134" w:type="dxa"/>
            <w:shd w:val="clear" w:color="auto" w:fill="FFFFFF" w:themeFill="background1"/>
            <w:vAlign w:val="center"/>
          </w:tcPr>
          <w:p w14:paraId="32D074A0" w14:textId="77777777" w:rsidR="007D2393" w:rsidRPr="006F31F5" w:rsidRDefault="007D2393" w:rsidP="00BE2552">
            <w:pPr>
              <w:adjustRightInd w:val="0"/>
              <w:snapToGrid w:val="0"/>
              <w:spacing w:line="240" w:lineRule="auto"/>
              <w:ind w:firstLineChars="0" w:firstLine="0"/>
              <w:jc w:val="center"/>
              <w:rPr>
                <w:rFonts w:cs="Times New Roman"/>
                <w:color w:val="000000"/>
                <w:sz w:val="18"/>
                <w:szCs w:val="18"/>
              </w:rPr>
            </w:pPr>
            <w:r w:rsidRPr="006F31F5">
              <w:rPr>
                <w:rFonts w:cs="Times New Roman" w:hint="eastAsia"/>
                <w:color w:val="000000"/>
                <w:sz w:val="18"/>
                <w:szCs w:val="18"/>
              </w:rPr>
              <w:t>2</w:t>
            </w:r>
            <w:r>
              <w:rPr>
                <w:rFonts w:cs="Times New Roman"/>
                <w:color w:val="000000"/>
                <w:sz w:val="18"/>
                <w:szCs w:val="18"/>
              </w:rPr>
              <w:t>020/11/18</w:t>
            </w:r>
          </w:p>
        </w:tc>
        <w:tc>
          <w:tcPr>
            <w:tcW w:w="1134" w:type="dxa"/>
            <w:shd w:val="clear" w:color="auto" w:fill="FFFFFF" w:themeFill="background1"/>
            <w:vAlign w:val="center"/>
          </w:tcPr>
          <w:p w14:paraId="0216FA4A" w14:textId="77777777" w:rsidR="007D2393" w:rsidRDefault="007D2393" w:rsidP="00BE2552">
            <w:pPr>
              <w:adjustRightInd w:val="0"/>
              <w:snapToGrid w:val="0"/>
              <w:spacing w:line="240" w:lineRule="auto"/>
              <w:ind w:firstLineChars="0" w:firstLine="0"/>
              <w:jc w:val="center"/>
              <w:rPr>
                <w:rFonts w:cs="Times New Roman"/>
                <w:color w:val="000000"/>
                <w:sz w:val="18"/>
                <w:szCs w:val="18"/>
              </w:rPr>
            </w:pPr>
            <w:r>
              <w:rPr>
                <w:rFonts w:cs="Times New Roman"/>
                <w:color w:val="000000"/>
                <w:sz w:val="18"/>
                <w:szCs w:val="18"/>
              </w:rPr>
              <w:t>BB-/BB-</w:t>
            </w:r>
          </w:p>
        </w:tc>
        <w:tc>
          <w:tcPr>
            <w:tcW w:w="1044" w:type="dxa"/>
            <w:shd w:val="clear" w:color="auto" w:fill="FFFFFF" w:themeFill="background1"/>
            <w:vAlign w:val="center"/>
          </w:tcPr>
          <w:p w14:paraId="468CAC65" w14:textId="77777777" w:rsidR="007D2393" w:rsidRDefault="007D2393" w:rsidP="00BE2552">
            <w:pPr>
              <w:adjustRightInd w:val="0"/>
              <w:snapToGrid w:val="0"/>
              <w:spacing w:line="240" w:lineRule="auto"/>
              <w:ind w:firstLineChars="0" w:firstLine="0"/>
              <w:jc w:val="center"/>
              <w:rPr>
                <w:color w:val="000000"/>
                <w:sz w:val="18"/>
                <w:szCs w:val="18"/>
              </w:rPr>
            </w:pPr>
            <w:r>
              <w:rPr>
                <w:rFonts w:hint="eastAsia"/>
                <w:color w:val="000000"/>
                <w:sz w:val="18"/>
                <w:szCs w:val="18"/>
              </w:rPr>
              <w:t>负面</w:t>
            </w:r>
          </w:p>
        </w:tc>
        <w:tc>
          <w:tcPr>
            <w:tcW w:w="1134" w:type="dxa"/>
            <w:shd w:val="clear" w:color="auto" w:fill="FFFFFF" w:themeFill="background1"/>
            <w:vAlign w:val="center"/>
          </w:tcPr>
          <w:p w14:paraId="1DBE6B6C" w14:textId="77777777" w:rsidR="007D2393" w:rsidRDefault="007D2393" w:rsidP="00BE2552">
            <w:pPr>
              <w:spacing w:line="240" w:lineRule="auto"/>
              <w:ind w:firstLineChars="0" w:firstLine="0"/>
              <w:jc w:val="center"/>
              <w:rPr>
                <w:rFonts w:cs="Times New Roman"/>
                <w:color w:val="auto"/>
                <w:sz w:val="18"/>
                <w:szCs w:val="18"/>
              </w:rPr>
            </w:pPr>
            <w:r>
              <w:rPr>
                <w:rFonts w:cs="Times New Roman" w:hint="eastAsia"/>
                <w:color w:val="auto"/>
                <w:sz w:val="18"/>
                <w:szCs w:val="18"/>
              </w:rPr>
              <w:t>2</w:t>
            </w:r>
            <w:r>
              <w:rPr>
                <w:rFonts w:cs="Times New Roman"/>
                <w:color w:val="auto"/>
                <w:sz w:val="18"/>
                <w:szCs w:val="18"/>
              </w:rPr>
              <w:t>020/5/5</w:t>
            </w:r>
          </w:p>
        </w:tc>
        <w:tc>
          <w:tcPr>
            <w:tcW w:w="992" w:type="dxa"/>
            <w:shd w:val="clear" w:color="auto" w:fill="FFFFFF" w:themeFill="background1"/>
            <w:vAlign w:val="center"/>
          </w:tcPr>
          <w:p w14:paraId="2D2BD8B7" w14:textId="77777777" w:rsidR="007D2393" w:rsidRDefault="007D2393" w:rsidP="00BE2552">
            <w:pPr>
              <w:adjustRightInd w:val="0"/>
              <w:snapToGrid w:val="0"/>
              <w:spacing w:line="240" w:lineRule="auto"/>
              <w:ind w:firstLineChars="0" w:firstLine="0"/>
              <w:jc w:val="center"/>
              <w:rPr>
                <w:color w:val="auto"/>
                <w:sz w:val="18"/>
                <w:szCs w:val="18"/>
              </w:rPr>
            </w:pPr>
            <w:r>
              <w:rPr>
                <w:rFonts w:hint="eastAsia"/>
                <w:color w:val="auto"/>
                <w:sz w:val="18"/>
                <w:szCs w:val="18"/>
              </w:rPr>
              <w:t>不变</w:t>
            </w:r>
          </w:p>
        </w:tc>
      </w:tr>
      <w:tr w:rsidR="007D2393" w:rsidRPr="00B915C0" w14:paraId="082DFD87" w14:textId="77777777" w:rsidTr="00BE2552">
        <w:trPr>
          <w:trHeight w:val="283"/>
        </w:trPr>
        <w:tc>
          <w:tcPr>
            <w:tcW w:w="1276" w:type="dxa"/>
            <w:shd w:val="clear" w:color="auto" w:fill="FFFFFF" w:themeFill="background1"/>
            <w:vAlign w:val="center"/>
          </w:tcPr>
          <w:p w14:paraId="6E6DFF34" w14:textId="77777777" w:rsidR="007D2393" w:rsidRDefault="007D2393" w:rsidP="00BE2552">
            <w:pPr>
              <w:adjustRightInd w:val="0"/>
              <w:snapToGrid w:val="0"/>
              <w:spacing w:line="240" w:lineRule="auto"/>
              <w:ind w:firstLineChars="0" w:firstLine="0"/>
              <w:jc w:val="center"/>
              <w:rPr>
                <w:color w:val="000000"/>
                <w:sz w:val="18"/>
                <w:szCs w:val="18"/>
              </w:rPr>
            </w:pPr>
            <w:r>
              <w:rPr>
                <w:rFonts w:hint="eastAsia"/>
                <w:color w:val="000000"/>
                <w:sz w:val="18"/>
                <w:szCs w:val="18"/>
              </w:rPr>
              <w:t>阿塞拜疆</w:t>
            </w:r>
          </w:p>
        </w:tc>
        <w:tc>
          <w:tcPr>
            <w:tcW w:w="1134" w:type="dxa"/>
            <w:shd w:val="clear" w:color="auto" w:fill="FFFFFF" w:themeFill="background1"/>
            <w:vAlign w:val="center"/>
          </w:tcPr>
          <w:p w14:paraId="0CE46268" w14:textId="77777777" w:rsidR="007D2393" w:rsidRDefault="007D2393" w:rsidP="00BE2552">
            <w:pPr>
              <w:adjustRightInd w:val="0"/>
              <w:snapToGrid w:val="0"/>
              <w:spacing w:line="240" w:lineRule="auto"/>
              <w:ind w:firstLineChars="0" w:firstLine="0"/>
              <w:jc w:val="center"/>
              <w:rPr>
                <w:rFonts w:cs="Times New Roman"/>
                <w:color w:val="000000"/>
                <w:sz w:val="18"/>
                <w:szCs w:val="18"/>
              </w:rPr>
            </w:pPr>
            <w:r>
              <w:rPr>
                <w:rFonts w:cs="Times New Roman"/>
                <w:color w:val="000000"/>
                <w:sz w:val="18"/>
                <w:szCs w:val="18"/>
              </w:rPr>
              <w:t>BB+/BB+</w:t>
            </w:r>
          </w:p>
        </w:tc>
        <w:tc>
          <w:tcPr>
            <w:tcW w:w="993" w:type="dxa"/>
            <w:shd w:val="clear" w:color="auto" w:fill="FFFFFF" w:themeFill="background1"/>
            <w:vAlign w:val="center"/>
          </w:tcPr>
          <w:p w14:paraId="309FF4A4" w14:textId="77777777" w:rsidR="007D2393" w:rsidRDefault="007D2393" w:rsidP="00BE2552">
            <w:pPr>
              <w:adjustRightInd w:val="0"/>
              <w:snapToGrid w:val="0"/>
              <w:spacing w:line="240" w:lineRule="auto"/>
              <w:ind w:firstLineChars="0" w:firstLine="0"/>
              <w:jc w:val="center"/>
              <w:rPr>
                <w:color w:val="000000"/>
                <w:sz w:val="18"/>
                <w:szCs w:val="18"/>
              </w:rPr>
            </w:pPr>
            <w:r>
              <w:rPr>
                <w:rFonts w:hint="eastAsia"/>
                <w:color w:val="auto"/>
                <w:sz w:val="18"/>
                <w:szCs w:val="18"/>
              </w:rPr>
              <w:t>负面</w:t>
            </w:r>
          </w:p>
        </w:tc>
        <w:tc>
          <w:tcPr>
            <w:tcW w:w="1134" w:type="dxa"/>
            <w:shd w:val="clear" w:color="auto" w:fill="FFFFFF" w:themeFill="background1"/>
            <w:vAlign w:val="center"/>
          </w:tcPr>
          <w:p w14:paraId="03790EA6" w14:textId="77777777" w:rsidR="007D2393" w:rsidRPr="006F31F5" w:rsidRDefault="007D2393" w:rsidP="00BE2552">
            <w:pPr>
              <w:adjustRightInd w:val="0"/>
              <w:snapToGrid w:val="0"/>
              <w:spacing w:line="240" w:lineRule="auto"/>
              <w:ind w:firstLineChars="0" w:firstLine="0"/>
              <w:jc w:val="center"/>
              <w:rPr>
                <w:rFonts w:cs="Times New Roman"/>
                <w:color w:val="000000"/>
                <w:sz w:val="18"/>
                <w:szCs w:val="18"/>
              </w:rPr>
            </w:pPr>
            <w:r w:rsidRPr="006F31F5">
              <w:rPr>
                <w:rFonts w:cs="Times New Roman" w:hint="eastAsia"/>
                <w:color w:val="000000"/>
                <w:sz w:val="18"/>
                <w:szCs w:val="18"/>
              </w:rPr>
              <w:t>2</w:t>
            </w:r>
            <w:r>
              <w:rPr>
                <w:rFonts w:cs="Times New Roman"/>
                <w:color w:val="000000"/>
                <w:sz w:val="18"/>
                <w:szCs w:val="18"/>
              </w:rPr>
              <w:t>020/11/20</w:t>
            </w:r>
          </w:p>
        </w:tc>
        <w:tc>
          <w:tcPr>
            <w:tcW w:w="1134" w:type="dxa"/>
            <w:shd w:val="clear" w:color="auto" w:fill="FFFFFF" w:themeFill="background1"/>
            <w:vAlign w:val="center"/>
          </w:tcPr>
          <w:p w14:paraId="5633AC54" w14:textId="77777777" w:rsidR="007D2393" w:rsidRDefault="007D2393" w:rsidP="00BE2552">
            <w:pPr>
              <w:adjustRightInd w:val="0"/>
              <w:snapToGrid w:val="0"/>
              <w:spacing w:line="240" w:lineRule="auto"/>
              <w:ind w:firstLineChars="0" w:firstLine="0"/>
              <w:jc w:val="center"/>
              <w:rPr>
                <w:rFonts w:cs="Times New Roman"/>
                <w:color w:val="000000"/>
                <w:sz w:val="18"/>
                <w:szCs w:val="18"/>
              </w:rPr>
            </w:pPr>
            <w:r>
              <w:rPr>
                <w:rFonts w:cs="Times New Roman"/>
                <w:color w:val="000000"/>
                <w:sz w:val="18"/>
                <w:szCs w:val="18"/>
              </w:rPr>
              <w:t>BB+/BB+</w:t>
            </w:r>
          </w:p>
        </w:tc>
        <w:tc>
          <w:tcPr>
            <w:tcW w:w="1044" w:type="dxa"/>
            <w:shd w:val="clear" w:color="auto" w:fill="FFFFFF" w:themeFill="background1"/>
            <w:vAlign w:val="center"/>
          </w:tcPr>
          <w:p w14:paraId="1766EAEF" w14:textId="77777777" w:rsidR="007D2393" w:rsidRDefault="007D2393" w:rsidP="00BE2552">
            <w:pPr>
              <w:adjustRightInd w:val="0"/>
              <w:snapToGrid w:val="0"/>
              <w:spacing w:line="240" w:lineRule="auto"/>
              <w:ind w:firstLineChars="0" w:firstLine="0"/>
              <w:jc w:val="center"/>
              <w:rPr>
                <w:color w:val="000000"/>
                <w:sz w:val="18"/>
                <w:szCs w:val="18"/>
              </w:rPr>
            </w:pPr>
            <w:r>
              <w:rPr>
                <w:rFonts w:hint="eastAsia"/>
                <w:color w:val="auto"/>
                <w:sz w:val="18"/>
                <w:szCs w:val="18"/>
              </w:rPr>
              <w:t>负面</w:t>
            </w:r>
          </w:p>
        </w:tc>
        <w:tc>
          <w:tcPr>
            <w:tcW w:w="1134" w:type="dxa"/>
            <w:shd w:val="clear" w:color="auto" w:fill="FFFFFF" w:themeFill="background1"/>
            <w:vAlign w:val="center"/>
          </w:tcPr>
          <w:p w14:paraId="624F9330" w14:textId="77777777" w:rsidR="007D2393" w:rsidRDefault="007D2393" w:rsidP="00BE2552">
            <w:pPr>
              <w:spacing w:line="240" w:lineRule="auto"/>
              <w:ind w:firstLineChars="0" w:firstLine="0"/>
              <w:jc w:val="center"/>
              <w:rPr>
                <w:rFonts w:cs="Times New Roman"/>
                <w:color w:val="auto"/>
                <w:sz w:val="18"/>
                <w:szCs w:val="18"/>
              </w:rPr>
            </w:pPr>
            <w:r>
              <w:rPr>
                <w:rFonts w:cs="Times New Roman" w:hint="eastAsia"/>
                <w:color w:val="auto"/>
                <w:sz w:val="18"/>
                <w:szCs w:val="18"/>
              </w:rPr>
              <w:t>2</w:t>
            </w:r>
            <w:r>
              <w:rPr>
                <w:rFonts w:cs="Times New Roman"/>
                <w:color w:val="auto"/>
                <w:sz w:val="18"/>
                <w:szCs w:val="18"/>
              </w:rPr>
              <w:t>020/4/10</w:t>
            </w:r>
          </w:p>
        </w:tc>
        <w:tc>
          <w:tcPr>
            <w:tcW w:w="992" w:type="dxa"/>
            <w:shd w:val="clear" w:color="auto" w:fill="FFFFFF" w:themeFill="background1"/>
            <w:vAlign w:val="center"/>
          </w:tcPr>
          <w:p w14:paraId="21CE7367" w14:textId="77777777" w:rsidR="007D2393" w:rsidRDefault="007D2393" w:rsidP="00BE2552">
            <w:pPr>
              <w:adjustRightInd w:val="0"/>
              <w:snapToGrid w:val="0"/>
              <w:spacing w:line="240" w:lineRule="auto"/>
              <w:ind w:firstLineChars="0" w:firstLine="0"/>
              <w:jc w:val="center"/>
              <w:rPr>
                <w:color w:val="auto"/>
                <w:sz w:val="18"/>
                <w:szCs w:val="18"/>
              </w:rPr>
            </w:pPr>
            <w:r>
              <w:rPr>
                <w:rFonts w:hint="eastAsia"/>
                <w:color w:val="auto"/>
                <w:sz w:val="18"/>
                <w:szCs w:val="18"/>
              </w:rPr>
              <w:t>不变</w:t>
            </w:r>
          </w:p>
        </w:tc>
      </w:tr>
      <w:tr w:rsidR="007D2393" w:rsidRPr="00B915C0" w14:paraId="28C04BDD" w14:textId="77777777" w:rsidTr="00BE2552">
        <w:trPr>
          <w:trHeight w:val="283"/>
        </w:trPr>
        <w:tc>
          <w:tcPr>
            <w:tcW w:w="1276" w:type="dxa"/>
            <w:shd w:val="clear" w:color="auto" w:fill="FFFFFF" w:themeFill="background1"/>
            <w:vAlign w:val="center"/>
          </w:tcPr>
          <w:p w14:paraId="6763E5FA" w14:textId="77777777" w:rsidR="007D2393" w:rsidRDefault="007D2393" w:rsidP="00BE2552">
            <w:pPr>
              <w:adjustRightInd w:val="0"/>
              <w:snapToGrid w:val="0"/>
              <w:spacing w:line="240" w:lineRule="auto"/>
              <w:ind w:firstLineChars="0" w:firstLine="0"/>
              <w:jc w:val="center"/>
              <w:rPr>
                <w:color w:val="000000"/>
                <w:sz w:val="18"/>
                <w:szCs w:val="18"/>
              </w:rPr>
            </w:pPr>
            <w:r>
              <w:rPr>
                <w:rFonts w:hint="eastAsia"/>
                <w:color w:val="000000"/>
                <w:sz w:val="18"/>
                <w:szCs w:val="18"/>
              </w:rPr>
              <w:t>葡萄牙</w:t>
            </w:r>
          </w:p>
        </w:tc>
        <w:tc>
          <w:tcPr>
            <w:tcW w:w="1134" w:type="dxa"/>
            <w:shd w:val="clear" w:color="auto" w:fill="FFFFFF" w:themeFill="background1"/>
            <w:vAlign w:val="center"/>
          </w:tcPr>
          <w:p w14:paraId="7E7AA206" w14:textId="77777777" w:rsidR="007D2393" w:rsidRDefault="007D2393" w:rsidP="00BE2552">
            <w:pPr>
              <w:adjustRightInd w:val="0"/>
              <w:snapToGrid w:val="0"/>
              <w:spacing w:line="240" w:lineRule="auto"/>
              <w:ind w:firstLineChars="0" w:firstLine="0"/>
              <w:jc w:val="center"/>
              <w:rPr>
                <w:rFonts w:cs="Times New Roman"/>
                <w:color w:val="000000"/>
                <w:sz w:val="18"/>
                <w:szCs w:val="18"/>
              </w:rPr>
            </w:pPr>
            <w:r>
              <w:rPr>
                <w:rFonts w:cs="Times New Roman"/>
                <w:color w:val="000000"/>
                <w:sz w:val="18"/>
                <w:szCs w:val="18"/>
              </w:rPr>
              <w:t>BBB/BBB</w:t>
            </w:r>
          </w:p>
        </w:tc>
        <w:tc>
          <w:tcPr>
            <w:tcW w:w="993" w:type="dxa"/>
            <w:shd w:val="clear" w:color="auto" w:fill="FFFFFF" w:themeFill="background1"/>
            <w:vAlign w:val="center"/>
          </w:tcPr>
          <w:p w14:paraId="41A6CA33" w14:textId="77777777" w:rsidR="007D2393" w:rsidRDefault="007D2393" w:rsidP="00BE2552">
            <w:pPr>
              <w:adjustRightInd w:val="0"/>
              <w:snapToGrid w:val="0"/>
              <w:spacing w:line="240" w:lineRule="auto"/>
              <w:ind w:firstLineChars="0" w:firstLine="0"/>
              <w:jc w:val="center"/>
              <w:rPr>
                <w:color w:val="auto"/>
                <w:sz w:val="18"/>
                <w:szCs w:val="18"/>
              </w:rPr>
            </w:pPr>
            <w:r>
              <w:rPr>
                <w:rFonts w:hint="eastAsia"/>
                <w:color w:val="auto"/>
                <w:sz w:val="18"/>
                <w:szCs w:val="18"/>
              </w:rPr>
              <w:t>稳定</w:t>
            </w:r>
          </w:p>
        </w:tc>
        <w:tc>
          <w:tcPr>
            <w:tcW w:w="1134" w:type="dxa"/>
            <w:shd w:val="clear" w:color="auto" w:fill="FFFFFF" w:themeFill="background1"/>
            <w:vAlign w:val="center"/>
          </w:tcPr>
          <w:p w14:paraId="36A7D07C" w14:textId="77777777" w:rsidR="007D2393" w:rsidRPr="006F31F5" w:rsidRDefault="007D2393" w:rsidP="00BE2552">
            <w:pPr>
              <w:adjustRightInd w:val="0"/>
              <w:snapToGrid w:val="0"/>
              <w:spacing w:line="240" w:lineRule="auto"/>
              <w:ind w:firstLineChars="0" w:firstLine="0"/>
              <w:jc w:val="center"/>
              <w:rPr>
                <w:rFonts w:cs="Times New Roman"/>
                <w:color w:val="000000"/>
                <w:sz w:val="18"/>
                <w:szCs w:val="18"/>
              </w:rPr>
            </w:pPr>
            <w:r w:rsidRPr="006F31F5">
              <w:rPr>
                <w:rFonts w:cs="Times New Roman" w:hint="eastAsia"/>
                <w:color w:val="000000"/>
                <w:sz w:val="18"/>
                <w:szCs w:val="18"/>
              </w:rPr>
              <w:t>2</w:t>
            </w:r>
            <w:r>
              <w:rPr>
                <w:rFonts w:cs="Times New Roman"/>
                <w:color w:val="000000"/>
                <w:sz w:val="18"/>
                <w:szCs w:val="18"/>
              </w:rPr>
              <w:t>020/11/20</w:t>
            </w:r>
          </w:p>
        </w:tc>
        <w:tc>
          <w:tcPr>
            <w:tcW w:w="1134" w:type="dxa"/>
            <w:shd w:val="clear" w:color="auto" w:fill="FFFFFF" w:themeFill="background1"/>
            <w:vAlign w:val="center"/>
          </w:tcPr>
          <w:p w14:paraId="5EF5E33C" w14:textId="77777777" w:rsidR="007D2393" w:rsidRDefault="007D2393" w:rsidP="00BE2552">
            <w:pPr>
              <w:adjustRightInd w:val="0"/>
              <w:snapToGrid w:val="0"/>
              <w:spacing w:line="240" w:lineRule="auto"/>
              <w:ind w:firstLineChars="0" w:firstLine="0"/>
              <w:jc w:val="center"/>
              <w:rPr>
                <w:rFonts w:cs="Times New Roman"/>
                <w:color w:val="000000"/>
                <w:sz w:val="18"/>
                <w:szCs w:val="18"/>
              </w:rPr>
            </w:pPr>
            <w:r>
              <w:rPr>
                <w:rFonts w:cs="Times New Roman"/>
                <w:color w:val="000000"/>
                <w:sz w:val="18"/>
                <w:szCs w:val="18"/>
              </w:rPr>
              <w:t>BBB/BBB</w:t>
            </w:r>
          </w:p>
        </w:tc>
        <w:tc>
          <w:tcPr>
            <w:tcW w:w="1044" w:type="dxa"/>
            <w:shd w:val="clear" w:color="auto" w:fill="FFFFFF" w:themeFill="background1"/>
            <w:vAlign w:val="center"/>
          </w:tcPr>
          <w:p w14:paraId="1A1B6BDC" w14:textId="77777777" w:rsidR="007D2393" w:rsidRDefault="007D2393" w:rsidP="00BE2552">
            <w:pPr>
              <w:adjustRightInd w:val="0"/>
              <w:snapToGrid w:val="0"/>
              <w:spacing w:line="240" w:lineRule="auto"/>
              <w:ind w:firstLineChars="0" w:firstLine="0"/>
              <w:jc w:val="center"/>
              <w:rPr>
                <w:color w:val="auto"/>
                <w:sz w:val="18"/>
                <w:szCs w:val="18"/>
              </w:rPr>
            </w:pPr>
            <w:r>
              <w:rPr>
                <w:rFonts w:hint="eastAsia"/>
                <w:color w:val="auto"/>
                <w:sz w:val="18"/>
                <w:szCs w:val="18"/>
              </w:rPr>
              <w:t>稳定</w:t>
            </w:r>
          </w:p>
        </w:tc>
        <w:tc>
          <w:tcPr>
            <w:tcW w:w="1134" w:type="dxa"/>
            <w:shd w:val="clear" w:color="auto" w:fill="FFFFFF" w:themeFill="background1"/>
            <w:vAlign w:val="center"/>
          </w:tcPr>
          <w:p w14:paraId="2905A274" w14:textId="77777777" w:rsidR="007D2393" w:rsidRDefault="007D2393" w:rsidP="00BE2552">
            <w:pPr>
              <w:spacing w:line="240" w:lineRule="auto"/>
              <w:ind w:firstLineChars="0" w:firstLine="0"/>
              <w:jc w:val="center"/>
              <w:rPr>
                <w:rFonts w:cs="Times New Roman"/>
                <w:color w:val="auto"/>
                <w:sz w:val="18"/>
                <w:szCs w:val="18"/>
              </w:rPr>
            </w:pPr>
            <w:r>
              <w:rPr>
                <w:rFonts w:cs="Times New Roman" w:hint="eastAsia"/>
                <w:color w:val="auto"/>
                <w:sz w:val="18"/>
                <w:szCs w:val="18"/>
              </w:rPr>
              <w:t>2</w:t>
            </w:r>
            <w:r>
              <w:rPr>
                <w:rFonts w:cs="Times New Roman"/>
                <w:color w:val="auto"/>
                <w:sz w:val="18"/>
                <w:szCs w:val="18"/>
              </w:rPr>
              <w:t>020/4/17</w:t>
            </w:r>
          </w:p>
        </w:tc>
        <w:tc>
          <w:tcPr>
            <w:tcW w:w="992" w:type="dxa"/>
            <w:shd w:val="clear" w:color="auto" w:fill="FFFFFF" w:themeFill="background1"/>
            <w:vAlign w:val="center"/>
          </w:tcPr>
          <w:p w14:paraId="5835F336" w14:textId="77777777" w:rsidR="007D2393" w:rsidRDefault="007D2393" w:rsidP="00BE2552">
            <w:pPr>
              <w:adjustRightInd w:val="0"/>
              <w:snapToGrid w:val="0"/>
              <w:spacing w:line="240" w:lineRule="auto"/>
              <w:ind w:firstLineChars="0" w:firstLine="0"/>
              <w:jc w:val="center"/>
              <w:rPr>
                <w:color w:val="auto"/>
                <w:sz w:val="18"/>
                <w:szCs w:val="18"/>
              </w:rPr>
            </w:pPr>
            <w:r>
              <w:rPr>
                <w:rFonts w:hint="eastAsia"/>
                <w:color w:val="auto"/>
                <w:sz w:val="18"/>
                <w:szCs w:val="18"/>
              </w:rPr>
              <w:t>不变</w:t>
            </w:r>
          </w:p>
        </w:tc>
      </w:tr>
      <w:tr w:rsidR="007D2393" w:rsidRPr="00B915C0" w14:paraId="4EA91CE2" w14:textId="77777777" w:rsidTr="00BE2552">
        <w:trPr>
          <w:trHeight w:val="283"/>
        </w:trPr>
        <w:tc>
          <w:tcPr>
            <w:tcW w:w="1276" w:type="dxa"/>
            <w:shd w:val="clear" w:color="auto" w:fill="FFFFFF" w:themeFill="background1"/>
            <w:vAlign w:val="center"/>
          </w:tcPr>
          <w:p w14:paraId="742B30AD" w14:textId="77777777" w:rsidR="007D2393" w:rsidRDefault="007D2393" w:rsidP="00BE2552">
            <w:pPr>
              <w:adjustRightInd w:val="0"/>
              <w:snapToGrid w:val="0"/>
              <w:spacing w:line="240" w:lineRule="auto"/>
              <w:ind w:firstLineChars="0" w:firstLine="0"/>
              <w:jc w:val="center"/>
              <w:rPr>
                <w:color w:val="000000"/>
                <w:sz w:val="18"/>
                <w:szCs w:val="18"/>
              </w:rPr>
            </w:pPr>
            <w:r>
              <w:rPr>
                <w:rFonts w:hint="eastAsia"/>
                <w:color w:val="000000"/>
                <w:sz w:val="18"/>
                <w:szCs w:val="18"/>
              </w:rPr>
              <w:t>南非</w:t>
            </w:r>
          </w:p>
        </w:tc>
        <w:tc>
          <w:tcPr>
            <w:tcW w:w="1134" w:type="dxa"/>
            <w:shd w:val="clear" w:color="auto" w:fill="FFFFFF" w:themeFill="background1"/>
            <w:vAlign w:val="center"/>
          </w:tcPr>
          <w:p w14:paraId="37F7636B" w14:textId="77777777" w:rsidR="007D2393" w:rsidRDefault="007D2393" w:rsidP="00BE2552">
            <w:pPr>
              <w:adjustRightInd w:val="0"/>
              <w:snapToGrid w:val="0"/>
              <w:spacing w:line="240" w:lineRule="auto"/>
              <w:ind w:firstLineChars="0" w:firstLine="0"/>
              <w:jc w:val="center"/>
              <w:rPr>
                <w:rFonts w:cs="Times New Roman"/>
                <w:color w:val="000000"/>
                <w:sz w:val="18"/>
                <w:szCs w:val="18"/>
              </w:rPr>
            </w:pPr>
            <w:r>
              <w:rPr>
                <w:rFonts w:cs="Times New Roman"/>
                <w:color w:val="000000"/>
                <w:sz w:val="18"/>
                <w:szCs w:val="18"/>
              </w:rPr>
              <w:t>BB-/BB-</w:t>
            </w:r>
          </w:p>
        </w:tc>
        <w:tc>
          <w:tcPr>
            <w:tcW w:w="993" w:type="dxa"/>
            <w:shd w:val="clear" w:color="auto" w:fill="FFFFFF" w:themeFill="background1"/>
            <w:vAlign w:val="center"/>
          </w:tcPr>
          <w:p w14:paraId="28ADE267" w14:textId="77777777" w:rsidR="007D2393" w:rsidRDefault="007D2393" w:rsidP="00BE2552">
            <w:pPr>
              <w:adjustRightInd w:val="0"/>
              <w:snapToGrid w:val="0"/>
              <w:spacing w:line="240" w:lineRule="auto"/>
              <w:ind w:firstLineChars="0" w:firstLine="0"/>
              <w:jc w:val="center"/>
              <w:rPr>
                <w:color w:val="auto"/>
                <w:sz w:val="18"/>
                <w:szCs w:val="18"/>
              </w:rPr>
            </w:pPr>
            <w:r>
              <w:rPr>
                <w:rFonts w:hint="eastAsia"/>
                <w:color w:val="000000"/>
                <w:sz w:val="18"/>
                <w:szCs w:val="18"/>
              </w:rPr>
              <w:t>负面</w:t>
            </w:r>
          </w:p>
        </w:tc>
        <w:tc>
          <w:tcPr>
            <w:tcW w:w="1134" w:type="dxa"/>
            <w:shd w:val="clear" w:color="auto" w:fill="FFFFFF" w:themeFill="background1"/>
            <w:vAlign w:val="center"/>
          </w:tcPr>
          <w:p w14:paraId="31D35DCA" w14:textId="77777777" w:rsidR="007D2393" w:rsidRPr="006F31F5" w:rsidRDefault="007D2393" w:rsidP="00BE2552">
            <w:pPr>
              <w:adjustRightInd w:val="0"/>
              <w:snapToGrid w:val="0"/>
              <w:spacing w:line="240" w:lineRule="auto"/>
              <w:ind w:firstLineChars="0" w:firstLine="0"/>
              <w:jc w:val="center"/>
              <w:rPr>
                <w:rFonts w:cs="Times New Roman"/>
                <w:color w:val="000000"/>
                <w:sz w:val="18"/>
                <w:szCs w:val="18"/>
              </w:rPr>
            </w:pPr>
            <w:r w:rsidRPr="006F31F5">
              <w:rPr>
                <w:rFonts w:cs="Times New Roman" w:hint="eastAsia"/>
                <w:color w:val="000000"/>
                <w:sz w:val="18"/>
                <w:szCs w:val="18"/>
              </w:rPr>
              <w:t>2</w:t>
            </w:r>
            <w:r>
              <w:rPr>
                <w:rFonts w:cs="Times New Roman"/>
                <w:color w:val="000000"/>
                <w:sz w:val="18"/>
                <w:szCs w:val="18"/>
              </w:rPr>
              <w:t>020/11/20</w:t>
            </w:r>
          </w:p>
        </w:tc>
        <w:tc>
          <w:tcPr>
            <w:tcW w:w="1134" w:type="dxa"/>
            <w:shd w:val="clear" w:color="auto" w:fill="FFFFFF" w:themeFill="background1"/>
            <w:vAlign w:val="center"/>
          </w:tcPr>
          <w:p w14:paraId="14C1D618" w14:textId="77777777" w:rsidR="007D2393" w:rsidRDefault="007D2393" w:rsidP="00BE2552">
            <w:pPr>
              <w:adjustRightInd w:val="0"/>
              <w:snapToGrid w:val="0"/>
              <w:spacing w:line="240" w:lineRule="auto"/>
              <w:ind w:firstLineChars="0" w:firstLine="0"/>
              <w:jc w:val="center"/>
              <w:rPr>
                <w:rFonts w:cs="Times New Roman"/>
                <w:color w:val="000000"/>
                <w:sz w:val="18"/>
                <w:szCs w:val="18"/>
              </w:rPr>
            </w:pPr>
            <w:r>
              <w:rPr>
                <w:rFonts w:cs="Times New Roman"/>
                <w:color w:val="000000"/>
                <w:sz w:val="18"/>
                <w:szCs w:val="18"/>
              </w:rPr>
              <w:t>BB/BB</w:t>
            </w:r>
          </w:p>
        </w:tc>
        <w:tc>
          <w:tcPr>
            <w:tcW w:w="1044" w:type="dxa"/>
            <w:shd w:val="clear" w:color="auto" w:fill="FFFFFF" w:themeFill="background1"/>
            <w:vAlign w:val="center"/>
          </w:tcPr>
          <w:p w14:paraId="6B3F03AC" w14:textId="77777777" w:rsidR="007D2393" w:rsidRDefault="007D2393" w:rsidP="00BE2552">
            <w:pPr>
              <w:adjustRightInd w:val="0"/>
              <w:snapToGrid w:val="0"/>
              <w:spacing w:line="240" w:lineRule="auto"/>
              <w:ind w:firstLineChars="0" w:firstLine="0"/>
              <w:jc w:val="center"/>
              <w:rPr>
                <w:color w:val="auto"/>
                <w:sz w:val="18"/>
                <w:szCs w:val="18"/>
              </w:rPr>
            </w:pPr>
            <w:r>
              <w:rPr>
                <w:rFonts w:hint="eastAsia"/>
                <w:color w:val="000000"/>
                <w:sz w:val="18"/>
                <w:szCs w:val="18"/>
              </w:rPr>
              <w:t>负面</w:t>
            </w:r>
          </w:p>
        </w:tc>
        <w:tc>
          <w:tcPr>
            <w:tcW w:w="1134" w:type="dxa"/>
            <w:shd w:val="clear" w:color="auto" w:fill="FFFFFF" w:themeFill="background1"/>
            <w:vAlign w:val="center"/>
          </w:tcPr>
          <w:p w14:paraId="6B7CDD16" w14:textId="77777777" w:rsidR="007D2393" w:rsidRDefault="007D2393" w:rsidP="00BE2552">
            <w:pPr>
              <w:spacing w:line="240" w:lineRule="auto"/>
              <w:ind w:firstLineChars="0" w:firstLine="0"/>
              <w:jc w:val="center"/>
              <w:rPr>
                <w:rFonts w:cs="Times New Roman"/>
                <w:color w:val="auto"/>
                <w:sz w:val="18"/>
                <w:szCs w:val="18"/>
              </w:rPr>
            </w:pPr>
            <w:r>
              <w:rPr>
                <w:rFonts w:cs="Times New Roman" w:hint="eastAsia"/>
                <w:color w:val="auto"/>
                <w:sz w:val="18"/>
                <w:szCs w:val="18"/>
              </w:rPr>
              <w:t>2</w:t>
            </w:r>
            <w:r>
              <w:rPr>
                <w:rFonts w:cs="Times New Roman"/>
                <w:color w:val="auto"/>
                <w:sz w:val="18"/>
                <w:szCs w:val="18"/>
              </w:rPr>
              <w:t>020/4/3</w:t>
            </w:r>
          </w:p>
        </w:tc>
        <w:tc>
          <w:tcPr>
            <w:tcW w:w="992" w:type="dxa"/>
            <w:shd w:val="clear" w:color="auto" w:fill="FFFFFF" w:themeFill="background1"/>
            <w:vAlign w:val="center"/>
          </w:tcPr>
          <w:p w14:paraId="303A7BB8" w14:textId="77777777" w:rsidR="007D2393" w:rsidRDefault="007D2393" w:rsidP="00BE2552">
            <w:pPr>
              <w:adjustRightInd w:val="0"/>
              <w:snapToGrid w:val="0"/>
              <w:spacing w:line="240" w:lineRule="auto"/>
              <w:ind w:firstLineChars="0" w:firstLine="0"/>
              <w:jc w:val="center"/>
              <w:rPr>
                <w:color w:val="auto"/>
                <w:sz w:val="18"/>
                <w:szCs w:val="18"/>
              </w:rPr>
            </w:pPr>
            <w:r>
              <w:rPr>
                <w:rFonts w:hint="eastAsia"/>
                <w:color w:val="00B050"/>
                <w:sz w:val="18"/>
                <w:szCs w:val="18"/>
              </w:rPr>
              <w:t>下调级别</w:t>
            </w:r>
          </w:p>
        </w:tc>
      </w:tr>
      <w:tr w:rsidR="007D2393" w:rsidRPr="00B915C0" w14:paraId="69031A86" w14:textId="77777777" w:rsidTr="00BE2552">
        <w:trPr>
          <w:trHeight w:val="283"/>
        </w:trPr>
        <w:tc>
          <w:tcPr>
            <w:tcW w:w="8841" w:type="dxa"/>
            <w:gridSpan w:val="8"/>
            <w:shd w:val="clear" w:color="auto" w:fill="DEEAF6" w:themeFill="accent1" w:themeFillTint="33"/>
            <w:vAlign w:val="center"/>
          </w:tcPr>
          <w:p w14:paraId="48C5D82D" w14:textId="77777777" w:rsidR="007D2393" w:rsidRPr="00710DA1" w:rsidRDefault="007D2393" w:rsidP="00BE2552">
            <w:pPr>
              <w:adjustRightInd w:val="0"/>
              <w:snapToGrid w:val="0"/>
              <w:spacing w:line="240" w:lineRule="auto"/>
              <w:ind w:firstLineChars="0" w:firstLine="0"/>
              <w:jc w:val="left"/>
              <w:rPr>
                <w:b/>
                <w:color w:val="auto"/>
                <w:sz w:val="18"/>
                <w:szCs w:val="18"/>
              </w:rPr>
            </w:pPr>
            <w:r>
              <w:rPr>
                <w:rFonts w:hint="eastAsia"/>
                <w:b/>
                <w:color w:val="auto"/>
                <w:sz w:val="18"/>
                <w:szCs w:val="18"/>
              </w:rPr>
              <w:t>穆迪（</w:t>
            </w:r>
            <w:r>
              <w:rPr>
                <w:rFonts w:hint="eastAsia"/>
                <w:b/>
                <w:color w:val="auto"/>
                <w:sz w:val="18"/>
                <w:szCs w:val="18"/>
              </w:rPr>
              <w:t>Moody</w:t>
            </w:r>
            <w:r>
              <w:rPr>
                <w:b/>
                <w:color w:val="auto"/>
                <w:sz w:val="18"/>
                <w:szCs w:val="18"/>
              </w:rPr>
              <w:t>’s</w:t>
            </w:r>
            <w:r>
              <w:rPr>
                <w:rFonts w:hint="eastAsia"/>
                <w:b/>
                <w:color w:val="auto"/>
                <w:sz w:val="18"/>
                <w:szCs w:val="18"/>
              </w:rPr>
              <w:t>）</w:t>
            </w:r>
          </w:p>
        </w:tc>
      </w:tr>
      <w:tr w:rsidR="007D2393" w:rsidRPr="00B915C0" w14:paraId="13AB1BE0" w14:textId="77777777" w:rsidTr="00BE2552">
        <w:trPr>
          <w:trHeight w:val="283"/>
        </w:trPr>
        <w:tc>
          <w:tcPr>
            <w:tcW w:w="1276" w:type="dxa"/>
            <w:shd w:val="clear" w:color="auto" w:fill="FFFFFF" w:themeFill="background1"/>
            <w:vAlign w:val="center"/>
          </w:tcPr>
          <w:p w14:paraId="371D8143" w14:textId="77777777" w:rsidR="007D2393" w:rsidRPr="00710DA1" w:rsidRDefault="007D2393" w:rsidP="00BE2552">
            <w:pPr>
              <w:adjustRightInd w:val="0"/>
              <w:snapToGrid w:val="0"/>
              <w:spacing w:line="240" w:lineRule="auto"/>
              <w:ind w:firstLineChars="0" w:firstLine="0"/>
              <w:jc w:val="center"/>
              <w:rPr>
                <w:color w:val="000000"/>
                <w:sz w:val="18"/>
                <w:szCs w:val="18"/>
              </w:rPr>
            </w:pPr>
            <w:r w:rsidRPr="00E27796">
              <w:rPr>
                <w:rFonts w:hint="eastAsia"/>
                <w:color w:val="auto"/>
                <w:sz w:val="18"/>
                <w:szCs w:val="18"/>
              </w:rPr>
              <w:t>萨尔瓦多</w:t>
            </w:r>
          </w:p>
        </w:tc>
        <w:tc>
          <w:tcPr>
            <w:tcW w:w="1134" w:type="dxa"/>
            <w:shd w:val="clear" w:color="auto" w:fill="FFFFFF" w:themeFill="background1"/>
            <w:vAlign w:val="center"/>
          </w:tcPr>
          <w:p w14:paraId="01F4C77A" w14:textId="77777777" w:rsidR="007D2393" w:rsidRPr="00B915C0" w:rsidRDefault="007D2393" w:rsidP="00BE2552">
            <w:pPr>
              <w:adjustRightInd w:val="0"/>
              <w:snapToGrid w:val="0"/>
              <w:spacing w:line="240" w:lineRule="auto"/>
              <w:ind w:firstLineChars="0" w:firstLine="0"/>
              <w:jc w:val="center"/>
              <w:rPr>
                <w:rFonts w:cs="Times New Roman"/>
                <w:color w:val="000000"/>
                <w:sz w:val="18"/>
                <w:szCs w:val="18"/>
              </w:rPr>
            </w:pPr>
            <w:r>
              <w:rPr>
                <w:rFonts w:cs="Times New Roman"/>
                <w:color w:val="auto"/>
                <w:sz w:val="18"/>
                <w:szCs w:val="18"/>
              </w:rPr>
              <w:t>B3/B3</w:t>
            </w:r>
          </w:p>
        </w:tc>
        <w:tc>
          <w:tcPr>
            <w:tcW w:w="993" w:type="dxa"/>
            <w:shd w:val="clear" w:color="auto" w:fill="FFFFFF" w:themeFill="background1"/>
            <w:vAlign w:val="center"/>
          </w:tcPr>
          <w:p w14:paraId="26954885" w14:textId="77777777" w:rsidR="007D2393" w:rsidRPr="00B915C0" w:rsidRDefault="007D2393" w:rsidP="00BE2552">
            <w:pPr>
              <w:adjustRightInd w:val="0"/>
              <w:snapToGrid w:val="0"/>
              <w:spacing w:line="240" w:lineRule="auto"/>
              <w:ind w:firstLineChars="0" w:firstLine="0"/>
              <w:jc w:val="center"/>
              <w:rPr>
                <w:color w:val="000000"/>
                <w:sz w:val="18"/>
                <w:szCs w:val="18"/>
              </w:rPr>
            </w:pPr>
            <w:r>
              <w:rPr>
                <w:rFonts w:hint="eastAsia"/>
                <w:color w:val="auto"/>
                <w:sz w:val="18"/>
                <w:szCs w:val="18"/>
              </w:rPr>
              <w:t>列入负面观察清单</w:t>
            </w:r>
          </w:p>
        </w:tc>
        <w:tc>
          <w:tcPr>
            <w:tcW w:w="1134" w:type="dxa"/>
            <w:shd w:val="clear" w:color="auto" w:fill="FFFFFF" w:themeFill="background1"/>
            <w:vAlign w:val="center"/>
          </w:tcPr>
          <w:p w14:paraId="480BEECF" w14:textId="77777777" w:rsidR="007D2393" w:rsidRPr="00B915C0" w:rsidRDefault="007D2393" w:rsidP="00BE2552">
            <w:pPr>
              <w:adjustRightInd w:val="0"/>
              <w:snapToGrid w:val="0"/>
              <w:spacing w:line="240" w:lineRule="auto"/>
              <w:ind w:firstLineChars="0" w:firstLine="0"/>
              <w:jc w:val="center"/>
              <w:rPr>
                <w:rFonts w:cs="Times New Roman"/>
                <w:color w:val="000000"/>
                <w:sz w:val="18"/>
                <w:szCs w:val="18"/>
              </w:rPr>
            </w:pPr>
            <w:r>
              <w:rPr>
                <w:rFonts w:cs="Times New Roman" w:hint="eastAsia"/>
                <w:color w:val="000000"/>
                <w:sz w:val="18"/>
                <w:szCs w:val="18"/>
              </w:rPr>
              <w:t>2</w:t>
            </w:r>
            <w:r>
              <w:rPr>
                <w:rFonts w:cs="Times New Roman"/>
                <w:color w:val="000000"/>
                <w:sz w:val="18"/>
                <w:szCs w:val="18"/>
              </w:rPr>
              <w:t>020/11/16</w:t>
            </w:r>
          </w:p>
        </w:tc>
        <w:tc>
          <w:tcPr>
            <w:tcW w:w="1134" w:type="dxa"/>
            <w:shd w:val="clear" w:color="auto" w:fill="FFFFFF" w:themeFill="background1"/>
            <w:vAlign w:val="center"/>
          </w:tcPr>
          <w:p w14:paraId="0CD5598A" w14:textId="77777777" w:rsidR="007D2393" w:rsidRPr="00B915C0" w:rsidRDefault="007D2393" w:rsidP="00BE2552">
            <w:pPr>
              <w:adjustRightInd w:val="0"/>
              <w:snapToGrid w:val="0"/>
              <w:spacing w:line="240" w:lineRule="auto"/>
              <w:ind w:firstLineChars="0" w:firstLine="0"/>
              <w:jc w:val="center"/>
              <w:rPr>
                <w:rFonts w:cs="Times New Roman"/>
                <w:color w:val="000000"/>
                <w:sz w:val="18"/>
                <w:szCs w:val="18"/>
              </w:rPr>
            </w:pPr>
            <w:r>
              <w:rPr>
                <w:rFonts w:cs="Times New Roman"/>
                <w:color w:val="auto"/>
                <w:sz w:val="18"/>
                <w:szCs w:val="18"/>
              </w:rPr>
              <w:t>B3/B3</w:t>
            </w:r>
          </w:p>
        </w:tc>
        <w:tc>
          <w:tcPr>
            <w:tcW w:w="1044" w:type="dxa"/>
            <w:shd w:val="clear" w:color="auto" w:fill="FFFFFF" w:themeFill="background1"/>
            <w:vAlign w:val="center"/>
          </w:tcPr>
          <w:p w14:paraId="6FD8AA8B" w14:textId="77777777" w:rsidR="007D2393" w:rsidRPr="00B915C0" w:rsidRDefault="007D2393" w:rsidP="00BE2552">
            <w:pPr>
              <w:adjustRightInd w:val="0"/>
              <w:snapToGrid w:val="0"/>
              <w:spacing w:line="240" w:lineRule="auto"/>
              <w:ind w:firstLineChars="0" w:firstLine="0"/>
              <w:jc w:val="center"/>
              <w:rPr>
                <w:color w:val="auto"/>
                <w:sz w:val="18"/>
                <w:szCs w:val="18"/>
              </w:rPr>
            </w:pPr>
            <w:r>
              <w:rPr>
                <w:rFonts w:hint="eastAsia"/>
                <w:color w:val="auto"/>
                <w:sz w:val="18"/>
                <w:szCs w:val="18"/>
              </w:rPr>
              <w:t>正面</w:t>
            </w:r>
          </w:p>
        </w:tc>
        <w:tc>
          <w:tcPr>
            <w:tcW w:w="1134" w:type="dxa"/>
            <w:shd w:val="clear" w:color="auto" w:fill="FFFFFF" w:themeFill="background1"/>
            <w:vAlign w:val="center"/>
          </w:tcPr>
          <w:p w14:paraId="6613852A" w14:textId="77777777" w:rsidR="007D2393" w:rsidRPr="00B915C0" w:rsidRDefault="007D2393" w:rsidP="00BE2552">
            <w:pPr>
              <w:spacing w:line="240" w:lineRule="auto"/>
              <w:ind w:firstLineChars="0" w:firstLine="0"/>
              <w:jc w:val="center"/>
              <w:rPr>
                <w:rFonts w:cs="Times New Roman"/>
                <w:color w:val="auto"/>
                <w:sz w:val="18"/>
                <w:szCs w:val="18"/>
              </w:rPr>
            </w:pPr>
            <w:r>
              <w:rPr>
                <w:rFonts w:cs="Times New Roman" w:hint="eastAsia"/>
                <w:color w:val="000000"/>
                <w:sz w:val="18"/>
                <w:szCs w:val="18"/>
              </w:rPr>
              <w:t>2</w:t>
            </w:r>
            <w:r>
              <w:rPr>
                <w:rFonts w:cs="Times New Roman"/>
                <w:color w:val="000000"/>
                <w:sz w:val="18"/>
                <w:szCs w:val="18"/>
              </w:rPr>
              <w:t>020/3/12</w:t>
            </w:r>
          </w:p>
        </w:tc>
        <w:tc>
          <w:tcPr>
            <w:tcW w:w="992" w:type="dxa"/>
            <w:shd w:val="clear" w:color="auto" w:fill="FFFFFF" w:themeFill="background1"/>
            <w:vAlign w:val="center"/>
          </w:tcPr>
          <w:p w14:paraId="15E8810A" w14:textId="77777777" w:rsidR="007D2393" w:rsidRPr="00B915C0" w:rsidRDefault="007D2393" w:rsidP="00BE2552">
            <w:pPr>
              <w:adjustRightInd w:val="0"/>
              <w:snapToGrid w:val="0"/>
              <w:spacing w:line="240" w:lineRule="auto"/>
              <w:ind w:firstLineChars="0" w:firstLine="0"/>
              <w:jc w:val="center"/>
              <w:rPr>
                <w:color w:val="00B050"/>
                <w:sz w:val="18"/>
                <w:szCs w:val="18"/>
              </w:rPr>
            </w:pPr>
            <w:r>
              <w:rPr>
                <w:rFonts w:hint="eastAsia"/>
                <w:color w:val="00B050"/>
                <w:sz w:val="18"/>
                <w:szCs w:val="18"/>
              </w:rPr>
              <w:t>下调展望</w:t>
            </w:r>
          </w:p>
        </w:tc>
      </w:tr>
      <w:tr w:rsidR="007D2393" w:rsidRPr="00B915C0" w14:paraId="5A3638FC" w14:textId="77777777" w:rsidTr="00BE2552">
        <w:trPr>
          <w:trHeight w:val="283"/>
        </w:trPr>
        <w:tc>
          <w:tcPr>
            <w:tcW w:w="1276" w:type="dxa"/>
            <w:shd w:val="clear" w:color="auto" w:fill="FFFFFF" w:themeFill="background1"/>
            <w:vAlign w:val="center"/>
          </w:tcPr>
          <w:p w14:paraId="26591F8B" w14:textId="77777777" w:rsidR="007D2393" w:rsidRPr="00B915C0" w:rsidRDefault="007D2393" w:rsidP="00BE2552">
            <w:pPr>
              <w:adjustRightInd w:val="0"/>
              <w:snapToGrid w:val="0"/>
              <w:spacing w:line="240" w:lineRule="auto"/>
              <w:ind w:firstLineChars="0" w:firstLine="0"/>
              <w:jc w:val="center"/>
              <w:rPr>
                <w:color w:val="000000"/>
                <w:sz w:val="18"/>
                <w:szCs w:val="18"/>
              </w:rPr>
            </w:pPr>
            <w:r>
              <w:rPr>
                <w:rFonts w:hint="eastAsia"/>
                <w:color w:val="auto"/>
                <w:sz w:val="18"/>
                <w:szCs w:val="18"/>
              </w:rPr>
              <w:t>加拿大</w:t>
            </w:r>
          </w:p>
        </w:tc>
        <w:tc>
          <w:tcPr>
            <w:tcW w:w="1134" w:type="dxa"/>
            <w:shd w:val="clear" w:color="auto" w:fill="FFFFFF" w:themeFill="background1"/>
            <w:vAlign w:val="center"/>
          </w:tcPr>
          <w:p w14:paraId="441BCFB1" w14:textId="77777777" w:rsidR="007D2393" w:rsidRPr="00B915C0" w:rsidRDefault="007D2393" w:rsidP="00BE2552">
            <w:pPr>
              <w:adjustRightInd w:val="0"/>
              <w:snapToGrid w:val="0"/>
              <w:spacing w:line="240" w:lineRule="auto"/>
              <w:ind w:firstLineChars="0" w:firstLine="0"/>
              <w:jc w:val="center"/>
              <w:rPr>
                <w:rFonts w:cs="Times New Roman"/>
                <w:color w:val="000000"/>
                <w:sz w:val="18"/>
                <w:szCs w:val="18"/>
              </w:rPr>
            </w:pPr>
            <w:r>
              <w:rPr>
                <w:rFonts w:cs="Times New Roman"/>
                <w:color w:val="auto"/>
                <w:sz w:val="18"/>
                <w:szCs w:val="18"/>
              </w:rPr>
              <w:t>A</w:t>
            </w:r>
            <w:r>
              <w:rPr>
                <w:rFonts w:cs="Times New Roman" w:hint="eastAsia"/>
                <w:color w:val="auto"/>
                <w:sz w:val="18"/>
                <w:szCs w:val="18"/>
              </w:rPr>
              <w:t>a</w:t>
            </w:r>
            <w:r>
              <w:rPr>
                <w:rFonts w:cs="Times New Roman"/>
                <w:color w:val="auto"/>
                <w:sz w:val="18"/>
                <w:szCs w:val="18"/>
              </w:rPr>
              <w:t>a</w:t>
            </w:r>
            <w:r>
              <w:rPr>
                <w:rFonts w:cs="Times New Roman" w:hint="eastAsia"/>
                <w:color w:val="auto"/>
                <w:sz w:val="18"/>
                <w:szCs w:val="18"/>
              </w:rPr>
              <w:t>/</w:t>
            </w:r>
            <w:r>
              <w:rPr>
                <w:rFonts w:cs="Times New Roman"/>
                <w:color w:val="auto"/>
                <w:sz w:val="18"/>
                <w:szCs w:val="18"/>
              </w:rPr>
              <w:t>A</w:t>
            </w:r>
            <w:r>
              <w:rPr>
                <w:rFonts w:cs="Times New Roman" w:hint="eastAsia"/>
                <w:color w:val="auto"/>
                <w:sz w:val="18"/>
                <w:szCs w:val="18"/>
              </w:rPr>
              <w:t>a</w:t>
            </w:r>
            <w:r>
              <w:rPr>
                <w:rFonts w:cs="Times New Roman"/>
                <w:color w:val="auto"/>
                <w:sz w:val="18"/>
                <w:szCs w:val="18"/>
              </w:rPr>
              <w:t>a</w:t>
            </w:r>
          </w:p>
        </w:tc>
        <w:tc>
          <w:tcPr>
            <w:tcW w:w="993" w:type="dxa"/>
            <w:shd w:val="clear" w:color="auto" w:fill="FFFFFF" w:themeFill="background1"/>
            <w:vAlign w:val="center"/>
          </w:tcPr>
          <w:p w14:paraId="79FB9BFA" w14:textId="77777777" w:rsidR="007D2393" w:rsidRPr="00B915C0" w:rsidRDefault="007D2393" w:rsidP="00BE2552">
            <w:pPr>
              <w:adjustRightInd w:val="0"/>
              <w:snapToGrid w:val="0"/>
              <w:spacing w:line="240" w:lineRule="auto"/>
              <w:ind w:firstLineChars="0" w:firstLine="0"/>
              <w:jc w:val="center"/>
              <w:rPr>
                <w:color w:val="000000"/>
                <w:sz w:val="18"/>
                <w:szCs w:val="18"/>
              </w:rPr>
            </w:pPr>
            <w:r>
              <w:rPr>
                <w:rFonts w:hint="eastAsia"/>
                <w:color w:val="auto"/>
                <w:sz w:val="18"/>
                <w:szCs w:val="18"/>
              </w:rPr>
              <w:t>稳定</w:t>
            </w:r>
          </w:p>
        </w:tc>
        <w:tc>
          <w:tcPr>
            <w:tcW w:w="1134" w:type="dxa"/>
            <w:shd w:val="clear" w:color="auto" w:fill="FFFFFF" w:themeFill="background1"/>
            <w:vAlign w:val="center"/>
          </w:tcPr>
          <w:p w14:paraId="449BCE7D" w14:textId="77777777" w:rsidR="007D2393" w:rsidRPr="00B915C0" w:rsidRDefault="007D2393" w:rsidP="00BE2552">
            <w:pPr>
              <w:adjustRightInd w:val="0"/>
              <w:snapToGrid w:val="0"/>
              <w:spacing w:line="240" w:lineRule="auto"/>
              <w:ind w:firstLineChars="0" w:firstLine="0"/>
              <w:jc w:val="center"/>
              <w:rPr>
                <w:rFonts w:cs="Times New Roman"/>
                <w:color w:val="000000"/>
                <w:sz w:val="18"/>
                <w:szCs w:val="18"/>
              </w:rPr>
            </w:pPr>
            <w:r w:rsidRPr="006F31F5">
              <w:rPr>
                <w:rFonts w:cs="Times New Roman" w:hint="eastAsia"/>
                <w:color w:val="000000"/>
                <w:sz w:val="18"/>
                <w:szCs w:val="18"/>
              </w:rPr>
              <w:t>2</w:t>
            </w:r>
            <w:r>
              <w:rPr>
                <w:rFonts w:cs="Times New Roman"/>
                <w:color w:val="000000"/>
                <w:sz w:val="18"/>
                <w:szCs w:val="18"/>
              </w:rPr>
              <w:t>020/11/19</w:t>
            </w:r>
          </w:p>
        </w:tc>
        <w:tc>
          <w:tcPr>
            <w:tcW w:w="1134" w:type="dxa"/>
            <w:shd w:val="clear" w:color="auto" w:fill="FFFFFF" w:themeFill="background1"/>
            <w:vAlign w:val="center"/>
          </w:tcPr>
          <w:p w14:paraId="284D773D" w14:textId="77777777" w:rsidR="007D2393" w:rsidRPr="00B915C0" w:rsidRDefault="007D2393" w:rsidP="00BE2552">
            <w:pPr>
              <w:adjustRightInd w:val="0"/>
              <w:snapToGrid w:val="0"/>
              <w:spacing w:line="240" w:lineRule="auto"/>
              <w:ind w:firstLineChars="0" w:firstLine="0"/>
              <w:jc w:val="center"/>
              <w:rPr>
                <w:rFonts w:cs="Times New Roman"/>
                <w:color w:val="000000"/>
                <w:sz w:val="18"/>
                <w:szCs w:val="18"/>
              </w:rPr>
            </w:pPr>
            <w:r>
              <w:rPr>
                <w:rFonts w:cs="Times New Roman"/>
                <w:color w:val="auto"/>
                <w:sz w:val="18"/>
                <w:szCs w:val="18"/>
              </w:rPr>
              <w:t>A</w:t>
            </w:r>
            <w:r>
              <w:rPr>
                <w:rFonts w:cs="Times New Roman" w:hint="eastAsia"/>
                <w:color w:val="auto"/>
                <w:sz w:val="18"/>
                <w:szCs w:val="18"/>
              </w:rPr>
              <w:t>a</w:t>
            </w:r>
            <w:r>
              <w:rPr>
                <w:rFonts w:cs="Times New Roman"/>
                <w:color w:val="auto"/>
                <w:sz w:val="18"/>
                <w:szCs w:val="18"/>
              </w:rPr>
              <w:t>a</w:t>
            </w:r>
            <w:r>
              <w:rPr>
                <w:rFonts w:cs="Times New Roman" w:hint="eastAsia"/>
                <w:color w:val="auto"/>
                <w:sz w:val="18"/>
                <w:szCs w:val="18"/>
              </w:rPr>
              <w:t>/</w:t>
            </w:r>
            <w:r>
              <w:rPr>
                <w:rFonts w:cs="Times New Roman"/>
                <w:color w:val="auto"/>
                <w:sz w:val="18"/>
                <w:szCs w:val="18"/>
              </w:rPr>
              <w:t>A</w:t>
            </w:r>
            <w:r>
              <w:rPr>
                <w:rFonts w:cs="Times New Roman" w:hint="eastAsia"/>
                <w:color w:val="auto"/>
                <w:sz w:val="18"/>
                <w:szCs w:val="18"/>
              </w:rPr>
              <w:t>a</w:t>
            </w:r>
            <w:r>
              <w:rPr>
                <w:rFonts w:cs="Times New Roman"/>
                <w:color w:val="auto"/>
                <w:sz w:val="18"/>
                <w:szCs w:val="18"/>
              </w:rPr>
              <w:t>a</w:t>
            </w:r>
          </w:p>
        </w:tc>
        <w:tc>
          <w:tcPr>
            <w:tcW w:w="1044" w:type="dxa"/>
            <w:shd w:val="clear" w:color="auto" w:fill="FFFFFF" w:themeFill="background1"/>
            <w:vAlign w:val="center"/>
          </w:tcPr>
          <w:p w14:paraId="3EE4333B" w14:textId="77777777" w:rsidR="007D2393" w:rsidRPr="00B915C0" w:rsidRDefault="007D2393" w:rsidP="00BE2552">
            <w:pPr>
              <w:adjustRightInd w:val="0"/>
              <w:snapToGrid w:val="0"/>
              <w:spacing w:line="240" w:lineRule="auto"/>
              <w:ind w:firstLineChars="0" w:firstLine="0"/>
              <w:jc w:val="center"/>
              <w:rPr>
                <w:color w:val="auto"/>
                <w:sz w:val="18"/>
                <w:szCs w:val="18"/>
              </w:rPr>
            </w:pPr>
            <w:r>
              <w:rPr>
                <w:rFonts w:hint="eastAsia"/>
                <w:color w:val="auto"/>
                <w:sz w:val="18"/>
                <w:szCs w:val="18"/>
              </w:rPr>
              <w:t>稳定</w:t>
            </w:r>
          </w:p>
        </w:tc>
        <w:tc>
          <w:tcPr>
            <w:tcW w:w="1134" w:type="dxa"/>
            <w:shd w:val="clear" w:color="auto" w:fill="FFFFFF" w:themeFill="background1"/>
            <w:vAlign w:val="center"/>
          </w:tcPr>
          <w:p w14:paraId="538E30A1" w14:textId="77777777" w:rsidR="007D2393" w:rsidRPr="00B915C0" w:rsidRDefault="007D2393" w:rsidP="00BE2552">
            <w:pPr>
              <w:spacing w:line="240" w:lineRule="auto"/>
              <w:ind w:firstLineChars="0" w:firstLine="0"/>
              <w:jc w:val="center"/>
              <w:rPr>
                <w:rFonts w:cs="Times New Roman"/>
                <w:color w:val="auto"/>
                <w:sz w:val="18"/>
                <w:szCs w:val="18"/>
              </w:rPr>
            </w:pPr>
            <w:r>
              <w:rPr>
                <w:rFonts w:cs="Times New Roman"/>
                <w:color w:val="auto"/>
                <w:sz w:val="18"/>
                <w:szCs w:val="18"/>
              </w:rPr>
              <w:t>2018</w:t>
            </w:r>
            <w:r>
              <w:rPr>
                <w:rFonts w:cs="Times New Roman" w:hint="eastAsia"/>
                <w:color w:val="auto"/>
                <w:sz w:val="18"/>
                <w:szCs w:val="18"/>
              </w:rPr>
              <w:t>/</w:t>
            </w:r>
            <w:r>
              <w:rPr>
                <w:rFonts w:cs="Times New Roman"/>
                <w:color w:val="auto"/>
                <w:sz w:val="18"/>
                <w:szCs w:val="18"/>
              </w:rPr>
              <w:t>11</w:t>
            </w:r>
            <w:r>
              <w:rPr>
                <w:rFonts w:cs="Times New Roman" w:hint="eastAsia"/>
                <w:color w:val="auto"/>
                <w:sz w:val="18"/>
                <w:szCs w:val="18"/>
              </w:rPr>
              <w:t>/</w:t>
            </w:r>
            <w:r>
              <w:rPr>
                <w:rFonts w:cs="Times New Roman"/>
                <w:color w:val="auto"/>
                <w:sz w:val="18"/>
                <w:szCs w:val="18"/>
              </w:rPr>
              <w:t>2</w:t>
            </w:r>
          </w:p>
        </w:tc>
        <w:tc>
          <w:tcPr>
            <w:tcW w:w="992" w:type="dxa"/>
            <w:shd w:val="clear" w:color="auto" w:fill="FFFFFF" w:themeFill="background1"/>
            <w:vAlign w:val="center"/>
          </w:tcPr>
          <w:p w14:paraId="10EC744C" w14:textId="77777777" w:rsidR="007D2393" w:rsidRPr="00B915C0" w:rsidRDefault="007D2393" w:rsidP="00BE2552">
            <w:pPr>
              <w:adjustRightInd w:val="0"/>
              <w:snapToGrid w:val="0"/>
              <w:spacing w:line="240" w:lineRule="auto"/>
              <w:ind w:firstLineChars="0" w:firstLine="0"/>
              <w:jc w:val="center"/>
              <w:rPr>
                <w:color w:val="00B050"/>
                <w:sz w:val="18"/>
                <w:szCs w:val="18"/>
              </w:rPr>
            </w:pPr>
            <w:r>
              <w:rPr>
                <w:rFonts w:hint="eastAsia"/>
                <w:color w:val="auto"/>
                <w:sz w:val="18"/>
                <w:szCs w:val="18"/>
              </w:rPr>
              <w:t>不变</w:t>
            </w:r>
          </w:p>
        </w:tc>
      </w:tr>
      <w:tr w:rsidR="007D2393" w:rsidRPr="00B915C0" w14:paraId="19B7750C" w14:textId="77777777" w:rsidTr="00BE2552">
        <w:trPr>
          <w:trHeight w:val="283"/>
        </w:trPr>
        <w:tc>
          <w:tcPr>
            <w:tcW w:w="1276" w:type="dxa"/>
            <w:shd w:val="clear" w:color="auto" w:fill="FFFFFF" w:themeFill="background1"/>
            <w:vAlign w:val="center"/>
          </w:tcPr>
          <w:p w14:paraId="6D351048" w14:textId="77777777" w:rsidR="007D2393" w:rsidRDefault="007D2393" w:rsidP="00BE2552">
            <w:pPr>
              <w:adjustRightInd w:val="0"/>
              <w:snapToGrid w:val="0"/>
              <w:spacing w:line="240" w:lineRule="auto"/>
              <w:ind w:firstLineChars="0" w:firstLine="0"/>
              <w:jc w:val="center"/>
              <w:rPr>
                <w:color w:val="000000"/>
                <w:sz w:val="18"/>
                <w:szCs w:val="18"/>
              </w:rPr>
            </w:pPr>
            <w:r>
              <w:rPr>
                <w:rFonts w:hint="eastAsia"/>
                <w:color w:val="auto"/>
                <w:sz w:val="18"/>
                <w:szCs w:val="18"/>
              </w:rPr>
              <w:t>乌干达</w:t>
            </w:r>
          </w:p>
        </w:tc>
        <w:tc>
          <w:tcPr>
            <w:tcW w:w="1134" w:type="dxa"/>
            <w:shd w:val="clear" w:color="auto" w:fill="FFFFFF" w:themeFill="background1"/>
            <w:vAlign w:val="center"/>
          </w:tcPr>
          <w:p w14:paraId="27BE9A36" w14:textId="77777777" w:rsidR="007D2393" w:rsidRDefault="007D2393" w:rsidP="00BE2552">
            <w:pPr>
              <w:adjustRightInd w:val="0"/>
              <w:snapToGrid w:val="0"/>
              <w:spacing w:line="240" w:lineRule="auto"/>
              <w:ind w:firstLineChars="0" w:firstLine="0"/>
              <w:jc w:val="center"/>
              <w:rPr>
                <w:rFonts w:cs="Times New Roman"/>
                <w:color w:val="000000"/>
                <w:sz w:val="18"/>
                <w:szCs w:val="18"/>
              </w:rPr>
            </w:pPr>
            <w:r>
              <w:rPr>
                <w:rFonts w:cs="Times New Roman"/>
                <w:color w:val="auto"/>
                <w:sz w:val="18"/>
                <w:szCs w:val="18"/>
              </w:rPr>
              <w:t>B</w:t>
            </w:r>
            <w:r>
              <w:rPr>
                <w:rFonts w:cs="Times New Roman" w:hint="eastAsia"/>
                <w:color w:val="auto"/>
                <w:sz w:val="18"/>
                <w:szCs w:val="18"/>
              </w:rPr>
              <w:t>2/</w:t>
            </w:r>
            <w:r>
              <w:rPr>
                <w:rFonts w:cs="Times New Roman"/>
                <w:color w:val="auto"/>
                <w:sz w:val="18"/>
                <w:szCs w:val="18"/>
              </w:rPr>
              <w:t>B</w:t>
            </w:r>
            <w:r>
              <w:rPr>
                <w:rFonts w:cs="Times New Roman" w:hint="eastAsia"/>
                <w:color w:val="auto"/>
                <w:sz w:val="18"/>
                <w:szCs w:val="18"/>
              </w:rPr>
              <w:t>2</w:t>
            </w:r>
          </w:p>
        </w:tc>
        <w:tc>
          <w:tcPr>
            <w:tcW w:w="993" w:type="dxa"/>
            <w:shd w:val="clear" w:color="auto" w:fill="FFFFFF" w:themeFill="background1"/>
            <w:vAlign w:val="center"/>
          </w:tcPr>
          <w:p w14:paraId="562ECD6D" w14:textId="77777777" w:rsidR="007D2393" w:rsidRDefault="007D2393" w:rsidP="00BE2552">
            <w:pPr>
              <w:adjustRightInd w:val="0"/>
              <w:snapToGrid w:val="0"/>
              <w:spacing w:line="240" w:lineRule="auto"/>
              <w:ind w:firstLineChars="0" w:firstLine="0"/>
              <w:jc w:val="center"/>
              <w:rPr>
                <w:color w:val="000000"/>
                <w:sz w:val="18"/>
                <w:szCs w:val="18"/>
              </w:rPr>
            </w:pPr>
            <w:r>
              <w:rPr>
                <w:rFonts w:hint="eastAsia"/>
                <w:color w:val="auto"/>
                <w:sz w:val="18"/>
                <w:szCs w:val="18"/>
              </w:rPr>
              <w:t>稳定</w:t>
            </w:r>
          </w:p>
        </w:tc>
        <w:tc>
          <w:tcPr>
            <w:tcW w:w="1134" w:type="dxa"/>
            <w:shd w:val="clear" w:color="auto" w:fill="FFFFFF" w:themeFill="background1"/>
            <w:vAlign w:val="center"/>
          </w:tcPr>
          <w:p w14:paraId="5C8BB732" w14:textId="77777777" w:rsidR="007D2393" w:rsidRDefault="007D2393" w:rsidP="00BE2552">
            <w:pPr>
              <w:adjustRightInd w:val="0"/>
              <w:snapToGrid w:val="0"/>
              <w:spacing w:line="240" w:lineRule="auto"/>
              <w:ind w:firstLineChars="0" w:firstLine="0"/>
              <w:jc w:val="center"/>
              <w:rPr>
                <w:rFonts w:cs="Times New Roman"/>
                <w:color w:val="000000"/>
                <w:sz w:val="18"/>
                <w:szCs w:val="18"/>
              </w:rPr>
            </w:pPr>
            <w:r w:rsidRPr="006F31F5">
              <w:rPr>
                <w:rFonts w:cs="Times New Roman" w:hint="eastAsia"/>
                <w:color w:val="000000"/>
                <w:sz w:val="18"/>
                <w:szCs w:val="18"/>
              </w:rPr>
              <w:t>2</w:t>
            </w:r>
            <w:r>
              <w:rPr>
                <w:rFonts w:cs="Times New Roman"/>
                <w:color w:val="000000"/>
                <w:sz w:val="18"/>
                <w:szCs w:val="18"/>
              </w:rPr>
              <w:t>020/11/20</w:t>
            </w:r>
          </w:p>
        </w:tc>
        <w:tc>
          <w:tcPr>
            <w:tcW w:w="1134" w:type="dxa"/>
            <w:shd w:val="clear" w:color="auto" w:fill="FFFFFF" w:themeFill="background1"/>
            <w:vAlign w:val="center"/>
          </w:tcPr>
          <w:p w14:paraId="76FFE8E1" w14:textId="77777777" w:rsidR="007D2393" w:rsidRDefault="007D2393" w:rsidP="00BE2552">
            <w:pPr>
              <w:adjustRightInd w:val="0"/>
              <w:snapToGrid w:val="0"/>
              <w:spacing w:line="240" w:lineRule="auto"/>
              <w:ind w:firstLineChars="0" w:firstLine="0"/>
              <w:jc w:val="center"/>
              <w:rPr>
                <w:rFonts w:cs="Times New Roman"/>
                <w:color w:val="000000"/>
                <w:sz w:val="18"/>
                <w:szCs w:val="18"/>
              </w:rPr>
            </w:pPr>
            <w:r>
              <w:rPr>
                <w:rFonts w:cs="Times New Roman"/>
                <w:color w:val="auto"/>
                <w:sz w:val="18"/>
                <w:szCs w:val="18"/>
              </w:rPr>
              <w:t>B</w:t>
            </w:r>
            <w:r>
              <w:rPr>
                <w:rFonts w:cs="Times New Roman" w:hint="eastAsia"/>
                <w:color w:val="auto"/>
                <w:sz w:val="18"/>
                <w:szCs w:val="18"/>
              </w:rPr>
              <w:t>2/</w:t>
            </w:r>
            <w:r>
              <w:rPr>
                <w:rFonts w:cs="Times New Roman"/>
                <w:color w:val="auto"/>
                <w:sz w:val="18"/>
                <w:szCs w:val="18"/>
              </w:rPr>
              <w:t>B</w:t>
            </w:r>
            <w:r>
              <w:rPr>
                <w:rFonts w:cs="Times New Roman" w:hint="eastAsia"/>
                <w:color w:val="auto"/>
                <w:sz w:val="18"/>
                <w:szCs w:val="18"/>
              </w:rPr>
              <w:t>2</w:t>
            </w:r>
          </w:p>
        </w:tc>
        <w:tc>
          <w:tcPr>
            <w:tcW w:w="1044" w:type="dxa"/>
            <w:shd w:val="clear" w:color="auto" w:fill="FFFFFF" w:themeFill="background1"/>
            <w:vAlign w:val="center"/>
          </w:tcPr>
          <w:p w14:paraId="5295F945" w14:textId="77777777" w:rsidR="007D2393" w:rsidRDefault="007D2393" w:rsidP="00BE2552">
            <w:pPr>
              <w:adjustRightInd w:val="0"/>
              <w:snapToGrid w:val="0"/>
              <w:spacing w:line="240" w:lineRule="auto"/>
              <w:ind w:firstLineChars="0" w:firstLine="0"/>
              <w:jc w:val="center"/>
              <w:rPr>
                <w:color w:val="000000"/>
                <w:sz w:val="18"/>
                <w:szCs w:val="18"/>
              </w:rPr>
            </w:pPr>
            <w:r>
              <w:rPr>
                <w:rFonts w:hint="eastAsia"/>
                <w:color w:val="auto"/>
                <w:sz w:val="18"/>
                <w:szCs w:val="18"/>
              </w:rPr>
              <w:t>稳定</w:t>
            </w:r>
          </w:p>
        </w:tc>
        <w:tc>
          <w:tcPr>
            <w:tcW w:w="1134" w:type="dxa"/>
            <w:shd w:val="clear" w:color="auto" w:fill="FFFFFF" w:themeFill="background1"/>
            <w:vAlign w:val="center"/>
          </w:tcPr>
          <w:p w14:paraId="5E88BDE2" w14:textId="77777777" w:rsidR="007D2393" w:rsidRDefault="007D2393" w:rsidP="00BE2552">
            <w:pPr>
              <w:spacing w:line="240" w:lineRule="auto"/>
              <w:ind w:firstLineChars="0" w:firstLine="0"/>
              <w:jc w:val="center"/>
              <w:rPr>
                <w:rFonts w:cs="Times New Roman"/>
                <w:color w:val="auto"/>
                <w:sz w:val="18"/>
                <w:szCs w:val="18"/>
              </w:rPr>
            </w:pPr>
            <w:r>
              <w:rPr>
                <w:rFonts w:cs="Times New Roman"/>
                <w:color w:val="auto"/>
                <w:sz w:val="18"/>
                <w:szCs w:val="18"/>
              </w:rPr>
              <w:t>2018</w:t>
            </w:r>
            <w:r>
              <w:rPr>
                <w:rFonts w:cs="Times New Roman" w:hint="eastAsia"/>
                <w:color w:val="auto"/>
                <w:sz w:val="18"/>
                <w:szCs w:val="18"/>
              </w:rPr>
              <w:t>/</w:t>
            </w:r>
            <w:r>
              <w:rPr>
                <w:rFonts w:cs="Times New Roman"/>
                <w:color w:val="auto"/>
                <w:sz w:val="18"/>
                <w:szCs w:val="18"/>
              </w:rPr>
              <w:t>3</w:t>
            </w:r>
            <w:r>
              <w:rPr>
                <w:rFonts w:cs="Times New Roman" w:hint="eastAsia"/>
                <w:color w:val="auto"/>
                <w:sz w:val="18"/>
                <w:szCs w:val="18"/>
              </w:rPr>
              <w:t>/</w:t>
            </w:r>
            <w:r>
              <w:rPr>
                <w:rFonts w:cs="Times New Roman"/>
                <w:color w:val="auto"/>
                <w:sz w:val="18"/>
                <w:szCs w:val="18"/>
              </w:rPr>
              <w:t>23</w:t>
            </w:r>
          </w:p>
        </w:tc>
        <w:tc>
          <w:tcPr>
            <w:tcW w:w="992" w:type="dxa"/>
            <w:shd w:val="clear" w:color="auto" w:fill="FFFFFF" w:themeFill="background1"/>
            <w:vAlign w:val="center"/>
          </w:tcPr>
          <w:p w14:paraId="3EE95D92" w14:textId="77777777" w:rsidR="007D2393" w:rsidRDefault="007D2393" w:rsidP="00BE2552">
            <w:pPr>
              <w:adjustRightInd w:val="0"/>
              <w:snapToGrid w:val="0"/>
              <w:spacing w:line="240" w:lineRule="auto"/>
              <w:ind w:firstLineChars="0" w:firstLine="0"/>
              <w:jc w:val="center"/>
              <w:rPr>
                <w:color w:val="auto"/>
                <w:sz w:val="18"/>
                <w:szCs w:val="18"/>
              </w:rPr>
            </w:pPr>
            <w:r>
              <w:rPr>
                <w:rFonts w:hint="eastAsia"/>
                <w:color w:val="auto"/>
                <w:sz w:val="18"/>
                <w:szCs w:val="18"/>
              </w:rPr>
              <w:t>不变</w:t>
            </w:r>
          </w:p>
        </w:tc>
      </w:tr>
      <w:tr w:rsidR="007D2393" w:rsidRPr="00B915C0" w14:paraId="16575190" w14:textId="77777777" w:rsidTr="00BE2552">
        <w:trPr>
          <w:trHeight w:val="283"/>
        </w:trPr>
        <w:tc>
          <w:tcPr>
            <w:tcW w:w="1276" w:type="dxa"/>
            <w:shd w:val="clear" w:color="auto" w:fill="FFFFFF" w:themeFill="background1"/>
            <w:vAlign w:val="center"/>
          </w:tcPr>
          <w:p w14:paraId="2E11FA05" w14:textId="77777777" w:rsidR="007D2393" w:rsidRDefault="007D2393" w:rsidP="00BE2552">
            <w:pPr>
              <w:adjustRightInd w:val="0"/>
              <w:snapToGrid w:val="0"/>
              <w:spacing w:line="240" w:lineRule="auto"/>
              <w:ind w:firstLineChars="0" w:firstLine="0"/>
              <w:jc w:val="center"/>
              <w:rPr>
                <w:color w:val="auto"/>
                <w:sz w:val="18"/>
                <w:szCs w:val="18"/>
              </w:rPr>
            </w:pPr>
            <w:r>
              <w:rPr>
                <w:rFonts w:hint="eastAsia"/>
                <w:color w:val="auto"/>
                <w:sz w:val="18"/>
                <w:szCs w:val="18"/>
              </w:rPr>
              <w:t>南非</w:t>
            </w:r>
          </w:p>
        </w:tc>
        <w:tc>
          <w:tcPr>
            <w:tcW w:w="1134" w:type="dxa"/>
            <w:shd w:val="clear" w:color="auto" w:fill="FFFFFF" w:themeFill="background1"/>
            <w:vAlign w:val="center"/>
          </w:tcPr>
          <w:p w14:paraId="02B14F30" w14:textId="77777777" w:rsidR="007D2393" w:rsidRDefault="007D2393" w:rsidP="00BE2552">
            <w:pPr>
              <w:adjustRightInd w:val="0"/>
              <w:snapToGrid w:val="0"/>
              <w:spacing w:line="240" w:lineRule="auto"/>
              <w:ind w:firstLineChars="0" w:firstLine="0"/>
              <w:jc w:val="center"/>
              <w:rPr>
                <w:rFonts w:cs="Times New Roman"/>
                <w:color w:val="auto"/>
                <w:sz w:val="18"/>
                <w:szCs w:val="18"/>
              </w:rPr>
            </w:pPr>
            <w:r>
              <w:rPr>
                <w:rFonts w:cs="Times New Roman"/>
                <w:color w:val="auto"/>
                <w:sz w:val="18"/>
                <w:szCs w:val="18"/>
              </w:rPr>
              <w:t>Ba</w:t>
            </w:r>
            <w:r>
              <w:rPr>
                <w:rFonts w:cs="Times New Roman" w:hint="eastAsia"/>
                <w:color w:val="auto"/>
                <w:sz w:val="18"/>
                <w:szCs w:val="18"/>
              </w:rPr>
              <w:t>2/</w:t>
            </w:r>
            <w:r>
              <w:rPr>
                <w:rFonts w:cs="Times New Roman"/>
                <w:color w:val="auto"/>
                <w:sz w:val="18"/>
                <w:szCs w:val="18"/>
              </w:rPr>
              <w:t>Ba</w:t>
            </w:r>
            <w:r>
              <w:rPr>
                <w:rFonts w:cs="Times New Roman" w:hint="eastAsia"/>
                <w:color w:val="auto"/>
                <w:sz w:val="18"/>
                <w:szCs w:val="18"/>
              </w:rPr>
              <w:t>2</w:t>
            </w:r>
          </w:p>
        </w:tc>
        <w:tc>
          <w:tcPr>
            <w:tcW w:w="993" w:type="dxa"/>
            <w:shd w:val="clear" w:color="auto" w:fill="FFFFFF" w:themeFill="background1"/>
            <w:vAlign w:val="center"/>
          </w:tcPr>
          <w:p w14:paraId="67378ED8" w14:textId="77777777" w:rsidR="007D2393" w:rsidRDefault="007D2393" w:rsidP="00BE2552">
            <w:pPr>
              <w:adjustRightInd w:val="0"/>
              <w:snapToGrid w:val="0"/>
              <w:spacing w:line="240" w:lineRule="auto"/>
              <w:ind w:firstLineChars="0" w:firstLine="0"/>
              <w:jc w:val="center"/>
              <w:rPr>
                <w:color w:val="auto"/>
                <w:sz w:val="18"/>
                <w:szCs w:val="18"/>
              </w:rPr>
            </w:pPr>
            <w:r>
              <w:rPr>
                <w:rFonts w:hint="eastAsia"/>
                <w:color w:val="auto"/>
                <w:sz w:val="18"/>
                <w:szCs w:val="18"/>
              </w:rPr>
              <w:t>负面</w:t>
            </w:r>
          </w:p>
        </w:tc>
        <w:tc>
          <w:tcPr>
            <w:tcW w:w="1134" w:type="dxa"/>
            <w:shd w:val="clear" w:color="auto" w:fill="FFFFFF" w:themeFill="background1"/>
            <w:vAlign w:val="center"/>
          </w:tcPr>
          <w:p w14:paraId="596FED54" w14:textId="77777777" w:rsidR="007D2393" w:rsidRPr="006F31F5" w:rsidRDefault="007D2393" w:rsidP="00BE2552">
            <w:pPr>
              <w:adjustRightInd w:val="0"/>
              <w:snapToGrid w:val="0"/>
              <w:spacing w:line="240" w:lineRule="auto"/>
              <w:ind w:firstLineChars="0" w:firstLine="0"/>
              <w:jc w:val="center"/>
              <w:rPr>
                <w:rFonts w:cs="Times New Roman"/>
                <w:color w:val="000000"/>
                <w:sz w:val="18"/>
                <w:szCs w:val="18"/>
              </w:rPr>
            </w:pPr>
            <w:r w:rsidRPr="006F31F5">
              <w:rPr>
                <w:rFonts w:cs="Times New Roman" w:hint="eastAsia"/>
                <w:color w:val="000000"/>
                <w:sz w:val="18"/>
                <w:szCs w:val="18"/>
              </w:rPr>
              <w:t>2</w:t>
            </w:r>
            <w:r>
              <w:rPr>
                <w:rFonts w:cs="Times New Roman"/>
                <w:color w:val="000000"/>
                <w:sz w:val="18"/>
                <w:szCs w:val="18"/>
              </w:rPr>
              <w:t>020/11/20</w:t>
            </w:r>
          </w:p>
        </w:tc>
        <w:tc>
          <w:tcPr>
            <w:tcW w:w="1134" w:type="dxa"/>
            <w:shd w:val="clear" w:color="auto" w:fill="FFFFFF" w:themeFill="background1"/>
            <w:vAlign w:val="center"/>
          </w:tcPr>
          <w:p w14:paraId="35F09FD6" w14:textId="77777777" w:rsidR="007D2393" w:rsidRDefault="007D2393" w:rsidP="00BE2552">
            <w:pPr>
              <w:adjustRightInd w:val="0"/>
              <w:snapToGrid w:val="0"/>
              <w:spacing w:line="240" w:lineRule="auto"/>
              <w:ind w:firstLineChars="0" w:firstLine="0"/>
              <w:jc w:val="center"/>
              <w:rPr>
                <w:rFonts w:cs="Times New Roman"/>
                <w:color w:val="auto"/>
                <w:sz w:val="18"/>
                <w:szCs w:val="18"/>
              </w:rPr>
            </w:pPr>
            <w:r>
              <w:rPr>
                <w:rFonts w:cs="Times New Roman"/>
                <w:color w:val="auto"/>
                <w:sz w:val="18"/>
                <w:szCs w:val="18"/>
              </w:rPr>
              <w:t>B</w:t>
            </w:r>
            <w:r>
              <w:rPr>
                <w:rFonts w:cs="Times New Roman" w:hint="eastAsia"/>
                <w:color w:val="auto"/>
                <w:sz w:val="18"/>
                <w:szCs w:val="18"/>
              </w:rPr>
              <w:t>a</w:t>
            </w:r>
            <w:r>
              <w:rPr>
                <w:rFonts w:cs="Times New Roman"/>
                <w:color w:val="auto"/>
                <w:sz w:val="18"/>
                <w:szCs w:val="18"/>
              </w:rPr>
              <w:t>1</w:t>
            </w:r>
            <w:r>
              <w:rPr>
                <w:rFonts w:cs="Times New Roman" w:hint="eastAsia"/>
                <w:color w:val="auto"/>
                <w:sz w:val="18"/>
                <w:szCs w:val="18"/>
              </w:rPr>
              <w:t>/</w:t>
            </w:r>
            <w:r>
              <w:rPr>
                <w:rFonts w:cs="Times New Roman"/>
                <w:color w:val="auto"/>
                <w:sz w:val="18"/>
                <w:szCs w:val="18"/>
              </w:rPr>
              <w:t>B</w:t>
            </w:r>
            <w:r>
              <w:rPr>
                <w:rFonts w:cs="Times New Roman" w:hint="eastAsia"/>
                <w:color w:val="auto"/>
                <w:sz w:val="18"/>
                <w:szCs w:val="18"/>
              </w:rPr>
              <w:t>a</w:t>
            </w:r>
            <w:r>
              <w:rPr>
                <w:rFonts w:cs="Times New Roman"/>
                <w:color w:val="auto"/>
                <w:sz w:val="18"/>
                <w:szCs w:val="18"/>
              </w:rPr>
              <w:t>1</w:t>
            </w:r>
          </w:p>
        </w:tc>
        <w:tc>
          <w:tcPr>
            <w:tcW w:w="1044" w:type="dxa"/>
            <w:shd w:val="clear" w:color="auto" w:fill="FFFFFF" w:themeFill="background1"/>
            <w:vAlign w:val="center"/>
          </w:tcPr>
          <w:p w14:paraId="6B3092EE" w14:textId="77777777" w:rsidR="007D2393" w:rsidRDefault="007D2393" w:rsidP="00BE2552">
            <w:pPr>
              <w:adjustRightInd w:val="0"/>
              <w:snapToGrid w:val="0"/>
              <w:spacing w:line="240" w:lineRule="auto"/>
              <w:ind w:firstLineChars="0" w:firstLine="0"/>
              <w:jc w:val="center"/>
              <w:rPr>
                <w:color w:val="auto"/>
                <w:sz w:val="18"/>
                <w:szCs w:val="18"/>
              </w:rPr>
            </w:pPr>
            <w:r>
              <w:rPr>
                <w:rFonts w:hint="eastAsia"/>
                <w:color w:val="auto"/>
                <w:sz w:val="18"/>
                <w:szCs w:val="18"/>
              </w:rPr>
              <w:t>负面</w:t>
            </w:r>
          </w:p>
        </w:tc>
        <w:tc>
          <w:tcPr>
            <w:tcW w:w="1134" w:type="dxa"/>
            <w:shd w:val="clear" w:color="auto" w:fill="FFFFFF" w:themeFill="background1"/>
            <w:vAlign w:val="center"/>
          </w:tcPr>
          <w:p w14:paraId="4181AB86" w14:textId="77777777" w:rsidR="007D2393" w:rsidRDefault="007D2393" w:rsidP="00BE2552">
            <w:pPr>
              <w:spacing w:line="240" w:lineRule="auto"/>
              <w:ind w:firstLineChars="0" w:firstLine="0"/>
              <w:jc w:val="center"/>
              <w:rPr>
                <w:rFonts w:cs="Times New Roman"/>
                <w:color w:val="auto"/>
                <w:sz w:val="18"/>
                <w:szCs w:val="18"/>
              </w:rPr>
            </w:pPr>
            <w:r>
              <w:rPr>
                <w:rFonts w:cs="Times New Roman"/>
                <w:color w:val="auto"/>
                <w:sz w:val="18"/>
                <w:szCs w:val="18"/>
              </w:rPr>
              <w:t>2020</w:t>
            </w:r>
            <w:r>
              <w:rPr>
                <w:rFonts w:cs="Times New Roman" w:hint="eastAsia"/>
                <w:color w:val="auto"/>
                <w:sz w:val="18"/>
                <w:szCs w:val="18"/>
              </w:rPr>
              <w:t>/</w:t>
            </w:r>
            <w:r>
              <w:rPr>
                <w:rFonts w:cs="Times New Roman"/>
                <w:color w:val="auto"/>
                <w:sz w:val="18"/>
                <w:szCs w:val="18"/>
              </w:rPr>
              <w:t>3</w:t>
            </w:r>
            <w:r>
              <w:rPr>
                <w:rFonts w:cs="Times New Roman" w:hint="eastAsia"/>
                <w:color w:val="auto"/>
                <w:sz w:val="18"/>
                <w:szCs w:val="18"/>
              </w:rPr>
              <w:t>/</w:t>
            </w:r>
            <w:r>
              <w:rPr>
                <w:rFonts w:cs="Times New Roman"/>
                <w:color w:val="auto"/>
                <w:sz w:val="18"/>
                <w:szCs w:val="18"/>
              </w:rPr>
              <w:t>27</w:t>
            </w:r>
          </w:p>
        </w:tc>
        <w:tc>
          <w:tcPr>
            <w:tcW w:w="992" w:type="dxa"/>
            <w:shd w:val="clear" w:color="auto" w:fill="FFFFFF" w:themeFill="background1"/>
            <w:vAlign w:val="center"/>
          </w:tcPr>
          <w:p w14:paraId="269DFF49" w14:textId="77777777" w:rsidR="007D2393" w:rsidRDefault="007D2393" w:rsidP="00BE2552">
            <w:pPr>
              <w:adjustRightInd w:val="0"/>
              <w:snapToGrid w:val="0"/>
              <w:spacing w:line="240" w:lineRule="auto"/>
              <w:ind w:firstLineChars="0" w:firstLine="0"/>
              <w:jc w:val="center"/>
              <w:rPr>
                <w:color w:val="auto"/>
                <w:sz w:val="18"/>
                <w:szCs w:val="18"/>
              </w:rPr>
            </w:pPr>
            <w:r>
              <w:rPr>
                <w:rFonts w:hint="eastAsia"/>
                <w:color w:val="00B050"/>
                <w:sz w:val="18"/>
                <w:szCs w:val="18"/>
              </w:rPr>
              <w:t>下调级别</w:t>
            </w:r>
          </w:p>
        </w:tc>
      </w:tr>
    </w:tbl>
    <w:p w14:paraId="2EE0C413" w14:textId="77777777" w:rsidR="007D2393" w:rsidRPr="00110CAD" w:rsidRDefault="007D2393" w:rsidP="007D2393">
      <w:pPr>
        <w:spacing w:beforeLines="50" w:before="163" w:afterLines="50" w:after="163" w:line="240" w:lineRule="auto"/>
        <w:ind w:firstLineChars="0" w:firstLine="0"/>
        <w:rPr>
          <w:rFonts w:ascii="楷体" w:eastAsia="楷体" w:hAnsi="楷体" w:cs="Times New Roman"/>
          <w:sz w:val="18"/>
        </w:rPr>
      </w:pPr>
      <w:r w:rsidRPr="00110CAD">
        <w:rPr>
          <w:rFonts w:ascii="楷体" w:eastAsia="楷体" w:hAnsi="楷体" w:hint="eastAsia"/>
          <w:sz w:val="18"/>
        </w:rPr>
        <w:t>数据来源：</w:t>
      </w:r>
      <w:r w:rsidRPr="00110CAD">
        <w:rPr>
          <w:rFonts w:ascii="楷体" w:eastAsia="楷体" w:hAnsi="楷体" w:cs="Times New Roman"/>
          <w:sz w:val="18"/>
        </w:rPr>
        <w:t>联合资信整</w:t>
      </w:r>
      <w:r w:rsidRPr="00110CAD">
        <w:rPr>
          <w:rFonts w:ascii="楷体" w:eastAsia="楷体" w:hAnsi="楷体" w:cs="Times New Roman" w:hint="eastAsia"/>
          <w:sz w:val="18"/>
        </w:rPr>
        <w:t>理</w:t>
      </w:r>
    </w:p>
    <w:p w14:paraId="7EE9B05C" w14:textId="77777777" w:rsidR="009A183F" w:rsidRPr="00110CAD" w:rsidRDefault="009A183F" w:rsidP="009A183F">
      <w:pPr>
        <w:pStyle w:val="1"/>
        <w:spacing w:beforeLines="100" w:before="326" w:afterLines="100" w:after="326"/>
        <w:rPr>
          <w:rFonts w:ascii="宋体" w:eastAsia="宋体" w:hAnsi="宋体" w:cs="宋体"/>
          <w:color w:val="FF0000"/>
        </w:rPr>
      </w:pPr>
      <w:r w:rsidRPr="00110CAD">
        <w:rPr>
          <w:rFonts w:ascii="宋体" w:eastAsia="宋体" w:hAnsi="宋体" w:cs="宋体" w:hint="eastAsia"/>
          <w:color w:val="FF0000"/>
        </w:rPr>
        <w:t>主要经济体利率及汇率走势</w:t>
      </w:r>
    </w:p>
    <w:p w14:paraId="67B095C2" w14:textId="7A96D883" w:rsidR="006D0136" w:rsidRPr="00110CAD" w:rsidRDefault="006D0136" w:rsidP="009A183F">
      <w:pPr>
        <w:pStyle w:val="2"/>
        <w:spacing w:beforeLines="0" w:afterLines="50" w:after="163"/>
        <w:rPr>
          <w:rFonts w:ascii="宋体" w:hAnsi="宋体" w:cs="宋体"/>
          <w:b w:val="0"/>
          <w:bCs w:val="0"/>
        </w:rPr>
      </w:pPr>
      <w:bookmarkStart w:id="4" w:name="_Hlk32230092"/>
      <w:r>
        <w:rPr>
          <w:rFonts w:ascii="Times New Roman" w:eastAsia="宋体" w:hAnsi="Times New Roman" w:cs="Times New Roman" w:hint="eastAsia"/>
        </w:rPr>
        <w:t>本周</w:t>
      </w:r>
      <w:r w:rsidRPr="00110CAD">
        <w:rPr>
          <w:rFonts w:ascii="Times New Roman" w:eastAsia="宋体" w:hAnsi="Times New Roman" w:cs="Times New Roman" w:hint="eastAsia"/>
        </w:rPr>
        <w:t>美债收益率</w:t>
      </w:r>
      <w:r w:rsidR="00A447DB">
        <w:rPr>
          <w:rFonts w:ascii="Times New Roman" w:eastAsia="宋体" w:hAnsi="Times New Roman" w:cs="Times New Roman" w:hint="eastAsia"/>
        </w:rPr>
        <w:t>全线下行</w:t>
      </w:r>
      <w:r w:rsidRPr="00110CAD">
        <w:rPr>
          <w:rFonts w:ascii="Times New Roman" w:eastAsia="宋体" w:hAnsi="Times New Roman" w:cs="Times New Roman" w:hint="eastAsia"/>
        </w:rPr>
        <w:t>，</w:t>
      </w:r>
      <w:r w:rsidR="00950791">
        <w:rPr>
          <w:rFonts w:ascii="Times New Roman" w:eastAsia="宋体" w:hAnsi="Times New Roman" w:cs="Times New Roman" w:hint="eastAsia"/>
        </w:rPr>
        <w:t>除中国外</w:t>
      </w:r>
      <w:r w:rsidRPr="00110CAD">
        <w:rPr>
          <w:rFonts w:ascii="Times New Roman" w:eastAsia="宋体" w:hAnsi="Times New Roman" w:cs="Times New Roman" w:hint="eastAsia"/>
        </w:rPr>
        <w:t>主要经济体国债与美债利差</w:t>
      </w:r>
      <w:r>
        <w:rPr>
          <w:rFonts w:ascii="Times New Roman" w:eastAsia="宋体" w:hAnsi="Times New Roman" w:cs="Times New Roman" w:hint="eastAsia"/>
        </w:rPr>
        <w:t>多数</w:t>
      </w:r>
      <w:r w:rsidR="00950791">
        <w:rPr>
          <w:rFonts w:ascii="Times New Roman" w:eastAsia="宋体" w:hAnsi="Times New Roman" w:cs="Times New Roman" w:hint="eastAsia"/>
        </w:rPr>
        <w:t>收窄</w:t>
      </w:r>
    </w:p>
    <w:bookmarkEnd w:id="4"/>
    <w:p w14:paraId="688E92FA" w14:textId="3C7CDBC3" w:rsidR="009A183F" w:rsidRPr="00110CAD" w:rsidRDefault="009A183F" w:rsidP="006B6EB4">
      <w:pPr>
        <w:spacing w:afterLines="50" w:after="163"/>
        <w:ind w:firstLine="420"/>
        <w:rPr>
          <w:rFonts w:cs="Times New Roman"/>
          <w:color w:val="auto"/>
        </w:rPr>
      </w:pPr>
      <w:r w:rsidRPr="00110CAD">
        <w:rPr>
          <w:rFonts w:cs="Times New Roman" w:hint="eastAsia"/>
          <w:color w:val="auto"/>
        </w:rPr>
        <w:lastRenderedPageBreak/>
        <w:t>本周，</w:t>
      </w:r>
      <w:r w:rsidR="006F633A">
        <w:rPr>
          <w:rFonts w:cs="Times New Roman" w:hint="eastAsia"/>
          <w:color w:val="auto"/>
        </w:rPr>
        <w:t>在疫情肆虐、财政刺激政策方案无法达成一致</w:t>
      </w:r>
      <w:r w:rsidR="004B047B">
        <w:rPr>
          <w:rFonts w:cs="Times New Roman" w:hint="eastAsia"/>
          <w:color w:val="auto"/>
        </w:rPr>
        <w:t>的背景下，</w:t>
      </w:r>
      <w:r w:rsidR="00A447DB" w:rsidRPr="00A447DB">
        <w:rPr>
          <w:rFonts w:cs="Times New Roman" w:hint="eastAsia"/>
          <w:color w:val="auto"/>
        </w:rPr>
        <w:t>财政部要求美联储归还紧急贷款计划中未使用的资金，</w:t>
      </w:r>
      <w:r w:rsidR="004430B7">
        <w:rPr>
          <w:rFonts w:cs="Times New Roman" w:hint="eastAsia"/>
          <w:color w:val="auto"/>
        </w:rPr>
        <w:t>而</w:t>
      </w:r>
      <w:r w:rsidR="00A447DB" w:rsidRPr="00A447DB">
        <w:rPr>
          <w:rFonts w:cs="Times New Roman" w:hint="eastAsia"/>
          <w:color w:val="auto"/>
        </w:rPr>
        <w:t>美联储</w:t>
      </w:r>
      <w:r w:rsidR="004430B7">
        <w:rPr>
          <w:rFonts w:cs="Times New Roman" w:hint="eastAsia"/>
          <w:color w:val="auto"/>
        </w:rPr>
        <w:t>随即</w:t>
      </w:r>
      <w:r w:rsidR="00A447DB" w:rsidRPr="00A447DB">
        <w:rPr>
          <w:rFonts w:cs="Times New Roman" w:hint="eastAsia"/>
          <w:color w:val="auto"/>
        </w:rPr>
        <w:t>表示将遵照这一要求</w:t>
      </w:r>
      <w:r w:rsidR="00A447DB">
        <w:rPr>
          <w:rFonts w:cs="Times New Roman" w:hint="eastAsia"/>
          <w:color w:val="auto"/>
        </w:rPr>
        <w:t>，这一消息提升了市场对于</w:t>
      </w:r>
      <w:r w:rsidR="00A447DB">
        <w:rPr>
          <w:rFonts w:cs="Times New Roman" w:hint="eastAsia"/>
          <w:color w:val="auto"/>
        </w:rPr>
        <w:t>1</w:t>
      </w:r>
      <w:r w:rsidR="00A447DB">
        <w:rPr>
          <w:rFonts w:cs="Times New Roman"/>
          <w:color w:val="auto"/>
        </w:rPr>
        <w:t>2</w:t>
      </w:r>
      <w:r w:rsidR="00A447DB">
        <w:rPr>
          <w:rFonts w:cs="Times New Roman"/>
          <w:color w:val="auto"/>
        </w:rPr>
        <w:t>月美联储将公布更多货币行动的预期</w:t>
      </w:r>
      <w:r w:rsidR="00A447DB">
        <w:rPr>
          <w:rFonts w:cs="Times New Roman" w:hint="eastAsia"/>
          <w:color w:val="auto"/>
        </w:rPr>
        <w:t>，</w:t>
      </w:r>
      <w:r w:rsidR="003873DC">
        <w:rPr>
          <w:rFonts w:cs="Times New Roman"/>
          <w:color w:val="auto"/>
        </w:rPr>
        <w:t>各期限</w:t>
      </w:r>
      <w:r w:rsidR="00A447DB">
        <w:rPr>
          <w:rFonts w:cs="Times New Roman"/>
          <w:color w:val="auto"/>
        </w:rPr>
        <w:t>美债收益率全线下行</w:t>
      </w:r>
      <w:r w:rsidR="004430B7">
        <w:rPr>
          <w:rFonts w:cs="Times New Roman" w:hint="eastAsia"/>
          <w:color w:val="auto"/>
        </w:rPr>
        <w:t>。</w:t>
      </w:r>
      <w:r w:rsidR="00B616BF" w:rsidRPr="00110CAD">
        <w:rPr>
          <w:rFonts w:cs="Times New Roman" w:hint="eastAsia"/>
          <w:color w:val="auto"/>
        </w:rPr>
        <w:t>1</w:t>
      </w:r>
      <w:r w:rsidR="00B616BF" w:rsidRPr="00110CAD">
        <w:rPr>
          <w:rFonts w:cs="Times New Roman" w:hint="eastAsia"/>
          <w:color w:val="auto"/>
        </w:rPr>
        <w:t>年期</w:t>
      </w:r>
      <w:r w:rsidR="004430B7">
        <w:rPr>
          <w:rFonts w:cs="Times New Roman" w:hint="eastAsia"/>
          <w:color w:val="auto"/>
        </w:rPr>
        <w:t>、</w:t>
      </w:r>
      <w:r w:rsidR="004430B7">
        <w:rPr>
          <w:rFonts w:cs="Times New Roman" w:hint="eastAsia"/>
          <w:color w:val="auto"/>
        </w:rPr>
        <w:t>5</w:t>
      </w:r>
      <w:r w:rsidR="004430B7">
        <w:rPr>
          <w:rFonts w:cs="Times New Roman" w:hint="eastAsia"/>
          <w:color w:val="auto"/>
        </w:rPr>
        <w:t>年期和</w:t>
      </w:r>
      <w:r w:rsidR="004430B7">
        <w:rPr>
          <w:rFonts w:cs="Times New Roman" w:hint="eastAsia"/>
          <w:color w:val="auto"/>
        </w:rPr>
        <w:t>1</w:t>
      </w:r>
      <w:r w:rsidR="004430B7">
        <w:rPr>
          <w:rFonts w:cs="Times New Roman"/>
          <w:color w:val="auto"/>
        </w:rPr>
        <w:t>0</w:t>
      </w:r>
      <w:r w:rsidR="004430B7">
        <w:rPr>
          <w:rFonts w:cs="Times New Roman" w:hint="eastAsia"/>
          <w:color w:val="auto"/>
        </w:rPr>
        <w:t>年期</w:t>
      </w:r>
      <w:r w:rsidR="00B616BF" w:rsidRPr="00110CAD">
        <w:rPr>
          <w:rFonts w:cs="Times New Roman" w:hint="eastAsia"/>
          <w:color w:val="auto"/>
        </w:rPr>
        <w:t>美债平均收益率</w:t>
      </w:r>
      <w:r w:rsidR="00B616BF" w:rsidRPr="00110CAD">
        <w:rPr>
          <w:rFonts w:cs="Times New Roman"/>
          <w:color w:val="auto"/>
        </w:rPr>
        <w:t>较上周</w:t>
      </w:r>
      <w:r w:rsidR="004430B7">
        <w:rPr>
          <w:rFonts w:cs="Times New Roman"/>
          <w:color w:val="auto"/>
        </w:rPr>
        <w:t>分别</w:t>
      </w:r>
      <w:r w:rsidR="00B616BF">
        <w:rPr>
          <w:rFonts w:cs="Times New Roman" w:hint="eastAsia"/>
          <w:color w:val="auto"/>
        </w:rPr>
        <w:t>下跌</w:t>
      </w:r>
      <w:r w:rsidR="00B616BF" w:rsidRPr="00110CAD">
        <w:rPr>
          <w:rFonts w:cs="Times New Roman"/>
          <w:color w:val="auto"/>
        </w:rPr>
        <w:t>0.</w:t>
      </w:r>
      <w:r w:rsidR="004430B7">
        <w:rPr>
          <w:rFonts w:cs="Times New Roman"/>
          <w:color w:val="auto"/>
        </w:rPr>
        <w:t>8</w:t>
      </w:r>
      <w:r w:rsidR="00B616BF" w:rsidRPr="00110CAD">
        <w:rPr>
          <w:rFonts w:cs="Times New Roman"/>
          <w:color w:val="auto"/>
        </w:rPr>
        <w:t>0</w:t>
      </w:r>
      <w:r w:rsidR="00B616BF" w:rsidRPr="00110CAD">
        <w:rPr>
          <w:rFonts w:cs="Times New Roman"/>
          <w:color w:val="auto"/>
        </w:rPr>
        <w:t>个</w:t>
      </w:r>
      <w:r w:rsidR="004430B7">
        <w:rPr>
          <w:rFonts w:cs="Times New Roman" w:hint="eastAsia"/>
          <w:color w:val="auto"/>
        </w:rPr>
        <w:t>、</w:t>
      </w:r>
      <w:r w:rsidR="004430B7">
        <w:rPr>
          <w:rFonts w:cs="Times New Roman" w:hint="eastAsia"/>
          <w:color w:val="auto"/>
        </w:rPr>
        <w:t>2</w:t>
      </w:r>
      <w:r w:rsidR="004430B7">
        <w:rPr>
          <w:rFonts w:cs="Times New Roman"/>
          <w:color w:val="auto"/>
        </w:rPr>
        <w:t>.0</w:t>
      </w:r>
      <w:r w:rsidR="004430B7">
        <w:rPr>
          <w:rFonts w:cs="Times New Roman"/>
          <w:color w:val="auto"/>
        </w:rPr>
        <w:t>个和</w:t>
      </w:r>
      <w:r w:rsidR="004430B7">
        <w:rPr>
          <w:rFonts w:cs="Times New Roman" w:hint="eastAsia"/>
          <w:color w:val="auto"/>
        </w:rPr>
        <w:t>3</w:t>
      </w:r>
      <w:r w:rsidR="004430B7">
        <w:rPr>
          <w:rFonts w:cs="Times New Roman"/>
          <w:color w:val="auto"/>
        </w:rPr>
        <w:t>.8</w:t>
      </w:r>
      <w:r w:rsidR="004430B7">
        <w:rPr>
          <w:rFonts w:cs="Times New Roman"/>
          <w:color w:val="auto"/>
        </w:rPr>
        <w:t>个</w:t>
      </w:r>
      <w:r w:rsidR="00B616BF" w:rsidRPr="00110CAD">
        <w:rPr>
          <w:rFonts w:cs="Times New Roman" w:hint="eastAsia"/>
          <w:color w:val="auto"/>
        </w:rPr>
        <w:t>B</w:t>
      </w:r>
      <w:r w:rsidR="00B616BF" w:rsidRPr="00110CAD">
        <w:rPr>
          <w:rFonts w:cs="Times New Roman"/>
          <w:color w:val="auto"/>
        </w:rPr>
        <w:t>P</w:t>
      </w:r>
      <w:r w:rsidR="00B616BF" w:rsidRPr="00110CAD">
        <w:rPr>
          <w:rFonts w:cs="Times New Roman"/>
          <w:color w:val="auto"/>
        </w:rPr>
        <w:t>至</w:t>
      </w:r>
      <w:r w:rsidR="00B616BF" w:rsidRPr="00110CAD">
        <w:rPr>
          <w:rFonts w:cs="Times New Roman" w:hint="eastAsia"/>
          <w:color w:val="auto"/>
        </w:rPr>
        <w:t>0</w:t>
      </w:r>
      <w:r w:rsidR="00B616BF" w:rsidRPr="00110CAD">
        <w:rPr>
          <w:rFonts w:cs="Times New Roman"/>
          <w:color w:val="auto"/>
        </w:rPr>
        <w:t>.1</w:t>
      </w:r>
      <w:r w:rsidR="004430B7">
        <w:rPr>
          <w:rFonts w:cs="Times New Roman"/>
          <w:color w:val="auto"/>
        </w:rPr>
        <w:t>1</w:t>
      </w:r>
      <w:r w:rsidR="00B616BF" w:rsidRPr="00110CAD">
        <w:rPr>
          <w:rFonts w:cs="Times New Roman" w:hint="eastAsia"/>
          <w:color w:val="auto"/>
        </w:rPr>
        <w:t>%</w:t>
      </w:r>
      <w:r w:rsidR="004430B7">
        <w:rPr>
          <w:rFonts w:cs="Times New Roman" w:hint="eastAsia"/>
          <w:color w:val="auto"/>
        </w:rPr>
        <w:t>、</w:t>
      </w:r>
      <w:r w:rsidR="004430B7">
        <w:rPr>
          <w:rFonts w:cs="Times New Roman" w:hint="eastAsia"/>
          <w:color w:val="auto"/>
        </w:rPr>
        <w:t>0</w:t>
      </w:r>
      <w:r w:rsidR="004430B7">
        <w:rPr>
          <w:rFonts w:cs="Times New Roman"/>
          <w:color w:val="auto"/>
        </w:rPr>
        <w:t>.39</w:t>
      </w:r>
      <w:r w:rsidR="004430B7">
        <w:rPr>
          <w:rFonts w:cs="Times New Roman" w:hint="eastAsia"/>
          <w:color w:val="auto"/>
        </w:rPr>
        <w:t>%</w:t>
      </w:r>
      <w:r w:rsidR="004430B7">
        <w:rPr>
          <w:rFonts w:cs="Times New Roman"/>
          <w:color w:val="auto"/>
        </w:rPr>
        <w:t>和</w:t>
      </w:r>
      <w:r w:rsidR="004430B7">
        <w:rPr>
          <w:rFonts w:cs="Times New Roman" w:hint="eastAsia"/>
          <w:color w:val="auto"/>
        </w:rPr>
        <w:t>0</w:t>
      </w:r>
      <w:r w:rsidR="004430B7">
        <w:rPr>
          <w:rFonts w:cs="Times New Roman"/>
          <w:color w:val="auto"/>
        </w:rPr>
        <w:t>.87</w:t>
      </w:r>
      <w:r w:rsidR="004430B7">
        <w:rPr>
          <w:rFonts w:cs="Times New Roman" w:hint="eastAsia"/>
          <w:color w:val="auto"/>
        </w:rPr>
        <w:t>%</w:t>
      </w:r>
      <w:r w:rsidRPr="00110CAD">
        <w:rPr>
          <w:rFonts w:cs="Times New Roman" w:hint="eastAsia"/>
          <w:color w:val="auto"/>
        </w:rPr>
        <w:t>。</w:t>
      </w:r>
    </w:p>
    <w:p w14:paraId="40A962AD" w14:textId="34C40A03" w:rsidR="009A183F" w:rsidRPr="00110CAD" w:rsidRDefault="00E96036" w:rsidP="00046120">
      <w:pPr>
        <w:snapToGrid w:val="0"/>
        <w:spacing w:line="240" w:lineRule="auto"/>
        <w:ind w:firstLineChars="0" w:firstLine="0"/>
        <w:jc w:val="center"/>
        <w:rPr>
          <w:rFonts w:cs="Times New Roman"/>
          <w:color w:val="auto"/>
        </w:rPr>
      </w:pPr>
      <w:r>
        <w:rPr>
          <w:noProof/>
        </w:rPr>
        <w:drawing>
          <wp:inline distT="0" distB="0" distL="0" distR="0" wp14:anchorId="5FC0F55F" wp14:editId="349B7E8E">
            <wp:extent cx="5191125" cy="3067050"/>
            <wp:effectExtent l="0" t="0" r="9525" b="0"/>
            <wp:docPr id="1" name="图表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D3B693B" w14:textId="77777777" w:rsidR="009A183F" w:rsidRPr="00110CAD" w:rsidRDefault="009A183F" w:rsidP="00046120">
      <w:pPr>
        <w:adjustRightInd w:val="0"/>
        <w:snapToGrid w:val="0"/>
        <w:spacing w:beforeLines="50" w:before="163" w:afterLines="50" w:after="163" w:line="240" w:lineRule="auto"/>
        <w:ind w:firstLineChars="0" w:firstLine="420"/>
        <w:rPr>
          <w:rFonts w:ascii="楷体" w:eastAsia="楷体" w:hAnsi="楷体"/>
          <w:sz w:val="18"/>
        </w:rPr>
      </w:pPr>
      <w:r w:rsidRPr="00110CAD">
        <w:rPr>
          <w:rFonts w:ascii="楷体" w:eastAsia="楷体" w:hAnsi="楷体" w:hint="eastAsia"/>
          <w:sz w:val="18"/>
        </w:rPr>
        <w:t>数据来源：WIND</w:t>
      </w:r>
    </w:p>
    <w:p w14:paraId="490064F6" w14:textId="3593F8A7" w:rsidR="005802B9" w:rsidRPr="00E8565B" w:rsidRDefault="00E13859" w:rsidP="005802B9">
      <w:pPr>
        <w:ind w:firstLine="420"/>
        <w:rPr>
          <w:color w:val="auto"/>
        </w:rPr>
      </w:pPr>
      <w:r w:rsidRPr="00557D75">
        <w:rPr>
          <w:rFonts w:hint="eastAsia"/>
          <w:color w:val="auto"/>
        </w:rPr>
        <w:t>本周，</w:t>
      </w:r>
      <w:r w:rsidR="003873DC">
        <w:rPr>
          <w:rFonts w:hint="eastAsia"/>
          <w:color w:val="auto"/>
        </w:rPr>
        <w:t>在美债收益率全线下行背景下，</w:t>
      </w:r>
      <w:r w:rsidR="00950791">
        <w:rPr>
          <w:rFonts w:hint="eastAsia"/>
          <w:color w:val="auto"/>
        </w:rPr>
        <w:t>除中国外，</w:t>
      </w:r>
      <w:r w:rsidRPr="00557D75">
        <w:rPr>
          <w:rFonts w:hint="eastAsia"/>
          <w:color w:val="auto"/>
        </w:rPr>
        <w:t>主要经济体国债与美债利差</w:t>
      </w:r>
      <w:r w:rsidR="00E8565B" w:rsidRPr="00557D75">
        <w:rPr>
          <w:rFonts w:hint="eastAsia"/>
          <w:color w:val="auto"/>
        </w:rPr>
        <w:t>多数</w:t>
      </w:r>
      <w:r w:rsidR="00950791">
        <w:rPr>
          <w:rFonts w:hint="eastAsia"/>
          <w:color w:val="auto"/>
        </w:rPr>
        <w:t>收窄</w:t>
      </w:r>
      <w:r w:rsidR="009A183F" w:rsidRPr="00557D75">
        <w:rPr>
          <w:rFonts w:hint="eastAsia"/>
          <w:color w:val="auto"/>
        </w:rPr>
        <w:t>。</w:t>
      </w:r>
      <w:r w:rsidR="00A05DED">
        <w:rPr>
          <w:rFonts w:hint="eastAsia"/>
          <w:color w:val="auto"/>
        </w:rPr>
        <w:t>本周</w:t>
      </w:r>
      <w:r w:rsidR="00D23BBA">
        <w:rPr>
          <w:rFonts w:hint="eastAsia"/>
          <w:color w:val="auto"/>
        </w:rPr>
        <w:t>中国国债收益率</w:t>
      </w:r>
      <w:r w:rsidR="006B1748">
        <w:rPr>
          <w:rFonts w:hint="eastAsia"/>
          <w:color w:val="auto"/>
        </w:rPr>
        <w:t>继续上行</w:t>
      </w:r>
      <w:r w:rsidR="00B648FA">
        <w:rPr>
          <w:rFonts w:hint="eastAsia"/>
          <w:color w:val="auto"/>
        </w:rPr>
        <w:t>，</w:t>
      </w:r>
      <w:r w:rsidR="00A05DED">
        <w:rPr>
          <w:rFonts w:hint="eastAsia"/>
          <w:color w:val="auto"/>
        </w:rPr>
        <w:t>致使与美债利差大幅</w:t>
      </w:r>
      <w:r w:rsidR="006B1748">
        <w:rPr>
          <w:rFonts w:hint="eastAsia"/>
          <w:color w:val="auto"/>
        </w:rPr>
        <w:t>走扩，</w:t>
      </w:r>
      <w:r w:rsidR="009A183F" w:rsidRPr="00110CAD">
        <w:rPr>
          <w:rFonts w:hint="eastAsia"/>
          <w:color w:val="auto"/>
        </w:rPr>
        <w:t>1</w:t>
      </w:r>
      <w:r w:rsidR="009A183F" w:rsidRPr="00110CAD">
        <w:rPr>
          <w:rFonts w:hint="eastAsia"/>
          <w:color w:val="auto"/>
        </w:rPr>
        <w:t>年期</w:t>
      </w:r>
      <w:r w:rsidR="006B1748">
        <w:rPr>
          <w:rFonts w:hint="eastAsia"/>
          <w:color w:val="auto"/>
        </w:rPr>
        <w:t>、</w:t>
      </w:r>
      <w:r w:rsidR="00E8565B" w:rsidRPr="00110CAD">
        <w:rPr>
          <w:rFonts w:hint="eastAsia"/>
          <w:color w:val="auto"/>
        </w:rPr>
        <w:t>5</w:t>
      </w:r>
      <w:r w:rsidR="00E8565B" w:rsidRPr="00110CAD">
        <w:rPr>
          <w:rFonts w:hint="eastAsia"/>
          <w:color w:val="auto"/>
        </w:rPr>
        <w:t>年期</w:t>
      </w:r>
      <w:r w:rsidR="006B1748">
        <w:rPr>
          <w:rFonts w:hint="eastAsia"/>
          <w:color w:val="auto"/>
        </w:rPr>
        <w:t>和</w:t>
      </w:r>
      <w:r w:rsidR="006B1748">
        <w:rPr>
          <w:rFonts w:hint="eastAsia"/>
          <w:color w:val="auto"/>
        </w:rPr>
        <w:t>1</w:t>
      </w:r>
      <w:r w:rsidR="006B1748">
        <w:rPr>
          <w:color w:val="auto"/>
        </w:rPr>
        <w:t>0</w:t>
      </w:r>
      <w:r w:rsidR="006B1748">
        <w:rPr>
          <w:color w:val="auto"/>
        </w:rPr>
        <w:t>年期</w:t>
      </w:r>
      <w:r w:rsidR="00B060E4" w:rsidRPr="00110CAD">
        <w:rPr>
          <w:rFonts w:hint="eastAsia"/>
          <w:color w:val="auto"/>
        </w:rPr>
        <w:t>中美国债平均利差</w:t>
      </w:r>
      <w:r w:rsidR="00E8565B">
        <w:rPr>
          <w:rFonts w:hint="eastAsia"/>
          <w:color w:val="auto"/>
        </w:rPr>
        <w:t>分别</w:t>
      </w:r>
      <w:r w:rsidR="00B060E4" w:rsidRPr="00110CAD">
        <w:rPr>
          <w:rFonts w:hint="eastAsia"/>
          <w:color w:val="auto"/>
        </w:rPr>
        <w:t>较上周走扩</w:t>
      </w:r>
      <w:r w:rsidR="006B1748">
        <w:rPr>
          <w:color w:val="auto"/>
        </w:rPr>
        <w:t>10.34</w:t>
      </w:r>
      <w:r w:rsidR="006B1748">
        <w:rPr>
          <w:color w:val="auto"/>
        </w:rPr>
        <w:t>个</w:t>
      </w:r>
      <w:r w:rsidR="006B1748">
        <w:rPr>
          <w:rFonts w:hint="eastAsia"/>
          <w:color w:val="auto"/>
        </w:rPr>
        <w:t>、</w:t>
      </w:r>
      <w:r w:rsidR="006B1748">
        <w:rPr>
          <w:rFonts w:hint="eastAsia"/>
          <w:color w:val="auto"/>
        </w:rPr>
        <w:t>1</w:t>
      </w:r>
      <w:r w:rsidR="006B1748">
        <w:rPr>
          <w:color w:val="auto"/>
        </w:rPr>
        <w:t>2.33</w:t>
      </w:r>
      <w:r w:rsidR="00B060E4" w:rsidRPr="00110CAD">
        <w:rPr>
          <w:rFonts w:hint="eastAsia"/>
          <w:color w:val="auto"/>
        </w:rPr>
        <w:t>个</w:t>
      </w:r>
      <w:r w:rsidR="00B060E4" w:rsidRPr="00110CAD">
        <w:rPr>
          <w:rFonts w:hint="eastAsia"/>
          <w:color w:val="auto"/>
        </w:rPr>
        <w:t>B</w:t>
      </w:r>
      <w:r w:rsidR="00B060E4" w:rsidRPr="00110CAD">
        <w:rPr>
          <w:color w:val="auto"/>
        </w:rPr>
        <w:t>P</w:t>
      </w:r>
      <w:r w:rsidR="006B1748">
        <w:rPr>
          <w:color w:val="auto"/>
        </w:rPr>
        <w:t>和</w:t>
      </w:r>
      <w:r w:rsidR="006B1748">
        <w:rPr>
          <w:rFonts w:hint="eastAsia"/>
          <w:color w:val="auto"/>
        </w:rPr>
        <w:t>1</w:t>
      </w:r>
      <w:r w:rsidR="006B1748">
        <w:rPr>
          <w:color w:val="auto"/>
        </w:rPr>
        <w:t>1.79</w:t>
      </w:r>
      <w:r w:rsidR="006B1748">
        <w:rPr>
          <w:color w:val="auto"/>
        </w:rPr>
        <w:t>个</w:t>
      </w:r>
      <w:r w:rsidR="006B1748">
        <w:rPr>
          <w:rFonts w:hint="eastAsia"/>
          <w:color w:val="auto"/>
        </w:rPr>
        <w:t>B</w:t>
      </w:r>
      <w:r w:rsidR="006B1748">
        <w:rPr>
          <w:color w:val="auto"/>
        </w:rPr>
        <w:t>P</w:t>
      </w:r>
      <w:r w:rsidR="00B060E4" w:rsidRPr="00110CAD">
        <w:rPr>
          <w:rFonts w:hint="eastAsia"/>
          <w:color w:val="auto"/>
        </w:rPr>
        <w:t>至</w:t>
      </w:r>
      <w:r w:rsidR="00B060E4" w:rsidRPr="00110CAD">
        <w:rPr>
          <w:rFonts w:hint="eastAsia"/>
          <w:color w:val="auto"/>
        </w:rPr>
        <w:t>2</w:t>
      </w:r>
      <w:r w:rsidR="00B060E4" w:rsidRPr="00110CAD">
        <w:rPr>
          <w:color w:val="auto"/>
        </w:rPr>
        <w:t>.</w:t>
      </w:r>
      <w:r w:rsidR="006B1748">
        <w:rPr>
          <w:color w:val="auto"/>
        </w:rPr>
        <w:t>80</w:t>
      </w:r>
      <w:r w:rsidR="00B060E4" w:rsidRPr="00110CAD">
        <w:rPr>
          <w:rFonts w:hint="eastAsia"/>
          <w:color w:val="auto"/>
        </w:rPr>
        <w:t>%</w:t>
      </w:r>
      <w:r w:rsidR="006B1748">
        <w:rPr>
          <w:rFonts w:hint="eastAsia"/>
          <w:color w:val="auto"/>
        </w:rPr>
        <w:t>、</w:t>
      </w:r>
      <w:r w:rsidR="006B1748">
        <w:rPr>
          <w:rFonts w:hint="eastAsia"/>
          <w:color w:val="auto"/>
        </w:rPr>
        <w:t>2</w:t>
      </w:r>
      <w:r w:rsidR="006B1748">
        <w:rPr>
          <w:color w:val="auto"/>
        </w:rPr>
        <w:t>.77</w:t>
      </w:r>
      <w:r w:rsidR="006B1748">
        <w:rPr>
          <w:rFonts w:hint="eastAsia"/>
          <w:color w:val="auto"/>
        </w:rPr>
        <w:t>%</w:t>
      </w:r>
      <w:r w:rsidR="00E8565B">
        <w:rPr>
          <w:rFonts w:hint="eastAsia"/>
          <w:color w:val="auto"/>
        </w:rPr>
        <w:t>和</w:t>
      </w:r>
      <w:r w:rsidR="00E8565B">
        <w:rPr>
          <w:rFonts w:hint="eastAsia"/>
          <w:color w:val="auto"/>
        </w:rPr>
        <w:t>2</w:t>
      </w:r>
      <w:r w:rsidR="00C95495">
        <w:rPr>
          <w:color w:val="auto"/>
        </w:rPr>
        <w:t>.44</w:t>
      </w:r>
      <w:r w:rsidR="00E8565B">
        <w:rPr>
          <w:rFonts w:hint="eastAsia"/>
          <w:color w:val="auto"/>
        </w:rPr>
        <w:t>%</w:t>
      </w:r>
      <w:r w:rsidR="00C95495">
        <w:rPr>
          <w:rFonts w:hint="eastAsia"/>
          <w:color w:val="auto"/>
        </w:rPr>
        <w:t>；本</w:t>
      </w:r>
      <w:r w:rsidR="009A183F" w:rsidRPr="00110CAD">
        <w:rPr>
          <w:rFonts w:hint="eastAsia"/>
          <w:color w:val="auto"/>
        </w:rPr>
        <w:t>1</w:t>
      </w:r>
      <w:r w:rsidR="009A183F" w:rsidRPr="00110CAD">
        <w:rPr>
          <w:rFonts w:hint="eastAsia"/>
          <w:color w:val="auto"/>
        </w:rPr>
        <w:t>年期、</w:t>
      </w:r>
      <w:r w:rsidR="009A183F" w:rsidRPr="00110CAD">
        <w:rPr>
          <w:rFonts w:hint="eastAsia"/>
          <w:color w:val="auto"/>
        </w:rPr>
        <w:t>5</w:t>
      </w:r>
      <w:r w:rsidR="009A183F" w:rsidRPr="00110CAD">
        <w:rPr>
          <w:rFonts w:hint="eastAsia"/>
          <w:color w:val="auto"/>
        </w:rPr>
        <w:t>年期以及</w:t>
      </w:r>
      <w:r w:rsidR="009A183F" w:rsidRPr="00110CAD">
        <w:rPr>
          <w:rFonts w:hint="eastAsia"/>
          <w:color w:val="auto"/>
        </w:rPr>
        <w:t>10</w:t>
      </w:r>
      <w:r w:rsidR="009A183F" w:rsidRPr="00110CAD">
        <w:rPr>
          <w:rFonts w:hint="eastAsia"/>
          <w:color w:val="auto"/>
        </w:rPr>
        <w:t>年期日本国债收益率</w:t>
      </w:r>
      <w:r w:rsidR="009E4E61">
        <w:rPr>
          <w:rFonts w:hint="eastAsia"/>
          <w:color w:val="auto"/>
        </w:rPr>
        <w:t>与</w:t>
      </w:r>
      <w:r w:rsidR="009A183F" w:rsidRPr="00110CAD">
        <w:rPr>
          <w:rFonts w:hint="eastAsia"/>
          <w:color w:val="auto"/>
        </w:rPr>
        <w:t>相应期限美债收益率利差</w:t>
      </w:r>
      <w:r w:rsidR="009E4E61">
        <w:rPr>
          <w:rFonts w:hint="eastAsia"/>
          <w:color w:val="auto"/>
        </w:rPr>
        <w:t>分别较上周</w:t>
      </w:r>
      <w:r w:rsidR="00C95495">
        <w:rPr>
          <w:rFonts w:hint="eastAsia"/>
          <w:color w:val="auto"/>
        </w:rPr>
        <w:t>收窄</w:t>
      </w:r>
      <w:r w:rsidR="00C95495">
        <w:rPr>
          <w:color w:val="auto"/>
        </w:rPr>
        <w:t>0.05</w:t>
      </w:r>
      <w:r w:rsidR="009A183F" w:rsidRPr="00110CAD">
        <w:rPr>
          <w:color w:val="auto"/>
        </w:rPr>
        <w:t>个</w:t>
      </w:r>
      <w:r w:rsidR="009A183F" w:rsidRPr="00110CAD">
        <w:rPr>
          <w:rFonts w:hint="eastAsia"/>
          <w:color w:val="auto"/>
        </w:rPr>
        <w:t>、</w:t>
      </w:r>
      <w:r w:rsidR="00C95495">
        <w:rPr>
          <w:rFonts w:hint="eastAsia"/>
          <w:color w:val="auto"/>
        </w:rPr>
        <w:t>2</w:t>
      </w:r>
      <w:r w:rsidR="00C95495">
        <w:rPr>
          <w:color w:val="auto"/>
        </w:rPr>
        <w:t>.25</w:t>
      </w:r>
      <w:r w:rsidR="009A183F" w:rsidRPr="00110CAD">
        <w:rPr>
          <w:color w:val="auto"/>
        </w:rPr>
        <w:t>个</w:t>
      </w:r>
      <w:r w:rsidR="009A183F" w:rsidRPr="00110CAD">
        <w:rPr>
          <w:rFonts w:hint="eastAsia"/>
          <w:color w:val="auto"/>
        </w:rPr>
        <w:t>以及</w:t>
      </w:r>
      <w:r w:rsidR="00C95495">
        <w:rPr>
          <w:rFonts w:hint="eastAsia"/>
          <w:color w:val="auto"/>
        </w:rPr>
        <w:t>4</w:t>
      </w:r>
      <w:r w:rsidR="00C95495">
        <w:rPr>
          <w:color w:val="auto"/>
        </w:rPr>
        <w:t>.10</w:t>
      </w:r>
      <w:r w:rsidR="009A183F" w:rsidRPr="00110CAD">
        <w:rPr>
          <w:rFonts w:hint="eastAsia"/>
          <w:color w:val="auto"/>
        </w:rPr>
        <w:t>个</w:t>
      </w:r>
      <w:r w:rsidR="009A183F" w:rsidRPr="00110CAD">
        <w:rPr>
          <w:rFonts w:hint="eastAsia"/>
          <w:color w:val="auto"/>
        </w:rPr>
        <w:t>B</w:t>
      </w:r>
      <w:r w:rsidR="009A183F" w:rsidRPr="00110CAD">
        <w:rPr>
          <w:color w:val="auto"/>
        </w:rPr>
        <w:t>P</w:t>
      </w:r>
      <w:r w:rsidR="009A183F" w:rsidRPr="00110CAD">
        <w:rPr>
          <w:color w:val="auto"/>
        </w:rPr>
        <w:t>至</w:t>
      </w:r>
      <w:r w:rsidR="009A183F" w:rsidRPr="00110CAD">
        <w:rPr>
          <w:rFonts w:hint="eastAsia"/>
          <w:color w:val="auto"/>
        </w:rPr>
        <w:t>-</w:t>
      </w:r>
      <w:r w:rsidR="009A183F" w:rsidRPr="00110CAD">
        <w:rPr>
          <w:color w:val="auto"/>
        </w:rPr>
        <w:t>0.</w:t>
      </w:r>
      <w:r w:rsidR="00E8565B">
        <w:rPr>
          <w:color w:val="auto"/>
        </w:rPr>
        <w:t>2</w:t>
      </w:r>
      <w:r w:rsidR="00557D75">
        <w:rPr>
          <w:color w:val="auto"/>
        </w:rPr>
        <w:t>7</w:t>
      </w:r>
      <w:r w:rsidR="009A183F" w:rsidRPr="00110CAD">
        <w:rPr>
          <w:rFonts w:hint="eastAsia"/>
          <w:color w:val="auto"/>
        </w:rPr>
        <w:t>%</w:t>
      </w:r>
      <w:r w:rsidR="009A183F" w:rsidRPr="00110CAD">
        <w:rPr>
          <w:rFonts w:hint="eastAsia"/>
          <w:color w:val="auto"/>
        </w:rPr>
        <w:t>、</w:t>
      </w:r>
      <w:r w:rsidR="009A183F" w:rsidRPr="00110CAD">
        <w:rPr>
          <w:rFonts w:hint="eastAsia"/>
          <w:color w:val="auto"/>
        </w:rPr>
        <w:t>-0.</w:t>
      </w:r>
      <w:r w:rsidR="006F4835">
        <w:rPr>
          <w:color w:val="auto"/>
        </w:rPr>
        <w:t>51</w:t>
      </w:r>
      <w:r w:rsidR="009A183F" w:rsidRPr="00110CAD">
        <w:rPr>
          <w:rFonts w:hint="eastAsia"/>
          <w:color w:val="auto"/>
        </w:rPr>
        <w:t>%</w:t>
      </w:r>
      <w:r w:rsidR="009A183F" w:rsidRPr="00110CAD">
        <w:rPr>
          <w:rFonts w:hint="eastAsia"/>
          <w:color w:val="auto"/>
        </w:rPr>
        <w:t>和</w:t>
      </w:r>
      <w:r w:rsidR="009A183F" w:rsidRPr="00110CAD">
        <w:rPr>
          <w:rFonts w:hint="eastAsia"/>
          <w:color w:val="auto"/>
        </w:rPr>
        <w:t>-</w:t>
      </w:r>
      <w:r w:rsidR="009A183F" w:rsidRPr="00110CAD">
        <w:rPr>
          <w:color w:val="auto"/>
        </w:rPr>
        <w:t>0.</w:t>
      </w:r>
      <w:r w:rsidR="006F4835">
        <w:rPr>
          <w:color w:val="auto"/>
        </w:rPr>
        <w:t>86</w:t>
      </w:r>
      <w:r w:rsidR="009A183F" w:rsidRPr="00110CAD">
        <w:rPr>
          <w:rFonts w:hint="eastAsia"/>
          <w:color w:val="auto"/>
        </w:rPr>
        <w:t>%</w:t>
      </w:r>
      <w:r w:rsidR="00E8565B">
        <w:rPr>
          <w:rFonts w:hint="eastAsia"/>
          <w:color w:val="auto"/>
        </w:rPr>
        <w:t>；</w:t>
      </w:r>
      <w:r w:rsidR="00900CFC" w:rsidRPr="00900CFC">
        <w:rPr>
          <w:rFonts w:hint="eastAsia"/>
          <w:color w:val="auto"/>
        </w:rPr>
        <w:t>欧洲疫情</w:t>
      </w:r>
      <w:r w:rsidR="006F4835">
        <w:rPr>
          <w:rFonts w:hint="eastAsia"/>
          <w:color w:val="auto"/>
        </w:rPr>
        <w:t>笼罩下，消费低迷，物价疲软，</w:t>
      </w:r>
      <w:r w:rsidR="00E8565B" w:rsidRPr="00900CFC">
        <w:rPr>
          <w:rFonts w:hint="eastAsia"/>
          <w:color w:val="auto"/>
        </w:rPr>
        <w:t>欧元区公债</w:t>
      </w:r>
      <w:r w:rsidR="00E84AE6" w:rsidRPr="00900CFC">
        <w:rPr>
          <w:rFonts w:hint="eastAsia"/>
          <w:color w:val="auto"/>
        </w:rPr>
        <w:t>收益率</w:t>
      </w:r>
      <w:r w:rsidR="00E8565B" w:rsidRPr="00900CFC">
        <w:rPr>
          <w:rFonts w:hint="eastAsia"/>
          <w:color w:val="auto"/>
        </w:rPr>
        <w:t>在原有</w:t>
      </w:r>
      <w:r w:rsidR="00E84AE6" w:rsidRPr="00900CFC">
        <w:rPr>
          <w:rFonts w:hint="eastAsia"/>
          <w:color w:val="auto"/>
        </w:rPr>
        <w:t>负收益率区间</w:t>
      </w:r>
      <w:r w:rsidR="00C83EBF">
        <w:rPr>
          <w:rFonts w:hint="eastAsia"/>
          <w:color w:val="auto"/>
        </w:rPr>
        <w:t>低迷徘徊</w:t>
      </w:r>
      <w:r w:rsidR="009A183F" w:rsidRPr="00900CFC">
        <w:rPr>
          <w:rFonts w:hint="eastAsia"/>
          <w:color w:val="auto"/>
        </w:rPr>
        <w:t>，</w:t>
      </w:r>
      <w:r w:rsidR="009A183F" w:rsidRPr="00110CAD">
        <w:rPr>
          <w:color w:val="auto"/>
        </w:rPr>
        <w:t>1</w:t>
      </w:r>
      <w:r w:rsidR="009A183F" w:rsidRPr="00110CAD">
        <w:rPr>
          <w:rFonts w:hint="eastAsia"/>
          <w:color w:val="auto"/>
        </w:rPr>
        <w:t>年期</w:t>
      </w:r>
      <w:r w:rsidR="0066570D" w:rsidRPr="00110CAD">
        <w:rPr>
          <w:rFonts w:hint="eastAsia"/>
          <w:color w:val="auto"/>
        </w:rPr>
        <w:t>、</w:t>
      </w:r>
      <w:r w:rsidR="00E8565B" w:rsidRPr="00110CAD">
        <w:rPr>
          <w:rFonts w:hint="eastAsia"/>
          <w:color w:val="auto"/>
        </w:rPr>
        <w:t>5</w:t>
      </w:r>
      <w:r w:rsidR="00E8565B" w:rsidRPr="00110CAD">
        <w:rPr>
          <w:rFonts w:hint="eastAsia"/>
          <w:color w:val="auto"/>
        </w:rPr>
        <w:t>年期</w:t>
      </w:r>
      <w:r w:rsidR="00E8565B">
        <w:rPr>
          <w:rFonts w:hint="eastAsia"/>
          <w:color w:val="auto"/>
        </w:rPr>
        <w:t>和</w:t>
      </w:r>
      <w:r w:rsidR="0066570D" w:rsidRPr="00110CAD">
        <w:rPr>
          <w:rFonts w:hint="eastAsia"/>
          <w:color w:val="auto"/>
        </w:rPr>
        <w:t>1</w:t>
      </w:r>
      <w:r w:rsidR="0066570D" w:rsidRPr="00110CAD">
        <w:rPr>
          <w:color w:val="auto"/>
        </w:rPr>
        <w:t>0</w:t>
      </w:r>
      <w:r w:rsidR="0066570D" w:rsidRPr="00110CAD">
        <w:rPr>
          <w:rFonts w:hint="eastAsia"/>
          <w:color w:val="auto"/>
        </w:rPr>
        <w:t>年期</w:t>
      </w:r>
      <w:r w:rsidR="00B060E4" w:rsidRPr="00110CAD">
        <w:rPr>
          <w:rFonts w:hint="eastAsia"/>
          <w:color w:val="auto"/>
        </w:rPr>
        <w:t>欧元区公债与</w:t>
      </w:r>
      <w:r w:rsidR="0066570D" w:rsidRPr="00110CAD">
        <w:rPr>
          <w:rFonts w:hint="eastAsia"/>
          <w:color w:val="auto"/>
        </w:rPr>
        <w:t>相应期限</w:t>
      </w:r>
      <w:r w:rsidR="00B060E4" w:rsidRPr="00110CAD">
        <w:rPr>
          <w:rFonts w:hint="eastAsia"/>
          <w:color w:val="auto"/>
        </w:rPr>
        <w:t>美债</w:t>
      </w:r>
      <w:r w:rsidR="0066570D" w:rsidRPr="00110CAD">
        <w:rPr>
          <w:rFonts w:hint="eastAsia"/>
          <w:color w:val="auto"/>
        </w:rPr>
        <w:t>收益率</w:t>
      </w:r>
      <w:r w:rsidR="00B060E4" w:rsidRPr="00110CAD">
        <w:rPr>
          <w:rFonts w:hint="eastAsia"/>
          <w:color w:val="auto"/>
        </w:rPr>
        <w:t>平均利差</w:t>
      </w:r>
      <w:r w:rsidR="0066570D" w:rsidRPr="00110CAD">
        <w:rPr>
          <w:rFonts w:hint="eastAsia"/>
          <w:color w:val="auto"/>
        </w:rPr>
        <w:t>分别</w:t>
      </w:r>
      <w:r w:rsidR="00B060E4" w:rsidRPr="00110CAD">
        <w:rPr>
          <w:rFonts w:hint="eastAsia"/>
          <w:color w:val="auto"/>
        </w:rPr>
        <w:t>较上周</w:t>
      </w:r>
      <w:r w:rsidR="00C83EBF">
        <w:rPr>
          <w:rFonts w:hint="eastAsia"/>
          <w:color w:val="auto"/>
        </w:rPr>
        <w:t>收窄</w:t>
      </w:r>
      <w:r w:rsidR="00C83EBF">
        <w:rPr>
          <w:color w:val="auto"/>
        </w:rPr>
        <w:t>1.18</w:t>
      </w:r>
      <w:r w:rsidR="00B060E4" w:rsidRPr="00110CAD">
        <w:rPr>
          <w:rFonts w:hint="eastAsia"/>
          <w:color w:val="auto"/>
        </w:rPr>
        <w:t>个</w:t>
      </w:r>
      <w:r w:rsidR="00E8565B">
        <w:rPr>
          <w:rFonts w:hint="eastAsia"/>
          <w:color w:val="auto"/>
        </w:rPr>
        <w:t>、</w:t>
      </w:r>
      <w:r w:rsidR="00E8565B">
        <w:rPr>
          <w:color w:val="auto"/>
        </w:rPr>
        <w:t>1.</w:t>
      </w:r>
      <w:r w:rsidR="00C83EBF">
        <w:rPr>
          <w:color w:val="auto"/>
        </w:rPr>
        <w:t>26</w:t>
      </w:r>
      <w:r w:rsidR="0066570D" w:rsidRPr="00110CAD">
        <w:rPr>
          <w:rFonts w:hint="eastAsia"/>
          <w:color w:val="auto"/>
        </w:rPr>
        <w:t>个</w:t>
      </w:r>
      <w:r w:rsidR="00E8565B">
        <w:rPr>
          <w:rFonts w:hint="eastAsia"/>
          <w:color w:val="auto"/>
        </w:rPr>
        <w:t>和</w:t>
      </w:r>
      <w:r w:rsidR="00557D75">
        <w:rPr>
          <w:rFonts w:hint="eastAsia"/>
          <w:color w:val="auto"/>
        </w:rPr>
        <w:t>0.</w:t>
      </w:r>
      <w:r w:rsidR="00C83EBF">
        <w:rPr>
          <w:color w:val="auto"/>
        </w:rPr>
        <w:t>52</w:t>
      </w:r>
      <w:r w:rsidR="00E8565B">
        <w:rPr>
          <w:color w:val="auto"/>
        </w:rPr>
        <w:t>个</w:t>
      </w:r>
      <w:r w:rsidR="00B060E4" w:rsidRPr="00110CAD">
        <w:rPr>
          <w:rFonts w:hint="eastAsia"/>
          <w:color w:val="auto"/>
        </w:rPr>
        <w:t>B</w:t>
      </w:r>
      <w:r w:rsidR="00B060E4" w:rsidRPr="00110CAD">
        <w:rPr>
          <w:color w:val="auto"/>
        </w:rPr>
        <w:t>P</w:t>
      </w:r>
      <w:r w:rsidR="00B060E4" w:rsidRPr="00110CAD">
        <w:rPr>
          <w:rFonts w:hint="eastAsia"/>
          <w:color w:val="auto"/>
        </w:rPr>
        <w:t>至</w:t>
      </w:r>
      <w:r w:rsidR="00B060E4" w:rsidRPr="00110CAD">
        <w:rPr>
          <w:rFonts w:hint="eastAsia"/>
          <w:color w:val="auto"/>
        </w:rPr>
        <w:t>-</w:t>
      </w:r>
      <w:r w:rsidR="00B060E4" w:rsidRPr="00110CAD">
        <w:rPr>
          <w:color w:val="auto"/>
        </w:rPr>
        <w:t>0.</w:t>
      </w:r>
      <w:r w:rsidR="0066570D" w:rsidRPr="00110CAD">
        <w:rPr>
          <w:color w:val="auto"/>
        </w:rPr>
        <w:t>8</w:t>
      </w:r>
      <w:r w:rsidR="00C83EBF">
        <w:rPr>
          <w:color w:val="auto"/>
        </w:rPr>
        <w:t>2</w:t>
      </w:r>
      <w:r w:rsidR="00B060E4" w:rsidRPr="00110CAD">
        <w:rPr>
          <w:rFonts w:hint="eastAsia"/>
          <w:color w:val="auto"/>
        </w:rPr>
        <w:t>%</w:t>
      </w:r>
      <w:r w:rsidR="00E8565B">
        <w:rPr>
          <w:rFonts w:hint="eastAsia"/>
          <w:color w:val="auto"/>
        </w:rPr>
        <w:t>、</w:t>
      </w:r>
      <w:r w:rsidR="00E8565B">
        <w:rPr>
          <w:rFonts w:hint="eastAsia"/>
          <w:color w:val="auto"/>
        </w:rPr>
        <w:t>-</w:t>
      </w:r>
      <w:r w:rsidR="00E8565B">
        <w:rPr>
          <w:color w:val="auto"/>
        </w:rPr>
        <w:t>1.1</w:t>
      </w:r>
      <w:r w:rsidR="00C83EBF">
        <w:rPr>
          <w:color w:val="auto"/>
        </w:rPr>
        <w:t>4</w:t>
      </w:r>
      <w:r w:rsidR="00E8565B">
        <w:rPr>
          <w:rFonts w:hint="eastAsia"/>
          <w:color w:val="auto"/>
        </w:rPr>
        <w:t>%</w:t>
      </w:r>
      <w:r w:rsidR="0066570D" w:rsidRPr="00110CAD">
        <w:rPr>
          <w:rFonts w:hint="eastAsia"/>
          <w:color w:val="auto"/>
        </w:rPr>
        <w:t>和</w:t>
      </w:r>
      <w:r w:rsidR="0066570D" w:rsidRPr="00110CAD">
        <w:rPr>
          <w:rFonts w:hint="eastAsia"/>
          <w:color w:val="auto"/>
        </w:rPr>
        <w:t>-</w:t>
      </w:r>
      <w:r w:rsidR="0066570D" w:rsidRPr="00110CAD">
        <w:rPr>
          <w:color w:val="auto"/>
        </w:rPr>
        <w:t>1.</w:t>
      </w:r>
      <w:r w:rsidR="00E8565B">
        <w:rPr>
          <w:color w:val="auto"/>
        </w:rPr>
        <w:t>4</w:t>
      </w:r>
      <w:r w:rsidR="00811928">
        <w:rPr>
          <w:color w:val="auto"/>
        </w:rPr>
        <w:t>2</w:t>
      </w:r>
      <w:r w:rsidR="0066570D" w:rsidRPr="00110CAD">
        <w:rPr>
          <w:rFonts w:hint="eastAsia"/>
          <w:color w:val="auto"/>
        </w:rPr>
        <w:t>%</w:t>
      </w:r>
      <w:r w:rsidR="00E8565B">
        <w:rPr>
          <w:rFonts w:hint="eastAsia"/>
          <w:color w:val="auto"/>
        </w:rPr>
        <w:t>。</w:t>
      </w:r>
    </w:p>
    <w:p w14:paraId="6E808E98" w14:textId="77777777" w:rsidR="009A183F" w:rsidRPr="00110CAD" w:rsidRDefault="009A183F" w:rsidP="009A183F">
      <w:pPr>
        <w:adjustRightInd w:val="0"/>
        <w:snapToGrid w:val="0"/>
        <w:spacing w:beforeLines="50" w:before="163" w:afterLines="50" w:after="163" w:line="240" w:lineRule="auto"/>
        <w:ind w:firstLineChars="0" w:firstLine="0"/>
        <w:jc w:val="left"/>
        <w:rPr>
          <w:rFonts w:ascii="黑体" w:eastAsia="黑体" w:hAnsi="黑体" w:cs="Times New Roman"/>
          <w:color w:val="auto"/>
          <w:sz w:val="18"/>
          <w:szCs w:val="18"/>
        </w:rPr>
      </w:pPr>
      <w:r w:rsidRPr="00110CAD">
        <w:rPr>
          <w:rFonts w:ascii="黑体" w:eastAsia="黑体" w:hAnsi="黑体" w:cs="Times New Roman"/>
          <w:color w:val="auto"/>
          <w:sz w:val="18"/>
          <w:szCs w:val="18"/>
        </w:rPr>
        <w:t xml:space="preserve">表2  </w:t>
      </w:r>
      <w:r w:rsidRPr="00110CAD">
        <w:rPr>
          <w:rFonts w:ascii="黑体" w:eastAsia="黑体" w:hAnsi="黑体" w:cs="Times New Roman" w:hint="eastAsia"/>
          <w:color w:val="auto"/>
          <w:sz w:val="18"/>
          <w:szCs w:val="18"/>
        </w:rPr>
        <w:t>与1年期美国国债到期收益率利差   单位</w:t>
      </w:r>
      <w:r w:rsidRPr="00110CAD">
        <w:rPr>
          <w:rFonts w:ascii="黑体" w:eastAsia="黑体" w:hAnsi="黑体" w:cs="Times New Roman"/>
          <w:color w:val="auto"/>
          <w:sz w:val="18"/>
          <w:szCs w:val="18"/>
        </w:rPr>
        <w:t>：%</w:t>
      </w:r>
    </w:p>
    <w:tbl>
      <w:tblPr>
        <w:tblW w:w="5605"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027"/>
        <w:gridCol w:w="2128"/>
        <w:gridCol w:w="1703"/>
        <w:gridCol w:w="1502"/>
        <w:gridCol w:w="1190"/>
        <w:gridCol w:w="1983"/>
      </w:tblGrid>
      <w:tr w:rsidR="009A183F" w:rsidRPr="00110CAD" w14:paraId="39C29EA0" w14:textId="77777777" w:rsidTr="00851A3F">
        <w:trPr>
          <w:trHeight w:val="490"/>
          <w:jc w:val="center"/>
        </w:trPr>
        <w:tc>
          <w:tcPr>
            <w:tcW w:w="539" w:type="pct"/>
            <w:tcBorders>
              <w:bottom w:val="single" w:sz="4" w:space="0" w:color="auto"/>
            </w:tcBorders>
            <w:shd w:val="clear" w:color="000000" w:fill="5262AD"/>
            <w:vAlign w:val="center"/>
            <w:hideMark/>
          </w:tcPr>
          <w:p w14:paraId="54EB5627" w14:textId="77777777" w:rsidR="009A183F" w:rsidRPr="00110CAD" w:rsidRDefault="009A183F" w:rsidP="00851A3F">
            <w:pPr>
              <w:adjustRightInd w:val="0"/>
              <w:snapToGrid w:val="0"/>
              <w:spacing w:line="240" w:lineRule="auto"/>
              <w:ind w:firstLineChars="0" w:firstLine="0"/>
              <w:jc w:val="center"/>
              <w:rPr>
                <w:rFonts w:cs="Times New Roman"/>
                <w:b/>
                <w:color w:val="FFFFFF" w:themeColor="background1"/>
                <w:sz w:val="18"/>
                <w:szCs w:val="18"/>
              </w:rPr>
            </w:pPr>
            <w:r w:rsidRPr="00110CAD">
              <w:rPr>
                <w:rFonts w:cs="Times New Roman" w:hint="eastAsia"/>
                <w:b/>
                <w:color w:val="FFFFFF" w:themeColor="background1"/>
                <w:sz w:val="18"/>
                <w:szCs w:val="18"/>
              </w:rPr>
              <w:t>国家</w:t>
            </w:r>
          </w:p>
        </w:tc>
        <w:tc>
          <w:tcPr>
            <w:tcW w:w="1116" w:type="pct"/>
            <w:tcBorders>
              <w:bottom w:val="single" w:sz="4" w:space="0" w:color="auto"/>
            </w:tcBorders>
            <w:shd w:val="clear" w:color="000000" w:fill="5262AD"/>
            <w:vAlign w:val="center"/>
            <w:hideMark/>
          </w:tcPr>
          <w:p w14:paraId="6354F699" w14:textId="77777777" w:rsidR="009A183F" w:rsidRPr="00110CAD" w:rsidRDefault="009A183F" w:rsidP="00851A3F">
            <w:pPr>
              <w:adjustRightInd w:val="0"/>
              <w:snapToGrid w:val="0"/>
              <w:spacing w:line="240" w:lineRule="auto"/>
              <w:ind w:firstLineChars="0" w:firstLine="0"/>
              <w:jc w:val="center"/>
              <w:rPr>
                <w:rFonts w:cs="Times New Roman"/>
                <w:b/>
                <w:color w:val="FFFFFF" w:themeColor="background1"/>
                <w:sz w:val="18"/>
                <w:szCs w:val="18"/>
              </w:rPr>
            </w:pPr>
            <w:r w:rsidRPr="00110CAD">
              <w:rPr>
                <w:rFonts w:cs="Times New Roman" w:hint="eastAsia"/>
                <w:b/>
                <w:color w:val="FFFFFF" w:themeColor="background1"/>
                <w:sz w:val="18"/>
                <w:szCs w:val="18"/>
              </w:rPr>
              <w:t>相应指标名称</w:t>
            </w:r>
          </w:p>
        </w:tc>
        <w:tc>
          <w:tcPr>
            <w:tcW w:w="893" w:type="pct"/>
            <w:tcBorders>
              <w:bottom w:val="single" w:sz="4" w:space="0" w:color="auto"/>
            </w:tcBorders>
            <w:shd w:val="clear" w:color="000000" w:fill="5262AD"/>
            <w:vAlign w:val="center"/>
            <w:hideMark/>
          </w:tcPr>
          <w:p w14:paraId="4D854304" w14:textId="77777777" w:rsidR="009A183F" w:rsidRPr="00110CAD" w:rsidRDefault="009A183F" w:rsidP="00851A3F">
            <w:pPr>
              <w:adjustRightInd w:val="0"/>
              <w:snapToGrid w:val="0"/>
              <w:spacing w:line="240" w:lineRule="auto"/>
              <w:ind w:firstLineChars="0" w:firstLine="0"/>
              <w:jc w:val="center"/>
              <w:rPr>
                <w:rFonts w:cs="Times New Roman"/>
                <w:b/>
                <w:color w:val="FFFFFF" w:themeColor="background1"/>
                <w:sz w:val="18"/>
                <w:szCs w:val="18"/>
              </w:rPr>
            </w:pPr>
            <w:r w:rsidRPr="00110CAD">
              <w:rPr>
                <w:rFonts w:cs="Times New Roman" w:hint="eastAsia"/>
                <w:b/>
                <w:color w:val="FFFFFF" w:themeColor="background1"/>
                <w:sz w:val="18"/>
                <w:szCs w:val="18"/>
              </w:rPr>
              <w:t>本周平均利差</w:t>
            </w:r>
          </w:p>
        </w:tc>
        <w:tc>
          <w:tcPr>
            <w:tcW w:w="788" w:type="pct"/>
            <w:tcBorders>
              <w:bottom w:val="single" w:sz="4" w:space="0" w:color="auto"/>
            </w:tcBorders>
            <w:shd w:val="clear" w:color="000000" w:fill="5262AD"/>
            <w:vAlign w:val="center"/>
            <w:hideMark/>
          </w:tcPr>
          <w:p w14:paraId="0C68DED3" w14:textId="77777777" w:rsidR="009A183F" w:rsidRPr="00110CAD" w:rsidRDefault="009A183F" w:rsidP="00851A3F">
            <w:pPr>
              <w:adjustRightInd w:val="0"/>
              <w:snapToGrid w:val="0"/>
              <w:spacing w:line="240" w:lineRule="auto"/>
              <w:ind w:firstLineChars="0" w:firstLine="0"/>
              <w:jc w:val="center"/>
              <w:rPr>
                <w:rFonts w:cs="Times New Roman"/>
                <w:b/>
                <w:color w:val="FFFFFF" w:themeColor="background1"/>
                <w:sz w:val="18"/>
                <w:szCs w:val="18"/>
              </w:rPr>
            </w:pPr>
            <w:r w:rsidRPr="00110CAD">
              <w:rPr>
                <w:rFonts w:cs="Times New Roman" w:hint="eastAsia"/>
                <w:b/>
                <w:color w:val="FFFFFF" w:themeColor="background1"/>
                <w:sz w:val="18"/>
                <w:szCs w:val="18"/>
              </w:rPr>
              <w:t>上周平均利差</w:t>
            </w:r>
          </w:p>
        </w:tc>
        <w:tc>
          <w:tcPr>
            <w:tcW w:w="624" w:type="pct"/>
            <w:tcBorders>
              <w:bottom w:val="single" w:sz="4" w:space="0" w:color="auto"/>
            </w:tcBorders>
            <w:shd w:val="clear" w:color="000000" w:fill="5262AD"/>
            <w:vAlign w:val="center"/>
            <w:hideMark/>
          </w:tcPr>
          <w:p w14:paraId="2E390D7C" w14:textId="77777777" w:rsidR="009A183F" w:rsidRPr="00110CAD" w:rsidRDefault="009A183F" w:rsidP="00851A3F">
            <w:pPr>
              <w:adjustRightInd w:val="0"/>
              <w:snapToGrid w:val="0"/>
              <w:spacing w:line="240" w:lineRule="auto"/>
              <w:ind w:firstLineChars="0" w:firstLine="0"/>
              <w:jc w:val="center"/>
              <w:rPr>
                <w:rFonts w:cs="Times New Roman"/>
                <w:b/>
                <w:color w:val="FFFFFF" w:themeColor="background1"/>
                <w:sz w:val="18"/>
                <w:szCs w:val="18"/>
              </w:rPr>
            </w:pPr>
            <w:r w:rsidRPr="00110CAD">
              <w:rPr>
                <w:rFonts w:cs="Times New Roman" w:hint="eastAsia"/>
                <w:b/>
                <w:color w:val="FFFFFF" w:themeColor="background1"/>
                <w:sz w:val="18"/>
                <w:szCs w:val="18"/>
              </w:rPr>
              <w:t>变动</w:t>
            </w:r>
            <w:r w:rsidRPr="00110CAD">
              <w:rPr>
                <w:rFonts w:cs="Times New Roman"/>
                <w:b/>
                <w:color w:val="FFFFFF" w:themeColor="background1"/>
                <w:sz w:val="18"/>
                <w:szCs w:val="18"/>
              </w:rPr>
              <w:t>BP</w:t>
            </w:r>
          </w:p>
        </w:tc>
        <w:tc>
          <w:tcPr>
            <w:tcW w:w="1040" w:type="pct"/>
            <w:tcBorders>
              <w:bottom w:val="single" w:sz="4" w:space="0" w:color="auto"/>
            </w:tcBorders>
            <w:shd w:val="clear" w:color="000000" w:fill="5262AD"/>
            <w:vAlign w:val="center"/>
            <w:hideMark/>
          </w:tcPr>
          <w:p w14:paraId="5DC716CD" w14:textId="77777777" w:rsidR="009A183F" w:rsidRPr="00110CAD" w:rsidRDefault="009A183F" w:rsidP="00851A3F">
            <w:pPr>
              <w:adjustRightInd w:val="0"/>
              <w:snapToGrid w:val="0"/>
              <w:spacing w:line="240" w:lineRule="auto"/>
              <w:ind w:firstLineChars="0" w:firstLine="0"/>
              <w:jc w:val="center"/>
              <w:rPr>
                <w:rFonts w:cs="Times New Roman"/>
                <w:b/>
                <w:color w:val="FFFFFF" w:themeColor="background1"/>
                <w:sz w:val="18"/>
                <w:szCs w:val="18"/>
              </w:rPr>
            </w:pPr>
            <w:r w:rsidRPr="00110CAD">
              <w:rPr>
                <w:rFonts w:cs="Times New Roman" w:hint="eastAsia"/>
                <w:b/>
                <w:color w:val="FFFFFF" w:themeColor="background1"/>
                <w:sz w:val="18"/>
                <w:szCs w:val="18"/>
              </w:rPr>
              <w:t>今年以来累计变动</w:t>
            </w:r>
            <w:r w:rsidRPr="00110CAD">
              <w:rPr>
                <w:rFonts w:cs="Times New Roman"/>
                <w:b/>
                <w:color w:val="FFFFFF" w:themeColor="background1"/>
                <w:sz w:val="18"/>
                <w:szCs w:val="18"/>
              </w:rPr>
              <w:t>BP</w:t>
            </w:r>
          </w:p>
        </w:tc>
      </w:tr>
      <w:tr w:rsidR="00045378" w:rsidRPr="00110CAD" w14:paraId="1A20B849" w14:textId="77777777" w:rsidTr="00F1210D">
        <w:trPr>
          <w:trHeight w:val="290"/>
          <w:jc w:val="center"/>
        </w:trPr>
        <w:tc>
          <w:tcPr>
            <w:tcW w:w="539" w:type="pct"/>
            <w:tcBorders>
              <w:left w:val="nil"/>
              <w:right w:val="single" w:sz="4" w:space="0" w:color="auto"/>
            </w:tcBorders>
            <w:shd w:val="clear" w:color="auto" w:fill="auto"/>
            <w:vAlign w:val="center"/>
            <w:hideMark/>
          </w:tcPr>
          <w:p w14:paraId="7A4C2608" w14:textId="77777777" w:rsidR="00045378" w:rsidRPr="00110CAD" w:rsidRDefault="00045378" w:rsidP="00045378">
            <w:pPr>
              <w:adjustRightInd w:val="0"/>
              <w:snapToGrid w:val="0"/>
              <w:spacing w:line="240" w:lineRule="auto"/>
              <w:ind w:firstLineChars="0" w:firstLine="0"/>
              <w:jc w:val="center"/>
              <w:rPr>
                <w:rFonts w:cs="Times New Roman"/>
                <w:color w:val="000000"/>
                <w:sz w:val="18"/>
                <w:szCs w:val="18"/>
              </w:rPr>
            </w:pPr>
            <w:r w:rsidRPr="00110CAD">
              <w:rPr>
                <w:rFonts w:cs="Times New Roman" w:hint="eastAsia"/>
                <w:color w:val="000000"/>
                <w:sz w:val="18"/>
                <w:szCs w:val="18"/>
              </w:rPr>
              <w:t>中国</w:t>
            </w:r>
          </w:p>
        </w:tc>
        <w:tc>
          <w:tcPr>
            <w:tcW w:w="1116" w:type="pct"/>
            <w:tcBorders>
              <w:left w:val="single" w:sz="4" w:space="0" w:color="auto"/>
              <w:right w:val="single" w:sz="4" w:space="0" w:color="auto"/>
            </w:tcBorders>
            <w:shd w:val="clear" w:color="auto" w:fill="auto"/>
            <w:vAlign w:val="center"/>
            <w:hideMark/>
          </w:tcPr>
          <w:p w14:paraId="565BECCD" w14:textId="77777777" w:rsidR="00045378" w:rsidRPr="00110CAD" w:rsidRDefault="00045378" w:rsidP="00045378">
            <w:pPr>
              <w:adjustRightInd w:val="0"/>
              <w:snapToGrid w:val="0"/>
              <w:spacing w:line="240" w:lineRule="auto"/>
              <w:ind w:firstLineChars="0" w:firstLine="0"/>
              <w:jc w:val="center"/>
              <w:rPr>
                <w:rFonts w:cs="Times New Roman"/>
                <w:color w:val="000000"/>
                <w:sz w:val="18"/>
                <w:szCs w:val="18"/>
              </w:rPr>
            </w:pPr>
            <w:r w:rsidRPr="00110CAD">
              <w:rPr>
                <w:rFonts w:cs="Times New Roman" w:hint="eastAsia"/>
                <w:color w:val="000000"/>
                <w:sz w:val="18"/>
                <w:szCs w:val="18"/>
              </w:rPr>
              <w:t>国债到期收益率：</w:t>
            </w:r>
            <w:r w:rsidRPr="00110CAD">
              <w:rPr>
                <w:rFonts w:cs="Times New Roman"/>
                <w:color w:val="000000"/>
                <w:sz w:val="18"/>
                <w:szCs w:val="18"/>
              </w:rPr>
              <w:t>1</w:t>
            </w:r>
            <w:r w:rsidRPr="00110CAD">
              <w:rPr>
                <w:rFonts w:cs="Times New Roman" w:hint="eastAsia"/>
                <w:color w:val="000000"/>
                <w:sz w:val="18"/>
                <w:szCs w:val="18"/>
              </w:rPr>
              <w:t>年</w:t>
            </w:r>
          </w:p>
        </w:tc>
        <w:tc>
          <w:tcPr>
            <w:tcW w:w="893" w:type="pct"/>
            <w:tcBorders>
              <w:left w:val="single" w:sz="4" w:space="0" w:color="auto"/>
              <w:right w:val="single" w:sz="4" w:space="0" w:color="auto"/>
            </w:tcBorders>
            <w:shd w:val="clear" w:color="auto" w:fill="auto"/>
          </w:tcPr>
          <w:p w14:paraId="1F9863E5" w14:textId="7D057DA0" w:rsidR="00045378" w:rsidRPr="00110CAD" w:rsidRDefault="00045378" w:rsidP="00045378">
            <w:pPr>
              <w:spacing w:line="240" w:lineRule="auto"/>
              <w:ind w:firstLineChars="0" w:firstLine="0"/>
              <w:jc w:val="center"/>
              <w:rPr>
                <w:rFonts w:cs="Times New Roman"/>
                <w:sz w:val="18"/>
                <w:szCs w:val="18"/>
              </w:rPr>
            </w:pPr>
            <w:r w:rsidRPr="00045378">
              <w:rPr>
                <w:rFonts w:cs="Times New Roman"/>
                <w:sz w:val="18"/>
                <w:szCs w:val="18"/>
              </w:rPr>
              <w:t>2.7953</w:t>
            </w:r>
          </w:p>
        </w:tc>
        <w:tc>
          <w:tcPr>
            <w:tcW w:w="788" w:type="pct"/>
            <w:tcBorders>
              <w:left w:val="single" w:sz="4" w:space="0" w:color="auto"/>
              <w:right w:val="single" w:sz="4" w:space="0" w:color="auto"/>
            </w:tcBorders>
            <w:shd w:val="clear" w:color="auto" w:fill="auto"/>
          </w:tcPr>
          <w:p w14:paraId="343CFF7D" w14:textId="6D67A8D4" w:rsidR="00045378" w:rsidRPr="00110CAD" w:rsidRDefault="00045378" w:rsidP="00045378">
            <w:pPr>
              <w:spacing w:line="240" w:lineRule="auto"/>
              <w:ind w:firstLineChars="0" w:firstLine="0"/>
              <w:jc w:val="center"/>
              <w:rPr>
                <w:rFonts w:cs="Times New Roman"/>
                <w:sz w:val="18"/>
                <w:szCs w:val="18"/>
              </w:rPr>
            </w:pPr>
            <w:r w:rsidRPr="00045378">
              <w:rPr>
                <w:rFonts w:cs="Times New Roman"/>
                <w:sz w:val="18"/>
                <w:szCs w:val="18"/>
              </w:rPr>
              <w:t>2.6919</w:t>
            </w:r>
          </w:p>
        </w:tc>
        <w:tc>
          <w:tcPr>
            <w:tcW w:w="624" w:type="pct"/>
            <w:tcBorders>
              <w:left w:val="single" w:sz="4" w:space="0" w:color="auto"/>
              <w:right w:val="single" w:sz="4" w:space="0" w:color="auto"/>
            </w:tcBorders>
            <w:shd w:val="clear" w:color="auto" w:fill="auto"/>
          </w:tcPr>
          <w:p w14:paraId="23223A33" w14:textId="65B10720" w:rsidR="00045378" w:rsidRPr="00110CAD" w:rsidRDefault="00045378" w:rsidP="00045378">
            <w:pPr>
              <w:spacing w:line="240" w:lineRule="auto"/>
              <w:ind w:firstLineChars="0" w:firstLine="0"/>
              <w:jc w:val="center"/>
              <w:rPr>
                <w:rFonts w:cs="Times New Roman"/>
                <w:sz w:val="18"/>
                <w:szCs w:val="18"/>
              </w:rPr>
            </w:pPr>
            <w:r w:rsidRPr="00045378">
              <w:rPr>
                <w:rFonts w:cs="Times New Roman"/>
                <w:sz w:val="18"/>
                <w:szCs w:val="18"/>
              </w:rPr>
              <w:t>10.3415</w:t>
            </w:r>
          </w:p>
        </w:tc>
        <w:tc>
          <w:tcPr>
            <w:tcW w:w="1040" w:type="pct"/>
            <w:tcBorders>
              <w:left w:val="single" w:sz="4" w:space="0" w:color="auto"/>
              <w:right w:val="nil"/>
            </w:tcBorders>
            <w:shd w:val="clear" w:color="auto" w:fill="auto"/>
          </w:tcPr>
          <w:p w14:paraId="731F7D8E" w14:textId="54B01A10" w:rsidR="00045378" w:rsidRPr="00110CAD" w:rsidRDefault="00045378" w:rsidP="00045378">
            <w:pPr>
              <w:spacing w:line="240" w:lineRule="auto"/>
              <w:ind w:firstLineChars="0" w:firstLine="0"/>
              <w:jc w:val="center"/>
              <w:rPr>
                <w:rFonts w:cs="Times New Roman"/>
                <w:sz w:val="18"/>
                <w:szCs w:val="18"/>
              </w:rPr>
            </w:pPr>
            <w:r w:rsidRPr="00045378">
              <w:rPr>
                <w:rFonts w:cs="Times New Roman"/>
                <w:sz w:val="18"/>
                <w:szCs w:val="18"/>
              </w:rPr>
              <w:t>196.8515</w:t>
            </w:r>
          </w:p>
        </w:tc>
      </w:tr>
      <w:tr w:rsidR="00045378" w:rsidRPr="00110CAD" w14:paraId="2EA2FF2E" w14:textId="77777777" w:rsidTr="00F1210D">
        <w:trPr>
          <w:trHeight w:val="290"/>
          <w:jc w:val="center"/>
        </w:trPr>
        <w:tc>
          <w:tcPr>
            <w:tcW w:w="539" w:type="pct"/>
            <w:tcBorders>
              <w:left w:val="nil"/>
              <w:right w:val="single" w:sz="4" w:space="0" w:color="auto"/>
            </w:tcBorders>
            <w:shd w:val="clear" w:color="000000" w:fill="D9E2F3"/>
            <w:vAlign w:val="center"/>
            <w:hideMark/>
          </w:tcPr>
          <w:p w14:paraId="744A7A32" w14:textId="77777777" w:rsidR="00045378" w:rsidRPr="00110CAD" w:rsidRDefault="00045378" w:rsidP="00045378">
            <w:pPr>
              <w:adjustRightInd w:val="0"/>
              <w:snapToGrid w:val="0"/>
              <w:spacing w:line="240" w:lineRule="auto"/>
              <w:ind w:firstLineChars="0" w:firstLine="0"/>
              <w:jc w:val="center"/>
              <w:rPr>
                <w:rFonts w:cs="Times New Roman"/>
                <w:color w:val="000000"/>
                <w:sz w:val="18"/>
                <w:szCs w:val="18"/>
              </w:rPr>
            </w:pPr>
            <w:r w:rsidRPr="00110CAD">
              <w:rPr>
                <w:rFonts w:cs="Times New Roman" w:hint="eastAsia"/>
                <w:color w:val="000000"/>
                <w:sz w:val="18"/>
                <w:szCs w:val="18"/>
              </w:rPr>
              <w:t>日本</w:t>
            </w:r>
          </w:p>
        </w:tc>
        <w:tc>
          <w:tcPr>
            <w:tcW w:w="1116" w:type="pct"/>
            <w:tcBorders>
              <w:left w:val="single" w:sz="4" w:space="0" w:color="auto"/>
              <w:right w:val="single" w:sz="4" w:space="0" w:color="auto"/>
            </w:tcBorders>
            <w:shd w:val="clear" w:color="000000" w:fill="D9E2F3"/>
            <w:vAlign w:val="center"/>
            <w:hideMark/>
          </w:tcPr>
          <w:p w14:paraId="683EBA69" w14:textId="77777777" w:rsidR="00045378" w:rsidRPr="00110CAD" w:rsidRDefault="00045378" w:rsidP="00045378">
            <w:pPr>
              <w:adjustRightInd w:val="0"/>
              <w:snapToGrid w:val="0"/>
              <w:spacing w:line="240" w:lineRule="auto"/>
              <w:ind w:firstLineChars="0" w:firstLine="0"/>
              <w:jc w:val="center"/>
              <w:rPr>
                <w:rFonts w:cs="Times New Roman"/>
                <w:color w:val="000000"/>
                <w:sz w:val="18"/>
                <w:szCs w:val="18"/>
              </w:rPr>
            </w:pPr>
            <w:r w:rsidRPr="00110CAD">
              <w:rPr>
                <w:rFonts w:cs="Times New Roman" w:hint="eastAsia"/>
                <w:color w:val="000000"/>
                <w:sz w:val="18"/>
                <w:szCs w:val="18"/>
              </w:rPr>
              <w:t>国债利率：</w:t>
            </w:r>
            <w:r w:rsidRPr="00110CAD">
              <w:rPr>
                <w:rFonts w:cs="Times New Roman"/>
                <w:color w:val="000000"/>
                <w:sz w:val="18"/>
                <w:szCs w:val="18"/>
              </w:rPr>
              <w:t>1</w:t>
            </w:r>
            <w:r w:rsidRPr="00110CAD">
              <w:rPr>
                <w:rFonts w:cs="Times New Roman" w:hint="eastAsia"/>
                <w:color w:val="000000"/>
                <w:sz w:val="18"/>
                <w:szCs w:val="18"/>
              </w:rPr>
              <w:t>年</w:t>
            </w:r>
          </w:p>
        </w:tc>
        <w:tc>
          <w:tcPr>
            <w:tcW w:w="893" w:type="pct"/>
            <w:tcBorders>
              <w:left w:val="single" w:sz="4" w:space="0" w:color="auto"/>
              <w:right w:val="single" w:sz="4" w:space="0" w:color="auto"/>
            </w:tcBorders>
            <w:shd w:val="clear" w:color="000000" w:fill="D9E2F3"/>
          </w:tcPr>
          <w:p w14:paraId="49823DDD" w14:textId="1AB10325" w:rsidR="00045378" w:rsidRPr="00110CAD" w:rsidRDefault="00045378" w:rsidP="00045378">
            <w:pPr>
              <w:spacing w:line="240" w:lineRule="auto"/>
              <w:ind w:firstLineChars="0" w:firstLine="0"/>
              <w:jc w:val="center"/>
              <w:rPr>
                <w:rFonts w:cs="Times New Roman"/>
                <w:sz w:val="18"/>
                <w:szCs w:val="18"/>
              </w:rPr>
            </w:pPr>
            <w:r w:rsidRPr="00045378">
              <w:rPr>
                <w:rFonts w:cs="Times New Roman"/>
                <w:sz w:val="18"/>
                <w:szCs w:val="18"/>
              </w:rPr>
              <w:t>-0.2658</w:t>
            </w:r>
          </w:p>
        </w:tc>
        <w:tc>
          <w:tcPr>
            <w:tcW w:w="788" w:type="pct"/>
            <w:tcBorders>
              <w:left w:val="single" w:sz="4" w:space="0" w:color="auto"/>
              <w:right w:val="single" w:sz="4" w:space="0" w:color="auto"/>
            </w:tcBorders>
            <w:shd w:val="clear" w:color="000000" w:fill="D9E2F3"/>
          </w:tcPr>
          <w:p w14:paraId="248C1A75" w14:textId="08259651" w:rsidR="00045378" w:rsidRPr="00110CAD" w:rsidRDefault="00045378" w:rsidP="00045378">
            <w:pPr>
              <w:spacing w:line="240" w:lineRule="auto"/>
              <w:ind w:firstLineChars="0" w:firstLine="0"/>
              <w:jc w:val="center"/>
              <w:rPr>
                <w:rFonts w:cs="Times New Roman"/>
                <w:sz w:val="18"/>
                <w:szCs w:val="18"/>
              </w:rPr>
            </w:pPr>
            <w:r w:rsidRPr="00045378">
              <w:rPr>
                <w:rFonts w:cs="Times New Roman"/>
                <w:sz w:val="18"/>
                <w:szCs w:val="18"/>
              </w:rPr>
              <w:t>-0.2663</w:t>
            </w:r>
          </w:p>
        </w:tc>
        <w:tc>
          <w:tcPr>
            <w:tcW w:w="624" w:type="pct"/>
            <w:tcBorders>
              <w:left w:val="single" w:sz="4" w:space="0" w:color="auto"/>
              <w:right w:val="single" w:sz="4" w:space="0" w:color="auto"/>
            </w:tcBorders>
            <w:shd w:val="clear" w:color="000000" w:fill="D9E2F3"/>
          </w:tcPr>
          <w:p w14:paraId="2DDFC5CF" w14:textId="31487E74" w:rsidR="00045378" w:rsidRPr="00110CAD" w:rsidRDefault="00045378" w:rsidP="00045378">
            <w:pPr>
              <w:spacing w:line="240" w:lineRule="auto"/>
              <w:ind w:firstLineChars="0" w:firstLine="0"/>
              <w:jc w:val="center"/>
              <w:rPr>
                <w:rFonts w:cs="Times New Roman"/>
                <w:sz w:val="18"/>
                <w:szCs w:val="18"/>
              </w:rPr>
            </w:pPr>
            <w:r w:rsidRPr="00045378">
              <w:rPr>
                <w:rFonts w:cs="Times New Roman"/>
                <w:sz w:val="18"/>
                <w:szCs w:val="18"/>
              </w:rPr>
              <w:t>0.0500</w:t>
            </w:r>
          </w:p>
        </w:tc>
        <w:tc>
          <w:tcPr>
            <w:tcW w:w="1040" w:type="pct"/>
            <w:tcBorders>
              <w:left w:val="single" w:sz="4" w:space="0" w:color="auto"/>
              <w:right w:val="nil"/>
            </w:tcBorders>
            <w:shd w:val="clear" w:color="000000" w:fill="D9E2F3"/>
          </w:tcPr>
          <w:p w14:paraId="7CB45EBA" w14:textId="2AF20B15" w:rsidR="00045378" w:rsidRPr="00110CAD" w:rsidRDefault="00045378" w:rsidP="00045378">
            <w:pPr>
              <w:spacing w:line="240" w:lineRule="auto"/>
              <w:ind w:firstLineChars="0" w:firstLine="0"/>
              <w:jc w:val="center"/>
              <w:rPr>
                <w:rFonts w:cs="Times New Roman"/>
                <w:sz w:val="18"/>
                <w:szCs w:val="18"/>
              </w:rPr>
            </w:pPr>
            <w:r w:rsidRPr="00045378">
              <w:rPr>
                <w:rFonts w:cs="Times New Roman"/>
                <w:sz w:val="18"/>
                <w:szCs w:val="18"/>
              </w:rPr>
              <w:t>143.3250</w:t>
            </w:r>
          </w:p>
        </w:tc>
      </w:tr>
      <w:tr w:rsidR="00045378" w:rsidRPr="00110CAD" w14:paraId="42C90F92" w14:textId="77777777" w:rsidTr="00F1210D">
        <w:trPr>
          <w:trHeight w:val="290"/>
          <w:jc w:val="center"/>
        </w:trPr>
        <w:tc>
          <w:tcPr>
            <w:tcW w:w="539" w:type="pct"/>
            <w:tcBorders>
              <w:left w:val="nil"/>
              <w:right w:val="single" w:sz="4" w:space="0" w:color="auto"/>
            </w:tcBorders>
            <w:shd w:val="clear" w:color="auto" w:fill="auto"/>
            <w:vAlign w:val="center"/>
            <w:hideMark/>
          </w:tcPr>
          <w:p w14:paraId="3E245A0F" w14:textId="77777777" w:rsidR="00045378" w:rsidRPr="00110CAD" w:rsidRDefault="00045378" w:rsidP="00045378">
            <w:pPr>
              <w:adjustRightInd w:val="0"/>
              <w:snapToGrid w:val="0"/>
              <w:spacing w:line="240" w:lineRule="auto"/>
              <w:ind w:firstLineChars="0" w:firstLine="0"/>
              <w:jc w:val="center"/>
              <w:rPr>
                <w:rFonts w:cs="Times New Roman"/>
                <w:color w:val="000000"/>
                <w:sz w:val="18"/>
                <w:szCs w:val="18"/>
              </w:rPr>
            </w:pPr>
            <w:r w:rsidRPr="00110CAD">
              <w:rPr>
                <w:rFonts w:cs="Times New Roman" w:hint="eastAsia"/>
                <w:color w:val="000000"/>
                <w:sz w:val="18"/>
                <w:szCs w:val="18"/>
              </w:rPr>
              <w:t>欧元区</w:t>
            </w:r>
          </w:p>
        </w:tc>
        <w:tc>
          <w:tcPr>
            <w:tcW w:w="1116" w:type="pct"/>
            <w:tcBorders>
              <w:left w:val="single" w:sz="4" w:space="0" w:color="auto"/>
              <w:right w:val="single" w:sz="4" w:space="0" w:color="auto"/>
            </w:tcBorders>
            <w:shd w:val="clear" w:color="auto" w:fill="auto"/>
            <w:vAlign w:val="center"/>
            <w:hideMark/>
          </w:tcPr>
          <w:p w14:paraId="139FBCD5" w14:textId="77777777" w:rsidR="00045378" w:rsidRPr="00110CAD" w:rsidRDefault="00045378" w:rsidP="00045378">
            <w:pPr>
              <w:adjustRightInd w:val="0"/>
              <w:snapToGrid w:val="0"/>
              <w:spacing w:line="240" w:lineRule="auto"/>
              <w:ind w:firstLineChars="0" w:firstLine="0"/>
              <w:jc w:val="center"/>
              <w:rPr>
                <w:rFonts w:cs="Times New Roman"/>
                <w:color w:val="000000"/>
                <w:sz w:val="18"/>
                <w:szCs w:val="18"/>
              </w:rPr>
            </w:pPr>
            <w:r w:rsidRPr="00110CAD">
              <w:rPr>
                <w:rFonts w:cs="Times New Roman" w:hint="eastAsia"/>
                <w:color w:val="000000"/>
                <w:sz w:val="18"/>
                <w:szCs w:val="18"/>
              </w:rPr>
              <w:t>公债收益率：</w:t>
            </w:r>
            <w:r w:rsidRPr="00110CAD">
              <w:rPr>
                <w:rFonts w:cs="Times New Roman"/>
                <w:color w:val="000000"/>
                <w:sz w:val="18"/>
                <w:szCs w:val="18"/>
              </w:rPr>
              <w:t>1</w:t>
            </w:r>
            <w:r w:rsidRPr="00110CAD">
              <w:rPr>
                <w:rFonts w:cs="Times New Roman" w:hint="eastAsia"/>
                <w:color w:val="000000"/>
                <w:sz w:val="18"/>
                <w:szCs w:val="18"/>
              </w:rPr>
              <w:t>年</w:t>
            </w:r>
          </w:p>
        </w:tc>
        <w:tc>
          <w:tcPr>
            <w:tcW w:w="893" w:type="pct"/>
            <w:tcBorders>
              <w:left w:val="single" w:sz="4" w:space="0" w:color="auto"/>
              <w:right w:val="single" w:sz="4" w:space="0" w:color="auto"/>
            </w:tcBorders>
            <w:shd w:val="clear" w:color="auto" w:fill="auto"/>
          </w:tcPr>
          <w:p w14:paraId="721BE083" w14:textId="6B2C3EB7" w:rsidR="00045378" w:rsidRPr="00110CAD" w:rsidRDefault="00045378" w:rsidP="00045378">
            <w:pPr>
              <w:spacing w:line="240" w:lineRule="auto"/>
              <w:ind w:firstLineChars="0" w:firstLine="0"/>
              <w:jc w:val="center"/>
              <w:rPr>
                <w:rFonts w:cs="Times New Roman"/>
                <w:sz w:val="18"/>
                <w:szCs w:val="18"/>
              </w:rPr>
            </w:pPr>
            <w:r w:rsidRPr="00045378">
              <w:rPr>
                <w:rFonts w:cs="Times New Roman"/>
                <w:sz w:val="18"/>
                <w:szCs w:val="18"/>
              </w:rPr>
              <w:t>-0.8221</w:t>
            </w:r>
          </w:p>
        </w:tc>
        <w:tc>
          <w:tcPr>
            <w:tcW w:w="788" w:type="pct"/>
            <w:tcBorders>
              <w:left w:val="single" w:sz="4" w:space="0" w:color="auto"/>
              <w:right w:val="single" w:sz="4" w:space="0" w:color="auto"/>
            </w:tcBorders>
            <w:shd w:val="clear" w:color="auto" w:fill="auto"/>
          </w:tcPr>
          <w:p w14:paraId="3280F714" w14:textId="0AD9AFE5" w:rsidR="00045378" w:rsidRPr="00110CAD" w:rsidRDefault="00045378" w:rsidP="00045378">
            <w:pPr>
              <w:spacing w:line="240" w:lineRule="auto"/>
              <w:ind w:firstLineChars="0" w:firstLine="0"/>
              <w:jc w:val="center"/>
              <w:rPr>
                <w:rFonts w:cs="Times New Roman"/>
                <w:sz w:val="18"/>
                <w:szCs w:val="18"/>
              </w:rPr>
            </w:pPr>
            <w:r w:rsidRPr="00045378">
              <w:rPr>
                <w:rFonts w:cs="Times New Roman"/>
                <w:sz w:val="18"/>
                <w:szCs w:val="18"/>
              </w:rPr>
              <w:t>-0.8339</w:t>
            </w:r>
          </w:p>
        </w:tc>
        <w:tc>
          <w:tcPr>
            <w:tcW w:w="624" w:type="pct"/>
            <w:tcBorders>
              <w:left w:val="single" w:sz="4" w:space="0" w:color="auto"/>
              <w:right w:val="single" w:sz="4" w:space="0" w:color="auto"/>
            </w:tcBorders>
            <w:shd w:val="clear" w:color="auto" w:fill="auto"/>
          </w:tcPr>
          <w:p w14:paraId="18938CEA" w14:textId="3FF9436D" w:rsidR="00045378" w:rsidRPr="00110CAD" w:rsidRDefault="00045378" w:rsidP="00045378">
            <w:pPr>
              <w:spacing w:line="240" w:lineRule="auto"/>
              <w:ind w:firstLineChars="0" w:firstLine="0"/>
              <w:jc w:val="center"/>
              <w:rPr>
                <w:rFonts w:cs="Times New Roman"/>
                <w:sz w:val="18"/>
                <w:szCs w:val="18"/>
              </w:rPr>
            </w:pPr>
            <w:r w:rsidRPr="00045378">
              <w:rPr>
                <w:rFonts w:cs="Times New Roman"/>
                <w:sz w:val="18"/>
                <w:szCs w:val="18"/>
              </w:rPr>
              <w:t>1.1756</w:t>
            </w:r>
          </w:p>
        </w:tc>
        <w:tc>
          <w:tcPr>
            <w:tcW w:w="1040" w:type="pct"/>
            <w:tcBorders>
              <w:left w:val="single" w:sz="4" w:space="0" w:color="auto"/>
              <w:right w:val="nil"/>
            </w:tcBorders>
            <w:shd w:val="clear" w:color="auto" w:fill="auto"/>
          </w:tcPr>
          <w:p w14:paraId="6F91ADE5" w14:textId="06A4F676" w:rsidR="00045378" w:rsidRPr="00110CAD" w:rsidRDefault="00045378" w:rsidP="00045378">
            <w:pPr>
              <w:spacing w:line="240" w:lineRule="auto"/>
              <w:ind w:firstLineChars="0" w:firstLine="0"/>
              <w:jc w:val="center"/>
              <w:rPr>
                <w:rFonts w:cs="Times New Roman"/>
                <w:sz w:val="18"/>
                <w:szCs w:val="18"/>
              </w:rPr>
            </w:pPr>
            <w:r w:rsidRPr="00045378">
              <w:rPr>
                <w:rFonts w:cs="Times New Roman"/>
                <w:sz w:val="18"/>
                <w:szCs w:val="18"/>
              </w:rPr>
              <w:t>137.9810</w:t>
            </w:r>
          </w:p>
        </w:tc>
      </w:tr>
    </w:tbl>
    <w:p w14:paraId="366724BD" w14:textId="2B27C8E8" w:rsidR="009A183F" w:rsidRPr="00110CAD" w:rsidRDefault="009A183F" w:rsidP="009A183F">
      <w:pPr>
        <w:spacing w:beforeLines="50" w:before="163" w:afterLines="50" w:after="163" w:line="240" w:lineRule="auto"/>
        <w:ind w:firstLineChars="0" w:firstLine="0"/>
        <w:rPr>
          <w:rFonts w:ascii="楷体" w:eastAsia="楷体" w:hAnsi="楷体" w:cs="Times New Roman"/>
          <w:sz w:val="18"/>
        </w:rPr>
      </w:pPr>
      <w:r w:rsidRPr="00110CAD">
        <w:rPr>
          <w:rFonts w:ascii="楷体" w:eastAsia="楷体" w:hAnsi="楷体" w:hint="eastAsia"/>
          <w:sz w:val="18"/>
        </w:rPr>
        <w:t>数据来源：</w:t>
      </w:r>
      <w:r w:rsidRPr="00110CAD">
        <w:rPr>
          <w:rFonts w:ascii="楷体" w:eastAsia="楷体" w:hAnsi="楷体" w:cs="Times New Roman"/>
          <w:sz w:val="18"/>
        </w:rPr>
        <w:t>联合资信整</w:t>
      </w:r>
      <w:r w:rsidRPr="00110CAD">
        <w:rPr>
          <w:rFonts w:ascii="楷体" w:eastAsia="楷体" w:hAnsi="楷体" w:cs="Times New Roman" w:hint="eastAsia"/>
          <w:sz w:val="18"/>
        </w:rPr>
        <w:t>理，</w:t>
      </w:r>
      <w:r w:rsidRPr="00110CAD">
        <w:rPr>
          <w:rFonts w:eastAsia="楷体" w:cs="Times New Roman"/>
          <w:sz w:val="18"/>
        </w:rPr>
        <w:t>数据更新于北京时间</w:t>
      </w:r>
      <w:r w:rsidRPr="00110CAD">
        <w:rPr>
          <w:rFonts w:eastAsia="楷体" w:cs="Times New Roman"/>
          <w:sz w:val="18"/>
        </w:rPr>
        <w:t>1</w:t>
      </w:r>
      <w:r w:rsidR="005454D0" w:rsidRPr="00110CAD">
        <w:rPr>
          <w:rFonts w:eastAsia="楷体" w:cs="Times New Roman"/>
          <w:sz w:val="18"/>
        </w:rPr>
        <w:t>1</w:t>
      </w:r>
      <w:r w:rsidRPr="00110CAD">
        <w:rPr>
          <w:rFonts w:eastAsia="楷体" w:cs="Times New Roman"/>
          <w:sz w:val="18"/>
        </w:rPr>
        <w:t>月</w:t>
      </w:r>
      <w:r w:rsidR="00045378">
        <w:rPr>
          <w:rFonts w:eastAsia="楷体" w:cs="Times New Roman"/>
          <w:sz w:val="18"/>
        </w:rPr>
        <w:t>23</w:t>
      </w:r>
      <w:r w:rsidRPr="00110CAD">
        <w:rPr>
          <w:rFonts w:eastAsia="楷体" w:cs="Times New Roman"/>
          <w:sz w:val="18"/>
        </w:rPr>
        <w:t>日早上</w:t>
      </w:r>
      <w:r w:rsidRPr="00110CAD">
        <w:rPr>
          <w:rFonts w:eastAsia="楷体" w:cs="Times New Roman"/>
          <w:sz w:val="18"/>
        </w:rPr>
        <w:t>10:00</w:t>
      </w:r>
      <w:r w:rsidRPr="00110CAD">
        <w:rPr>
          <w:rFonts w:eastAsia="楷体" w:cs="Times New Roman"/>
          <w:sz w:val="18"/>
        </w:rPr>
        <w:t>，下同</w:t>
      </w:r>
      <w:r w:rsidRPr="00110CAD">
        <w:rPr>
          <w:rFonts w:ascii="楷体" w:eastAsia="楷体" w:hAnsi="楷体" w:cs="Times New Roman" w:hint="eastAsia"/>
          <w:sz w:val="18"/>
        </w:rPr>
        <w:t>。</w:t>
      </w:r>
    </w:p>
    <w:p w14:paraId="2DF93230" w14:textId="77777777" w:rsidR="009A183F" w:rsidRPr="00110CAD" w:rsidRDefault="009A183F" w:rsidP="009A183F">
      <w:pPr>
        <w:adjustRightInd w:val="0"/>
        <w:snapToGrid w:val="0"/>
        <w:spacing w:beforeLines="50" w:before="163" w:afterLines="50" w:after="163" w:line="240" w:lineRule="auto"/>
        <w:ind w:firstLineChars="0" w:firstLine="0"/>
        <w:jc w:val="left"/>
        <w:rPr>
          <w:rFonts w:ascii="黑体" w:eastAsia="黑体" w:hAnsi="黑体" w:cs="Times New Roman"/>
          <w:color w:val="auto"/>
          <w:sz w:val="18"/>
          <w:szCs w:val="18"/>
        </w:rPr>
      </w:pPr>
      <w:r w:rsidRPr="00110CAD">
        <w:rPr>
          <w:rFonts w:ascii="黑体" w:eastAsia="黑体" w:hAnsi="黑体" w:cs="Times New Roman"/>
          <w:color w:val="auto"/>
          <w:sz w:val="18"/>
          <w:szCs w:val="18"/>
        </w:rPr>
        <w:lastRenderedPageBreak/>
        <w:t xml:space="preserve">表3  </w:t>
      </w:r>
      <w:r w:rsidRPr="00110CAD">
        <w:rPr>
          <w:rFonts w:ascii="黑体" w:eastAsia="黑体" w:hAnsi="黑体" w:cs="Times New Roman" w:hint="eastAsia"/>
          <w:color w:val="auto"/>
          <w:sz w:val="18"/>
          <w:szCs w:val="18"/>
        </w:rPr>
        <w:t>与</w:t>
      </w:r>
      <w:r w:rsidRPr="00110CAD">
        <w:rPr>
          <w:rFonts w:ascii="黑体" w:eastAsia="黑体" w:hAnsi="黑体" w:cs="Times New Roman"/>
          <w:color w:val="auto"/>
          <w:sz w:val="18"/>
          <w:szCs w:val="18"/>
        </w:rPr>
        <w:t xml:space="preserve">5年期美国国债到期收益率利差   </w:t>
      </w:r>
      <w:r w:rsidRPr="00110CAD">
        <w:rPr>
          <w:rFonts w:ascii="黑体" w:eastAsia="黑体" w:hAnsi="黑体" w:cs="Times New Roman" w:hint="eastAsia"/>
          <w:color w:val="auto"/>
          <w:sz w:val="18"/>
          <w:szCs w:val="18"/>
        </w:rPr>
        <w:t>单位</w:t>
      </w:r>
      <w:r w:rsidRPr="00110CAD">
        <w:rPr>
          <w:rFonts w:ascii="黑体" w:eastAsia="黑体" w:hAnsi="黑体" w:cs="Times New Roman"/>
          <w:color w:val="auto"/>
          <w:sz w:val="18"/>
          <w:szCs w:val="18"/>
        </w:rPr>
        <w:t>：%</w:t>
      </w:r>
    </w:p>
    <w:tbl>
      <w:tblPr>
        <w:tblW w:w="5584" w:type="pct"/>
        <w:jc w:val="center"/>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1052"/>
        <w:gridCol w:w="2209"/>
        <w:gridCol w:w="1559"/>
        <w:gridCol w:w="1558"/>
        <w:gridCol w:w="1134"/>
        <w:gridCol w:w="1985"/>
      </w:tblGrid>
      <w:tr w:rsidR="009A183F" w:rsidRPr="00110CAD" w14:paraId="4997F398" w14:textId="77777777" w:rsidTr="002E4797">
        <w:trPr>
          <w:trHeight w:val="490"/>
          <w:jc w:val="center"/>
        </w:trPr>
        <w:tc>
          <w:tcPr>
            <w:tcW w:w="554" w:type="pct"/>
            <w:tcBorders>
              <w:bottom w:val="single" w:sz="4" w:space="0" w:color="auto"/>
            </w:tcBorders>
            <w:shd w:val="clear" w:color="000000" w:fill="5262AD"/>
            <w:vAlign w:val="center"/>
            <w:hideMark/>
          </w:tcPr>
          <w:p w14:paraId="4C0738DF" w14:textId="77777777" w:rsidR="009A183F" w:rsidRPr="00110CAD" w:rsidRDefault="009A183F" w:rsidP="00851A3F">
            <w:pPr>
              <w:adjustRightInd w:val="0"/>
              <w:snapToGrid w:val="0"/>
              <w:spacing w:line="240" w:lineRule="auto"/>
              <w:ind w:firstLineChars="0" w:firstLine="0"/>
              <w:jc w:val="center"/>
              <w:rPr>
                <w:rFonts w:cs="Times New Roman"/>
                <w:b/>
                <w:color w:val="FFFFFF" w:themeColor="background1"/>
                <w:sz w:val="18"/>
                <w:szCs w:val="18"/>
              </w:rPr>
            </w:pPr>
            <w:r w:rsidRPr="00110CAD">
              <w:rPr>
                <w:rFonts w:cs="Times New Roman" w:hint="eastAsia"/>
                <w:b/>
                <w:color w:val="FFFFFF" w:themeColor="background1"/>
                <w:sz w:val="18"/>
                <w:szCs w:val="18"/>
              </w:rPr>
              <w:t>国家</w:t>
            </w:r>
          </w:p>
        </w:tc>
        <w:tc>
          <w:tcPr>
            <w:tcW w:w="1163" w:type="pct"/>
            <w:tcBorders>
              <w:bottom w:val="single" w:sz="4" w:space="0" w:color="auto"/>
            </w:tcBorders>
            <w:shd w:val="clear" w:color="000000" w:fill="5262AD"/>
            <w:vAlign w:val="center"/>
            <w:hideMark/>
          </w:tcPr>
          <w:p w14:paraId="4C1DB042" w14:textId="77777777" w:rsidR="009A183F" w:rsidRPr="00110CAD" w:rsidRDefault="009A183F" w:rsidP="00851A3F">
            <w:pPr>
              <w:adjustRightInd w:val="0"/>
              <w:snapToGrid w:val="0"/>
              <w:ind w:firstLineChars="0" w:firstLine="0"/>
              <w:jc w:val="center"/>
              <w:rPr>
                <w:rFonts w:cs="Times New Roman"/>
                <w:b/>
                <w:color w:val="FFFFFF" w:themeColor="background1"/>
                <w:sz w:val="18"/>
                <w:szCs w:val="18"/>
              </w:rPr>
            </w:pPr>
            <w:r w:rsidRPr="00110CAD">
              <w:rPr>
                <w:rFonts w:cs="Times New Roman" w:hint="eastAsia"/>
                <w:b/>
                <w:color w:val="FFFFFF" w:themeColor="background1"/>
                <w:sz w:val="18"/>
                <w:szCs w:val="18"/>
              </w:rPr>
              <w:t>相应指标名称</w:t>
            </w:r>
          </w:p>
        </w:tc>
        <w:tc>
          <w:tcPr>
            <w:tcW w:w="821" w:type="pct"/>
            <w:tcBorders>
              <w:bottom w:val="single" w:sz="4" w:space="0" w:color="auto"/>
            </w:tcBorders>
            <w:shd w:val="clear" w:color="000000" w:fill="5262AD"/>
            <w:vAlign w:val="center"/>
            <w:hideMark/>
          </w:tcPr>
          <w:p w14:paraId="29FFA760" w14:textId="77777777" w:rsidR="009A183F" w:rsidRPr="00110CAD" w:rsidRDefault="009A183F" w:rsidP="00851A3F">
            <w:pPr>
              <w:adjustRightInd w:val="0"/>
              <w:snapToGrid w:val="0"/>
              <w:ind w:firstLineChars="0" w:firstLine="0"/>
              <w:jc w:val="center"/>
              <w:rPr>
                <w:rFonts w:cs="Times New Roman"/>
                <w:b/>
                <w:color w:val="FFFFFF" w:themeColor="background1"/>
                <w:sz w:val="18"/>
                <w:szCs w:val="18"/>
              </w:rPr>
            </w:pPr>
            <w:r w:rsidRPr="00110CAD">
              <w:rPr>
                <w:rFonts w:cs="Times New Roman" w:hint="eastAsia"/>
                <w:b/>
                <w:color w:val="FFFFFF" w:themeColor="background1"/>
                <w:sz w:val="18"/>
                <w:szCs w:val="18"/>
              </w:rPr>
              <w:t>本周平均利差</w:t>
            </w:r>
          </w:p>
        </w:tc>
        <w:tc>
          <w:tcPr>
            <w:tcW w:w="820" w:type="pct"/>
            <w:tcBorders>
              <w:bottom w:val="single" w:sz="4" w:space="0" w:color="auto"/>
            </w:tcBorders>
            <w:shd w:val="clear" w:color="000000" w:fill="5262AD"/>
            <w:vAlign w:val="center"/>
            <w:hideMark/>
          </w:tcPr>
          <w:p w14:paraId="4FC4C7B8" w14:textId="77777777" w:rsidR="009A183F" w:rsidRPr="00110CAD" w:rsidRDefault="009A183F" w:rsidP="00851A3F">
            <w:pPr>
              <w:adjustRightInd w:val="0"/>
              <w:snapToGrid w:val="0"/>
              <w:ind w:firstLineChars="0" w:firstLine="0"/>
              <w:jc w:val="center"/>
              <w:rPr>
                <w:rFonts w:cs="Times New Roman"/>
                <w:b/>
                <w:color w:val="FFFFFF" w:themeColor="background1"/>
                <w:sz w:val="18"/>
                <w:szCs w:val="18"/>
              </w:rPr>
            </w:pPr>
            <w:r w:rsidRPr="00110CAD">
              <w:rPr>
                <w:rFonts w:cs="Times New Roman" w:hint="eastAsia"/>
                <w:b/>
                <w:color w:val="FFFFFF" w:themeColor="background1"/>
                <w:sz w:val="18"/>
                <w:szCs w:val="18"/>
              </w:rPr>
              <w:t>上周平均利差</w:t>
            </w:r>
          </w:p>
        </w:tc>
        <w:tc>
          <w:tcPr>
            <w:tcW w:w="597" w:type="pct"/>
            <w:tcBorders>
              <w:bottom w:val="single" w:sz="4" w:space="0" w:color="auto"/>
            </w:tcBorders>
            <w:shd w:val="clear" w:color="000000" w:fill="5262AD"/>
            <w:vAlign w:val="center"/>
            <w:hideMark/>
          </w:tcPr>
          <w:p w14:paraId="4B2EC060" w14:textId="77777777" w:rsidR="009A183F" w:rsidRPr="00110CAD" w:rsidRDefault="009A183F" w:rsidP="00851A3F">
            <w:pPr>
              <w:adjustRightInd w:val="0"/>
              <w:snapToGrid w:val="0"/>
              <w:ind w:firstLineChars="0" w:firstLine="0"/>
              <w:jc w:val="center"/>
              <w:rPr>
                <w:rFonts w:cs="Times New Roman"/>
                <w:b/>
                <w:color w:val="FFFFFF" w:themeColor="background1"/>
                <w:sz w:val="18"/>
                <w:szCs w:val="18"/>
              </w:rPr>
            </w:pPr>
            <w:r w:rsidRPr="00110CAD">
              <w:rPr>
                <w:rFonts w:cs="Times New Roman" w:hint="eastAsia"/>
                <w:b/>
                <w:color w:val="FFFFFF" w:themeColor="background1"/>
                <w:sz w:val="18"/>
                <w:szCs w:val="18"/>
              </w:rPr>
              <w:t>变动</w:t>
            </w:r>
            <w:r w:rsidRPr="00110CAD">
              <w:rPr>
                <w:rFonts w:cs="Times New Roman"/>
                <w:b/>
                <w:color w:val="FFFFFF" w:themeColor="background1"/>
                <w:sz w:val="18"/>
                <w:szCs w:val="18"/>
              </w:rPr>
              <w:t>BP</w:t>
            </w:r>
          </w:p>
        </w:tc>
        <w:tc>
          <w:tcPr>
            <w:tcW w:w="1045" w:type="pct"/>
            <w:tcBorders>
              <w:bottom w:val="single" w:sz="4" w:space="0" w:color="auto"/>
            </w:tcBorders>
            <w:shd w:val="clear" w:color="000000" w:fill="5262AD"/>
            <w:vAlign w:val="center"/>
            <w:hideMark/>
          </w:tcPr>
          <w:p w14:paraId="5B96F73E" w14:textId="77777777" w:rsidR="009A183F" w:rsidRPr="00110CAD" w:rsidRDefault="009A183F" w:rsidP="00851A3F">
            <w:pPr>
              <w:adjustRightInd w:val="0"/>
              <w:snapToGrid w:val="0"/>
              <w:ind w:firstLineChars="0" w:firstLine="0"/>
              <w:rPr>
                <w:rFonts w:cs="Times New Roman"/>
                <w:b/>
                <w:color w:val="FFFFFF" w:themeColor="background1"/>
                <w:sz w:val="18"/>
                <w:szCs w:val="18"/>
              </w:rPr>
            </w:pPr>
            <w:r w:rsidRPr="00110CAD">
              <w:rPr>
                <w:rFonts w:cs="Times New Roman" w:hint="eastAsia"/>
                <w:b/>
                <w:color w:val="FFFFFF" w:themeColor="background1"/>
                <w:sz w:val="18"/>
                <w:szCs w:val="18"/>
              </w:rPr>
              <w:t>今年以来累计变动</w:t>
            </w:r>
            <w:r w:rsidRPr="00110CAD">
              <w:rPr>
                <w:rFonts w:cs="Times New Roman"/>
                <w:b/>
                <w:color w:val="FFFFFF" w:themeColor="background1"/>
                <w:sz w:val="18"/>
                <w:szCs w:val="18"/>
              </w:rPr>
              <w:t>BP</w:t>
            </w:r>
          </w:p>
        </w:tc>
      </w:tr>
      <w:tr w:rsidR="00045378" w:rsidRPr="00110CAD" w14:paraId="7F5B9445" w14:textId="77777777" w:rsidTr="002E4797">
        <w:trPr>
          <w:trHeight w:val="290"/>
          <w:jc w:val="center"/>
        </w:trPr>
        <w:tc>
          <w:tcPr>
            <w:tcW w:w="554" w:type="pct"/>
            <w:tcBorders>
              <w:left w:val="nil"/>
              <w:right w:val="single" w:sz="4" w:space="0" w:color="auto"/>
            </w:tcBorders>
            <w:shd w:val="clear" w:color="auto" w:fill="auto"/>
            <w:hideMark/>
          </w:tcPr>
          <w:p w14:paraId="6568E189" w14:textId="77777777" w:rsidR="00045378" w:rsidRPr="00110CAD" w:rsidRDefault="00045378" w:rsidP="00045378">
            <w:pPr>
              <w:widowControl w:val="0"/>
              <w:autoSpaceDE w:val="0"/>
              <w:autoSpaceDN w:val="0"/>
              <w:adjustRightInd w:val="0"/>
              <w:spacing w:line="240" w:lineRule="auto"/>
              <w:ind w:firstLineChars="0" w:firstLine="0"/>
              <w:jc w:val="center"/>
              <w:rPr>
                <w:rFonts w:ascii="宋体" w:cs="宋体"/>
                <w:color w:val="000000"/>
                <w:sz w:val="18"/>
                <w:szCs w:val="18"/>
              </w:rPr>
            </w:pPr>
            <w:r w:rsidRPr="00110CAD">
              <w:rPr>
                <w:rFonts w:ascii="宋体" w:cs="宋体" w:hint="eastAsia"/>
                <w:color w:val="000000"/>
                <w:sz w:val="18"/>
                <w:szCs w:val="18"/>
              </w:rPr>
              <w:t>中国</w:t>
            </w:r>
          </w:p>
        </w:tc>
        <w:tc>
          <w:tcPr>
            <w:tcW w:w="1163" w:type="pct"/>
            <w:tcBorders>
              <w:left w:val="single" w:sz="4" w:space="0" w:color="auto"/>
              <w:right w:val="single" w:sz="4" w:space="0" w:color="auto"/>
            </w:tcBorders>
            <w:shd w:val="clear" w:color="auto" w:fill="auto"/>
            <w:hideMark/>
          </w:tcPr>
          <w:p w14:paraId="03A14460" w14:textId="77777777" w:rsidR="00045378" w:rsidRPr="00110CAD" w:rsidRDefault="00045378" w:rsidP="00045378">
            <w:pPr>
              <w:widowControl w:val="0"/>
              <w:autoSpaceDE w:val="0"/>
              <w:autoSpaceDN w:val="0"/>
              <w:adjustRightInd w:val="0"/>
              <w:spacing w:line="240" w:lineRule="auto"/>
              <w:ind w:firstLineChars="0" w:firstLine="0"/>
              <w:jc w:val="center"/>
              <w:rPr>
                <w:rFonts w:ascii="宋体" w:cs="宋体"/>
                <w:color w:val="000000"/>
                <w:sz w:val="18"/>
                <w:szCs w:val="18"/>
              </w:rPr>
            </w:pPr>
            <w:r w:rsidRPr="00110CAD">
              <w:rPr>
                <w:rFonts w:ascii="宋体" w:cs="宋体" w:hint="eastAsia"/>
                <w:color w:val="000000"/>
                <w:sz w:val="18"/>
                <w:szCs w:val="18"/>
              </w:rPr>
              <w:t>国债到期收益率：</w:t>
            </w:r>
            <w:r w:rsidRPr="00110CAD">
              <w:rPr>
                <w:rFonts w:cs="Times New Roman"/>
                <w:color w:val="000000"/>
                <w:sz w:val="18"/>
                <w:szCs w:val="18"/>
              </w:rPr>
              <w:t>5</w:t>
            </w:r>
            <w:r w:rsidRPr="00110CAD">
              <w:rPr>
                <w:rFonts w:ascii="宋体" w:cs="宋体" w:hint="eastAsia"/>
                <w:color w:val="000000"/>
                <w:sz w:val="18"/>
                <w:szCs w:val="18"/>
              </w:rPr>
              <w:t>年</w:t>
            </w:r>
          </w:p>
        </w:tc>
        <w:tc>
          <w:tcPr>
            <w:tcW w:w="821" w:type="pct"/>
            <w:tcBorders>
              <w:left w:val="single" w:sz="4" w:space="0" w:color="auto"/>
              <w:right w:val="single" w:sz="4" w:space="0" w:color="auto"/>
            </w:tcBorders>
            <w:shd w:val="clear" w:color="auto" w:fill="auto"/>
          </w:tcPr>
          <w:p w14:paraId="5CC8D729" w14:textId="7584CC53" w:rsidR="00045378" w:rsidRPr="00110CAD" w:rsidRDefault="00045378" w:rsidP="00045378">
            <w:pPr>
              <w:spacing w:line="240" w:lineRule="auto"/>
              <w:ind w:firstLineChars="0" w:firstLine="0"/>
              <w:jc w:val="center"/>
              <w:rPr>
                <w:rFonts w:cs="Times New Roman"/>
                <w:sz w:val="18"/>
                <w:szCs w:val="18"/>
              </w:rPr>
            </w:pPr>
            <w:r w:rsidRPr="00045378">
              <w:rPr>
                <w:rFonts w:cs="Times New Roman"/>
                <w:sz w:val="18"/>
                <w:szCs w:val="18"/>
              </w:rPr>
              <w:t>2.7661</w:t>
            </w:r>
          </w:p>
        </w:tc>
        <w:tc>
          <w:tcPr>
            <w:tcW w:w="820" w:type="pct"/>
            <w:tcBorders>
              <w:left w:val="single" w:sz="4" w:space="0" w:color="auto"/>
              <w:right w:val="single" w:sz="4" w:space="0" w:color="auto"/>
            </w:tcBorders>
            <w:shd w:val="clear" w:color="auto" w:fill="auto"/>
          </w:tcPr>
          <w:p w14:paraId="1FF33A41" w14:textId="3DB5D25C" w:rsidR="00045378" w:rsidRPr="00110CAD" w:rsidRDefault="00045378" w:rsidP="00045378">
            <w:pPr>
              <w:spacing w:line="240" w:lineRule="auto"/>
              <w:ind w:firstLineChars="0" w:firstLine="0"/>
              <w:jc w:val="center"/>
              <w:rPr>
                <w:rFonts w:cs="Times New Roman"/>
                <w:sz w:val="18"/>
                <w:szCs w:val="18"/>
              </w:rPr>
            </w:pPr>
            <w:r w:rsidRPr="00045378">
              <w:rPr>
                <w:rFonts w:cs="Times New Roman"/>
                <w:sz w:val="18"/>
                <w:szCs w:val="18"/>
              </w:rPr>
              <w:t>2.6429</w:t>
            </w:r>
          </w:p>
        </w:tc>
        <w:tc>
          <w:tcPr>
            <w:tcW w:w="597" w:type="pct"/>
            <w:tcBorders>
              <w:left w:val="single" w:sz="4" w:space="0" w:color="auto"/>
              <w:right w:val="single" w:sz="4" w:space="0" w:color="auto"/>
            </w:tcBorders>
            <w:shd w:val="clear" w:color="auto" w:fill="auto"/>
          </w:tcPr>
          <w:p w14:paraId="510E9AD7" w14:textId="42A5CFD7" w:rsidR="00045378" w:rsidRPr="00110CAD" w:rsidRDefault="00045378" w:rsidP="00045378">
            <w:pPr>
              <w:spacing w:line="240" w:lineRule="auto"/>
              <w:ind w:firstLineChars="0" w:firstLine="0"/>
              <w:jc w:val="center"/>
              <w:rPr>
                <w:rFonts w:cs="Times New Roman"/>
                <w:sz w:val="18"/>
                <w:szCs w:val="18"/>
              </w:rPr>
            </w:pPr>
            <w:r w:rsidRPr="00045378">
              <w:rPr>
                <w:rFonts w:cs="Times New Roman"/>
                <w:sz w:val="18"/>
                <w:szCs w:val="18"/>
              </w:rPr>
              <w:t>12.3270</w:t>
            </w:r>
          </w:p>
        </w:tc>
        <w:tc>
          <w:tcPr>
            <w:tcW w:w="1045" w:type="pct"/>
            <w:tcBorders>
              <w:left w:val="single" w:sz="4" w:space="0" w:color="auto"/>
              <w:right w:val="nil"/>
            </w:tcBorders>
            <w:shd w:val="clear" w:color="auto" w:fill="auto"/>
          </w:tcPr>
          <w:p w14:paraId="38571208" w14:textId="5744812E" w:rsidR="00045378" w:rsidRPr="00110CAD" w:rsidRDefault="00045378" w:rsidP="00045378">
            <w:pPr>
              <w:spacing w:line="240" w:lineRule="auto"/>
              <w:ind w:firstLineChars="0" w:firstLine="0"/>
              <w:jc w:val="center"/>
              <w:rPr>
                <w:rFonts w:cs="Times New Roman"/>
                <w:sz w:val="18"/>
                <w:szCs w:val="18"/>
              </w:rPr>
            </w:pPr>
            <w:r w:rsidRPr="00045378">
              <w:rPr>
                <w:rFonts w:cs="Times New Roman"/>
                <w:sz w:val="18"/>
                <w:szCs w:val="18"/>
              </w:rPr>
              <w:t>151.6670</w:t>
            </w:r>
          </w:p>
        </w:tc>
      </w:tr>
      <w:tr w:rsidR="00045378" w:rsidRPr="00110CAD" w14:paraId="2BC69C17" w14:textId="77777777" w:rsidTr="002E4797">
        <w:trPr>
          <w:trHeight w:val="290"/>
          <w:jc w:val="center"/>
        </w:trPr>
        <w:tc>
          <w:tcPr>
            <w:tcW w:w="554" w:type="pct"/>
            <w:tcBorders>
              <w:left w:val="nil"/>
              <w:right w:val="single" w:sz="4" w:space="0" w:color="auto"/>
            </w:tcBorders>
            <w:shd w:val="clear" w:color="000000" w:fill="D9E2F3"/>
            <w:hideMark/>
          </w:tcPr>
          <w:p w14:paraId="77541353" w14:textId="77777777" w:rsidR="00045378" w:rsidRPr="00110CAD" w:rsidRDefault="00045378" w:rsidP="00045378">
            <w:pPr>
              <w:widowControl w:val="0"/>
              <w:autoSpaceDE w:val="0"/>
              <w:autoSpaceDN w:val="0"/>
              <w:adjustRightInd w:val="0"/>
              <w:spacing w:line="240" w:lineRule="auto"/>
              <w:ind w:firstLineChars="0" w:firstLine="0"/>
              <w:jc w:val="center"/>
              <w:rPr>
                <w:rFonts w:ascii="宋体" w:cs="宋体"/>
                <w:color w:val="000000"/>
                <w:sz w:val="18"/>
                <w:szCs w:val="18"/>
              </w:rPr>
            </w:pPr>
            <w:r w:rsidRPr="00110CAD">
              <w:rPr>
                <w:rFonts w:ascii="宋体" w:cs="宋体" w:hint="eastAsia"/>
                <w:color w:val="000000"/>
                <w:sz w:val="18"/>
                <w:szCs w:val="18"/>
              </w:rPr>
              <w:t>日本</w:t>
            </w:r>
          </w:p>
        </w:tc>
        <w:tc>
          <w:tcPr>
            <w:tcW w:w="1163" w:type="pct"/>
            <w:tcBorders>
              <w:left w:val="single" w:sz="4" w:space="0" w:color="auto"/>
              <w:right w:val="single" w:sz="4" w:space="0" w:color="auto"/>
            </w:tcBorders>
            <w:shd w:val="clear" w:color="000000" w:fill="D9E2F3"/>
            <w:hideMark/>
          </w:tcPr>
          <w:p w14:paraId="6F764585" w14:textId="77777777" w:rsidR="00045378" w:rsidRPr="00110CAD" w:rsidRDefault="00045378" w:rsidP="00045378">
            <w:pPr>
              <w:widowControl w:val="0"/>
              <w:autoSpaceDE w:val="0"/>
              <w:autoSpaceDN w:val="0"/>
              <w:adjustRightInd w:val="0"/>
              <w:spacing w:line="240" w:lineRule="auto"/>
              <w:ind w:firstLineChars="0" w:firstLine="0"/>
              <w:jc w:val="center"/>
              <w:rPr>
                <w:rFonts w:ascii="宋体" w:cs="宋体"/>
                <w:color w:val="000000"/>
                <w:sz w:val="18"/>
                <w:szCs w:val="18"/>
              </w:rPr>
            </w:pPr>
            <w:r w:rsidRPr="00110CAD">
              <w:rPr>
                <w:rFonts w:ascii="宋体" w:cs="宋体" w:hint="eastAsia"/>
                <w:color w:val="000000"/>
                <w:sz w:val="18"/>
                <w:szCs w:val="18"/>
              </w:rPr>
              <w:t>国债利率：</w:t>
            </w:r>
            <w:r w:rsidRPr="00110CAD">
              <w:rPr>
                <w:rFonts w:cs="Times New Roman"/>
                <w:color w:val="000000"/>
                <w:sz w:val="18"/>
                <w:szCs w:val="18"/>
              </w:rPr>
              <w:t>5</w:t>
            </w:r>
            <w:r w:rsidRPr="00110CAD">
              <w:rPr>
                <w:rFonts w:ascii="宋体" w:cs="宋体" w:hint="eastAsia"/>
                <w:color w:val="000000"/>
                <w:sz w:val="18"/>
                <w:szCs w:val="18"/>
              </w:rPr>
              <w:t>年</w:t>
            </w:r>
          </w:p>
        </w:tc>
        <w:tc>
          <w:tcPr>
            <w:tcW w:w="821" w:type="pct"/>
            <w:tcBorders>
              <w:left w:val="single" w:sz="4" w:space="0" w:color="auto"/>
              <w:right w:val="single" w:sz="4" w:space="0" w:color="auto"/>
            </w:tcBorders>
            <w:shd w:val="clear" w:color="000000" w:fill="D9E2F3"/>
          </w:tcPr>
          <w:p w14:paraId="2755EE96" w14:textId="35858D89" w:rsidR="00045378" w:rsidRPr="00110CAD" w:rsidRDefault="00045378" w:rsidP="00045378">
            <w:pPr>
              <w:spacing w:line="240" w:lineRule="auto"/>
              <w:ind w:firstLineChars="0" w:firstLine="0"/>
              <w:jc w:val="center"/>
              <w:rPr>
                <w:rFonts w:cs="Times New Roman"/>
                <w:sz w:val="18"/>
                <w:szCs w:val="18"/>
              </w:rPr>
            </w:pPr>
            <w:r w:rsidRPr="00045378">
              <w:rPr>
                <w:rFonts w:cs="Times New Roman"/>
                <w:sz w:val="18"/>
                <w:szCs w:val="18"/>
              </w:rPr>
              <w:t>-0.5133</w:t>
            </w:r>
          </w:p>
        </w:tc>
        <w:tc>
          <w:tcPr>
            <w:tcW w:w="820" w:type="pct"/>
            <w:tcBorders>
              <w:left w:val="single" w:sz="4" w:space="0" w:color="auto"/>
              <w:right w:val="single" w:sz="4" w:space="0" w:color="auto"/>
            </w:tcBorders>
            <w:shd w:val="clear" w:color="000000" w:fill="D9E2F3"/>
          </w:tcPr>
          <w:p w14:paraId="26AEC04B" w14:textId="3AA53B1B" w:rsidR="00045378" w:rsidRPr="00110CAD" w:rsidRDefault="00045378" w:rsidP="00045378">
            <w:pPr>
              <w:spacing w:line="240" w:lineRule="auto"/>
              <w:ind w:firstLineChars="0" w:firstLine="0"/>
              <w:jc w:val="center"/>
              <w:rPr>
                <w:rFonts w:cs="Times New Roman"/>
                <w:sz w:val="18"/>
                <w:szCs w:val="18"/>
              </w:rPr>
            </w:pPr>
            <w:r w:rsidRPr="00045378">
              <w:rPr>
                <w:rFonts w:cs="Times New Roman"/>
                <w:sz w:val="18"/>
                <w:szCs w:val="18"/>
              </w:rPr>
              <w:t>-0.5358</w:t>
            </w:r>
          </w:p>
        </w:tc>
        <w:tc>
          <w:tcPr>
            <w:tcW w:w="597" w:type="pct"/>
            <w:tcBorders>
              <w:left w:val="single" w:sz="4" w:space="0" w:color="auto"/>
              <w:right w:val="single" w:sz="4" w:space="0" w:color="auto"/>
            </w:tcBorders>
            <w:shd w:val="clear" w:color="000000" w:fill="D9E2F3"/>
          </w:tcPr>
          <w:p w14:paraId="1913C1E2" w14:textId="7EF5FCF5" w:rsidR="00045378" w:rsidRPr="00110CAD" w:rsidRDefault="00045378" w:rsidP="00045378">
            <w:pPr>
              <w:spacing w:line="240" w:lineRule="auto"/>
              <w:ind w:firstLineChars="0" w:firstLine="0"/>
              <w:jc w:val="center"/>
              <w:rPr>
                <w:rFonts w:cs="Times New Roman"/>
                <w:sz w:val="18"/>
                <w:szCs w:val="18"/>
              </w:rPr>
            </w:pPr>
            <w:r w:rsidRPr="00045378">
              <w:rPr>
                <w:rFonts w:cs="Times New Roman"/>
                <w:sz w:val="18"/>
                <w:szCs w:val="18"/>
              </w:rPr>
              <w:t>2.2500</w:t>
            </w:r>
          </w:p>
        </w:tc>
        <w:tc>
          <w:tcPr>
            <w:tcW w:w="1045" w:type="pct"/>
            <w:tcBorders>
              <w:left w:val="single" w:sz="4" w:space="0" w:color="auto"/>
              <w:right w:val="nil"/>
            </w:tcBorders>
            <w:shd w:val="clear" w:color="000000" w:fill="D9E2F3"/>
          </w:tcPr>
          <w:p w14:paraId="2601BD44" w14:textId="2A46A7F8" w:rsidR="00045378" w:rsidRPr="00110CAD" w:rsidRDefault="00045378" w:rsidP="00045378">
            <w:pPr>
              <w:spacing w:line="240" w:lineRule="auto"/>
              <w:ind w:firstLineChars="0" w:firstLine="0"/>
              <w:jc w:val="center"/>
              <w:rPr>
                <w:rFonts w:cs="Times New Roman"/>
                <w:sz w:val="18"/>
                <w:szCs w:val="18"/>
              </w:rPr>
            </w:pPr>
            <w:r w:rsidRPr="00045378">
              <w:rPr>
                <w:rFonts w:cs="Times New Roman"/>
                <w:sz w:val="18"/>
                <w:szCs w:val="18"/>
              </w:rPr>
              <w:t>129.6750</w:t>
            </w:r>
          </w:p>
        </w:tc>
      </w:tr>
      <w:tr w:rsidR="00045378" w:rsidRPr="00110CAD" w14:paraId="04FD3FC0" w14:textId="77777777" w:rsidTr="002E4797">
        <w:trPr>
          <w:trHeight w:val="290"/>
          <w:jc w:val="center"/>
        </w:trPr>
        <w:tc>
          <w:tcPr>
            <w:tcW w:w="554" w:type="pct"/>
            <w:tcBorders>
              <w:left w:val="nil"/>
              <w:right w:val="single" w:sz="4" w:space="0" w:color="auto"/>
            </w:tcBorders>
            <w:shd w:val="clear" w:color="auto" w:fill="auto"/>
            <w:hideMark/>
          </w:tcPr>
          <w:p w14:paraId="7D5EF5A5" w14:textId="77777777" w:rsidR="00045378" w:rsidRPr="00110CAD" w:rsidRDefault="00045378" w:rsidP="00045378">
            <w:pPr>
              <w:widowControl w:val="0"/>
              <w:autoSpaceDE w:val="0"/>
              <w:autoSpaceDN w:val="0"/>
              <w:adjustRightInd w:val="0"/>
              <w:spacing w:line="240" w:lineRule="auto"/>
              <w:ind w:firstLineChars="0" w:firstLine="0"/>
              <w:jc w:val="center"/>
              <w:rPr>
                <w:rFonts w:ascii="宋体" w:cs="宋体"/>
                <w:color w:val="000000"/>
                <w:sz w:val="18"/>
                <w:szCs w:val="18"/>
              </w:rPr>
            </w:pPr>
            <w:r w:rsidRPr="00110CAD">
              <w:rPr>
                <w:rFonts w:ascii="宋体" w:cs="宋体" w:hint="eastAsia"/>
                <w:color w:val="000000"/>
                <w:sz w:val="18"/>
                <w:szCs w:val="18"/>
              </w:rPr>
              <w:t>欧元区</w:t>
            </w:r>
          </w:p>
        </w:tc>
        <w:tc>
          <w:tcPr>
            <w:tcW w:w="1163" w:type="pct"/>
            <w:tcBorders>
              <w:left w:val="single" w:sz="4" w:space="0" w:color="auto"/>
              <w:right w:val="single" w:sz="4" w:space="0" w:color="auto"/>
            </w:tcBorders>
            <w:shd w:val="clear" w:color="auto" w:fill="auto"/>
            <w:hideMark/>
          </w:tcPr>
          <w:p w14:paraId="3F02AC3C" w14:textId="77777777" w:rsidR="00045378" w:rsidRPr="00110CAD" w:rsidRDefault="00045378" w:rsidP="00045378">
            <w:pPr>
              <w:widowControl w:val="0"/>
              <w:autoSpaceDE w:val="0"/>
              <w:autoSpaceDN w:val="0"/>
              <w:adjustRightInd w:val="0"/>
              <w:spacing w:line="240" w:lineRule="auto"/>
              <w:ind w:firstLineChars="0" w:firstLine="0"/>
              <w:jc w:val="center"/>
              <w:rPr>
                <w:rFonts w:ascii="宋体" w:cs="宋体"/>
                <w:color w:val="000000"/>
                <w:sz w:val="18"/>
                <w:szCs w:val="18"/>
              </w:rPr>
            </w:pPr>
            <w:r w:rsidRPr="00110CAD">
              <w:rPr>
                <w:rFonts w:ascii="宋体" w:cs="宋体" w:hint="eastAsia"/>
                <w:color w:val="000000"/>
                <w:sz w:val="18"/>
                <w:szCs w:val="18"/>
              </w:rPr>
              <w:t>公债收益率：</w:t>
            </w:r>
            <w:r w:rsidRPr="00110CAD">
              <w:rPr>
                <w:rFonts w:cs="Times New Roman"/>
                <w:color w:val="000000"/>
                <w:sz w:val="18"/>
                <w:szCs w:val="18"/>
              </w:rPr>
              <w:t>5</w:t>
            </w:r>
            <w:r w:rsidRPr="00110CAD">
              <w:rPr>
                <w:rFonts w:ascii="宋体" w:cs="宋体" w:hint="eastAsia"/>
                <w:color w:val="000000"/>
                <w:sz w:val="18"/>
                <w:szCs w:val="18"/>
              </w:rPr>
              <w:t>年</w:t>
            </w:r>
          </w:p>
        </w:tc>
        <w:tc>
          <w:tcPr>
            <w:tcW w:w="821" w:type="pct"/>
            <w:tcBorders>
              <w:left w:val="single" w:sz="4" w:space="0" w:color="auto"/>
              <w:right w:val="single" w:sz="4" w:space="0" w:color="auto"/>
            </w:tcBorders>
            <w:shd w:val="clear" w:color="auto" w:fill="auto"/>
          </w:tcPr>
          <w:p w14:paraId="649645D9" w14:textId="5B4187A0" w:rsidR="00045378" w:rsidRPr="00110CAD" w:rsidRDefault="00045378" w:rsidP="00045378">
            <w:pPr>
              <w:spacing w:line="240" w:lineRule="auto"/>
              <w:ind w:firstLineChars="0" w:firstLine="0"/>
              <w:jc w:val="center"/>
              <w:rPr>
                <w:rFonts w:cs="Times New Roman"/>
                <w:sz w:val="18"/>
                <w:szCs w:val="18"/>
              </w:rPr>
            </w:pPr>
            <w:r w:rsidRPr="00045378">
              <w:rPr>
                <w:rFonts w:cs="Times New Roman"/>
                <w:sz w:val="18"/>
                <w:szCs w:val="18"/>
              </w:rPr>
              <w:t>-1.1393</w:t>
            </w:r>
          </w:p>
        </w:tc>
        <w:tc>
          <w:tcPr>
            <w:tcW w:w="820" w:type="pct"/>
            <w:tcBorders>
              <w:left w:val="single" w:sz="4" w:space="0" w:color="auto"/>
              <w:right w:val="single" w:sz="4" w:space="0" w:color="auto"/>
            </w:tcBorders>
            <w:shd w:val="clear" w:color="auto" w:fill="auto"/>
          </w:tcPr>
          <w:p w14:paraId="74027DAE" w14:textId="3238966B" w:rsidR="00045378" w:rsidRPr="00110CAD" w:rsidRDefault="00045378" w:rsidP="00045378">
            <w:pPr>
              <w:spacing w:line="240" w:lineRule="auto"/>
              <w:ind w:firstLineChars="0" w:firstLine="0"/>
              <w:jc w:val="center"/>
              <w:rPr>
                <w:rFonts w:cs="Times New Roman"/>
                <w:sz w:val="18"/>
                <w:szCs w:val="18"/>
              </w:rPr>
            </w:pPr>
            <w:r w:rsidRPr="00045378">
              <w:rPr>
                <w:rFonts w:cs="Times New Roman"/>
                <w:sz w:val="18"/>
                <w:szCs w:val="18"/>
              </w:rPr>
              <w:t>-1.1519</w:t>
            </w:r>
          </w:p>
        </w:tc>
        <w:tc>
          <w:tcPr>
            <w:tcW w:w="597" w:type="pct"/>
            <w:tcBorders>
              <w:left w:val="single" w:sz="4" w:space="0" w:color="auto"/>
              <w:right w:val="single" w:sz="4" w:space="0" w:color="auto"/>
            </w:tcBorders>
            <w:shd w:val="clear" w:color="auto" w:fill="auto"/>
          </w:tcPr>
          <w:p w14:paraId="1E9C72FA" w14:textId="5925286A" w:rsidR="00045378" w:rsidRPr="00110CAD" w:rsidRDefault="00045378" w:rsidP="00045378">
            <w:pPr>
              <w:spacing w:line="240" w:lineRule="auto"/>
              <w:ind w:firstLineChars="0" w:firstLine="0"/>
              <w:jc w:val="center"/>
              <w:rPr>
                <w:rFonts w:cs="Times New Roman"/>
                <w:sz w:val="18"/>
                <w:szCs w:val="18"/>
              </w:rPr>
            </w:pPr>
            <w:r w:rsidRPr="00045378">
              <w:rPr>
                <w:rFonts w:cs="Times New Roman"/>
                <w:sz w:val="18"/>
                <w:szCs w:val="18"/>
              </w:rPr>
              <w:t>1.2590</w:t>
            </w:r>
          </w:p>
        </w:tc>
        <w:tc>
          <w:tcPr>
            <w:tcW w:w="1045" w:type="pct"/>
            <w:tcBorders>
              <w:left w:val="single" w:sz="4" w:space="0" w:color="auto"/>
              <w:right w:val="nil"/>
            </w:tcBorders>
            <w:shd w:val="clear" w:color="auto" w:fill="auto"/>
          </w:tcPr>
          <w:p w14:paraId="72F3908C" w14:textId="7F5482E9" w:rsidR="00045378" w:rsidRPr="00110CAD" w:rsidRDefault="00045378" w:rsidP="00045378">
            <w:pPr>
              <w:spacing w:line="240" w:lineRule="auto"/>
              <w:ind w:firstLineChars="0" w:firstLine="0"/>
              <w:jc w:val="center"/>
              <w:rPr>
                <w:rFonts w:cs="Times New Roman"/>
                <w:sz w:val="18"/>
                <w:szCs w:val="18"/>
              </w:rPr>
            </w:pPr>
            <w:r w:rsidRPr="00045378">
              <w:rPr>
                <w:rFonts w:cs="Times New Roman"/>
                <w:sz w:val="18"/>
                <w:szCs w:val="18"/>
              </w:rPr>
              <w:t>99.8176</w:t>
            </w:r>
          </w:p>
        </w:tc>
      </w:tr>
      <w:tr w:rsidR="00045378" w:rsidRPr="00110CAD" w14:paraId="27A8ECBD" w14:textId="77777777" w:rsidTr="002E4797">
        <w:trPr>
          <w:trHeight w:val="290"/>
          <w:jc w:val="center"/>
        </w:trPr>
        <w:tc>
          <w:tcPr>
            <w:tcW w:w="554" w:type="pct"/>
            <w:tcBorders>
              <w:left w:val="nil"/>
              <w:right w:val="single" w:sz="4" w:space="0" w:color="auto"/>
            </w:tcBorders>
            <w:shd w:val="clear" w:color="000000" w:fill="D9E2F3"/>
            <w:hideMark/>
          </w:tcPr>
          <w:p w14:paraId="02836A04" w14:textId="77777777" w:rsidR="00045378" w:rsidRPr="00110CAD" w:rsidRDefault="00045378" w:rsidP="00045378">
            <w:pPr>
              <w:widowControl w:val="0"/>
              <w:autoSpaceDE w:val="0"/>
              <w:autoSpaceDN w:val="0"/>
              <w:adjustRightInd w:val="0"/>
              <w:spacing w:line="240" w:lineRule="auto"/>
              <w:ind w:firstLineChars="0" w:firstLine="0"/>
              <w:jc w:val="center"/>
              <w:rPr>
                <w:rFonts w:ascii="宋体" w:cs="宋体"/>
                <w:color w:val="000000"/>
                <w:sz w:val="18"/>
                <w:szCs w:val="18"/>
              </w:rPr>
            </w:pPr>
            <w:r w:rsidRPr="00110CAD">
              <w:rPr>
                <w:rFonts w:ascii="宋体" w:cs="宋体" w:hint="eastAsia"/>
                <w:color w:val="000000"/>
                <w:sz w:val="18"/>
                <w:szCs w:val="18"/>
              </w:rPr>
              <w:t>英国</w:t>
            </w:r>
          </w:p>
        </w:tc>
        <w:tc>
          <w:tcPr>
            <w:tcW w:w="1163" w:type="pct"/>
            <w:tcBorders>
              <w:left w:val="single" w:sz="4" w:space="0" w:color="auto"/>
              <w:right w:val="single" w:sz="4" w:space="0" w:color="auto"/>
            </w:tcBorders>
            <w:shd w:val="clear" w:color="000000" w:fill="D9E2F3"/>
            <w:hideMark/>
          </w:tcPr>
          <w:p w14:paraId="0686D6F3" w14:textId="77777777" w:rsidR="00045378" w:rsidRPr="00110CAD" w:rsidRDefault="00045378" w:rsidP="00045378">
            <w:pPr>
              <w:widowControl w:val="0"/>
              <w:autoSpaceDE w:val="0"/>
              <w:autoSpaceDN w:val="0"/>
              <w:adjustRightInd w:val="0"/>
              <w:spacing w:line="240" w:lineRule="auto"/>
              <w:ind w:firstLineChars="0" w:firstLine="0"/>
              <w:jc w:val="center"/>
              <w:rPr>
                <w:rFonts w:ascii="宋体" w:cs="宋体"/>
                <w:color w:val="000000"/>
                <w:sz w:val="18"/>
                <w:szCs w:val="18"/>
              </w:rPr>
            </w:pPr>
            <w:r w:rsidRPr="00110CAD">
              <w:rPr>
                <w:rFonts w:ascii="宋体" w:cs="宋体" w:hint="eastAsia"/>
                <w:color w:val="000000"/>
                <w:sz w:val="18"/>
                <w:szCs w:val="18"/>
              </w:rPr>
              <w:t>国债收益率：</w:t>
            </w:r>
            <w:r w:rsidRPr="00110CAD">
              <w:rPr>
                <w:rFonts w:cs="Times New Roman"/>
                <w:color w:val="000000"/>
                <w:sz w:val="18"/>
                <w:szCs w:val="18"/>
              </w:rPr>
              <w:t>5</w:t>
            </w:r>
            <w:r w:rsidRPr="00110CAD">
              <w:rPr>
                <w:rFonts w:ascii="宋体" w:cs="宋体" w:hint="eastAsia"/>
                <w:color w:val="000000"/>
                <w:sz w:val="18"/>
                <w:szCs w:val="18"/>
              </w:rPr>
              <w:t>年</w:t>
            </w:r>
          </w:p>
        </w:tc>
        <w:tc>
          <w:tcPr>
            <w:tcW w:w="821" w:type="pct"/>
            <w:tcBorders>
              <w:left w:val="single" w:sz="4" w:space="0" w:color="auto"/>
              <w:right w:val="single" w:sz="4" w:space="0" w:color="auto"/>
            </w:tcBorders>
            <w:shd w:val="clear" w:color="000000" w:fill="D9E2F3"/>
          </w:tcPr>
          <w:p w14:paraId="7DF0E44B" w14:textId="747FEC49" w:rsidR="00045378" w:rsidRPr="00110CAD" w:rsidRDefault="00045378" w:rsidP="00045378">
            <w:pPr>
              <w:spacing w:line="240" w:lineRule="auto"/>
              <w:ind w:firstLineChars="0" w:firstLine="0"/>
              <w:jc w:val="center"/>
              <w:rPr>
                <w:rFonts w:cs="Times New Roman"/>
                <w:sz w:val="18"/>
                <w:szCs w:val="18"/>
              </w:rPr>
            </w:pPr>
            <w:r w:rsidRPr="00045378">
              <w:rPr>
                <w:rFonts w:cs="Times New Roman"/>
                <w:sz w:val="18"/>
                <w:szCs w:val="18"/>
              </w:rPr>
              <w:t>-0.3553</w:t>
            </w:r>
          </w:p>
        </w:tc>
        <w:tc>
          <w:tcPr>
            <w:tcW w:w="820" w:type="pct"/>
            <w:tcBorders>
              <w:left w:val="single" w:sz="4" w:space="0" w:color="auto"/>
              <w:right w:val="single" w:sz="4" w:space="0" w:color="auto"/>
            </w:tcBorders>
            <w:shd w:val="clear" w:color="000000" w:fill="D9E2F3"/>
          </w:tcPr>
          <w:p w14:paraId="1D73150A" w14:textId="7E07684C" w:rsidR="00045378" w:rsidRPr="00110CAD" w:rsidRDefault="00045378" w:rsidP="00045378">
            <w:pPr>
              <w:spacing w:line="240" w:lineRule="auto"/>
              <w:ind w:firstLineChars="0" w:firstLine="0"/>
              <w:jc w:val="center"/>
              <w:rPr>
                <w:rFonts w:cs="Times New Roman"/>
                <w:sz w:val="18"/>
                <w:szCs w:val="18"/>
              </w:rPr>
            </w:pPr>
            <w:r w:rsidRPr="00045378">
              <w:rPr>
                <w:rFonts w:cs="Times New Roman"/>
                <w:sz w:val="18"/>
                <w:szCs w:val="18"/>
              </w:rPr>
              <w:t>-0.3801</w:t>
            </w:r>
          </w:p>
        </w:tc>
        <w:tc>
          <w:tcPr>
            <w:tcW w:w="597" w:type="pct"/>
            <w:tcBorders>
              <w:left w:val="single" w:sz="4" w:space="0" w:color="auto"/>
              <w:right w:val="single" w:sz="4" w:space="0" w:color="auto"/>
            </w:tcBorders>
            <w:shd w:val="clear" w:color="000000" w:fill="D9E2F3"/>
          </w:tcPr>
          <w:p w14:paraId="62FAD84D" w14:textId="164CB123" w:rsidR="00045378" w:rsidRPr="00110CAD" w:rsidRDefault="00045378" w:rsidP="00045378">
            <w:pPr>
              <w:spacing w:line="240" w:lineRule="auto"/>
              <w:ind w:firstLineChars="0" w:firstLine="0"/>
              <w:jc w:val="center"/>
              <w:rPr>
                <w:rFonts w:cs="Times New Roman"/>
                <w:sz w:val="18"/>
                <w:szCs w:val="18"/>
              </w:rPr>
            </w:pPr>
            <w:r w:rsidRPr="00045378">
              <w:rPr>
                <w:rFonts w:cs="Times New Roman"/>
                <w:sz w:val="18"/>
                <w:szCs w:val="18"/>
              </w:rPr>
              <w:t>2.4717</w:t>
            </w:r>
          </w:p>
        </w:tc>
        <w:tc>
          <w:tcPr>
            <w:tcW w:w="1045" w:type="pct"/>
            <w:tcBorders>
              <w:left w:val="single" w:sz="4" w:space="0" w:color="auto"/>
              <w:right w:val="nil"/>
            </w:tcBorders>
            <w:shd w:val="clear" w:color="000000" w:fill="D9E2F3"/>
          </w:tcPr>
          <w:p w14:paraId="4C49009A" w14:textId="4A748BF4" w:rsidR="00045378" w:rsidRPr="00110CAD" w:rsidRDefault="00045378" w:rsidP="00045378">
            <w:pPr>
              <w:spacing w:line="240" w:lineRule="auto"/>
              <w:ind w:firstLineChars="0" w:firstLine="0"/>
              <w:jc w:val="center"/>
              <w:rPr>
                <w:rFonts w:cs="Times New Roman"/>
                <w:sz w:val="18"/>
                <w:szCs w:val="18"/>
              </w:rPr>
            </w:pPr>
            <w:r w:rsidRPr="00045378">
              <w:rPr>
                <w:rFonts w:cs="Times New Roman"/>
                <w:sz w:val="18"/>
                <w:szCs w:val="18"/>
              </w:rPr>
              <w:t>71.8367</w:t>
            </w:r>
          </w:p>
        </w:tc>
      </w:tr>
    </w:tbl>
    <w:p w14:paraId="168ECB81" w14:textId="77777777" w:rsidR="009A183F" w:rsidRPr="00110CAD" w:rsidRDefault="009A183F" w:rsidP="009A183F">
      <w:pPr>
        <w:spacing w:beforeLines="50" w:before="163" w:afterLines="50" w:after="163" w:line="240" w:lineRule="auto"/>
        <w:ind w:firstLineChars="0" w:firstLine="0"/>
        <w:rPr>
          <w:rFonts w:ascii="楷体" w:eastAsia="楷体" w:hAnsi="楷体" w:cs="Times New Roman"/>
          <w:sz w:val="18"/>
        </w:rPr>
      </w:pPr>
      <w:r w:rsidRPr="00110CAD">
        <w:rPr>
          <w:rFonts w:ascii="楷体" w:eastAsia="楷体" w:hAnsi="楷体" w:hint="eastAsia"/>
          <w:sz w:val="18"/>
        </w:rPr>
        <w:t>数据来源：</w:t>
      </w:r>
      <w:r w:rsidRPr="00110CAD">
        <w:rPr>
          <w:rFonts w:ascii="楷体" w:eastAsia="楷体" w:hAnsi="楷体" w:cs="Times New Roman"/>
          <w:sz w:val="18"/>
        </w:rPr>
        <w:t>联合资信整</w:t>
      </w:r>
      <w:r w:rsidRPr="00110CAD">
        <w:rPr>
          <w:rFonts w:ascii="楷体" w:eastAsia="楷体" w:hAnsi="楷体" w:cs="Times New Roman" w:hint="eastAsia"/>
          <w:sz w:val="18"/>
        </w:rPr>
        <w:t>理</w:t>
      </w:r>
    </w:p>
    <w:p w14:paraId="7F21DA38" w14:textId="77777777" w:rsidR="009A183F" w:rsidRPr="00110CAD" w:rsidRDefault="009A183F" w:rsidP="009A183F">
      <w:pPr>
        <w:adjustRightInd w:val="0"/>
        <w:snapToGrid w:val="0"/>
        <w:spacing w:afterLines="50" w:after="163" w:line="240" w:lineRule="auto"/>
        <w:ind w:firstLineChars="0" w:firstLine="0"/>
        <w:jc w:val="left"/>
        <w:rPr>
          <w:rFonts w:ascii="黑体" w:eastAsia="黑体" w:hAnsi="黑体" w:cs="Times New Roman"/>
          <w:color w:val="auto"/>
          <w:sz w:val="18"/>
          <w:szCs w:val="18"/>
        </w:rPr>
      </w:pPr>
      <w:r w:rsidRPr="00110CAD">
        <w:rPr>
          <w:rFonts w:ascii="黑体" w:eastAsia="黑体" w:hAnsi="黑体" w:cs="Times New Roman"/>
          <w:color w:val="auto"/>
          <w:sz w:val="18"/>
          <w:szCs w:val="18"/>
        </w:rPr>
        <w:t xml:space="preserve">表4  </w:t>
      </w:r>
      <w:r w:rsidRPr="00110CAD">
        <w:rPr>
          <w:rFonts w:ascii="黑体" w:eastAsia="黑体" w:hAnsi="黑体" w:cs="Times New Roman" w:hint="eastAsia"/>
          <w:color w:val="auto"/>
          <w:sz w:val="18"/>
          <w:szCs w:val="18"/>
        </w:rPr>
        <w:t>与</w:t>
      </w:r>
      <w:r w:rsidRPr="00110CAD">
        <w:rPr>
          <w:rFonts w:ascii="黑体" w:eastAsia="黑体" w:hAnsi="黑体" w:cs="Times New Roman"/>
          <w:color w:val="auto"/>
          <w:sz w:val="18"/>
          <w:szCs w:val="18"/>
        </w:rPr>
        <w:t xml:space="preserve">10年期美国国债到期收益率利差   </w:t>
      </w:r>
      <w:r w:rsidRPr="00110CAD">
        <w:rPr>
          <w:rFonts w:ascii="黑体" w:eastAsia="黑体" w:hAnsi="黑体" w:cs="Times New Roman" w:hint="eastAsia"/>
          <w:color w:val="auto"/>
          <w:sz w:val="18"/>
          <w:szCs w:val="18"/>
        </w:rPr>
        <w:t>单位</w:t>
      </w:r>
      <w:r w:rsidRPr="00110CAD">
        <w:rPr>
          <w:rFonts w:ascii="黑体" w:eastAsia="黑体" w:hAnsi="黑体" w:cs="Times New Roman"/>
          <w:color w:val="auto"/>
          <w:sz w:val="18"/>
          <w:szCs w:val="18"/>
        </w:rPr>
        <w:t xml:space="preserve">：% </w:t>
      </w:r>
    </w:p>
    <w:tbl>
      <w:tblPr>
        <w:tblW w:w="5584" w:type="pct"/>
        <w:jc w:val="center"/>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1136"/>
        <w:gridCol w:w="2125"/>
        <w:gridCol w:w="1559"/>
        <w:gridCol w:w="1558"/>
        <w:gridCol w:w="1136"/>
        <w:gridCol w:w="1983"/>
      </w:tblGrid>
      <w:tr w:rsidR="009A183F" w:rsidRPr="00110CAD" w14:paraId="42F41EFA" w14:textId="77777777" w:rsidTr="002E4797">
        <w:trPr>
          <w:trHeight w:val="490"/>
          <w:jc w:val="center"/>
        </w:trPr>
        <w:tc>
          <w:tcPr>
            <w:tcW w:w="598" w:type="pct"/>
            <w:tcBorders>
              <w:bottom w:val="single" w:sz="4" w:space="0" w:color="auto"/>
            </w:tcBorders>
            <w:shd w:val="clear" w:color="000000" w:fill="5262AD"/>
            <w:vAlign w:val="center"/>
            <w:hideMark/>
          </w:tcPr>
          <w:p w14:paraId="50BD85B0" w14:textId="77777777" w:rsidR="009A183F" w:rsidRPr="00110CAD" w:rsidRDefault="009A183F" w:rsidP="00851A3F">
            <w:pPr>
              <w:adjustRightInd w:val="0"/>
              <w:snapToGrid w:val="0"/>
              <w:spacing w:line="240" w:lineRule="auto"/>
              <w:ind w:firstLineChars="0" w:firstLine="0"/>
              <w:jc w:val="center"/>
              <w:rPr>
                <w:rFonts w:cs="Times New Roman"/>
                <w:b/>
                <w:color w:val="FFFFFF" w:themeColor="background1"/>
                <w:sz w:val="18"/>
                <w:szCs w:val="18"/>
              </w:rPr>
            </w:pPr>
            <w:r w:rsidRPr="00110CAD">
              <w:rPr>
                <w:rFonts w:cs="Times New Roman" w:hint="eastAsia"/>
                <w:b/>
                <w:color w:val="FFFFFF" w:themeColor="background1"/>
                <w:sz w:val="18"/>
                <w:szCs w:val="18"/>
              </w:rPr>
              <w:t>国家</w:t>
            </w:r>
          </w:p>
        </w:tc>
        <w:tc>
          <w:tcPr>
            <w:tcW w:w="1119" w:type="pct"/>
            <w:tcBorders>
              <w:bottom w:val="single" w:sz="4" w:space="0" w:color="auto"/>
            </w:tcBorders>
            <w:shd w:val="clear" w:color="000000" w:fill="5262AD"/>
            <w:vAlign w:val="center"/>
            <w:hideMark/>
          </w:tcPr>
          <w:p w14:paraId="11BE87C8" w14:textId="77777777" w:rsidR="009A183F" w:rsidRPr="00110CAD" w:rsidRDefault="009A183F" w:rsidP="00851A3F">
            <w:pPr>
              <w:adjustRightInd w:val="0"/>
              <w:snapToGrid w:val="0"/>
              <w:ind w:firstLineChars="110" w:firstLine="199"/>
              <w:jc w:val="center"/>
              <w:rPr>
                <w:rFonts w:cs="Times New Roman"/>
                <w:b/>
                <w:color w:val="FFFFFF" w:themeColor="background1"/>
                <w:sz w:val="18"/>
                <w:szCs w:val="18"/>
              </w:rPr>
            </w:pPr>
            <w:r w:rsidRPr="00110CAD">
              <w:rPr>
                <w:rFonts w:cs="Times New Roman" w:hint="eastAsia"/>
                <w:b/>
                <w:color w:val="FFFFFF" w:themeColor="background1"/>
                <w:sz w:val="18"/>
                <w:szCs w:val="18"/>
              </w:rPr>
              <w:t>相应指标名称</w:t>
            </w:r>
          </w:p>
        </w:tc>
        <w:tc>
          <w:tcPr>
            <w:tcW w:w="821" w:type="pct"/>
            <w:tcBorders>
              <w:bottom w:val="single" w:sz="4" w:space="0" w:color="auto"/>
            </w:tcBorders>
            <w:shd w:val="clear" w:color="000000" w:fill="5262AD"/>
            <w:vAlign w:val="center"/>
            <w:hideMark/>
          </w:tcPr>
          <w:p w14:paraId="556BCB23" w14:textId="77777777" w:rsidR="009A183F" w:rsidRPr="00110CAD" w:rsidRDefault="009A183F" w:rsidP="00851A3F">
            <w:pPr>
              <w:adjustRightInd w:val="0"/>
              <w:snapToGrid w:val="0"/>
              <w:ind w:firstLineChars="0" w:firstLine="0"/>
              <w:jc w:val="center"/>
              <w:rPr>
                <w:rFonts w:cs="Times New Roman"/>
                <w:b/>
                <w:color w:val="FFFFFF" w:themeColor="background1"/>
                <w:sz w:val="18"/>
                <w:szCs w:val="18"/>
              </w:rPr>
            </w:pPr>
            <w:r w:rsidRPr="00110CAD">
              <w:rPr>
                <w:rFonts w:cs="Times New Roman" w:hint="eastAsia"/>
                <w:b/>
                <w:color w:val="FFFFFF" w:themeColor="background1"/>
                <w:sz w:val="18"/>
                <w:szCs w:val="18"/>
              </w:rPr>
              <w:t>本周平均利差</w:t>
            </w:r>
          </w:p>
        </w:tc>
        <w:tc>
          <w:tcPr>
            <w:tcW w:w="820" w:type="pct"/>
            <w:tcBorders>
              <w:bottom w:val="single" w:sz="4" w:space="0" w:color="auto"/>
            </w:tcBorders>
            <w:shd w:val="clear" w:color="000000" w:fill="5262AD"/>
            <w:vAlign w:val="center"/>
            <w:hideMark/>
          </w:tcPr>
          <w:p w14:paraId="235CE27F" w14:textId="77777777" w:rsidR="009A183F" w:rsidRPr="00110CAD" w:rsidRDefault="009A183F" w:rsidP="00851A3F">
            <w:pPr>
              <w:adjustRightInd w:val="0"/>
              <w:snapToGrid w:val="0"/>
              <w:ind w:firstLine="361"/>
              <w:jc w:val="center"/>
              <w:rPr>
                <w:rFonts w:cs="Times New Roman"/>
                <w:b/>
                <w:color w:val="FFFFFF" w:themeColor="background1"/>
                <w:sz w:val="18"/>
                <w:szCs w:val="18"/>
              </w:rPr>
            </w:pPr>
            <w:r w:rsidRPr="00110CAD">
              <w:rPr>
                <w:rFonts w:cs="Times New Roman" w:hint="eastAsia"/>
                <w:b/>
                <w:color w:val="FFFFFF" w:themeColor="background1"/>
                <w:sz w:val="18"/>
                <w:szCs w:val="18"/>
              </w:rPr>
              <w:t>上周平均利差</w:t>
            </w:r>
          </w:p>
        </w:tc>
        <w:tc>
          <w:tcPr>
            <w:tcW w:w="598" w:type="pct"/>
            <w:tcBorders>
              <w:bottom w:val="single" w:sz="4" w:space="0" w:color="auto"/>
            </w:tcBorders>
            <w:shd w:val="clear" w:color="000000" w:fill="5262AD"/>
            <w:vAlign w:val="center"/>
            <w:hideMark/>
          </w:tcPr>
          <w:p w14:paraId="3D69E160" w14:textId="77777777" w:rsidR="009A183F" w:rsidRPr="00110CAD" w:rsidRDefault="009A183F" w:rsidP="00851A3F">
            <w:pPr>
              <w:adjustRightInd w:val="0"/>
              <w:snapToGrid w:val="0"/>
              <w:ind w:firstLineChars="110" w:firstLine="199"/>
              <w:jc w:val="center"/>
              <w:rPr>
                <w:rFonts w:cs="Times New Roman"/>
                <w:b/>
                <w:color w:val="FFFFFF" w:themeColor="background1"/>
                <w:sz w:val="18"/>
                <w:szCs w:val="18"/>
              </w:rPr>
            </w:pPr>
            <w:r w:rsidRPr="00110CAD">
              <w:rPr>
                <w:rFonts w:cs="Times New Roman" w:hint="eastAsia"/>
                <w:b/>
                <w:color w:val="FFFFFF" w:themeColor="background1"/>
                <w:sz w:val="18"/>
                <w:szCs w:val="18"/>
              </w:rPr>
              <w:t>变动</w:t>
            </w:r>
            <w:r w:rsidRPr="00110CAD">
              <w:rPr>
                <w:rFonts w:cs="Times New Roman"/>
                <w:b/>
                <w:color w:val="FFFFFF" w:themeColor="background1"/>
                <w:sz w:val="18"/>
                <w:szCs w:val="18"/>
              </w:rPr>
              <w:t>BP</w:t>
            </w:r>
          </w:p>
        </w:tc>
        <w:tc>
          <w:tcPr>
            <w:tcW w:w="1044" w:type="pct"/>
            <w:tcBorders>
              <w:bottom w:val="single" w:sz="4" w:space="0" w:color="auto"/>
            </w:tcBorders>
            <w:shd w:val="clear" w:color="000000" w:fill="5262AD"/>
            <w:vAlign w:val="center"/>
            <w:hideMark/>
          </w:tcPr>
          <w:p w14:paraId="21F80568" w14:textId="77777777" w:rsidR="009A183F" w:rsidRPr="00110CAD" w:rsidRDefault="009A183F" w:rsidP="00851A3F">
            <w:pPr>
              <w:adjustRightInd w:val="0"/>
              <w:snapToGrid w:val="0"/>
              <w:ind w:firstLineChars="0" w:firstLine="0"/>
              <w:jc w:val="center"/>
              <w:rPr>
                <w:rFonts w:cs="Times New Roman"/>
                <w:b/>
                <w:color w:val="FFFFFF" w:themeColor="background1"/>
                <w:sz w:val="18"/>
                <w:szCs w:val="18"/>
              </w:rPr>
            </w:pPr>
            <w:r w:rsidRPr="00110CAD">
              <w:rPr>
                <w:rFonts w:cs="Times New Roman" w:hint="eastAsia"/>
                <w:b/>
                <w:color w:val="FFFFFF" w:themeColor="background1"/>
                <w:sz w:val="18"/>
                <w:szCs w:val="18"/>
              </w:rPr>
              <w:t>今年以来累计变动</w:t>
            </w:r>
            <w:r w:rsidRPr="00110CAD">
              <w:rPr>
                <w:rFonts w:cs="Times New Roman"/>
                <w:b/>
                <w:color w:val="FFFFFF" w:themeColor="background1"/>
                <w:sz w:val="18"/>
                <w:szCs w:val="18"/>
              </w:rPr>
              <w:t>BP</w:t>
            </w:r>
          </w:p>
        </w:tc>
      </w:tr>
      <w:tr w:rsidR="00045378" w:rsidRPr="00110CAD" w14:paraId="57EC40F9" w14:textId="77777777" w:rsidTr="002E4797">
        <w:trPr>
          <w:trHeight w:val="290"/>
          <w:jc w:val="center"/>
        </w:trPr>
        <w:tc>
          <w:tcPr>
            <w:tcW w:w="598" w:type="pct"/>
            <w:tcBorders>
              <w:left w:val="nil"/>
              <w:right w:val="single" w:sz="4" w:space="0" w:color="auto"/>
            </w:tcBorders>
            <w:shd w:val="clear" w:color="auto" w:fill="auto"/>
            <w:vAlign w:val="center"/>
            <w:hideMark/>
          </w:tcPr>
          <w:p w14:paraId="2A553F81" w14:textId="77777777" w:rsidR="00045378" w:rsidRPr="00110CAD" w:rsidRDefault="00045378" w:rsidP="00045378">
            <w:pPr>
              <w:adjustRightInd w:val="0"/>
              <w:snapToGrid w:val="0"/>
              <w:spacing w:line="240" w:lineRule="auto"/>
              <w:ind w:firstLineChars="0" w:firstLine="0"/>
              <w:jc w:val="center"/>
              <w:rPr>
                <w:rFonts w:cs="Times New Roman"/>
                <w:color w:val="000000"/>
                <w:sz w:val="18"/>
                <w:szCs w:val="18"/>
              </w:rPr>
            </w:pPr>
            <w:r w:rsidRPr="00110CAD">
              <w:rPr>
                <w:rFonts w:cs="Times New Roman" w:hint="eastAsia"/>
                <w:color w:val="000000"/>
                <w:sz w:val="18"/>
                <w:szCs w:val="18"/>
              </w:rPr>
              <w:t>中国</w:t>
            </w:r>
          </w:p>
        </w:tc>
        <w:tc>
          <w:tcPr>
            <w:tcW w:w="1119" w:type="pct"/>
            <w:tcBorders>
              <w:left w:val="single" w:sz="4" w:space="0" w:color="auto"/>
              <w:right w:val="single" w:sz="4" w:space="0" w:color="auto"/>
            </w:tcBorders>
            <w:shd w:val="clear" w:color="auto" w:fill="auto"/>
            <w:vAlign w:val="center"/>
            <w:hideMark/>
          </w:tcPr>
          <w:p w14:paraId="2371F3CF" w14:textId="77777777" w:rsidR="00045378" w:rsidRPr="00110CAD" w:rsidRDefault="00045378" w:rsidP="00045378">
            <w:pPr>
              <w:adjustRightInd w:val="0"/>
              <w:snapToGrid w:val="0"/>
              <w:spacing w:line="240" w:lineRule="auto"/>
              <w:ind w:firstLineChars="0" w:firstLine="0"/>
              <w:jc w:val="center"/>
              <w:rPr>
                <w:rFonts w:cs="Times New Roman"/>
                <w:color w:val="000000"/>
                <w:sz w:val="18"/>
                <w:szCs w:val="18"/>
              </w:rPr>
            </w:pPr>
            <w:r w:rsidRPr="00110CAD">
              <w:rPr>
                <w:rFonts w:cs="Times New Roman" w:hint="eastAsia"/>
                <w:color w:val="000000"/>
                <w:sz w:val="18"/>
                <w:szCs w:val="18"/>
              </w:rPr>
              <w:t>国债到期收益率：</w:t>
            </w:r>
            <w:r w:rsidRPr="00110CAD">
              <w:rPr>
                <w:rFonts w:cs="Times New Roman"/>
                <w:color w:val="000000"/>
                <w:sz w:val="18"/>
                <w:szCs w:val="18"/>
              </w:rPr>
              <w:t>10</w:t>
            </w:r>
            <w:r w:rsidRPr="00110CAD">
              <w:rPr>
                <w:rFonts w:cs="Times New Roman" w:hint="eastAsia"/>
                <w:color w:val="000000"/>
                <w:sz w:val="18"/>
                <w:szCs w:val="18"/>
              </w:rPr>
              <w:t>年</w:t>
            </w:r>
          </w:p>
        </w:tc>
        <w:tc>
          <w:tcPr>
            <w:tcW w:w="821" w:type="pct"/>
            <w:tcBorders>
              <w:left w:val="single" w:sz="4" w:space="0" w:color="auto"/>
              <w:right w:val="single" w:sz="4" w:space="0" w:color="auto"/>
            </w:tcBorders>
            <w:shd w:val="clear" w:color="auto" w:fill="auto"/>
          </w:tcPr>
          <w:p w14:paraId="65A30BA9" w14:textId="2B28F1CB" w:rsidR="00045378" w:rsidRPr="00110CAD" w:rsidRDefault="00045378" w:rsidP="00045378">
            <w:pPr>
              <w:spacing w:line="240" w:lineRule="auto"/>
              <w:ind w:firstLineChars="0" w:firstLine="0"/>
              <w:jc w:val="center"/>
              <w:rPr>
                <w:rFonts w:cs="Times New Roman"/>
                <w:sz w:val="18"/>
                <w:szCs w:val="18"/>
              </w:rPr>
            </w:pPr>
            <w:r w:rsidRPr="00045378">
              <w:rPr>
                <w:rFonts w:cs="Times New Roman"/>
                <w:sz w:val="18"/>
                <w:szCs w:val="18"/>
              </w:rPr>
              <w:t>2.4387</w:t>
            </w:r>
          </w:p>
        </w:tc>
        <w:tc>
          <w:tcPr>
            <w:tcW w:w="820" w:type="pct"/>
            <w:tcBorders>
              <w:left w:val="single" w:sz="4" w:space="0" w:color="auto"/>
              <w:right w:val="single" w:sz="4" w:space="0" w:color="auto"/>
            </w:tcBorders>
            <w:shd w:val="clear" w:color="auto" w:fill="auto"/>
          </w:tcPr>
          <w:p w14:paraId="3B034CD4" w14:textId="4CF5D22C" w:rsidR="00045378" w:rsidRPr="00110CAD" w:rsidRDefault="00045378" w:rsidP="00045378">
            <w:pPr>
              <w:spacing w:line="240" w:lineRule="auto"/>
              <w:ind w:firstLineChars="0" w:firstLine="0"/>
              <w:jc w:val="center"/>
              <w:rPr>
                <w:rFonts w:cs="Times New Roman"/>
                <w:sz w:val="18"/>
                <w:szCs w:val="18"/>
              </w:rPr>
            </w:pPr>
            <w:r w:rsidRPr="00045378">
              <w:rPr>
                <w:rFonts w:cs="Times New Roman"/>
                <w:sz w:val="18"/>
                <w:szCs w:val="18"/>
              </w:rPr>
              <w:t>2.3208</w:t>
            </w:r>
          </w:p>
        </w:tc>
        <w:tc>
          <w:tcPr>
            <w:tcW w:w="598" w:type="pct"/>
            <w:tcBorders>
              <w:left w:val="single" w:sz="4" w:space="0" w:color="auto"/>
              <w:right w:val="single" w:sz="4" w:space="0" w:color="auto"/>
            </w:tcBorders>
            <w:shd w:val="clear" w:color="auto" w:fill="auto"/>
          </w:tcPr>
          <w:p w14:paraId="08A73337" w14:textId="6A172A72" w:rsidR="00045378" w:rsidRPr="00110CAD" w:rsidRDefault="00045378" w:rsidP="00045378">
            <w:pPr>
              <w:spacing w:line="240" w:lineRule="auto"/>
              <w:ind w:firstLineChars="0" w:firstLine="0"/>
              <w:jc w:val="center"/>
              <w:rPr>
                <w:rFonts w:cs="Times New Roman"/>
                <w:sz w:val="18"/>
                <w:szCs w:val="18"/>
              </w:rPr>
            </w:pPr>
            <w:r w:rsidRPr="00045378">
              <w:rPr>
                <w:rFonts w:cs="Times New Roman"/>
                <w:sz w:val="18"/>
                <w:szCs w:val="18"/>
              </w:rPr>
              <w:t>11.7855</w:t>
            </w:r>
          </w:p>
        </w:tc>
        <w:tc>
          <w:tcPr>
            <w:tcW w:w="1044" w:type="pct"/>
            <w:tcBorders>
              <w:left w:val="single" w:sz="4" w:space="0" w:color="auto"/>
              <w:right w:val="nil"/>
            </w:tcBorders>
            <w:shd w:val="clear" w:color="auto" w:fill="auto"/>
          </w:tcPr>
          <w:p w14:paraId="1164826D" w14:textId="23EFCD49" w:rsidR="00045378" w:rsidRPr="00110CAD" w:rsidRDefault="00045378" w:rsidP="00045378">
            <w:pPr>
              <w:spacing w:line="240" w:lineRule="auto"/>
              <w:ind w:firstLineChars="0" w:firstLine="0"/>
              <w:jc w:val="center"/>
              <w:rPr>
                <w:rFonts w:cs="Times New Roman"/>
                <w:sz w:val="18"/>
                <w:szCs w:val="18"/>
              </w:rPr>
            </w:pPr>
            <w:r w:rsidRPr="00045378">
              <w:rPr>
                <w:rFonts w:cs="Times New Roman"/>
                <w:sz w:val="18"/>
                <w:szCs w:val="18"/>
              </w:rPr>
              <w:t>117.3680</w:t>
            </w:r>
          </w:p>
        </w:tc>
      </w:tr>
      <w:tr w:rsidR="00045378" w:rsidRPr="00110CAD" w14:paraId="4616EAE1" w14:textId="77777777" w:rsidTr="002E4797">
        <w:trPr>
          <w:trHeight w:val="290"/>
          <w:jc w:val="center"/>
        </w:trPr>
        <w:tc>
          <w:tcPr>
            <w:tcW w:w="598" w:type="pct"/>
            <w:tcBorders>
              <w:left w:val="nil"/>
              <w:right w:val="single" w:sz="4" w:space="0" w:color="auto"/>
            </w:tcBorders>
            <w:shd w:val="clear" w:color="000000" w:fill="D9E2F3"/>
            <w:vAlign w:val="center"/>
            <w:hideMark/>
          </w:tcPr>
          <w:p w14:paraId="1D858533" w14:textId="77777777" w:rsidR="00045378" w:rsidRPr="00110CAD" w:rsidRDefault="00045378" w:rsidP="00045378">
            <w:pPr>
              <w:adjustRightInd w:val="0"/>
              <w:snapToGrid w:val="0"/>
              <w:spacing w:line="240" w:lineRule="auto"/>
              <w:ind w:firstLineChars="0" w:firstLine="0"/>
              <w:jc w:val="center"/>
              <w:rPr>
                <w:rFonts w:cs="Times New Roman"/>
                <w:color w:val="000000"/>
                <w:sz w:val="18"/>
                <w:szCs w:val="18"/>
              </w:rPr>
            </w:pPr>
            <w:r w:rsidRPr="00110CAD">
              <w:rPr>
                <w:rFonts w:cs="Times New Roman" w:hint="eastAsia"/>
                <w:color w:val="000000"/>
                <w:sz w:val="18"/>
                <w:szCs w:val="18"/>
              </w:rPr>
              <w:t>日本</w:t>
            </w:r>
          </w:p>
        </w:tc>
        <w:tc>
          <w:tcPr>
            <w:tcW w:w="1119" w:type="pct"/>
            <w:tcBorders>
              <w:left w:val="single" w:sz="4" w:space="0" w:color="auto"/>
              <w:right w:val="single" w:sz="4" w:space="0" w:color="auto"/>
            </w:tcBorders>
            <w:shd w:val="clear" w:color="000000" w:fill="D9E2F3"/>
            <w:vAlign w:val="center"/>
            <w:hideMark/>
          </w:tcPr>
          <w:p w14:paraId="2653A8DB" w14:textId="77777777" w:rsidR="00045378" w:rsidRPr="00110CAD" w:rsidRDefault="00045378" w:rsidP="00045378">
            <w:pPr>
              <w:adjustRightInd w:val="0"/>
              <w:snapToGrid w:val="0"/>
              <w:spacing w:line="240" w:lineRule="auto"/>
              <w:ind w:firstLineChars="0" w:firstLine="0"/>
              <w:jc w:val="center"/>
              <w:rPr>
                <w:rFonts w:cs="Times New Roman"/>
                <w:color w:val="000000"/>
                <w:sz w:val="18"/>
                <w:szCs w:val="18"/>
              </w:rPr>
            </w:pPr>
            <w:r w:rsidRPr="00110CAD">
              <w:rPr>
                <w:rFonts w:cs="Times New Roman" w:hint="eastAsia"/>
                <w:color w:val="000000"/>
                <w:sz w:val="18"/>
                <w:szCs w:val="18"/>
              </w:rPr>
              <w:t>国债利率：</w:t>
            </w:r>
            <w:r w:rsidRPr="00110CAD">
              <w:rPr>
                <w:rFonts w:cs="Times New Roman"/>
                <w:color w:val="000000"/>
                <w:sz w:val="18"/>
                <w:szCs w:val="18"/>
              </w:rPr>
              <w:t>10</w:t>
            </w:r>
            <w:r w:rsidRPr="00110CAD">
              <w:rPr>
                <w:rFonts w:cs="Times New Roman" w:hint="eastAsia"/>
                <w:color w:val="000000"/>
                <w:sz w:val="18"/>
                <w:szCs w:val="18"/>
              </w:rPr>
              <w:t>年</w:t>
            </w:r>
          </w:p>
        </w:tc>
        <w:tc>
          <w:tcPr>
            <w:tcW w:w="821" w:type="pct"/>
            <w:tcBorders>
              <w:left w:val="single" w:sz="4" w:space="0" w:color="auto"/>
              <w:right w:val="single" w:sz="4" w:space="0" w:color="auto"/>
            </w:tcBorders>
            <w:shd w:val="clear" w:color="000000" w:fill="D9E2F3"/>
          </w:tcPr>
          <w:p w14:paraId="72819D4A" w14:textId="2CA45164" w:rsidR="00045378" w:rsidRPr="00110CAD" w:rsidRDefault="00045378" w:rsidP="00045378">
            <w:pPr>
              <w:spacing w:line="240" w:lineRule="auto"/>
              <w:ind w:firstLineChars="0" w:firstLine="0"/>
              <w:jc w:val="center"/>
              <w:rPr>
                <w:rFonts w:cs="Times New Roman"/>
                <w:sz w:val="18"/>
                <w:szCs w:val="18"/>
              </w:rPr>
            </w:pPr>
            <w:r w:rsidRPr="00045378">
              <w:rPr>
                <w:rFonts w:cs="Times New Roman"/>
                <w:sz w:val="18"/>
                <w:szCs w:val="18"/>
              </w:rPr>
              <w:t>-0.8565</w:t>
            </w:r>
          </w:p>
        </w:tc>
        <w:tc>
          <w:tcPr>
            <w:tcW w:w="820" w:type="pct"/>
            <w:tcBorders>
              <w:left w:val="single" w:sz="4" w:space="0" w:color="auto"/>
              <w:right w:val="single" w:sz="4" w:space="0" w:color="auto"/>
            </w:tcBorders>
            <w:shd w:val="clear" w:color="000000" w:fill="D9E2F3"/>
          </w:tcPr>
          <w:p w14:paraId="717C27E0" w14:textId="61AD9B53" w:rsidR="00045378" w:rsidRPr="00110CAD" w:rsidRDefault="00045378" w:rsidP="00045378">
            <w:pPr>
              <w:spacing w:line="240" w:lineRule="auto"/>
              <w:ind w:firstLineChars="0" w:firstLine="0"/>
              <w:jc w:val="center"/>
              <w:rPr>
                <w:rFonts w:cs="Times New Roman"/>
                <w:sz w:val="18"/>
                <w:szCs w:val="18"/>
              </w:rPr>
            </w:pPr>
            <w:r w:rsidRPr="00045378">
              <w:rPr>
                <w:rFonts w:cs="Times New Roman"/>
                <w:sz w:val="18"/>
                <w:szCs w:val="18"/>
              </w:rPr>
              <w:t>-0.8975</w:t>
            </w:r>
          </w:p>
        </w:tc>
        <w:tc>
          <w:tcPr>
            <w:tcW w:w="598" w:type="pct"/>
            <w:tcBorders>
              <w:left w:val="single" w:sz="4" w:space="0" w:color="auto"/>
              <w:right w:val="single" w:sz="4" w:space="0" w:color="auto"/>
            </w:tcBorders>
            <w:shd w:val="clear" w:color="000000" w:fill="D9E2F3"/>
          </w:tcPr>
          <w:p w14:paraId="4312B04A" w14:textId="3AD5A1D2" w:rsidR="00045378" w:rsidRPr="00110CAD" w:rsidRDefault="00045378" w:rsidP="00045378">
            <w:pPr>
              <w:spacing w:line="240" w:lineRule="auto"/>
              <w:ind w:firstLineChars="0" w:firstLine="0"/>
              <w:jc w:val="center"/>
              <w:rPr>
                <w:rFonts w:cs="Times New Roman"/>
                <w:sz w:val="18"/>
                <w:szCs w:val="18"/>
              </w:rPr>
            </w:pPr>
            <w:r w:rsidRPr="00045378">
              <w:rPr>
                <w:rFonts w:cs="Times New Roman"/>
                <w:sz w:val="18"/>
                <w:szCs w:val="18"/>
              </w:rPr>
              <w:t>4.1000</w:t>
            </w:r>
          </w:p>
        </w:tc>
        <w:tc>
          <w:tcPr>
            <w:tcW w:w="1044" w:type="pct"/>
            <w:tcBorders>
              <w:left w:val="single" w:sz="4" w:space="0" w:color="auto"/>
              <w:right w:val="nil"/>
            </w:tcBorders>
            <w:shd w:val="clear" w:color="000000" w:fill="D9E2F3"/>
          </w:tcPr>
          <w:p w14:paraId="3F01E0B9" w14:textId="134CA091" w:rsidR="00045378" w:rsidRPr="00110CAD" w:rsidRDefault="00045378" w:rsidP="00045378">
            <w:pPr>
              <w:spacing w:line="240" w:lineRule="auto"/>
              <w:ind w:firstLineChars="0" w:firstLine="0"/>
              <w:jc w:val="center"/>
              <w:rPr>
                <w:rFonts w:cs="Times New Roman"/>
                <w:sz w:val="18"/>
                <w:szCs w:val="18"/>
              </w:rPr>
            </w:pPr>
            <w:r w:rsidRPr="00045378">
              <w:rPr>
                <w:rFonts w:cs="Times New Roman"/>
                <w:sz w:val="18"/>
                <w:szCs w:val="18"/>
              </w:rPr>
              <w:t>105.8500</w:t>
            </w:r>
          </w:p>
        </w:tc>
      </w:tr>
      <w:tr w:rsidR="00045378" w:rsidRPr="00110CAD" w14:paraId="2E7280FA" w14:textId="77777777" w:rsidTr="002E4797">
        <w:trPr>
          <w:trHeight w:val="290"/>
          <w:jc w:val="center"/>
        </w:trPr>
        <w:tc>
          <w:tcPr>
            <w:tcW w:w="598" w:type="pct"/>
            <w:tcBorders>
              <w:left w:val="nil"/>
              <w:right w:val="single" w:sz="4" w:space="0" w:color="auto"/>
            </w:tcBorders>
            <w:shd w:val="clear" w:color="auto" w:fill="auto"/>
            <w:vAlign w:val="center"/>
            <w:hideMark/>
          </w:tcPr>
          <w:p w14:paraId="783D9320" w14:textId="77777777" w:rsidR="00045378" w:rsidRPr="00110CAD" w:rsidRDefault="00045378" w:rsidP="00045378">
            <w:pPr>
              <w:adjustRightInd w:val="0"/>
              <w:snapToGrid w:val="0"/>
              <w:spacing w:line="240" w:lineRule="auto"/>
              <w:ind w:firstLineChars="0" w:firstLine="0"/>
              <w:jc w:val="center"/>
              <w:rPr>
                <w:rFonts w:cs="Times New Roman"/>
                <w:color w:val="000000"/>
                <w:sz w:val="18"/>
                <w:szCs w:val="18"/>
              </w:rPr>
            </w:pPr>
            <w:r w:rsidRPr="00110CAD">
              <w:rPr>
                <w:rFonts w:cs="Times New Roman" w:hint="eastAsia"/>
                <w:color w:val="000000"/>
                <w:sz w:val="18"/>
                <w:szCs w:val="18"/>
              </w:rPr>
              <w:t>欧元区</w:t>
            </w:r>
          </w:p>
        </w:tc>
        <w:tc>
          <w:tcPr>
            <w:tcW w:w="1119" w:type="pct"/>
            <w:tcBorders>
              <w:left w:val="single" w:sz="4" w:space="0" w:color="auto"/>
              <w:right w:val="single" w:sz="4" w:space="0" w:color="auto"/>
            </w:tcBorders>
            <w:shd w:val="clear" w:color="auto" w:fill="auto"/>
            <w:vAlign w:val="center"/>
            <w:hideMark/>
          </w:tcPr>
          <w:p w14:paraId="6D422736" w14:textId="77777777" w:rsidR="00045378" w:rsidRPr="00110CAD" w:rsidRDefault="00045378" w:rsidP="00045378">
            <w:pPr>
              <w:adjustRightInd w:val="0"/>
              <w:snapToGrid w:val="0"/>
              <w:spacing w:line="240" w:lineRule="auto"/>
              <w:ind w:firstLineChars="0" w:firstLine="0"/>
              <w:jc w:val="center"/>
              <w:rPr>
                <w:rFonts w:cs="Times New Roman"/>
                <w:color w:val="000000"/>
                <w:sz w:val="18"/>
                <w:szCs w:val="18"/>
              </w:rPr>
            </w:pPr>
            <w:r w:rsidRPr="00110CAD">
              <w:rPr>
                <w:rFonts w:cs="Times New Roman" w:hint="eastAsia"/>
                <w:color w:val="000000"/>
                <w:sz w:val="18"/>
                <w:szCs w:val="18"/>
              </w:rPr>
              <w:t>公债收益率：</w:t>
            </w:r>
            <w:r w:rsidRPr="00110CAD">
              <w:rPr>
                <w:rFonts w:cs="Times New Roman"/>
                <w:color w:val="000000"/>
                <w:sz w:val="18"/>
                <w:szCs w:val="18"/>
              </w:rPr>
              <w:t>10</w:t>
            </w:r>
            <w:r w:rsidRPr="00110CAD">
              <w:rPr>
                <w:rFonts w:cs="Times New Roman" w:hint="eastAsia"/>
                <w:color w:val="000000"/>
                <w:sz w:val="18"/>
                <w:szCs w:val="18"/>
              </w:rPr>
              <w:t>年</w:t>
            </w:r>
          </w:p>
        </w:tc>
        <w:tc>
          <w:tcPr>
            <w:tcW w:w="821" w:type="pct"/>
            <w:tcBorders>
              <w:left w:val="single" w:sz="4" w:space="0" w:color="auto"/>
              <w:right w:val="single" w:sz="4" w:space="0" w:color="auto"/>
            </w:tcBorders>
            <w:shd w:val="clear" w:color="auto" w:fill="auto"/>
          </w:tcPr>
          <w:p w14:paraId="1DE734BC" w14:textId="2B018D8D" w:rsidR="00045378" w:rsidRPr="00110CAD" w:rsidRDefault="00045378" w:rsidP="00045378">
            <w:pPr>
              <w:spacing w:line="240" w:lineRule="auto"/>
              <w:ind w:firstLineChars="0" w:firstLine="0"/>
              <w:jc w:val="center"/>
              <w:rPr>
                <w:rFonts w:cs="Times New Roman"/>
                <w:sz w:val="18"/>
                <w:szCs w:val="18"/>
              </w:rPr>
            </w:pPr>
            <w:r w:rsidRPr="00045378">
              <w:rPr>
                <w:rFonts w:cs="Times New Roman"/>
                <w:sz w:val="18"/>
                <w:szCs w:val="18"/>
              </w:rPr>
              <w:t>-1.4218</w:t>
            </w:r>
          </w:p>
        </w:tc>
        <w:tc>
          <w:tcPr>
            <w:tcW w:w="820" w:type="pct"/>
            <w:tcBorders>
              <w:left w:val="single" w:sz="4" w:space="0" w:color="auto"/>
              <w:right w:val="single" w:sz="4" w:space="0" w:color="auto"/>
            </w:tcBorders>
            <w:shd w:val="clear" w:color="auto" w:fill="auto"/>
          </w:tcPr>
          <w:p w14:paraId="49DEDC59" w14:textId="1A6244DF" w:rsidR="00045378" w:rsidRPr="00110CAD" w:rsidRDefault="00045378" w:rsidP="00045378">
            <w:pPr>
              <w:spacing w:line="240" w:lineRule="auto"/>
              <w:ind w:firstLineChars="0" w:firstLine="0"/>
              <w:jc w:val="center"/>
              <w:rPr>
                <w:rFonts w:cs="Times New Roman"/>
                <w:sz w:val="18"/>
                <w:szCs w:val="18"/>
              </w:rPr>
            </w:pPr>
            <w:r w:rsidRPr="00045378">
              <w:rPr>
                <w:rFonts w:cs="Times New Roman"/>
                <w:sz w:val="18"/>
                <w:szCs w:val="18"/>
              </w:rPr>
              <w:t>-1.4270</w:t>
            </w:r>
          </w:p>
        </w:tc>
        <w:tc>
          <w:tcPr>
            <w:tcW w:w="598" w:type="pct"/>
            <w:tcBorders>
              <w:left w:val="single" w:sz="4" w:space="0" w:color="auto"/>
              <w:right w:val="single" w:sz="4" w:space="0" w:color="auto"/>
            </w:tcBorders>
            <w:shd w:val="clear" w:color="auto" w:fill="auto"/>
          </w:tcPr>
          <w:p w14:paraId="05B82A30" w14:textId="54CC3EC5" w:rsidR="00045378" w:rsidRPr="00110CAD" w:rsidRDefault="00045378" w:rsidP="00045378">
            <w:pPr>
              <w:spacing w:line="240" w:lineRule="auto"/>
              <w:ind w:firstLineChars="0" w:firstLine="0"/>
              <w:jc w:val="center"/>
              <w:rPr>
                <w:rFonts w:cs="Times New Roman"/>
                <w:sz w:val="18"/>
                <w:szCs w:val="18"/>
              </w:rPr>
            </w:pPr>
            <w:r w:rsidRPr="00045378">
              <w:rPr>
                <w:rFonts w:cs="Times New Roman"/>
                <w:sz w:val="18"/>
                <w:szCs w:val="18"/>
              </w:rPr>
              <w:t>0.5191</w:t>
            </w:r>
          </w:p>
        </w:tc>
        <w:tc>
          <w:tcPr>
            <w:tcW w:w="1044" w:type="pct"/>
            <w:tcBorders>
              <w:left w:val="single" w:sz="4" w:space="0" w:color="auto"/>
              <w:right w:val="nil"/>
            </w:tcBorders>
            <w:shd w:val="clear" w:color="auto" w:fill="auto"/>
          </w:tcPr>
          <w:p w14:paraId="05371D7A" w14:textId="628CE629" w:rsidR="00045378" w:rsidRPr="00110CAD" w:rsidRDefault="00045378" w:rsidP="00045378">
            <w:pPr>
              <w:spacing w:line="240" w:lineRule="auto"/>
              <w:ind w:firstLineChars="0" w:firstLine="0"/>
              <w:jc w:val="center"/>
              <w:rPr>
                <w:rFonts w:cs="Times New Roman"/>
                <w:sz w:val="18"/>
                <w:szCs w:val="18"/>
              </w:rPr>
            </w:pPr>
            <w:r w:rsidRPr="00045378">
              <w:rPr>
                <w:rFonts w:cs="Times New Roman"/>
                <w:sz w:val="18"/>
                <w:szCs w:val="18"/>
              </w:rPr>
              <w:t>62.5966</w:t>
            </w:r>
          </w:p>
        </w:tc>
      </w:tr>
      <w:tr w:rsidR="00045378" w:rsidRPr="00110CAD" w14:paraId="2EC451D2" w14:textId="77777777" w:rsidTr="002E4797">
        <w:trPr>
          <w:trHeight w:val="290"/>
          <w:jc w:val="center"/>
        </w:trPr>
        <w:tc>
          <w:tcPr>
            <w:tcW w:w="598" w:type="pct"/>
            <w:tcBorders>
              <w:left w:val="nil"/>
              <w:right w:val="single" w:sz="4" w:space="0" w:color="auto"/>
            </w:tcBorders>
            <w:shd w:val="clear" w:color="000000" w:fill="D9E2F3"/>
            <w:vAlign w:val="center"/>
            <w:hideMark/>
          </w:tcPr>
          <w:p w14:paraId="79CABE60" w14:textId="77777777" w:rsidR="00045378" w:rsidRPr="00110CAD" w:rsidRDefault="00045378" w:rsidP="00045378">
            <w:pPr>
              <w:adjustRightInd w:val="0"/>
              <w:snapToGrid w:val="0"/>
              <w:spacing w:line="240" w:lineRule="auto"/>
              <w:ind w:firstLineChars="0" w:firstLine="0"/>
              <w:jc w:val="center"/>
              <w:rPr>
                <w:rFonts w:cs="Times New Roman"/>
                <w:color w:val="000000"/>
                <w:sz w:val="18"/>
                <w:szCs w:val="18"/>
              </w:rPr>
            </w:pPr>
            <w:r w:rsidRPr="00110CAD">
              <w:rPr>
                <w:rFonts w:cs="Times New Roman" w:hint="eastAsia"/>
                <w:color w:val="000000"/>
                <w:sz w:val="18"/>
                <w:szCs w:val="18"/>
              </w:rPr>
              <w:t>英国</w:t>
            </w:r>
          </w:p>
        </w:tc>
        <w:tc>
          <w:tcPr>
            <w:tcW w:w="1119" w:type="pct"/>
            <w:tcBorders>
              <w:left w:val="single" w:sz="4" w:space="0" w:color="auto"/>
              <w:right w:val="single" w:sz="4" w:space="0" w:color="auto"/>
            </w:tcBorders>
            <w:shd w:val="clear" w:color="000000" w:fill="D9E2F3"/>
            <w:vAlign w:val="center"/>
            <w:hideMark/>
          </w:tcPr>
          <w:p w14:paraId="71F6549F" w14:textId="77777777" w:rsidR="00045378" w:rsidRPr="00110CAD" w:rsidRDefault="00045378" w:rsidP="00045378">
            <w:pPr>
              <w:adjustRightInd w:val="0"/>
              <w:snapToGrid w:val="0"/>
              <w:spacing w:line="240" w:lineRule="auto"/>
              <w:ind w:firstLineChars="0" w:firstLine="0"/>
              <w:jc w:val="center"/>
              <w:rPr>
                <w:rFonts w:cs="Times New Roman"/>
                <w:color w:val="000000"/>
                <w:sz w:val="18"/>
                <w:szCs w:val="18"/>
              </w:rPr>
            </w:pPr>
            <w:r w:rsidRPr="00110CAD">
              <w:rPr>
                <w:rFonts w:cs="Times New Roman" w:hint="eastAsia"/>
                <w:color w:val="000000"/>
                <w:sz w:val="18"/>
                <w:szCs w:val="18"/>
              </w:rPr>
              <w:t>国债收益率：</w:t>
            </w:r>
            <w:r w:rsidRPr="00110CAD">
              <w:rPr>
                <w:rFonts w:cs="Times New Roman"/>
                <w:color w:val="000000"/>
                <w:sz w:val="18"/>
                <w:szCs w:val="18"/>
              </w:rPr>
              <w:t>10</w:t>
            </w:r>
            <w:r w:rsidRPr="00110CAD">
              <w:rPr>
                <w:rFonts w:cs="Times New Roman" w:hint="eastAsia"/>
                <w:color w:val="000000"/>
                <w:sz w:val="18"/>
                <w:szCs w:val="18"/>
              </w:rPr>
              <w:t>年</w:t>
            </w:r>
          </w:p>
        </w:tc>
        <w:tc>
          <w:tcPr>
            <w:tcW w:w="821" w:type="pct"/>
            <w:tcBorders>
              <w:left w:val="single" w:sz="4" w:space="0" w:color="auto"/>
              <w:right w:val="single" w:sz="4" w:space="0" w:color="auto"/>
            </w:tcBorders>
            <w:shd w:val="clear" w:color="000000" w:fill="D9E2F3"/>
          </w:tcPr>
          <w:p w14:paraId="12193965" w14:textId="4559C123" w:rsidR="00045378" w:rsidRPr="00110CAD" w:rsidRDefault="00045378" w:rsidP="00045378">
            <w:pPr>
              <w:spacing w:line="240" w:lineRule="auto"/>
              <w:ind w:firstLineChars="0" w:firstLine="0"/>
              <w:jc w:val="center"/>
              <w:rPr>
                <w:rFonts w:cs="Times New Roman"/>
                <w:sz w:val="18"/>
                <w:szCs w:val="18"/>
              </w:rPr>
            </w:pPr>
            <w:r w:rsidRPr="00045378">
              <w:rPr>
                <w:rFonts w:cs="Times New Roman"/>
                <w:sz w:val="18"/>
                <w:szCs w:val="18"/>
              </w:rPr>
              <w:t>-0.4661</w:t>
            </w:r>
          </w:p>
        </w:tc>
        <w:tc>
          <w:tcPr>
            <w:tcW w:w="820" w:type="pct"/>
            <w:tcBorders>
              <w:left w:val="single" w:sz="4" w:space="0" w:color="auto"/>
              <w:right w:val="single" w:sz="4" w:space="0" w:color="auto"/>
            </w:tcBorders>
            <w:shd w:val="clear" w:color="000000" w:fill="D9E2F3"/>
          </w:tcPr>
          <w:p w14:paraId="6CBBA53D" w14:textId="58510234" w:rsidR="00045378" w:rsidRPr="00110CAD" w:rsidRDefault="00045378" w:rsidP="00045378">
            <w:pPr>
              <w:spacing w:line="240" w:lineRule="auto"/>
              <w:ind w:firstLineChars="0" w:firstLine="0"/>
              <w:jc w:val="center"/>
              <w:rPr>
                <w:rFonts w:cs="Times New Roman"/>
                <w:sz w:val="18"/>
                <w:szCs w:val="18"/>
              </w:rPr>
            </w:pPr>
            <w:r w:rsidRPr="00045378">
              <w:rPr>
                <w:rFonts w:cs="Times New Roman"/>
                <w:sz w:val="18"/>
                <w:szCs w:val="18"/>
              </w:rPr>
              <w:t>-0.4913</w:t>
            </w:r>
          </w:p>
        </w:tc>
        <w:tc>
          <w:tcPr>
            <w:tcW w:w="598" w:type="pct"/>
            <w:tcBorders>
              <w:left w:val="single" w:sz="4" w:space="0" w:color="auto"/>
              <w:right w:val="single" w:sz="4" w:space="0" w:color="auto"/>
            </w:tcBorders>
            <w:shd w:val="clear" w:color="000000" w:fill="D9E2F3"/>
          </w:tcPr>
          <w:p w14:paraId="75BF1549" w14:textId="26207D17" w:rsidR="00045378" w:rsidRPr="00110CAD" w:rsidRDefault="00045378" w:rsidP="00045378">
            <w:pPr>
              <w:spacing w:line="240" w:lineRule="auto"/>
              <w:ind w:firstLineChars="0" w:firstLine="0"/>
              <w:jc w:val="center"/>
              <w:rPr>
                <w:rFonts w:cs="Times New Roman"/>
                <w:sz w:val="18"/>
                <w:szCs w:val="18"/>
              </w:rPr>
            </w:pPr>
            <w:r w:rsidRPr="00045378">
              <w:rPr>
                <w:rFonts w:cs="Times New Roman"/>
                <w:sz w:val="18"/>
                <w:szCs w:val="18"/>
              </w:rPr>
              <w:t>2.5225</w:t>
            </w:r>
          </w:p>
        </w:tc>
        <w:tc>
          <w:tcPr>
            <w:tcW w:w="1044" w:type="pct"/>
            <w:tcBorders>
              <w:left w:val="single" w:sz="4" w:space="0" w:color="auto"/>
              <w:right w:val="nil"/>
            </w:tcBorders>
            <w:shd w:val="clear" w:color="000000" w:fill="D9E2F3"/>
          </w:tcPr>
          <w:p w14:paraId="3EA082BD" w14:textId="07896E11" w:rsidR="00045378" w:rsidRPr="00110CAD" w:rsidRDefault="00045378" w:rsidP="00045378">
            <w:pPr>
              <w:spacing w:line="240" w:lineRule="auto"/>
              <w:ind w:firstLineChars="0" w:firstLine="0"/>
              <w:jc w:val="center"/>
              <w:rPr>
                <w:rFonts w:cs="Times New Roman"/>
                <w:sz w:val="18"/>
                <w:szCs w:val="18"/>
              </w:rPr>
            </w:pPr>
            <w:r w:rsidRPr="00045378">
              <w:rPr>
                <w:rFonts w:cs="Times New Roman"/>
                <w:sz w:val="18"/>
                <w:szCs w:val="18"/>
              </w:rPr>
              <w:t>55.4500</w:t>
            </w:r>
          </w:p>
        </w:tc>
      </w:tr>
    </w:tbl>
    <w:p w14:paraId="3C83B1DE" w14:textId="77777777" w:rsidR="009A183F" w:rsidRPr="00110CAD" w:rsidRDefault="009A183F" w:rsidP="009A183F">
      <w:pPr>
        <w:tabs>
          <w:tab w:val="left" w:pos="7742"/>
        </w:tabs>
        <w:spacing w:beforeLines="50" w:before="163" w:afterLines="50" w:after="163"/>
        <w:ind w:firstLineChars="0" w:firstLine="0"/>
        <w:rPr>
          <w:rFonts w:ascii="楷体" w:eastAsia="楷体" w:hAnsi="楷体" w:cs="Times New Roman"/>
          <w:sz w:val="18"/>
        </w:rPr>
      </w:pPr>
      <w:r w:rsidRPr="00110CAD">
        <w:rPr>
          <w:rFonts w:ascii="楷体" w:eastAsia="楷体" w:hAnsi="楷体" w:hint="eastAsia"/>
          <w:sz w:val="18"/>
        </w:rPr>
        <w:t>数据来源：</w:t>
      </w:r>
      <w:r w:rsidRPr="00110CAD">
        <w:rPr>
          <w:rFonts w:ascii="楷体" w:eastAsia="楷体" w:hAnsi="楷体" w:cs="Times New Roman"/>
          <w:sz w:val="18"/>
        </w:rPr>
        <w:t>联合资信</w:t>
      </w:r>
      <w:r w:rsidRPr="00110CAD">
        <w:rPr>
          <w:rFonts w:ascii="楷体" w:eastAsia="楷体" w:hAnsi="楷体" w:cs="Times New Roman" w:hint="eastAsia"/>
          <w:sz w:val="18"/>
        </w:rPr>
        <w:t>整理</w:t>
      </w:r>
    </w:p>
    <w:p w14:paraId="234B5D8E" w14:textId="518924B8" w:rsidR="009A183F" w:rsidRPr="00110CAD" w:rsidRDefault="00110CAD" w:rsidP="009A183F">
      <w:pPr>
        <w:pStyle w:val="2"/>
        <w:spacing w:beforeLines="0" w:afterLines="50" w:after="163"/>
        <w:rPr>
          <w:rFonts w:ascii="Times New Roman" w:eastAsia="宋体" w:hAnsi="Times New Roman" w:cs="Times New Roman"/>
        </w:rPr>
      </w:pPr>
      <w:bookmarkStart w:id="5" w:name="_Hlk41307444"/>
      <w:bookmarkStart w:id="6" w:name="OLE_LINK12"/>
      <w:r w:rsidRPr="00110CAD">
        <w:rPr>
          <w:rFonts w:ascii="Times New Roman" w:eastAsia="宋体" w:hAnsi="Times New Roman" w:cs="Times New Roman" w:hint="eastAsia"/>
        </w:rPr>
        <w:t>美元指数</w:t>
      </w:r>
      <w:r w:rsidR="00811928">
        <w:rPr>
          <w:rFonts w:ascii="Times New Roman" w:eastAsia="宋体" w:hAnsi="Times New Roman" w:cs="Times New Roman" w:hint="eastAsia"/>
        </w:rPr>
        <w:t>走弱</w:t>
      </w:r>
      <w:r w:rsidR="009A183F" w:rsidRPr="00110CAD">
        <w:rPr>
          <w:rFonts w:ascii="Times New Roman" w:eastAsia="宋体" w:hAnsi="Times New Roman" w:cs="Times New Roman" w:hint="eastAsia"/>
        </w:rPr>
        <w:t>，</w:t>
      </w:r>
      <w:r w:rsidR="00236A1D">
        <w:rPr>
          <w:rFonts w:ascii="Times New Roman" w:eastAsia="宋体" w:hAnsi="Times New Roman" w:cs="Times New Roman" w:hint="eastAsia"/>
        </w:rPr>
        <w:t>主要</w:t>
      </w:r>
      <w:r w:rsidR="009A183F" w:rsidRPr="00110CAD">
        <w:rPr>
          <w:rFonts w:ascii="Times New Roman" w:eastAsia="宋体" w:hAnsi="Times New Roman" w:cs="Times New Roman" w:hint="eastAsia"/>
        </w:rPr>
        <w:t>非美货币</w:t>
      </w:r>
      <w:r w:rsidR="00236A1D">
        <w:rPr>
          <w:rFonts w:ascii="Times New Roman" w:eastAsia="宋体" w:hAnsi="Times New Roman" w:cs="Times New Roman" w:hint="eastAsia"/>
        </w:rPr>
        <w:t>纷</w:t>
      </w:r>
      <w:r w:rsidR="00236A1D" w:rsidRPr="005809CF">
        <w:rPr>
          <w:rFonts w:ascii="Times New Roman" w:eastAsia="宋体" w:hAnsi="Times New Roman" w:cs="Times New Roman" w:hint="eastAsia"/>
        </w:rPr>
        <w:t>纷</w:t>
      </w:r>
      <w:r w:rsidR="00811928">
        <w:rPr>
          <w:rFonts w:ascii="Times New Roman" w:eastAsia="宋体" w:hAnsi="Times New Roman" w:cs="Times New Roman" w:hint="eastAsia"/>
        </w:rPr>
        <w:t>走强</w:t>
      </w:r>
    </w:p>
    <w:bookmarkEnd w:id="5"/>
    <w:p w14:paraId="2138C6A8" w14:textId="4C81F6D9" w:rsidR="00BD4E40" w:rsidRPr="00110CAD" w:rsidRDefault="00811928" w:rsidP="00A9663E">
      <w:pPr>
        <w:spacing w:afterLines="50" w:after="163"/>
        <w:ind w:firstLine="420"/>
        <w:rPr>
          <w:color w:val="auto"/>
        </w:rPr>
      </w:pPr>
      <w:r>
        <w:rPr>
          <w:rFonts w:hint="eastAsia"/>
          <w:color w:val="auto"/>
        </w:rPr>
        <w:t>受失业数据反弹，经济前景预期悲观，叠加美联储</w:t>
      </w:r>
      <w:r w:rsidR="00F74C72">
        <w:rPr>
          <w:rFonts w:hint="eastAsia"/>
          <w:color w:val="auto"/>
        </w:rPr>
        <w:t>因财政部叫停刺激政策可能在</w:t>
      </w:r>
      <w:r w:rsidR="00F74C72">
        <w:rPr>
          <w:rFonts w:hint="eastAsia"/>
          <w:color w:val="auto"/>
        </w:rPr>
        <w:t>1</w:t>
      </w:r>
      <w:r w:rsidR="00F74C72">
        <w:rPr>
          <w:color w:val="auto"/>
        </w:rPr>
        <w:t>2</w:t>
      </w:r>
      <w:r w:rsidR="00F74C72">
        <w:rPr>
          <w:color w:val="auto"/>
        </w:rPr>
        <w:t>月扩大货币政策</w:t>
      </w:r>
      <w:r w:rsidR="009A6A98">
        <w:rPr>
          <w:color w:val="auto"/>
        </w:rPr>
        <w:t>规模</w:t>
      </w:r>
      <w:r w:rsidR="00F74C72">
        <w:rPr>
          <w:color w:val="auto"/>
        </w:rPr>
        <w:t>预期等多因素影响</w:t>
      </w:r>
      <w:r w:rsidR="00F74C72">
        <w:rPr>
          <w:rFonts w:hint="eastAsia"/>
          <w:color w:val="auto"/>
        </w:rPr>
        <w:t>，</w:t>
      </w:r>
      <w:r w:rsidR="00343D3E">
        <w:rPr>
          <w:rFonts w:hint="eastAsia"/>
          <w:color w:val="auto"/>
        </w:rPr>
        <w:t>本周</w:t>
      </w:r>
      <w:r w:rsidR="00F74C72">
        <w:rPr>
          <w:rFonts w:hint="eastAsia"/>
          <w:color w:val="auto"/>
        </w:rPr>
        <w:t>美元指数连续下跌</w:t>
      </w:r>
      <w:r w:rsidR="00143FB1">
        <w:rPr>
          <w:rFonts w:hint="eastAsia"/>
          <w:color w:val="auto"/>
        </w:rPr>
        <w:t>。</w:t>
      </w:r>
      <w:r w:rsidR="00046120">
        <w:rPr>
          <w:rFonts w:hint="eastAsia"/>
          <w:color w:val="auto"/>
        </w:rPr>
        <w:t>截至</w:t>
      </w:r>
      <w:r w:rsidR="00F53AF3">
        <w:rPr>
          <w:rFonts w:hint="eastAsia"/>
          <w:color w:val="auto"/>
        </w:rPr>
        <w:t>周五</w:t>
      </w:r>
      <w:r w:rsidR="00143FB1">
        <w:rPr>
          <w:rFonts w:hint="eastAsia"/>
          <w:color w:val="auto"/>
        </w:rPr>
        <w:t>美元指数</w:t>
      </w:r>
      <w:r w:rsidR="00F53AF3">
        <w:rPr>
          <w:rFonts w:hint="eastAsia"/>
          <w:color w:val="auto"/>
        </w:rPr>
        <w:t>收于</w:t>
      </w:r>
      <w:r w:rsidR="00F53AF3">
        <w:rPr>
          <w:rFonts w:hint="eastAsia"/>
          <w:color w:val="auto"/>
        </w:rPr>
        <w:t>9</w:t>
      </w:r>
      <w:r w:rsidR="00F53AF3">
        <w:rPr>
          <w:color w:val="auto"/>
        </w:rPr>
        <w:t>2.</w:t>
      </w:r>
      <w:r w:rsidR="00143FB1">
        <w:rPr>
          <w:color w:val="auto"/>
        </w:rPr>
        <w:t>2593</w:t>
      </w:r>
      <w:r w:rsidR="00143FB1">
        <w:rPr>
          <w:rFonts w:hint="eastAsia"/>
          <w:color w:val="auto"/>
        </w:rPr>
        <w:t>，</w:t>
      </w:r>
      <w:r w:rsidR="00143FB1">
        <w:rPr>
          <w:color w:val="auto"/>
        </w:rPr>
        <w:t>周内累计</w:t>
      </w:r>
      <w:r w:rsidR="00143FB1">
        <w:rPr>
          <w:rFonts w:hint="eastAsia"/>
          <w:color w:val="auto"/>
        </w:rPr>
        <w:t>收跌</w:t>
      </w:r>
      <w:r w:rsidR="00143FB1">
        <w:rPr>
          <w:rFonts w:hint="eastAsia"/>
          <w:color w:val="auto"/>
        </w:rPr>
        <w:t>0.</w:t>
      </w:r>
      <w:r w:rsidR="00143FB1">
        <w:rPr>
          <w:color w:val="auto"/>
        </w:rPr>
        <w:t>49</w:t>
      </w:r>
      <w:r w:rsidR="00F53AF3">
        <w:rPr>
          <w:rFonts w:hint="eastAsia"/>
          <w:color w:val="auto"/>
        </w:rPr>
        <w:t>%</w:t>
      </w:r>
      <w:r w:rsidR="00143FB1">
        <w:rPr>
          <w:rFonts w:hint="eastAsia"/>
          <w:color w:val="auto"/>
        </w:rPr>
        <w:t>，基本回吐上周涨幅</w:t>
      </w:r>
      <w:r w:rsidR="00F53AF3">
        <w:rPr>
          <w:rFonts w:hint="eastAsia"/>
          <w:color w:val="auto"/>
        </w:rPr>
        <w:t>。</w:t>
      </w:r>
    </w:p>
    <w:bookmarkEnd w:id="6"/>
    <w:p w14:paraId="6B4E29ED" w14:textId="375B502D" w:rsidR="00A9663E" w:rsidRPr="00343D3E" w:rsidRDefault="00343D3E" w:rsidP="00456887">
      <w:pPr>
        <w:adjustRightInd w:val="0"/>
        <w:snapToGrid w:val="0"/>
        <w:spacing w:line="240" w:lineRule="auto"/>
        <w:ind w:firstLineChars="0" w:firstLine="0"/>
        <w:jc w:val="center"/>
        <w:rPr>
          <w:rFonts w:ascii="楷体" w:eastAsia="楷体" w:hAnsi="楷体"/>
          <w:b/>
          <w:sz w:val="18"/>
        </w:rPr>
      </w:pPr>
      <w:r>
        <w:rPr>
          <w:noProof/>
        </w:rPr>
        <w:drawing>
          <wp:inline distT="0" distB="0" distL="0" distR="0" wp14:anchorId="451F9DD9" wp14:editId="14B39819">
            <wp:extent cx="5400040" cy="2792730"/>
            <wp:effectExtent l="0" t="0" r="10160" b="7620"/>
            <wp:docPr id="9" name="图表 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722C8C46-61E3-4ADC-88C4-1D9E149130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134B755" w14:textId="77777777" w:rsidR="009A183F" w:rsidRPr="00110CAD" w:rsidRDefault="009A183F" w:rsidP="009A183F">
      <w:pPr>
        <w:adjustRightInd w:val="0"/>
        <w:snapToGrid w:val="0"/>
        <w:spacing w:beforeLines="50" w:before="163" w:afterLines="50" w:after="163" w:line="240" w:lineRule="auto"/>
        <w:ind w:firstLineChars="0" w:firstLine="420"/>
        <w:rPr>
          <w:rFonts w:ascii="楷体" w:eastAsia="楷体" w:hAnsi="楷体"/>
          <w:sz w:val="18"/>
        </w:rPr>
      </w:pPr>
      <w:r w:rsidRPr="00110CAD">
        <w:rPr>
          <w:rFonts w:ascii="楷体" w:eastAsia="楷体" w:hAnsi="楷体" w:hint="eastAsia"/>
          <w:sz w:val="18"/>
        </w:rPr>
        <w:t>数据来源：WIND</w:t>
      </w:r>
    </w:p>
    <w:p w14:paraId="5E69E01D" w14:textId="3196E0D7" w:rsidR="009A183F" w:rsidRPr="00110CAD" w:rsidRDefault="00BD4E40" w:rsidP="005809CF">
      <w:pPr>
        <w:spacing w:afterLines="50" w:after="163"/>
        <w:ind w:firstLine="420"/>
        <w:rPr>
          <w:rFonts w:cs="Times New Roman"/>
          <w:color w:val="auto"/>
        </w:rPr>
      </w:pPr>
      <w:r w:rsidRPr="00110CAD">
        <w:rPr>
          <w:rFonts w:cs="Times New Roman"/>
          <w:color w:val="auto"/>
        </w:rPr>
        <w:lastRenderedPageBreak/>
        <w:t>欧元方面，</w:t>
      </w:r>
      <w:r w:rsidR="004742EB">
        <w:rPr>
          <w:rFonts w:cs="Times New Roman" w:hint="eastAsia"/>
          <w:color w:val="auto"/>
        </w:rPr>
        <w:t>欧元仍然受到疫情防控收紧以及消费低迷等</w:t>
      </w:r>
      <w:r w:rsidR="006D14EE">
        <w:rPr>
          <w:rFonts w:cs="Times New Roman" w:hint="eastAsia"/>
          <w:color w:val="auto"/>
        </w:rPr>
        <w:t>因素</w:t>
      </w:r>
      <w:r w:rsidR="004742EB">
        <w:rPr>
          <w:rFonts w:cs="Times New Roman" w:hint="eastAsia"/>
          <w:color w:val="auto"/>
        </w:rPr>
        <w:t>影响</w:t>
      </w:r>
      <w:r w:rsidR="005809CF" w:rsidRPr="005809CF">
        <w:rPr>
          <w:rFonts w:cs="Times New Roman" w:hint="eastAsia"/>
          <w:color w:val="auto"/>
        </w:rPr>
        <w:t>上行空间</w:t>
      </w:r>
      <w:r w:rsidR="006B78A3">
        <w:rPr>
          <w:rFonts w:cs="Times New Roman" w:hint="eastAsia"/>
          <w:color w:val="auto"/>
        </w:rPr>
        <w:t>有限，</w:t>
      </w:r>
      <w:r w:rsidR="00946424">
        <w:rPr>
          <w:rFonts w:cs="Times New Roman"/>
          <w:color w:val="auto"/>
        </w:rPr>
        <w:t>截至</w:t>
      </w:r>
      <w:r w:rsidRPr="00110CAD">
        <w:rPr>
          <w:rFonts w:cs="Times New Roman" w:hint="eastAsia"/>
          <w:color w:val="auto"/>
        </w:rPr>
        <w:t>周五，欧元兑美元收于</w:t>
      </w:r>
      <w:r w:rsidRPr="00110CAD">
        <w:rPr>
          <w:rFonts w:cs="Times New Roman" w:hint="eastAsia"/>
          <w:color w:val="auto"/>
        </w:rPr>
        <w:t>1</w:t>
      </w:r>
      <w:r w:rsidRPr="00110CAD">
        <w:rPr>
          <w:rFonts w:cs="Times New Roman"/>
          <w:color w:val="auto"/>
        </w:rPr>
        <w:t>.</w:t>
      </w:r>
      <w:r w:rsidR="00946424">
        <w:rPr>
          <w:rFonts w:cs="Times New Roman"/>
          <w:color w:val="auto"/>
        </w:rPr>
        <w:t>18</w:t>
      </w:r>
      <w:r w:rsidR="006B78A3">
        <w:rPr>
          <w:rFonts w:cs="Times New Roman"/>
          <w:color w:val="auto"/>
        </w:rPr>
        <w:t>79</w:t>
      </w:r>
      <w:r w:rsidRPr="00110CAD">
        <w:rPr>
          <w:rFonts w:cs="Times New Roman" w:hint="eastAsia"/>
          <w:color w:val="auto"/>
        </w:rPr>
        <w:t>，</w:t>
      </w:r>
      <w:r w:rsidRPr="00110CAD">
        <w:rPr>
          <w:rFonts w:cs="Times New Roman"/>
          <w:color w:val="auto"/>
        </w:rPr>
        <w:t>周内累计</w:t>
      </w:r>
      <w:r w:rsidR="006B78A3">
        <w:rPr>
          <w:rFonts w:cs="Times New Roman"/>
          <w:color w:val="auto"/>
        </w:rPr>
        <w:t>小幅</w:t>
      </w:r>
      <w:r w:rsidR="006B78A3">
        <w:rPr>
          <w:rFonts w:cs="Times New Roman" w:hint="eastAsia"/>
          <w:color w:val="auto"/>
        </w:rPr>
        <w:t>上涨</w:t>
      </w:r>
      <w:r w:rsidR="006B78A3">
        <w:rPr>
          <w:rFonts w:cs="Times New Roman"/>
          <w:color w:val="auto"/>
        </w:rPr>
        <w:t>0.30</w:t>
      </w:r>
      <w:r w:rsidRPr="00110CAD">
        <w:rPr>
          <w:rFonts w:cs="Times New Roman" w:hint="eastAsia"/>
          <w:color w:val="auto"/>
        </w:rPr>
        <w:t>%</w:t>
      </w:r>
      <w:r w:rsidR="006B78A3">
        <w:rPr>
          <w:rFonts w:cs="Times New Roman" w:hint="eastAsia"/>
          <w:color w:val="auto"/>
        </w:rPr>
        <w:t>，不及上周跌势</w:t>
      </w:r>
      <w:r w:rsidRPr="00110CAD">
        <w:rPr>
          <w:rFonts w:cs="Times New Roman" w:hint="eastAsia"/>
          <w:color w:val="auto"/>
        </w:rPr>
        <w:t>；</w:t>
      </w:r>
      <w:r w:rsidR="008E4D55">
        <w:rPr>
          <w:rFonts w:cs="Times New Roman" w:hint="eastAsia"/>
          <w:color w:val="auto"/>
        </w:rPr>
        <w:t>英镑</w:t>
      </w:r>
      <w:r w:rsidR="008E4D55" w:rsidRPr="00110CAD">
        <w:rPr>
          <w:rFonts w:cs="Times New Roman"/>
          <w:color w:val="auto"/>
        </w:rPr>
        <w:t>方面，</w:t>
      </w:r>
      <w:r w:rsidR="007D2393">
        <w:rPr>
          <w:rFonts w:cs="Times New Roman"/>
          <w:color w:val="auto"/>
        </w:rPr>
        <w:t>英国与加拿大达成过渡期贸易协议在一定程度上提振了当前受脱欧不确定</w:t>
      </w:r>
      <w:r w:rsidR="006D14EE">
        <w:rPr>
          <w:rFonts w:cs="Times New Roman" w:hint="eastAsia"/>
          <w:color w:val="auto"/>
        </w:rPr>
        <w:t>性</w:t>
      </w:r>
      <w:r w:rsidR="007D2393">
        <w:rPr>
          <w:rFonts w:cs="Times New Roman"/>
          <w:color w:val="auto"/>
        </w:rPr>
        <w:t>影响的低迷情绪</w:t>
      </w:r>
      <w:r w:rsidR="007D2393">
        <w:rPr>
          <w:rFonts w:cs="Times New Roman" w:hint="eastAsia"/>
          <w:color w:val="auto"/>
        </w:rPr>
        <w:t>，</w:t>
      </w:r>
      <w:r w:rsidR="005809CF">
        <w:rPr>
          <w:rFonts w:cs="Times New Roman" w:hint="eastAsia"/>
          <w:color w:val="auto"/>
        </w:rPr>
        <w:t>周五</w:t>
      </w:r>
      <w:r w:rsidRPr="00110CAD">
        <w:rPr>
          <w:rFonts w:cs="Times New Roman" w:hint="eastAsia"/>
          <w:color w:val="auto"/>
        </w:rPr>
        <w:t>英镑兑美元收于</w:t>
      </w:r>
      <w:r w:rsidRPr="00110CAD">
        <w:rPr>
          <w:rFonts w:cs="Times New Roman" w:hint="eastAsia"/>
          <w:color w:val="auto"/>
        </w:rPr>
        <w:t>1</w:t>
      </w:r>
      <w:r w:rsidRPr="00110CAD">
        <w:rPr>
          <w:rFonts w:cs="Times New Roman"/>
          <w:color w:val="auto"/>
        </w:rPr>
        <w:t>.</w:t>
      </w:r>
      <w:r w:rsidR="00946424">
        <w:rPr>
          <w:rFonts w:cs="Times New Roman"/>
          <w:color w:val="auto"/>
        </w:rPr>
        <w:t>3</w:t>
      </w:r>
      <w:r w:rsidR="004742EB">
        <w:rPr>
          <w:rFonts w:cs="Times New Roman"/>
          <w:color w:val="auto"/>
        </w:rPr>
        <w:t>270</w:t>
      </w:r>
      <w:r w:rsidRPr="00110CAD">
        <w:rPr>
          <w:rFonts w:cs="Times New Roman"/>
          <w:color w:val="auto"/>
        </w:rPr>
        <w:t>，周内</w:t>
      </w:r>
      <w:r w:rsidR="004742EB">
        <w:rPr>
          <w:rFonts w:cs="Times New Roman"/>
          <w:color w:val="auto"/>
        </w:rPr>
        <w:t>收涨</w:t>
      </w:r>
      <w:r w:rsidR="004742EB">
        <w:rPr>
          <w:rFonts w:cs="Times New Roman"/>
          <w:color w:val="auto"/>
        </w:rPr>
        <w:t>0.68</w:t>
      </w:r>
      <w:r w:rsidRPr="00110CAD">
        <w:rPr>
          <w:rFonts w:cs="Times New Roman"/>
          <w:color w:val="auto"/>
        </w:rPr>
        <w:t>%</w:t>
      </w:r>
      <w:r w:rsidR="004742EB">
        <w:rPr>
          <w:rFonts w:cs="Times New Roman" w:hint="eastAsia"/>
          <w:color w:val="auto"/>
        </w:rPr>
        <w:t>，</w:t>
      </w:r>
      <w:r w:rsidR="004742EB">
        <w:rPr>
          <w:rFonts w:cs="Times New Roman"/>
          <w:color w:val="auto"/>
        </w:rPr>
        <w:t>收复上周</w:t>
      </w:r>
      <w:r w:rsidR="00D91B51">
        <w:rPr>
          <w:rFonts w:cs="Times New Roman"/>
          <w:color w:val="auto"/>
        </w:rPr>
        <w:t>全部</w:t>
      </w:r>
      <w:r w:rsidR="004742EB">
        <w:rPr>
          <w:rFonts w:cs="Times New Roman"/>
          <w:color w:val="auto"/>
        </w:rPr>
        <w:t>跌势</w:t>
      </w:r>
      <w:r w:rsidR="00946424">
        <w:rPr>
          <w:rFonts w:cs="Times New Roman" w:hint="eastAsia"/>
          <w:color w:val="auto"/>
        </w:rPr>
        <w:t>；</w:t>
      </w:r>
      <w:r w:rsidR="008E4D55">
        <w:rPr>
          <w:rFonts w:cs="Times New Roman" w:hint="eastAsia"/>
          <w:color w:val="auto"/>
        </w:rPr>
        <w:t>日元方面，</w:t>
      </w:r>
      <w:r w:rsidR="00DB291D">
        <w:rPr>
          <w:rFonts w:cs="Times New Roman" w:hint="eastAsia"/>
          <w:color w:val="auto"/>
        </w:rPr>
        <w:t>市场避险情绪下滑，</w:t>
      </w:r>
      <w:r w:rsidR="007475AF" w:rsidRPr="00110CAD">
        <w:rPr>
          <w:rFonts w:cs="Times New Roman" w:hint="eastAsia"/>
          <w:color w:val="auto"/>
        </w:rPr>
        <w:t>周五美元兑日元收于</w:t>
      </w:r>
      <w:r w:rsidR="007475AF" w:rsidRPr="00110CAD">
        <w:rPr>
          <w:rFonts w:cs="Times New Roman" w:hint="eastAsia"/>
          <w:color w:val="auto"/>
        </w:rPr>
        <w:t>1</w:t>
      </w:r>
      <w:r w:rsidR="00946424">
        <w:rPr>
          <w:rFonts w:cs="Times New Roman"/>
          <w:color w:val="auto"/>
        </w:rPr>
        <w:t>0</w:t>
      </w:r>
      <w:r w:rsidR="00DB291D">
        <w:rPr>
          <w:rFonts w:cs="Times New Roman"/>
          <w:color w:val="auto"/>
        </w:rPr>
        <w:t>3</w:t>
      </w:r>
      <w:r w:rsidR="00946424">
        <w:rPr>
          <w:rFonts w:cs="Times New Roman"/>
          <w:color w:val="auto"/>
        </w:rPr>
        <w:t>.</w:t>
      </w:r>
      <w:r w:rsidR="00DB291D">
        <w:rPr>
          <w:rFonts w:cs="Times New Roman"/>
          <w:color w:val="auto"/>
        </w:rPr>
        <w:t>775</w:t>
      </w:r>
      <w:r w:rsidR="008E4D55">
        <w:rPr>
          <w:rFonts w:cs="Times New Roman"/>
          <w:color w:val="auto"/>
        </w:rPr>
        <w:t>0</w:t>
      </w:r>
      <w:r w:rsidR="007475AF" w:rsidRPr="00110CAD">
        <w:rPr>
          <w:rFonts w:cs="Times New Roman" w:hint="eastAsia"/>
          <w:color w:val="auto"/>
        </w:rPr>
        <w:t>，周内</w:t>
      </w:r>
      <w:r w:rsidR="00DB291D">
        <w:rPr>
          <w:rFonts w:cs="Times New Roman" w:hint="eastAsia"/>
          <w:color w:val="auto"/>
        </w:rPr>
        <w:t>收跌</w:t>
      </w:r>
      <w:r w:rsidR="00DB291D">
        <w:rPr>
          <w:rFonts w:cs="Times New Roman" w:hint="eastAsia"/>
          <w:color w:val="auto"/>
        </w:rPr>
        <w:t>0</w:t>
      </w:r>
      <w:r w:rsidR="00DB291D">
        <w:rPr>
          <w:rFonts w:cs="Times New Roman"/>
          <w:color w:val="auto"/>
        </w:rPr>
        <w:t>.93</w:t>
      </w:r>
      <w:r w:rsidR="009A183F" w:rsidRPr="00110CAD">
        <w:rPr>
          <w:rFonts w:cs="Times New Roman" w:hint="eastAsia"/>
          <w:color w:val="auto"/>
        </w:rPr>
        <w:t>%</w:t>
      </w:r>
      <w:r w:rsidR="009A183F" w:rsidRPr="00110CAD">
        <w:rPr>
          <w:rFonts w:cs="Times New Roman" w:hint="eastAsia"/>
          <w:color w:val="auto"/>
        </w:rPr>
        <w:t>。</w:t>
      </w:r>
    </w:p>
    <w:p w14:paraId="1EC7A722" w14:textId="76C6FE29" w:rsidR="009A183F" w:rsidRPr="00110CAD" w:rsidRDefault="00343D3E" w:rsidP="009A183F">
      <w:pPr>
        <w:spacing w:line="240" w:lineRule="auto"/>
        <w:ind w:firstLineChars="0" w:firstLine="0"/>
        <w:jc w:val="center"/>
        <w:rPr>
          <w:rFonts w:ascii="楷体" w:eastAsia="楷体" w:hAnsi="楷体"/>
          <w:sz w:val="18"/>
        </w:rPr>
      </w:pPr>
      <w:r>
        <w:rPr>
          <w:noProof/>
        </w:rPr>
        <w:drawing>
          <wp:inline distT="0" distB="0" distL="0" distR="0" wp14:anchorId="4B116554" wp14:editId="5C11FEA9">
            <wp:extent cx="4705351" cy="2867026"/>
            <wp:effectExtent l="0" t="0" r="0" b="9525"/>
            <wp:docPr id="14" name="图表 1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EB0DF184-0F82-4769-AF68-3F55482DC6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C63862F" w14:textId="77777777" w:rsidR="009A183F" w:rsidRPr="00110CAD" w:rsidRDefault="009A183F" w:rsidP="009A183F">
      <w:pPr>
        <w:adjustRightInd w:val="0"/>
        <w:snapToGrid w:val="0"/>
        <w:spacing w:beforeLines="50" w:before="163" w:afterLines="50" w:after="163" w:line="240" w:lineRule="auto"/>
        <w:ind w:firstLineChars="0" w:firstLine="420"/>
        <w:rPr>
          <w:rFonts w:ascii="楷体" w:eastAsia="楷体" w:hAnsi="楷体"/>
          <w:sz w:val="18"/>
        </w:rPr>
      </w:pPr>
      <w:r w:rsidRPr="00110CAD">
        <w:rPr>
          <w:rFonts w:ascii="楷体" w:eastAsia="楷体" w:hAnsi="楷体" w:hint="eastAsia"/>
          <w:sz w:val="18"/>
        </w:rPr>
        <w:t>数据来源：WIND</w:t>
      </w:r>
    </w:p>
    <w:p w14:paraId="411FBA2D" w14:textId="5F6FD602" w:rsidR="009A183F" w:rsidRPr="00110CAD" w:rsidRDefault="00217137" w:rsidP="00B55299">
      <w:pPr>
        <w:spacing w:beforeLines="50" w:before="163" w:afterLines="50" w:after="163"/>
        <w:ind w:firstLine="420"/>
        <w:rPr>
          <w:rFonts w:cs="Times New Roman"/>
          <w:color w:val="auto"/>
        </w:rPr>
      </w:pPr>
      <w:r>
        <w:rPr>
          <w:rFonts w:cs="Times New Roman" w:hint="eastAsia"/>
          <w:color w:val="auto"/>
        </w:rPr>
        <w:t>本周</w:t>
      </w:r>
      <w:r w:rsidR="009A183F" w:rsidRPr="00110CAD">
        <w:rPr>
          <w:rFonts w:cs="Times New Roman" w:hint="eastAsia"/>
          <w:color w:val="auto"/>
        </w:rPr>
        <w:t>离</w:t>
      </w:r>
      <w:r w:rsidR="00BF37F7" w:rsidRPr="00110CAD">
        <w:rPr>
          <w:rFonts w:cs="Times New Roman" w:hint="eastAsia"/>
          <w:color w:val="auto"/>
        </w:rPr>
        <w:t>、</w:t>
      </w:r>
      <w:r w:rsidR="009A183F" w:rsidRPr="00110CAD">
        <w:rPr>
          <w:rFonts w:cs="Times New Roman" w:hint="eastAsia"/>
          <w:color w:val="auto"/>
        </w:rPr>
        <w:t>在岸人民币</w:t>
      </w:r>
      <w:r>
        <w:rPr>
          <w:rFonts w:cs="Times New Roman" w:hint="eastAsia"/>
          <w:color w:val="auto"/>
        </w:rPr>
        <w:t>汇率</w:t>
      </w:r>
      <w:r w:rsidR="00E84D12">
        <w:rPr>
          <w:rFonts w:cs="Times New Roman" w:hint="eastAsia"/>
          <w:color w:val="auto"/>
        </w:rPr>
        <w:t>延续涨势，期间突破</w:t>
      </w:r>
      <w:r w:rsidR="00E84D12">
        <w:rPr>
          <w:rFonts w:cs="Times New Roman" w:hint="eastAsia"/>
          <w:color w:val="auto"/>
        </w:rPr>
        <w:t>1</w:t>
      </w:r>
      <w:r w:rsidR="00E84D12">
        <w:rPr>
          <w:rFonts w:cs="Times New Roman"/>
          <w:color w:val="auto"/>
        </w:rPr>
        <w:t>1</w:t>
      </w:r>
      <w:r w:rsidR="00E84D12">
        <w:rPr>
          <w:rFonts w:cs="Times New Roman"/>
          <w:color w:val="auto"/>
        </w:rPr>
        <w:t>月上旬高点</w:t>
      </w:r>
      <w:r w:rsidR="009A183F" w:rsidRPr="00110CAD">
        <w:rPr>
          <w:rFonts w:cs="Times New Roman" w:hint="eastAsia"/>
          <w:color w:val="auto"/>
        </w:rPr>
        <w:t>。</w:t>
      </w:r>
      <w:r w:rsidR="00BA3F05">
        <w:rPr>
          <w:rFonts w:cs="Times New Roman" w:hint="eastAsia"/>
          <w:color w:val="auto"/>
        </w:rPr>
        <w:t>经济持续向好，人民币资产吸引力持续增强，利率相对较高等均对人民形汇率成支撑。</w:t>
      </w:r>
      <w:r w:rsidR="00531A1B">
        <w:rPr>
          <w:rFonts w:cs="Times New Roman" w:hint="eastAsia"/>
          <w:color w:val="auto"/>
        </w:rPr>
        <w:t>本周央行公开市场净回笼</w:t>
      </w:r>
      <w:r w:rsidR="00531A1B">
        <w:rPr>
          <w:rFonts w:cs="Times New Roman" w:hint="eastAsia"/>
          <w:color w:val="auto"/>
        </w:rPr>
        <w:t>2</w:t>
      </w:r>
      <w:r w:rsidR="00531A1B">
        <w:rPr>
          <w:rFonts w:cs="Times New Roman"/>
          <w:color w:val="auto"/>
        </w:rPr>
        <w:t>,500</w:t>
      </w:r>
      <w:r w:rsidR="00531A1B">
        <w:rPr>
          <w:rFonts w:cs="Times New Roman"/>
          <w:color w:val="auto"/>
        </w:rPr>
        <w:t>亿人民币</w:t>
      </w:r>
      <w:r w:rsidR="00531A1B">
        <w:rPr>
          <w:rFonts w:cs="Times New Roman" w:hint="eastAsia"/>
          <w:color w:val="auto"/>
        </w:rPr>
        <w:t>，</w:t>
      </w:r>
      <w:r w:rsidR="00531A1B">
        <w:rPr>
          <w:rFonts w:cs="Times New Roman"/>
          <w:color w:val="auto"/>
        </w:rPr>
        <w:t>货币供应收紧</w:t>
      </w:r>
      <w:r w:rsidR="00BA3F05">
        <w:rPr>
          <w:rFonts w:cs="Times New Roman" w:hint="eastAsia"/>
          <w:color w:val="auto"/>
        </w:rPr>
        <w:t>。</w:t>
      </w:r>
      <w:r w:rsidR="009A183F" w:rsidRPr="00110CAD">
        <w:rPr>
          <w:rFonts w:cs="Times New Roman" w:hint="eastAsia"/>
          <w:color w:val="auto"/>
        </w:rPr>
        <w:t>截至周五收盘，美元兑离岸人民币收于</w:t>
      </w:r>
      <w:r w:rsidR="009A183F" w:rsidRPr="00110CAD">
        <w:rPr>
          <w:rFonts w:cs="Times New Roman"/>
          <w:color w:val="auto"/>
        </w:rPr>
        <w:t>6.</w:t>
      </w:r>
      <w:r>
        <w:rPr>
          <w:rFonts w:cs="Times New Roman"/>
          <w:color w:val="auto"/>
        </w:rPr>
        <w:t>5</w:t>
      </w:r>
      <w:r w:rsidR="00C169C3">
        <w:rPr>
          <w:rFonts w:cs="Times New Roman"/>
          <w:color w:val="auto"/>
        </w:rPr>
        <w:t>515</w:t>
      </w:r>
      <w:r w:rsidR="009A183F" w:rsidRPr="00110CAD">
        <w:rPr>
          <w:rFonts w:cs="Times New Roman" w:hint="eastAsia"/>
          <w:color w:val="auto"/>
        </w:rPr>
        <w:t>，</w:t>
      </w:r>
      <w:r w:rsidR="009A183F" w:rsidRPr="00110CAD">
        <w:rPr>
          <w:rFonts w:cs="Times New Roman"/>
          <w:color w:val="auto"/>
        </w:rPr>
        <w:t>周内累计</w:t>
      </w:r>
      <w:r w:rsidR="00C169C3">
        <w:rPr>
          <w:rFonts w:cs="Times New Roman" w:hint="eastAsia"/>
          <w:color w:val="auto"/>
        </w:rPr>
        <w:t>收跌</w:t>
      </w:r>
      <w:r w:rsidR="00C169C3">
        <w:rPr>
          <w:rFonts w:cs="Times New Roman"/>
          <w:color w:val="auto"/>
        </w:rPr>
        <w:t>0.73</w:t>
      </w:r>
      <w:r w:rsidR="009A183F" w:rsidRPr="00110CAD">
        <w:rPr>
          <w:rFonts w:cs="Times New Roman" w:hint="eastAsia"/>
          <w:color w:val="auto"/>
        </w:rPr>
        <w:t>%</w:t>
      </w:r>
      <w:r w:rsidR="009A183F" w:rsidRPr="00110CAD">
        <w:rPr>
          <w:rFonts w:cs="Times New Roman" w:hint="eastAsia"/>
          <w:color w:val="auto"/>
        </w:rPr>
        <w:t>，</w:t>
      </w:r>
      <w:r w:rsidR="009A183F" w:rsidRPr="00110CAD">
        <w:rPr>
          <w:rFonts w:cs="Times New Roman"/>
          <w:color w:val="auto"/>
        </w:rPr>
        <w:t>美元兑在岸人民币收于</w:t>
      </w:r>
      <w:r>
        <w:rPr>
          <w:rFonts w:cs="Times New Roman"/>
          <w:color w:val="auto"/>
        </w:rPr>
        <w:t>6.</w:t>
      </w:r>
      <w:r w:rsidR="00C169C3">
        <w:rPr>
          <w:rFonts w:cs="Times New Roman"/>
          <w:color w:val="auto"/>
        </w:rPr>
        <w:t>5714</w:t>
      </w:r>
      <w:r w:rsidR="009A183F" w:rsidRPr="00110CAD">
        <w:rPr>
          <w:rFonts w:cs="Times New Roman" w:hint="eastAsia"/>
          <w:color w:val="auto"/>
        </w:rPr>
        <w:t>，</w:t>
      </w:r>
      <w:r w:rsidR="009A183F" w:rsidRPr="00110CAD">
        <w:rPr>
          <w:rFonts w:cs="Times New Roman"/>
          <w:color w:val="auto"/>
        </w:rPr>
        <w:t>周内累计</w:t>
      </w:r>
      <w:r>
        <w:rPr>
          <w:rFonts w:cs="Times New Roman" w:hint="eastAsia"/>
          <w:color w:val="auto"/>
        </w:rPr>
        <w:t>收</w:t>
      </w:r>
      <w:r w:rsidR="00C169C3">
        <w:rPr>
          <w:rFonts w:cs="Times New Roman" w:hint="eastAsia"/>
          <w:color w:val="auto"/>
        </w:rPr>
        <w:t>跌</w:t>
      </w:r>
      <w:r w:rsidR="00C169C3">
        <w:rPr>
          <w:rFonts w:cs="Times New Roman" w:hint="eastAsia"/>
          <w:color w:val="auto"/>
        </w:rPr>
        <w:t>0</w:t>
      </w:r>
      <w:r w:rsidR="00C169C3">
        <w:rPr>
          <w:rFonts w:cs="Times New Roman"/>
          <w:color w:val="auto"/>
        </w:rPr>
        <w:t>.21</w:t>
      </w:r>
      <w:r w:rsidR="00350BED">
        <w:rPr>
          <w:rFonts w:cs="Times New Roman" w:hint="eastAsia"/>
          <w:color w:val="auto"/>
        </w:rPr>
        <w:t>%</w:t>
      </w:r>
      <w:r w:rsidR="009A183F" w:rsidRPr="00110CAD">
        <w:rPr>
          <w:rFonts w:cs="Times New Roman" w:hint="eastAsia"/>
          <w:color w:val="auto"/>
        </w:rPr>
        <w:t>。</w:t>
      </w:r>
    </w:p>
    <w:p w14:paraId="793628FC" w14:textId="1C3A318B" w:rsidR="009A183F" w:rsidRPr="00110CAD" w:rsidRDefault="00D91B51" w:rsidP="00456887">
      <w:pPr>
        <w:adjustRightInd w:val="0"/>
        <w:snapToGrid w:val="0"/>
        <w:ind w:firstLineChars="0" w:firstLine="0"/>
        <w:jc w:val="center"/>
        <w:rPr>
          <w:rFonts w:ascii="楷体" w:eastAsia="楷体" w:hAnsi="楷体"/>
          <w:sz w:val="18"/>
        </w:rPr>
      </w:pPr>
      <w:r>
        <w:rPr>
          <w:noProof/>
        </w:rPr>
        <w:lastRenderedPageBreak/>
        <w:drawing>
          <wp:inline distT="0" distB="0" distL="0" distR="0" wp14:anchorId="7F8B51F9" wp14:editId="5FBC8DE6">
            <wp:extent cx="5113338" cy="3028950"/>
            <wp:effectExtent l="0" t="0" r="11430" b="0"/>
            <wp:docPr id="17" name="图表 1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B96345E6-CEE2-4B82-8FEC-6397E9717E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DCF472E" w14:textId="77777777" w:rsidR="009A183F" w:rsidRPr="00110CAD" w:rsidRDefault="009A183F" w:rsidP="009A183F">
      <w:pPr>
        <w:adjustRightInd w:val="0"/>
        <w:snapToGrid w:val="0"/>
        <w:spacing w:beforeLines="50" w:before="163" w:afterLines="50" w:after="163"/>
        <w:ind w:firstLineChars="0" w:firstLine="420"/>
        <w:jc w:val="left"/>
        <w:rPr>
          <w:rFonts w:ascii="楷体" w:eastAsia="楷体" w:hAnsi="楷体"/>
          <w:sz w:val="18"/>
        </w:rPr>
      </w:pPr>
      <w:r w:rsidRPr="00110CAD">
        <w:rPr>
          <w:rFonts w:ascii="楷体" w:eastAsia="楷体" w:hAnsi="楷体" w:hint="eastAsia"/>
          <w:sz w:val="18"/>
        </w:rPr>
        <w:t>数据来源：WIND</w:t>
      </w:r>
    </w:p>
    <w:p w14:paraId="03EA7E77" w14:textId="77777777" w:rsidR="009A183F" w:rsidRPr="00110CAD" w:rsidRDefault="009A183F" w:rsidP="009A183F">
      <w:pPr>
        <w:adjustRightInd w:val="0"/>
        <w:snapToGrid w:val="0"/>
        <w:spacing w:beforeLines="100" w:before="326" w:afterLines="100" w:after="326" w:line="240" w:lineRule="auto"/>
        <w:ind w:firstLineChars="0" w:firstLine="0"/>
        <w:jc w:val="left"/>
        <w:outlineLvl w:val="0"/>
        <w:rPr>
          <w:rFonts w:ascii="Heiti SC Medium" w:eastAsia="Heiti SC Medium" w:hAnsiTheme="minorHAnsi" w:cstheme="minorBidi"/>
          <w:b/>
          <w:bCs/>
          <w:color w:val="FF0000"/>
          <w:sz w:val="28"/>
          <w:szCs w:val="24"/>
        </w:rPr>
      </w:pPr>
      <w:r w:rsidRPr="00110CAD">
        <w:rPr>
          <w:rFonts w:ascii="宋体" w:hAnsi="宋体" w:cs="宋体" w:hint="eastAsia"/>
          <w:b/>
          <w:bCs/>
          <w:color w:val="FF0000"/>
          <w:sz w:val="28"/>
          <w:szCs w:val="24"/>
        </w:rPr>
        <w:t>国际大宗商品价格走势</w:t>
      </w:r>
    </w:p>
    <w:p w14:paraId="7323E790" w14:textId="1FCC9D14" w:rsidR="00472C8D" w:rsidRPr="00110CAD" w:rsidRDefault="00472C8D" w:rsidP="009A183F">
      <w:pPr>
        <w:pStyle w:val="2"/>
        <w:spacing w:beforeLines="50" w:before="163" w:afterLines="50" w:after="163"/>
        <w:rPr>
          <w:rFonts w:ascii="Times New Roman" w:eastAsia="宋体" w:hAnsi="Times New Roman" w:cs="Times New Roman"/>
        </w:rPr>
      </w:pPr>
      <w:bookmarkStart w:id="7" w:name="OLE_LINK10"/>
      <w:bookmarkStart w:id="8" w:name="OLE_LINK11"/>
      <w:r>
        <w:rPr>
          <w:rFonts w:ascii="Times New Roman" w:eastAsia="宋体" w:hAnsi="Times New Roman" w:cs="Times New Roman" w:hint="eastAsia"/>
        </w:rPr>
        <w:t>国际原油价格</w:t>
      </w:r>
      <w:r w:rsidR="005574A8">
        <w:rPr>
          <w:rFonts w:ascii="Times New Roman" w:eastAsia="宋体" w:hAnsi="Times New Roman" w:cs="Times New Roman" w:hint="eastAsia"/>
        </w:rPr>
        <w:t>连续三周</w:t>
      </w:r>
      <w:r>
        <w:rPr>
          <w:rFonts w:ascii="Times New Roman" w:eastAsia="宋体" w:hAnsi="Times New Roman" w:cs="Times New Roman" w:hint="eastAsia"/>
        </w:rPr>
        <w:t>上涨</w:t>
      </w:r>
    </w:p>
    <w:bookmarkEnd w:id="7"/>
    <w:bookmarkEnd w:id="8"/>
    <w:p w14:paraId="16D8DBC1" w14:textId="0882B8B2" w:rsidR="009F1DFD" w:rsidRDefault="009F1DFD" w:rsidP="00472C8D">
      <w:pPr>
        <w:spacing w:afterLines="50" w:after="163"/>
        <w:ind w:firstLine="420"/>
        <w:rPr>
          <w:rFonts w:cs="Times New Roman"/>
          <w:color w:val="auto"/>
          <w:kern w:val="2"/>
          <w:szCs w:val="24"/>
        </w:rPr>
      </w:pPr>
      <w:r w:rsidRPr="00736C18">
        <w:rPr>
          <w:rFonts w:cs="Times New Roman"/>
          <w:color w:val="auto"/>
          <w:kern w:val="2"/>
          <w:szCs w:val="24"/>
        </w:rPr>
        <w:t>本周</w:t>
      </w:r>
      <w:r w:rsidR="009A6A98">
        <w:rPr>
          <w:rFonts w:cs="Times New Roman" w:hint="eastAsia"/>
          <w:color w:val="auto"/>
          <w:kern w:val="2"/>
          <w:szCs w:val="24"/>
        </w:rPr>
        <w:t>，</w:t>
      </w:r>
      <w:r w:rsidR="005574A8">
        <w:rPr>
          <w:rFonts w:cs="Times New Roman"/>
          <w:color w:val="auto"/>
          <w:kern w:val="2"/>
          <w:szCs w:val="24"/>
        </w:rPr>
        <w:t>国际</w:t>
      </w:r>
      <w:r w:rsidR="005574A8">
        <w:rPr>
          <w:rFonts w:cs="Times New Roman" w:hint="eastAsia"/>
          <w:color w:val="auto"/>
          <w:kern w:val="2"/>
          <w:szCs w:val="24"/>
        </w:rPr>
        <w:t>原油价格延续上周涨势，且已经连续三周保持上涨。</w:t>
      </w:r>
      <w:r w:rsidR="00FE26FB">
        <w:rPr>
          <w:rFonts w:cs="Times New Roman" w:hint="eastAsia"/>
          <w:color w:val="auto"/>
          <w:kern w:val="2"/>
          <w:szCs w:val="24"/>
        </w:rPr>
        <w:t>在美国大选落定、疫苗利好</w:t>
      </w:r>
      <w:r w:rsidR="00212522">
        <w:rPr>
          <w:rFonts w:cs="Times New Roman" w:hint="eastAsia"/>
          <w:color w:val="auto"/>
          <w:kern w:val="2"/>
          <w:szCs w:val="24"/>
        </w:rPr>
        <w:t>、</w:t>
      </w:r>
      <w:r w:rsidR="00212522">
        <w:rPr>
          <w:rFonts w:cs="Times New Roman" w:hint="eastAsia"/>
          <w:color w:val="auto"/>
          <w:kern w:val="2"/>
          <w:szCs w:val="24"/>
        </w:rPr>
        <w:t>O</w:t>
      </w:r>
      <w:r w:rsidR="00212522">
        <w:rPr>
          <w:rFonts w:cs="Times New Roman"/>
          <w:color w:val="auto"/>
          <w:kern w:val="2"/>
          <w:szCs w:val="24"/>
        </w:rPr>
        <w:t>PEC+</w:t>
      </w:r>
      <w:r w:rsidR="00212522">
        <w:rPr>
          <w:rFonts w:cs="Times New Roman"/>
          <w:color w:val="auto"/>
          <w:kern w:val="2"/>
          <w:szCs w:val="24"/>
        </w:rPr>
        <w:t>减产协议</w:t>
      </w:r>
      <w:r w:rsidR="00FE26FB">
        <w:rPr>
          <w:rFonts w:cs="Times New Roman" w:hint="eastAsia"/>
          <w:color w:val="auto"/>
          <w:kern w:val="2"/>
          <w:szCs w:val="24"/>
        </w:rPr>
        <w:t>等因素的推动下，市场</w:t>
      </w:r>
      <w:r w:rsidR="00E0243F">
        <w:rPr>
          <w:rFonts w:cs="Times New Roman" w:hint="eastAsia"/>
          <w:color w:val="auto"/>
          <w:kern w:val="2"/>
          <w:szCs w:val="24"/>
        </w:rPr>
        <w:t>避险</w:t>
      </w:r>
      <w:r w:rsidR="00FE26FB">
        <w:rPr>
          <w:rFonts w:cs="Times New Roman" w:hint="eastAsia"/>
          <w:color w:val="auto"/>
          <w:kern w:val="2"/>
          <w:szCs w:val="24"/>
        </w:rPr>
        <w:t>情绪</w:t>
      </w:r>
      <w:r w:rsidR="00E0243F">
        <w:rPr>
          <w:rFonts w:cs="Times New Roman" w:hint="eastAsia"/>
          <w:color w:val="auto"/>
          <w:kern w:val="2"/>
          <w:szCs w:val="24"/>
        </w:rPr>
        <w:t>得到了持续的释放，一定程度的支持率本周的原油价格走势。</w:t>
      </w:r>
      <w:r w:rsidR="007856A7">
        <w:rPr>
          <w:rFonts w:cs="Times New Roman" w:hint="eastAsia"/>
          <w:color w:val="auto"/>
          <w:kern w:val="2"/>
          <w:szCs w:val="24"/>
        </w:rPr>
        <w:t>截至周五，</w:t>
      </w:r>
      <w:r w:rsidR="007856A7" w:rsidRPr="00110CAD">
        <w:rPr>
          <w:rFonts w:cs="Times New Roman" w:hint="eastAsia"/>
          <w:color w:val="auto"/>
          <w:kern w:val="2"/>
          <w:szCs w:val="24"/>
        </w:rPr>
        <w:t>本周</w:t>
      </w:r>
      <w:r w:rsidR="007856A7" w:rsidRPr="00110CAD">
        <w:rPr>
          <w:rFonts w:cs="Times New Roman" w:hint="eastAsia"/>
          <w:color w:val="auto"/>
          <w:kern w:val="2"/>
          <w:szCs w:val="24"/>
        </w:rPr>
        <w:t>NYMEX</w:t>
      </w:r>
      <w:r w:rsidR="007856A7" w:rsidRPr="00110CAD">
        <w:rPr>
          <w:rFonts w:cs="Times New Roman" w:hint="eastAsia"/>
          <w:color w:val="auto"/>
          <w:kern w:val="2"/>
          <w:szCs w:val="24"/>
        </w:rPr>
        <w:t>原油价格收于</w:t>
      </w:r>
      <w:r w:rsidR="001F00A6">
        <w:rPr>
          <w:rFonts w:cs="Times New Roman"/>
          <w:color w:val="auto"/>
          <w:kern w:val="2"/>
          <w:szCs w:val="24"/>
        </w:rPr>
        <w:t>40.47</w:t>
      </w:r>
      <w:r w:rsidR="00736C18">
        <w:rPr>
          <w:rFonts w:cs="Times New Roman"/>
          <w:color w:val="auto"/>
          <w:kern w:val="2"/>
          <w:szCs w:val="24"/>
        </w:rPr>
        <w:t>00</w:t>
      </w:r>
      <w:r w:rsidR="007856A7" w:rsidRPr="00110CAD">
        <w:rPr>
          <w:rFonts w:cs="Times New Roman" w:hint="eastAsia"/>
          <w:color w:val="auto"/>
          <w:kern w:val="2"/>
          <w:szCs w:val="24"/>
        </w:rPr>
        <w:t>美元</w:t>
      </w:r>
      <w:r w:rsidR="007856A7" w:rsidRPr="00110CAD">
        <w:rPr>
          <w:rFonts w:cs="Times New Roman" w:hint="eastAsia"/>
          <w:color w:val="auto"/>
          <w:kern w:val="2"/>
          <w:szCs w:val="24"/>
        </w:rPr>
        <w:t>/</w:t>
      </w:r>
      <w:r w:rsidR="001F00A6">
        <w:rPr>
          <w:rFonts w:cs="Times New Roman" w:hint="eastAsia"/>
          <w:color w:val="auto"/>
          <w:kern w:val="2"/>
          <w:szCs w:val="24"/>
        </w:rPr>
        <w:t>桶，周内累计收</w:t>
      </w:r>
      <w:r w:rsidR="007856A7">
        <w:rPr>
          <w:rFonts w:cs="Times New Roman" w:hint="eastAsia"/>
          <w:color w:val="auto"/>
          <w:kern w:val="2"/>
          <w:szCs w:val="24"/>
        </w:rPr>
        <w:t>涨</w:t>
      </w:r>
      <w:r w:rsidR="001F00A6">
        <w:rPr>
          <w:rFonts w:cs="Times New Roman" w:hint="eastAsia"/>
          <w:color w:val="auto"/>
          <w:kern w:val="2"/>
          <w:szCs w:val="24"/>
        </w:rPr>
        <w:t>5</w:t>
      </w:r>
      <w:r w:rsidR="001F00A6">
        <w:rPr>
          <w:rFonts w:cs="Times New Roman"/>
          <w:color w:val="auto"/>
          <w:kern w:val="2"/>
          <w:szCs w:val="24"/>
        </w:rPr>
        <w:t>.73</w:t>
      </w:r>
      <w:r w:rsidR="00A171E0">
        <w:rPr>
          <w:rFonts w:cs="Times New Roman"/>
          <w:color w:val="auto"/>
          <w:kern w:val="2"/>
          <w:szCs w:val="24"/>
        </w:rPr>
        <w:t>%</w:t>
      </w:r>
      <w:r w:rsidR="007856A7" w:rsidRPr="00110CAD">
        <w:rPr>
          <w:rFonts w:cs="Times New Roman" w:hint="eastAsia"/>
          <w:color w:val="auto"/>
          <w:kern w:val="2"/>
          <w:szCs w:val="24"/>
        </w:rPr>
        <w:t>；同期，</w:t>
      </w:r>
      <w:r w:rsidR="007856A7" w:rsidRPr="00110CAD">
        <w:rPr>
          <w:rFonts w:cs="Times New Roman" w:hint="eastAsia"/>
          <w:color w:val="auto"/>
          <w:kern w:val="2"/>
          <w:szCs w:val="24"/>
        </w:rPr>
        <w:t>ICE</w:t>
      </w:r>
      <w:r w:rsidR="007856A7" w:rsidRPr="00110CAD">
        <w:rPr>
          <w:rFonts w:cs="Times New Roman" w:hint="eastAsia"/>
          <w:color w:val="auto"/>
          <w:kern w:val="2"/>
          <w:szCs w:val="24"/>
        </w:rPr>
        <w:t>布油价格收于</w:t>
      </w:r>
      <w:r w:rsidR="001F00A6">
        <w:rPr>
          <w:rFonts w:cs="Times New Roman"/>
          <w:color w:val="auto"/>
          <w:kern w:val="2"/>
          <w:szCs w:val="24"/>
        </w:rPr>
        <w:t>45.24</w:t>
      </w:r>
      <w:r w:rsidR="007856A7" w:rsidRPr="00110CAD">
        <w:rPr>
          <w:rFonts w:cs="Times New Roman" w:hint="eastAsia"/>
          <w:color w:val="auto"/>
          <w:kern w:val="2"/>
          <w:szCs w:val="24"/>
        </w:rPr>
        <w:t>美元</w:t>
      </w:r>
      <w:r w:rsidR="007856A7" w:rsidRPr="00110CAD">
        <w:rPr>
          <w:rFonts w:cs="Times New Roman" w:hint="eastAsia"/>
          <w:color w:val="auto"/>
          <w:kern w:val="2"/>
          <w:szCs w:val="24"/>
        </w:rPr>
        <w:t>/</w:t>
      </w:r>
      <w:r w:rsidR="007856A7" w:rsidRPr="00110CAD">
        <w:rPr>
          <w:rFonts w:cs="Times New Roman" w:hint="eastAsia"/>
          <w:color w:val="auto"/>
          <w:kern w:val="2"/>
          <w:szCs w:val="24"/>
        </w:rPr>
        <w:t>桶，周内累计</w:t>
      </w:r>
      <w:r w:rsidR="007856A7">
        <w:rPr>
          <w:rFonts w:cs="Times New Roman" w:hint="eastAsia"/>
          <w:color w:val="auto"/>
          <w:kern w:val="2"/>
          <w:szCs w:val="24"/>
        </w:rPr>
        <w:t>上涨</w:t>
      </w:r>
      <w:r w:rsidR="001F00A6">
        <w:rPr>
          <w:rFonts w:cs="Times New Roman"/>
          <w:color w:val="auto"/>
          <w:kern w:val="2"/>
          <w:szCs w:val="24"/>
        </w:rPr>
        <w:t>5.92</w:t>
      </w:r>
      <w:r w:rsidR="007856A7" w:rsidRPr="00110CAD">
        <w:rPr>
          <w:rFonts w:cs="Times New Roman" w:hint="eastAsia"/>
          <w:color w:val="auto"/>
          <w:kern w:val="2"/>
          <w:szCs w:val="24"/>
        </w:rPr>
        <w:t>%</w:t>
      </w:r>
      <w:r w:rsidR="007856A7" w:rsidRPr="00110CAD">
        <w:rPr>
          <w:rFonts w:cs="Times New Roman" w:hint="eastAsia"/>
          <w:color w:val="auto"/>
          <w:kern w:val="2"/>
          <w:szCs w:val="24"/>
        </w:rPr>
        <w:t>。</w:t>
      </w:r>
    </w:p>
    <w:p w14:paraId="3850B558" w14:textId="708430EA" w:rsidR="009A183F" w:rsidRPr="00110CAD" w:rsidRDefault="00314F97" w:rsidP="009A183F">
      <w:pPr>
        <w:ind w:firstLineChars="0" w:firstLine="0"/>
        <w:jc w:val="center"/>
        <w:rPr>
          <w:rFonts w:cs="Times New Roman"/>
          <w:color w:val="auto"/>
          <w:kern w:val="2"/>
          <w:szCs w:val="24"/>
        </w:rPr>
      </w:pPr>
      <w:r>
        <w:rPr>
          <w:noProof/>
        </w:rPr>
        <w:lastRenderedPageBreak/>
        <w:drawing>
          <wp:inline distT="0" distB="0" distL="0" distR="0" wp14:anchorId="1A556F9B" wp14:editId="5E02A9F7">
            <wp:extent cx="5067301" cy="3171825"/>
            <wp:effectExtent l="0" t="0" r="0" b="9525"/>
            <wp:docPr id="18" name="图表 1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FEB9697A-4D33-47FF-B828-A6A971B093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B49D334" w14:textId="48F4DD73" w:rsidR="009A183F" w:rsidRPr="00110CAD" w:rsidRDefault="009A183F" w:rsidP="009A183F">
      <w:pPr>
        <w:adjustRightInd w:val="0"/>
        <w:snapToGrid w:val="0"/>
        <w:spacing w:beforeLines="50" w:before="163" w:afterLines="50" w:after="163"/>
        <w:ind w:firstLineChars="211" w:firstLine="380"/>
        <w:jc w:val="left"/>
        <w:rPr>
          <w:rFonts w:ascii="楷体" w:eastAsia="楷体" w:hAnsi="楷体"/>
          <w:sz w:val="18"/>
        </w:rPr>
      </w:pPr>
      <w:r w:rsidRPr="00110CAD">
        <w:rPr>
          <w:rFonts w:ascii="楷体" w:eastAsia="楷体" w:hAnsi="楷体" w:hint="eastAsia"/>
          <w:sz w:val="18"/>
        </w:rPr>
        <w:t>数据来源：WIND</w:t>
      </w:r>
    </w:p>
    <w:p w14:paraId="2A382A63" w14:textId="03FE00DA" w:rsidR="009A183F" w:rsidRPr="00110CAD" w:rsidRDefault="001813EF" w:rsidP="009A183F">
      <w:pPr>
        <w:pStyle w:val="2"/>
        <w:spacing w:beforeLines="50" w:before="163" w:afterLines="50" w:after="163"/>
        <w:rPr>
          <w:rFonts w:ascii="Times New Roman" w:eastAsia="宋体" w:hAnsi="Times New Roman" w:cs="Times New Roman"/>
        </w:rPr>
      </w:pPr>
      <w:bookmarkStart w:id="9" w:name="_Hlk32230131"/>
      <w:bookmarkStart w:id="10" w:name="OLE_LINK9"/>
      <w:r>
        <w:rPr>
          <w:rFonts w:ascii="Times New Roman" w:eastAsia="宋体" w:hAnsi="Times New Roman" w:cs="Times New Roman" w:hint="eastAsia"/>
        </w:rPr>
        <w:t>黄金价格</w:t>
      </w:r>
      <w:r w:rsidR="001F00A6">
        <w:rPr>
          <w:rFonts w:ascii="Times New Roman" w:eastAsia="宋体" w:hAnsi="Times New Roman" w:cs="Times New Roman" w:hint="eastAsia"/>
        </w:rPr>
        <w:t>继续</w:t>
      </w:r>
      <w:r w:rsidR="004D76EB">
        <w:rPr>
          <w:rFonts w:ascii="Times New Roman" w:eastAsia="宋体" w:hAnsi="Times New Roman" w:cs="Times New Roman" w:hint="eastAsia"/>
        </w:rPr>
        <w:t>小幅下跌</w:t>
      </w:r>
    </w:p>
    <w:bookmarkEnd w:id="9"/>
    <w:bookmarkEnd w:id="10"/>
    <w:p w14:paraId="47BEF028" w14:textId="3558E9DF" w:rsidR="009A183F" w:rsidRPr="00110CAD" w:rsidRDefault="00A77969" w:rsidP="004D76EB">
      <w:pPr>
        <w:spacing w:afterLines="50" w:after="163"/>
        <w:ind w:firstLine="420"/>
        <w:rPr>
          <w:color w:val="auto"/>
        </w:rPr>
      </w:pPr>
      <w:r>
        <w:rPr>
          <w:rFonts w:hint="eastAsia"/>
          <w:color w:val="auto"/>
        </w:rPr>
        <w:t>本周</w:t>
      </w:r>
      <w:r w:rsidR="001F00A6">
        <w:rPr>
          <w:rFonts w:hint="eastAsia"/>
          <w:color w:val="auto"/>
        </w:rPr>
        <w:t>国际</w:t>
      </w:r>
      <w:r>
        <w:rPr>
          <w:rFonts w:hint="eastAsia"/>
          <w:color w:val="auto"/>
        </w:rPr>
        <w:t>黄金价格</w:t>
      </w:r>
      <w:r w:rsidR="00272C73">
        <w:rPr>
          <w:rFonts w:hint="eastAsia"/>
          <w:color w:val="auto"/>
        </w:rPr>
        <w:t>维持上周跌势，</w:t>
      </w:r>
      <w:r>
        <w:rPr>
          <w:rFonts w:hint="eastAsia"/>
          <w:color w:val="auto"/>
        </w:rPr>
        <w:t>但</w:t>
      </w:r>
      <w:r w:rsidR="00E0243F">
        <w:rPr>
          <w:rFonts w:hint="eastAsia"/>
          <w:color w:val="auto"/>
        </w:rPr>
        <w:t>下跌</w:t>
      </w:r>
      <w:r w:rsidR="0027502D">
        <w:rPr>
          <w:rFonts w:hint="eastAsia"/>
          <w:color w:val="auto"/>
        </w:rPr>
        <w:t>幅度有限</w:t>
      </w:r>
      <w:r w:rsidR="001F00A6">
        <w:rPr>
          <w:rFonts w:hint="eastAsia"/>
          <w:color w:val="auto"/>
        </w:rPr>
        <w:t>。</w:t>
      </w:r>
      <w:r w:rsidR="0027502D">
        <w:rPr>
          <w:rFonts w:hint="eastAsia"/>
          <w:color w:val="auto"/>
        </w:rPr>
        <w:t>市场</w:t>
      </w:r>
      <w:r w:rsidR="00E0243F">
        <w:rPr>
          <w:rFonts w:hint="eastAsia"/>
          <w:color w:val="auto"/>
        </w:rPr>
        <w:t>避险情绪的释放支撑了黄金价格的下行，</w:t>
      </w:r>
      <w:r>
        <w:rPr>
          <w:rFonts w:hint="eastAsia"/>
          <w:color w:val="auto"/>
        </w:rPr>
        <w:t>本周前四个交易日</w:t>
      </w:r>
      <w:r w:rsidR="004D76EB">
        <w:rPr>
          <w:rFonts w:hint="eastAsia"/>
          <w:color w:val="auto"/>
        </w:rPr>
        <w:t>，</w:t>
      </w:r>
      <w:r w:rsidR="00E0243F">
        <w:rPr>
          <w:rFonts w:hint="eastAsia"/>
          <w:color w:val="auto"/>
        </w:rPr>
        <w:t>黄金</w:t>
      </w:r>
      <w:r w:rsidR="006721E8">
        <w:rPr>
          <w:rFonts w:hint="eastAsia"/>
          <w:color w:val="auto"/>
        </w:rPr>
        <w:t>保持了</w:t>
      </w:r>
      <w:r w:rsidR="00E0243F">
        <w:rPr>
          <w:rFonts w:hint="eastAsia"/>
          <w:color w:val="auto"/>
        </w:rPr>
        <w:t>持续走低</w:t>
      </w:r>
      <w:r w:rsidR="006721E8">
        <w:rPr>
          <w:rFonts w:hint="eastAsia"/>
          <w:color w:val="auto"/>
        </w:rPr>
        <w:t>，</w:t>
      </w:r>
      <w:r w:rsidR="00402741">
        <w:rPr>
          <w:rFonts w:cs="Times New Roman" w:hint="eastAsia"/>
          <w:color w:val="auto"/>
          <w:kern w:val="2"/>
          <w:szCs w:val="24"/>
        </w:rPr>
        <w:t>但美国初请失业金人数的反弹、疫情的持续、以及对未来美联储扩大货币行动的预期则限制了市场乐观情绪</w:t>
      </w:r>
      <w:r w:rsidR="00222132">
        <w:rPr>
          <w:rFonts w:cs="Times New Roman" w:hint="eastAsia"/>
          <w:color w:val="auto"/>
          <w:kern w:val="2"/>
          <w:szCs w:val="24"/>
        </w:rPr>
        <w:t>，周五金价反弹。</w:t>
      </w:r>
      <w:r w:rsidR="004D76EB">
        <w:rPr>
          <w:rFonts w:hint="eastAsia"/>
          <w:color w:val="auto"/>
        </w:rPr>
        <w:t>截至本周五，</w:t>
      </w:r>
      <w:r w:rsidR="00B12CFA">
        <w:rPr>
          <w:rFonts w:hint="eastAsia"/>
          <w:color w:val="auto"/>
        </w:rPr>
        <w:t>C</w:t>
      </w:r>
      <w:r w:rsidR="00B12CFA">
        <w:rPr>
          <w:color w:val="auto"/>
        </w:rPr>
        <w:t>OMEX</w:t>
      </w:r>
      <w:r w:rsidR="00B12CFA">
        <w:rPr>
          <w:color w:val="auto"/>
        </w:rPr>
        <w:t>黄金期货收于</w:t>
      </w:r>
      <w:r w:rsidR="00736C18">
        <w:rPr>
          <w:rFonts w:hint="eastAsia"/>
          <w:color w:val="auto"/>
        </w:rPr>
        <w:t>1</w:t>
      </w:r>
      <w:r w:rsidR="00736C18">
        <w:rPr>
          <w:color w:val="auto"/>
        </w:rPr>
        <w:t>,8</w:t>
      </w:r>
      <w:r w:rsidR="002F2D50">
        <w:rPr>
          <w:color w:val="auto"/>
        </w:rPr>
        <w:t>69.6</w:t>
      </w:r>
      <w:r w:rsidR="00736C18">
        <w:rPr>
          <w:color w:val="auto"/>
        </w:rPr>
        <w:t>0</w:t>
      </w:r>
      <w:r w:rsidR="00B12CFA">
        <w:rPr>
          <w:color w:val="auto"/>
        </w:rPr>
        <w:t>美元</w:t>
      </w:r>
      <w:r w:rsidR="00B12CFA">
        <w:rPr>
          <w:rFonts w:hint="eastAsia"/>
          <w:color w:val="auto"/>
        </w:rPr>
        <w:t>/</w:t>
      </w:r>
      <w:r w:rsidR="00B12CFA">
        <w:rPr>
          <w:rFonts w:hint="eastAsia"/>
          <w:color w:val="auto"/>
        </w:rPr>
        <w:t>盎司，周内累计</w:t>
      </w:r>
      <w:r w:rsidR="002F2D50">
        <w:rPr>
          <w:rFonts w:hint="eastAsia"/>
          <w:color w:val="auto"/>
        </w:rPr>
        <w:t>小幅</w:t>
      </w:r>
      <w:r w:rsidR="00736C18">
        <w:rPr>
          <w:rFonts w:hint="eastAsia"/>
          <w:color w:val="auto"/>
        </w:rPr>
        <w:t>下跌</w:t>
      </w:r>
      <w:r w:rsidR="002F2D50">
        <w:rPr>
          <w:color w:val="auto"/>
        </w:rPr>
        <w:t>0.90</w:t>
      </w:r>
      <w:r w:rsidR="00B12CFA">
        <w:rPr>
          <w:rFonts w:hint="eastAsia"/>
          <w:color w:val="auto"/>
        </w:rPr>
        <w:t>%</w:t>
      </w:r>
      <w:r w:rsidR="00B12CFA">
        <w:rPr>
          <w:rFonts w:hint="eastAsia"/>
          <w:color w:val="auto"/>
        </w:rPr>
        <w:t>。</w:t>
      </w:r>
    </w:p>
    <w:p w14:paraId="0310005B" w14:textId="0D0DCCEA" w:rsidR="009A183F" w:rsidRPr="00110CAD" w:rsidRDefault="00273ED1" w:rsidP="00EB6711">
      <w:pPr>
        <w:ind w:firstLineChars="0" w:firstLine="0"/>
        <w:jc w:val="center"/>
        <w:rPr>
          <w:rFonts w:cs="Times New Roman"/>
          <w:color w:val="auto"/>
          <w:kern w:val="2"/>
          <w:szCs w:val="24"/>
        </w:rPr>
      </w:pPr>
      <w:r>
        <w:rPr>
          <w:noProof/>
        </w:rPr>
        <w:lastRenderedPageBreak/>
        <w:drawing>
          <wp:inline distT="0" distB="0" distL="0" distR="0" wp14:anchorId="657AE401" wp14:editId="0A58A17A">
            <wp:extent cx="5173663" cy="3114676"/>
            <wp:effectExtent l="0" t="0" r="8255" b="9525"/>
            <wp:docPr id="20" name="图表 2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F27F1FA1-D1EA-4211-A80D-549F3FEC3F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EE145BE" w14:textId="7B9385B1" w:rsidR="00600E5D" w:rsidRPr="00B1026D" w:rsidRDefault="009A183F" w:rsidP="00651417">
      <w:pPr>
        <w:adjustRightInd w:val="0"/>
        <w:snapToGrid w:val="0"/>
        <w:spacing w:beforeLines="50" w:before="163" w:afterLines="50" w:after="163"/>
        <w:ind w:firstLineChars="261" w:firstLine="470"/>
        <w:jc w:val="left"/>
        <w:rPr>
          <w:rFonts w:ascii="楷体" w:eastAsia="楷体" w:hAnsi="楷体"/>
          <w:sz w:val="18"/>
        </w:rPr>
      </w:pPr>
      <w:r w:rsidRPr="00110CAD">
        <w:rPr>
          <w:rFonts w:ascii="楷体" w:eastAsia="楷体" w:hAnsi="楷体" w:hint="eastAsia"/>
          <w:sz w:val="18"/>
        </w:rPr>
        <w:t>数据来源：WIND</w:t>
      </w:r>
    </w:p>
    <w:sectPr w:rsidR="00600E5D" w:rsidRPr="00B1026D" w:rsidSect="00E2354A">
      <w:headerReference w:type="even" r:id="rId18"/>
      <w:headerReference w:type="default" r:id="rId19"/>
      <w:footerReference w:type="even" r:id="rId20"/>
      <w:footerReference w:type="default" r:id="rId21"/>
      <w:headerReference w:type="first" r:id="rId22"/>
      <w:footerReference w:type="first" r:id="rId23"/>
      <w:pgSz w:w="11906" w:h="16838"/>
      <w:pgMar w:top="2552" w:right="1134" w:bottom="1134" w:left="2268" w:header="567" w:footer="624" w:gutter="0"/>
      <w:pgNumType w:start="2"/>
      <w:cols w:space="660"/>
      <w:titlePg/>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7035B7" w14:textId="77777777" w:rsidR="00405151" w:rsidRDefault="00405151" w:rsidP="002309C5">
      <w:pPr>
        <w:spacing w:after="120" w:line="240" w:lineRule="auto"/>
        <w:ind w:firstLine="420"/>
      </w:pPr>
      <w:r>
        <w:separator/>
      </w:r>
    </w:p>
  </w:endnote>
  <w:endnote w:type="continuationSeparator" w:id="0">
    <w:p w14:paraId="008DE932" w14:textId="77777777" w:rsidR="00405151" w:rsidRDefault="00405151" w:rsidP="002309C5">
      <w:pPr>
        <w:spacing w:after="120"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Heiti SC Medium">
    <w:altName w:val="Arial Unicode MS"/>
    <w:charset w:val="80"/>
    <w:family w:val="auto"/>
    <w:pitch w:val="variable"/>
    <w:sig w:usb0="8000002F" w:usb1="090F004A" w:usb2="00000010" w:usb3="00000000" w:csb0="003E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Source Han Sans CN">
    <w:altName w:val="微软雅黑"/>
    <w:charset w:val="86"/>
    <w:family w:val="auto"/>
    <w:pitch w:val="variable"/>
    <w:sig w:usb0="00000000" w:usb1="2ADF3C10" w:usb2="00000016" w:usb3="00000000" w:csb0="00060107" w:csb1="00000000"/>
  </w:font>
  <w:font w:name="Heiti SC Light">
    <w:altName w:val="微软雅黑"/>
    <w:charset w:val="86"/>
    <w:family w:val="auto"/>
    <w:pitch w:val="variable"/>
    <w:sig w:usb0="8000002F" w:usb1="090F004A" w:usb2="00000010" w:usb3="00000000" w:csb0="003E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F6DF" w14:textId="77777777" w:rsidR="00BE2552" w:rsidRDefault="00BE2552">
    <w:pPr>
      <w:pStyle w:val="a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4493470"/>
      <w:docPartObj>
        <w:docPartGallery w:val="Page Numbers (Bottom of Page)"/>
        <w:docPartUnique/>
      </w:docPartObj>
    </w:sdtPr>
    <w:sdtEndPr/>
    <w:sdtContent>
      <w:p w14:paraId="5DE572CD" w14:textId="77777777" w:rsidR="00BE2552" w:rsidRDefault="00BE2552" w:rsidP="00FB007B">
        <w:pPr>
          <w:pStyle w:val="a9"/>
          <w:ind w:firstLine="360"/>
          <w:jc w:val="right"/>
        </w:pPr>
        <w:r>
          <w:rPr>
            <w:noProof/>
          </w:rPr>
          <w:drawing>
            <wp:anchor distT="0" distB="0" distL="114300" distR="114300" simplePos="0" relativeHeight="251695104" behindDoc="1" locked="0" layoutInCell="1" allowOverlap="1" wp14:anchorId="5D24A5F3" wp14:editId="61FF4A2B">
              <wp:simplePos x="0" y="0"/>
              <wp:positionH relativeFrom="page">
                <wp:align>center</wp:align>
              </wp:positionH>
              <wp:positionV relativeFrom="paragraph">
                <wp:posOffset>-106680</wp:posOffset>
              </wp:positionV>
              <wp:extent cx="7733787" cy="620395"/>
              <wp:effectExtent l="0" t="0" r="635" b="8255"/>
              <wp:wrapNone/>
              <wp:docPr id="4" name="图片 4" descr="../Desktop/屏幕快照%202019-01-03%20下午12.2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屏幕快照%202019-01-03%20下午12.28.1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3787" cy="620395"/>
                      </a:xfrm>
                      <a:prstGeom prst="rect">
                        <a:avLst/>
                      </a:prstGeom>
                      <a:noFill/>
                      <a:ln>
                        <a:noFill/>
                      </a:ln>
                    </pic:spPr>
                  </pic:pic>
                </a:graphicData>
              </a:graphic>
            </wp:anchor>
          </w:drawing>
        </w:r>
        <w:r>
          <w:rPr>
            <w:noProof/>
            <w:lang w:val="zh-CN"/>
          </w:rPr>
          <w:fldChar w:fldCharType="begin"/>
        </w:r>
        <w:r>
          <w:rPr>
            <w:noProof/>
            <w:lang w:val="zh-CN"/>
          </w:rPr>
          <w:instrText>PAGE   \* MERGEFORMAT</w:instrText>
        </w:r>
        <w:r>
          <w:rPr>
            <w:noProof/>
            <w:lang w:val="zh-CN"/>
          </w:rPr>
          <w:fldChar w:fldCharType="separate"/>
        </w:r>
        <w:r w:rsidR="004166CC">
          <w:rPr>
            <w:noProof/>
            <w:lang w:val="zh-CN"/>
          </w:rPr>
          <w:t>4</w:t>
        </w:r>
        <w:r>
          <w:rPr>
            <w:noProof/>
            <w:lang w:val="zh-C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73B33" w14:textId="77777777" w:rsidR="00BE2552" w:rsidRDefault="00BE2552" w:rsidP="00E2354A">
    <w:pPr>
      <w:pStyle w:val="a9"/>
      <w:framePr w:wrap="none" w:vAnchor="text" w:hAnchor="page" w:x="2251" w:y="-286"/>
      <w:ind w:firstLine="360"/>
      <w:rPr>
        <w:rStyle w:val="af3"/>
      </w:rPr>
    </w:pPr>
  </w:p>
  <w:p w14:paraId="0226C270" w14:textId="77777777" w:rsidR="00BE2552" w:rsidRDefault="00BE2552" w:rsidP="00FA07EA">
    <w:pPr>
      <w:pStyle w:val="a9"/>
      <w:framePr w:wrap="none" w:vAnchor="text" w:hAnchor="page" w:x="2251" w:y="-286"/>
      <w:spacing w:beforeLines="50" w:before="120"/>
      <w:ind w:firstLine="360"/>
      <w:jc w:val="right"/>
      <w:rPr>
        <w:rStyle w:val="af3"/>
      </w:rPr>
    </w:pPr>
    <w:r>
      <w:rPr>
        <w:rStyle w:val="af3"/>
      </w:rPr>
      <w:fldChar w:fldCharType="begin"/>
    </w:r>
    <w:r>
      <w:rPr>
        <w:rStyle w:val="af3"/>
      </w:rPr>
      <w:instrText xml:space="preserve">PAGE  </w:instrText>
    </w:r>
    <w:r>
      <w:rPr>
        <w:rStyle w:val="af3"/>
      </w:rPr>
      <w:fldChar w:fldCharType="separate"/>
    </w:r>
    <w:r w:rsidR="004166CC">
      <w:rPr>
        <w:rStyle w:val="af3"/>
        <w:noProof/>
      </w:rPr>
      <w:t>2</w:t>
    </w:r>
    <w:r>
      <w:rPr>
        <w:rStyle w:val="af3"/>
      </w:rPr>
      <w:fldChar w:fldCharType="end"/>
    </w:r>
  </w:p>
  <w:p w14:paraId="23FDEAED" w14:textId="77777777" w:rsidR="00BE2552" w:rsidRDefault="00BE2552" w:rsidP="000514A1">
    <w:pPr>
      <w:pStyle w:val="a9"/>
      <w:ind w:right="360" w:firstLine="360"/>
    </w:pPr>
    <w:r>
      <w:rPr>
        <w:noProof/>
      </w:rPr>
      <w:drawing>
        <wp:anchor distT="0" distB="0" distL="114300" distR="114300" simplePos="0" relativeHeight="251686912" behindDoc="1" locked="0" layoutInCell="1" allowOverlap="1" wp14:anchorId="7026BE29" wp14:editId="195A24F5">
          <wp:simplePos x="0" y="0"/>
          <wp:positionH relativeFrom="page">
            <wp:posOffset>-164465</wp:posOffset>
          </wp:positionH>
          <wp:positionV relativeFrom="paragraph">
            <wp:posOffset>-117475</wp:posOffset>
          </wp:positionV>
          <wp:extent cx="7733787" cy="620395"/>
          <wp:effectExtent l="0" t="0" r="635" b="8255"/>
          <wp:wrapNone/>
          <wp:docPr id="11" name="图片 11" descr="../Desktop/屏幕快照%202019-01-03%20下午12.2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屏幕快照%202019-01-03%20下午12.28.1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3787" cy="620395"/>
                  </a:xfrm>
                  <a:prstGeom prst="rect">
                    <a:avLst/>
                  </a:prstGeom>
                  <a:noFill/>
                  <a:ln>
                    <a:noFill/>
                  </a:ln>
                </pic:spPr>
              </pic:pic>
            </a:graphicData>
          </a:graphic>
        </wp:anchor>
      </w:drawing>
    </w:r>
  </w:p>
  <w:p w14:paraId="5F2A4E54" w14:textId="77777777" w:rsidR="00BE2552" w:rsidRDefault="00BE2552">
    <w:pPr>
      <w:ind w:firstLine="420"/>
    </w:pPr>
  </w:p>
  <w:p w14:paraId="750BE140" w14:textId="77777777" w:rsidR="00BE2552" w:rsidRDefault="00BE2552">
    <w:pPr>
      <w:ind w:firstLine="420"/>
    </w:pPr>
  </w:p>
  <w:p w14:paraId="63CD544D" w14:textId="77777777" w:rsidR="00BE2552" w:rsidRDefault="00BE2552">
    <w:pPr>
      <w:ind w:firstLine="4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53D6C6" w14:textId="77777777" w:rsidR="00405151" w:rsidRDefault="00405151" w:rsidP="002309C5">
      <w:pPr>
        <w:spacing w:after="120" w:line="240" w:lineRule="auto"/>
        <w:ind w:firstLine="420"/>
      </w:pPr>
      <w:r>
        <w:separator/>
      </w:r>
    </w:p>
  </w:footnote>
  <w:footnote w:type="continuationSeparator" w:id="0">
    <w:p w14:paraId="0EAC85E4" w14:textId="77777777" w:rsidR="00405151" w:rsidRDefault="00405151" w:rsidP="002309C5">
      <w:pPr>
        <w:spacing w:after="120"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A431B" w14:textId="77777777" w:rsidR="00BE2552" w:rsidRDefault="00BE2552">
    <w:pPr>
      <w:pStyle w:val="a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2317E" w14:textId="77777777" w:rsidR="00BE2552" w:rsidRPr="003872AF" w:rsidRDefault="00BE2552" w:rsidP="003872AF">
    <w:pPr>
      <w:pStyle w:val="a8"/>
      <w:pBdr>
        <w:bottom w:val="none" w:sz="0" w:space="0" w:color="auto"/>
      </w:pBdr>
      <w:ind w:firstLine="360"/>
    </w:pPr>
    <w:r>
      <w:rPr>
        <w:noProof/>
      </w:rPr>
      <w:drawing>
        <wp:anchor distT="0" distB="0" distL="114300" distR="114300" simplePos="0" relativeHeight="251693056" behindDoc="1" locked="0" layoutInCell="1" allowOverlap="1" wp14:anchorId="26744B5A" wp14:editId="567B8EDD">
          <wp:simplePos x="0" y="0"/>
          <wp:positionH relativeFrom="column">
            <wp:posOffset>-1554480</wp:posOffset>
          </wp:positionH>
          <wp:positionV relativeFrom="paragraph">
            <wp:posOffset>-408940</wp:posOffset>
          </wp:positionV>
          <wp:extent cx="7728585" cy="1686560"/>
          <wp:effectExtent l="0" t="0" r="0" b="0"/>
          <wp:wrapNone/>
          <wp:docPr id="2" name="图片 2" descr="../Desktop/屏幕快照%202019-01-03%20下午2.4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屏幕快照%202019-01-03%20下午2.40.5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8585" cy="1686560"/>
                  </a:xfrm>
                  <a:prstGeom prst="rect">
                    <a:avLst/>
                  </a:prstGeom>
                  <a:noFill/>
                  <a:ln>
                    <a:noFill/>
                  </a:ln>
                </pic:spPr>
              </pic:pic>
            </a:graphicData>
          </a:graphic>
        </wp:anchor>
      </w:drawing>
    </w:r>
  </w:p>
  <w:p w14:paraId="2D91785B" w14:textId="77777777" w:rsidR="00BE2552" w:rsidRDefault="00BE2552">
    <w:pPr>
      <w:ind w:firstLine="4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30E10" w14:textId="77777777" w:rsidR="00BE2552" w:rsidRDefault="00BE2552" w:rsidP="00440A2A">
    <w:pPr>
      <w:pStyle w:val="a8"/>
      <w:pBdr>
        <w:bottom w:val="none" w:sz="0" w:space="0" w:color="auto"/>
      </w:pBdr>
      <w:spacing w:after="120"/>
      <w:ind w:leftChars="-337" w:left="-708" w:firstLineChars="593" w:firstLine="1067"/>
    </w:pPr>
    <w:r>
      <w:rPr>
        <w:noProof/>
      </w:rPr>
      <w:drawing>
        <wp:anchor distT="0" distB="0" distL="114300" distR="114300" simplePos="0" relativeHeight="251680768" behindDoc="1" locked="0" layoutInCell="1" allowOverlap="1" wp14:anchorId="19CD4D3B" wp14:editId="7418A2B4">
          <wp:simplePos x="0" y="0"/>
          <wp:positionH relativeFrom="column">
            <wp:posOffset>-1567181</wp:posOffset>
          </wp:positionH>
          <wp:positionV relativeFrom="paragraph">
            <wp:posOffset>-408940</wp:posOffset>
          </wp:positionV>
          <wp:extent cx="7741285" cy="1661160"/>
          <wp:effectExtent l="0" t="0" r="5715" b="0"/>
          <wp:wrapNone/>
          <wp:docPr id="10" name="图片 10" descr="../Desktop/屏幕快照%202019-01-03%20下午2.4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屏幕快照%202019-01-03%20下午2.40.5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1285" cy="1661160"/>
                  </a:xfrm>
                  <a:prstGeom prst="rect">
                    <a:avLst/>
                  </a:prstGeom>
                  <a:noFill/>
                  <a:ln>
                    <a:noFill/>
                  </a:ln>
                </pic:spPr>
              </pic:pic>
            </a:graphicData>
          </a:graphic>
        </wp:anchor>
      </w:drawing>
    </w:r>
  </w:p>
  <w:p w14:paraId="533F40F8" w14:textId="77777777" w:rsidR="00BE2552" w:rsidRDefault="00BE2552">
    <w:pPr>
      <w:ind w:firstLine="420"/>
    </w:pPr>
  </w:p>
  <w:p w14:paraId="3CAC5D09" w14:textId="77777777" w:rsidR="00BE2552" w:rsidRDefault="00BE2552">
    <w:pPr>
      <w:ind w:firstLine="420"/>
    </w:pPr>
  </w:p>
  <w:p w14:paraId="3B79EE2C" w14:textId="77777777" w:rsidR="00BE2552" w:rsidRDefault="00BE2552">
    <w:pPr>
      <w:ind w:firstLine="4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01012"/>
    <w:multiLevelType w:val="hybridMultilevel"/>
    <w:tmpl w:val="733AD234"/>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1953C2A"/>
    <w:multiLevelType w:val="hybridMultilevel"/>
    <w:tmpl w:val="34540AE4"/>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209D6140"/>
    <w:multiLevelType w:val="hybridMultilevel"/>
    <w:tmpl w:val="20CEFA9A"/>
    <w:lvl w:ilvl="0" w:tplc="04090005">
      <w:start w:val="1"/>
      <w:numFmt w:val="bullet"/>
      <w:lvlText w:val=""/>
      <w:lvlJc w:val="left"/>
      <w:pPr>
        <w:ind w:left="1130" w:hanging="420"/>
      </w:pPr>
      <w:rPr>
        <w:rFonts w:ascii="Wingdings" w:hAnsi="Wingdings" w:hint="default"/>
      </w:rPr>
    </w:lvl>
    <w:lvl w:ilvl="1" w:tplc="04090003" w:tentative="1">
      <w:start w:val="1"/>
      <w:numFmt w:val="bullet"/>
      <w:lvlText w:val=""/>
      <w:lvlJc w:val="left"/>
      <w:pPr>
        <w:ind w:left="-1411" w:hanging="420"/>
      </w:pPr>
      <w:rPr>
        <w:rFonts w:ascii="Wingdings" w:hAnsi="Wingdings" w:hint="default"/>
      </w:rPr>
    </w:lvl>
    <w:lvl w:ilvl="2" w:tplc="04090005" w:tentative="1">
      <w:start w:val="1"/>
      <w:numFmt w:val="bullet"/>
      <w:lvlText w:val=""/>
      <w:lvlJc w:val="left"/>
      <w:pPr>
        <w:ind w:left="-991" w:hanging="420"/>
      </w:pPr>
      <w:rPr>
        <w:rFonts w:ascii="Wingdings" w:hAnsi="Wingdings" w:hint="default"/>
      </w:rPr>
    </w:lvl>
    <w:lvl w:ilvl="3" w:tplc="04090001" w:tentative="1">
      <w:start w:val="1"/>
      <w:numFmt w:val="bullet"/>
      <w:lvlText w:val=""/>
      <w:lvlJc w:val="left"/>
      <w:pPr>
        <w:ind w:left="-571" w:hanging="420"/>
      </w:pPr>
      <w:rPr>
        <w:rFonts w:ascii="Wingdings" w:hAnsi="Wingdings" w:hint="default"/>
      </w:rPr>
    </w:lvl>
    <w:lvl w:ilvl="4" w:tplc="04090003" w:tentative="1">
      <w:start w:val="1"/>
      <w:numFmt w:val="bullet"/>
      <w:lvlText w:val=""/>
      <w:lvlJc w:val="left"/>
      <w:pPr>
        <w:ind w:left="-151" w:hanging="420"/>
      </w:pPr>
      <w:rPr>
        <w:rFonts w:ascii="Wingdings" w:hAnsi="Wingdings" w:hint="default"/>
      </w:rPr>
    </w:lvl>
    <w:lvl w:ilvl="5" w:tplc="04090005" w:tentative="1">
      <w:start w:val="1"/>
      <w:numFmt w:val="bullet"/>
      <w:lvlText w:val=""/>
      <w:lvlJc w:val="left"/>
      <w:pPr>
        <w:ind w:left="269" w:hanging="420"/>
      </w:pPr>
      <w:rPr>
        <w:rFonts w:ascii="Wingdings" w:hAnsi="Wingdings" w:hint="default"/>
      </w:rPr>
    </w:lvl>
    <w:lvl w:ilvl="6" w:tplc="04090001" w:tentative="1">
      <w:start w:val="1"/>
      <w:numFmt w:val="bullet"/>
      <w:lvlText w:val=""/>
      <w:lvlJc w:val="left"/>
      <w:pPr>
        <w:ind w:left="689" w:hanging="420"/>
      </w:pPr>
      <w:rPr>
        <w:rFonts w:ascii="Wingdings" w:hAnsi="Wingdings" w:hint="default"/>
      </w:rPr>
    </w:lvl>
    <w:lvl w:ilvl="7" w:tplc="04090003" w:tentative="1">
      <w:start w:val="1"/>
      <w:numFmt w:val="bullet"/>
      <w:lvlText w:val=""/>
      <w:lvlJc w:val="left"/>
      <w:pPr>
        <w:ind w:left="1109" w:hanging="420"/>
      </w:pPr>
      <w:rPr>
        <w:rFonts w:ascii="Wingdings" w:hAnsi="Wingdings" w:hint="default"/>
      </w:rPr>
    </w:lvl>
    <w:lvl w:ilvl="8" w:tplc="04090005" w:tentative="1">
      <w:start w:val="1"/>
      <w:numFmt w:val="bullet"/>
      <w:lvlText w:val=""/>
      <w:lvlJc w:val="left"/>
      <w:pPr>
        <w:ind w:left="1529" w:hanging="420"/>
      </w:pPr>
      <w:rPr>
        <w:rFonts w:ascii="Wingdings" w:hAnsi="Wingdings" w:hint="default"/>
      </w:rPr>
    </w:lvl>
  </w:abstractNum>
  <w:abstractNum w:abstractNumId="3" w15:restartNumberingAfterBreak="0">
    <w:nsid w:val="47152AAB"/>
    <w:multiLevelType w:val="hybridMultilevel"/>
    <w:tmpl w:val="D09C8638"/>
    <w:lvl w:ilvl="0" w:tplc="AB52EDCE">
      <w:start w:val="1"/>
      <w:numFmt w:val="bullet"/>
      <w:pStyle w:val="xiaobiaoti"/>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5C6B319B"/>
    <w:multiLevelType w:val="hybridMultilevel"/>
    <w:tmpl w:val="C4FA3B80"/>
    <w:lvl w:ilvl="0" w:tplc="EB301DFC">
      <w:start w:val="3"/>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E8277FE"/>
    <w:multiLevelType w:val="hybridMultilevel"/>
    <w:tmpl w:val="96E8A62C"/>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71D136CD"/>
    <w:multiLevelType w:val="hybridMultilevel"/>
    <w:tmpl w:val="9A006B34"/>
    <w:lvl w:ilvl="0" w:tplc="3F1EF026">
      <w:start w:val="1"/>
      <w:numFmt w:val="japaneseCounting"/>
      <w:pStyle w:val="a"/>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96865C6"/>
    <w:multiLevelType w:val="hybridMultilevel"/>
    <w:tmpl w:val="695ECC88"/>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3"/>
  </w:num>
  <w:num w:numId="3">
    <w:abstractNumId w:val="6"/>
  </w:num>
  <w:num w:numId="4">
    <w:abstractNumId w:val="0"/>
  </w:num>
  <w:num w:numId="5">
    <w:abstractNumId w:val="7"/>
  </w:num>
  <w:num w:numId="6">
    <w:abstractNumId w:val="2"/>
  </w:num>
  <w:num w:numId="7">
    <w:abstractNumId w:val="5"/>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trackRevisions/>
  <w:defaultTabStop w:val="420"/>
  <w:drawingGridHorizontalSpacing w:val="105"/>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9C5"/>
    <w:rsid w:val="00000029"/>
    <w:rsid w:val="000001B1"/>
    <w:rsid w:val="000001EA"/>
    <w:rsid w:val="000006F2"/>
    <w:rsid w:val="000007FE"/>
    <w:rsid w:val="0000108C"/>
    <w:rsid w:val="0000136E"/>
    <w:rsid w:val="000019E4"/>
    <w:rsid w:val="00001A16"/>
    <w:rsid w:val="00001B5E"/>
    <w:rsid w:val="00002042"/>
    <w:rsid w:val="00002088"/>
    <w:rsid w:val="00002452"/>
    <w:rsid w:val="0000309A"/>
    <w:rsid w:val="00003204"/>
    <w:rsid w:val="000032E2"/>
    <w:rsid w:val="00003CB8"/>
    <w:rsid w:val="00003F43"/>
    <w:rsid w:val="00004021"/>
    <w:rsid w:val="00004336"/>
    <w:rsid w:val="00004FA5"/>
    <w:rsid w:val="000056CD"/>
    <w:rsid w:val="00005CE4"/>
    <w:rsid w:val="000078A0"/>
    <w:rsid w:val="00007C82"/>
    <w:rsid w:val="00007FEE"/>
    <w:rsid w:val="0001011B"/>
    <w:rsid w:val="000102CD"/>
    <w:rsid w:val="00010304"/>
    <w:rsid w:val="000103EB"/>
    <w:rsid w:val="00010585"/>
    <w:rsid w:val="00010590"/>
    <w:rsid w:val="00010C93"/>
    <w:rsid w:val="00010F03"/>
    <w:rsid w:val="00011175"/>
    <w:rsid w:val="000114A2"/>
    <w:rsid w:val="000116E1"/>
    <w:rsid w:val="00011977"/>
    <w:rsid w:val="00011BB5"/>
    <w:rsid w:val="00011CAE"/>
    <w:rsid w:val="00011EE0"/>
    <w:rsid w:val="00011FFE"/>
    <w:rsid w:val="00012660"/>
    <w:rsid w:val="0001284C"/>
    <w:rsid w:val="000128D7"/>
    <w:rsid w:val="00012992"/>
    <w:rsid w:val="00012A54"/>
    <w:rsid w:val="00012AC6"/>
    <w:rsid w:val="00012C32"/>
    <w:rsid w:val="00012CF1"/>
    <w:rsid w:val="00013117"/>
    <w:rsid w:val="000131A2"/>
    <w:rsid w:val="000131D0"/>
    <w:rsid w:val="00013D61"/>
    <w:rsid w:val="00013F9A"/>
    <w:rsid w:val="0001422E"/>
    <w:rsid w:val="000145DC"/>
    <w:rsid w:val="00014DBE"/>
    <w:rsid w:val="00014F7D"/>
    <w:rsid w:val="00015679"/>
    <w:rsid w:val="000159DA"/>
    <w:rsid w:val="00015C23"/>
    <w:rsid w:val="0001636F"/>
    <w:rsid w:val="0001687F"/>
    <w:rsid w:val="00016D39"/>
    <w:rsid w:val="000170D2"/>
    <w:rsid w:val="000176E4"/>
    <w:rsid w:val="000179F2"/>
    <w:rsid w:val="00017F1D"/>
    <w:rsid w:val="000200D1"/>
    <w:rsid w:val="00020324"/>
    <w:rsid w:val="00020C73"/>
    <w:rsid w:val="00020DEF"/>
    <w:rsid w:val="000210E5"/>
    <w:rsid w:val="000213E7"/>
    <w:rsid w:val="000218E8"/>
    <w:rsid w:val="00021A5F"/>
    <w:rsid w:val="00021CF3"/>
    <w:rsid w:val="00021D5F"/>
    <w:rsid w:val="000224DC"/>
    <w:rsid w:val="00022546"/>
    <w:rsid w:val="000225E0"/>
    <w:rsid w:val="0002279B"/>
    <w:rsid w:val="00022802"/>
    <w:rsid w:val="00022907"/>
    <w:rsid w:val="00022914"/>
    <w:rsid w:val="00022F4A"/>
    <w:rsid w:val="000232D9"/>
    <w:rsid w:val="00023492"/>
    <w:rsid w:val="000234B5"/>
    <w:rsid w:val="00023857"/>
    <w:rsid w:val="00023A8A"/>
    <w:rsid w:val="00023F98"/>
    <w:rsid w:val="0002425B"/>
    <w:rsid w:val="000243E3"/>
    <w:rsid w:val="00024494"/>
    <w:rsid w:val="000247E8"/>
    <w:rsid w:val="00024916"/>
    <w:rsid w:val="00024EF6"/>
    <w:rsid w:val="000250A1"/>
    <w:rsid w:val="000251C5"/>
    <w:rsid w:val="000254FF"/>
    <w:rsid w:val="0002563D"/>
    <w:rsid w:val="00025861"/>
    <w:rsid w:val="0002592C"/>
    <w:rsid w:val="00025C6E"/>
    <w:rsid w:val="00026120"/>
    <w:rsid w:val="00026670"/>
    <w:rsid w:val="000266BD"/>
    <w:rsid w:val="00026F58"/>
    <w:rsid w:val="00026FB1"/>
    <w:rsid w:val="00027201"/>
    <w:rsid w:val="000274AA"/>
    <w:rsid w:val="00027740"/>
    <w:rsid w:val="00027D6E"/>
    <w:rsid w:val="00027DAF"/>
    <w:rsid w:val="00027FE7"/>
    <w:rsid w:val="0003008B"/>
    <w:rsid w:val="0003010E"/>
    <w:rsid w:val="000303EA"/>
    <w:rsid w:val="0003054F"/>
    <w:rsid w:val="00030A86"/>
    <w:rsid w:val="00030AFF"/>
    <w:rsid w:val="00030B81"/>
    <w:rsid w:val="00030C03"/>
    <w:rsid w:val="00030F12"/>
    <w:rsid w:val="00031657"/>
    <w:rsid w:val="000317B7"/>
    <w:rsid w:val="00031A06"/>
    <w:rsid w:val="0003228D"/>
    <w:rsid w:val="0003230F"/>
    <w:rsid w:val="0003288E"/>
    <w:rsid w:val="00032B06"/>
    <w:rsid w:val="00032DF7"/>
    <w:rsid w:val="00032E35"/>
    <w:rsid w:val="00033548"/>
    <w:rsid w:val="0003367E"/>
    <w:rsid w:val="00033EBC"/>
    <w:rsid w:val="000348CE"/>
    <w:rsid w:val="0003493A"/>
    <w:rsid w:val="00034D0B"/>
    <w:rsid w:val="00035144"/>
    <w:rsid w:val="0003526C"/>
    <w:rsid w:val="000352C1"/>
    <w:rsid w:val="0003549B"/>
    <w:rsid w:val="00035568"/>
    <w:rsid w:val="000357AE"/>
    <w:rsid w:val="00035871"/>
    <w:rsid w:val="00035AD9"/>
    <w:rsid w:val="00035C79"/>
    <w:rsid w:val="00035CF0"/>
    <w:rsid w:val="00035E4B"/>
    <w:rsid w:val="000361A2"/>
    <w:rsid w:val="000363F0"/>
    <w:rsid w:val="0003657A"/>
    <w:rsid w:val="0003666E"/>
    <w:rsid w:val="000368A2"/>
    <w:rsid w:val="0003692A"/>
    <w:rsid w:val="00036D89"/>
    <w:rsid w:val="000374B0"/>
    <w:rsid w:val="00037756"/>
    <w:rsid w:val="000377DA"/>
    <w:rsid w:val="00037851"/>
    <w:rsid w:val="00037936"/>
    <w:rsid w:val="00037C91"/>
    <w:rsid w:val="00037CB6"/>
    <w:rsid w:val="000401E9"/>
    <w:rsid w:val="000407DD"/>
    <w:rsid w:val="0004085D"/>
    <w:rsid w:val="00040AAA"/>
    <w:rsid w:val="00040C39"/>
    <w:rsid w:val="00040D2B"/>
    <w:rsid w:val="00040D5C"/>
    <w:rsid w:val="00040FCA"/>
    <w:rsid w:val="00040FEF"/>
    <w:rsid w:val="00041E2F"/>
    <w:rsid w:val="00041F00"/>
    <w:rsid w:val="0004209D"/>
    <w:rsid w:val="00042404"/>
    <w:rsid w:val="00042A2C"/>
    <w:rsid w:val="00042FE8"/>
    <w:rsid w:val="00043854"/>
    <w:rsid w:val="00043DAB"/>
    <w:rsid w:val="00044313"/>
    <w:rsid w:val="00044701"/>
    <w:rsid w:val="00044EDC"/>
    <w:rsid w:val="00045378"/>
    <w:rsid w:val="000459C0"/>
    <w:rsid w:val="00045DD4"/>
    <w:rsid w:val="00046120"/>
    <w:rsid w:val="00046296"/>
    <w:rsid w:val="00046397"/>
    <w:rsid w:val="000464B0"/>
    <w:rsid w:val="000466E6"/>
    <w:rsid w:val="00046A69"/>
    <w:rsid w:val="00047642"/>
    <w:rsid w:val="00047C80"/>
    <w:rsid w:val="00047E17"/>
    <w:rsid w:val="00050079"/>
    <w:rsid w:val="000508AD"/>
    <w:rsid w:val="00050A03"/>
    <w:rsid w:val="00050B9B"/>
    <w:rsid w:val="000514A1"/>
    <w:rsid w:val="000514F6"/>
    <w:rsid w:val="0005164D"/>
    <w:rsid w:val="00051A4F"/>
    <w:rsid w:val="00051B17"/>
    <w:rsid w:val="000523A5"/>
    <w:rsid w:val="000526F5"/>
    <w:rsid w:val="0005278F"/>
    <w:rsid w:val="00052A2F"/>
    <w:rsid w:val="0005316E"/>
    <w:rsid w:val="000534C8"/>
    <w:rsid w:val="00053741"/>
    <w:rsid w:val="0005393F"/>
    <w:rsid w:val="00053A31"/>
    <w:rsid w:val="00053BFB"/>
    <w:rsid w:val="00053CAC"/>
    <w:rsid w:val="00053E2B"/>
    <w:rsid w:val="0005440B"/>
    <w:rsid w:val="0005485E"/>
    <w:rsid w:val="0005492E"/>
    <w:rsid w:val="00054ED8"/>
    <w:rsid w:val="0005522A"/>
    <w:rsid w:val="000552BF"/>
    <w:rsid w:val="00055378"/>
    <w:rsid w:val="0005544B"/>
    <w:rsid w:val="0005561C"/>
    <w:rsid w:val="00055696"/>
    <w:rsid w:val="000556BF"/>
    <w:rsid w:val="000559FA"/>
    <w:rsid w:val="00055D38"/>
    <w:rsid w:val="00055D93"/>
    <w:rsid w:val="00055F6C"/>
    <w:rsid w:val="000563F1"/>
    <w:rsid w:val="000565A8"/>
    <w:rsid w:val="000569D7"/>
    <w:rsid w:val="00056A2E"/>
    <w:rsid w:val="00056B5D"/>
    <w:rsid w:val="00056DBC"/>
    <w:rsid w:val="00056DF2"/>
    <w:rsid w:val="00056F8D"/>
    <w:rsid w:val="00057538"/>
    <w:rsid w:val="00057C97"/>
    <w:rsid w:val="00057F4C"/>
    <w:rsid w:val="00060C73"/>
    <w:rsid w:val="00061053"/>
    <w:rsid w:val="00061385"/>
    <w:rsid w:val="000615C5"/>
    <w:rsid w:val="000618AF"/>
    <w:rsid w:val="00061CE8"/>
    <w:rsid w:val="00061FFB"/>
    <w:rsid w:val="000621B0"/>
    <w:rsid w:val="00062343"/>
    <w:rsid w:val="0006238B"/>
    <w:rsid w:val="000623C8"/>
    <w:rsid w:val="000623FC"/>
    <w:rsid w:val="000635D4"/>
    <w:rsid w:val="00063887"/>
    <w:rsid w:val="00063988"/>
    <w:rsid w:val="00063C11"/>
    <w:rsid w:val="00064BAF"/>
    <w:rsid w:val="00064E17"/>
    <w:rsid w:val="00064E4B"/>
    <w:rsid w:val="0006530C"/>
    <w:rsid w:val="00065D52"/>
    <w:rsid w:val="00065D63"/>
    <w:rsid w:val="000664A4"/>
    <w:rsid w:val="0006650A"/>
    <w:rsid w:val="00066B74"/>
    <w:rsid w:val="00066F80"/>
    <w:rsid w:val="000671FD"/>
    <w:rsid w:val="000674EA"/>
    <w:rsid w:val="000679D6"/>
    <w:rsid w:val="0007001D"/>
    <w:rsid w:val="000707B9"/>
    <w:rsid w:val="00070807"/>
    <w:rsid w:val="00070B33"/>
    <w:rsid w:val="00071475"/>
    <w:rsid w:val="00071495"/>
    <w:rsid w:val="00071934"/>
    <w:rsid w:val="00071C30"/>
    <w:rsid w:val="00071E15"/>
    <w:rsid w:val="00071E64"/>
    <w:rsid w:val="0007206E"/>
    <w:rsid w:val="0007220E"/>
    <w:rsid w:val="0007230C"/>
    <w:rsid w:val="0007282B"/>
    <w:rsid w:val="00072B66"/>
    <w:rsid w:val="000730B6"/>
    <w:rsid w:val="00073234"/>
    <w:rsid w:val="000735D0"/>
    <w:rsid w:val="000736E4"/>
    <w:rsid w:val="0007384C"/>
    <w:rsid w:val="00073894"/>
    <w:rsid w:val="000743C7"/>
    <w:rsid w:val="000744DE"/>
    <w:rsid w:val="00074594"/>
    <w:rsid w:val="000747BE"/>
    <w:rsid w:val="00074F0D"/>
    <w:rsid w:val="00075050"/>
    <w:rsid w:val="000750C5"/>
    <w:rsid w:val="0007553B"/>
    <w:rsid w:val="00075741"/>
    <w:rsid w:val="000758F8"/>
    <w:rsid w:val="00075BEA"/>
    <w:rsid w:val="00075CF2"/>
    <w:rsid w:val="00075D8C"/>
    <w:rsid w:val="000761F1"/>
    <w:rsid w:val="000761F2"/>
    <w:rsid w:val="000765C9"/>
    <w:rsid w:val="00076697"/>
    <w:rsid w:val="0007672F"/>
    <w:rsid w:val="000769BB"/>
    <w:rsid w:val="00076F97"/>
    <w:rsid w:val="00077096"/>
    <w:rsid w:val="00077392"/>
    <w:rsid w:val="000773C8"/>
    <w:rsid w:val="000776D8"/>
    <w:rsid w:val="000777BB"/>
    <w:rsid w:val="000803ED"/>
    <w:rsid w:val="00080647"/>
    <w:rsid w:val="00080A7B"/>
    <w:rsid w:val="00080C81"/>
    <w:rsid w:val="000812DC"/>
    <w:rsid w:val="0008182D"/>
    <w:rsid w:val="00081A17"/>
    <w:rsid w:val="00081CD2"/>
    <w:rsid w:val="00081D6E"/>
    <w:rsid w:val="0008204B"/>
    <w:rsid w:val="0008222F"/>
    <w:rsid w:val="00082292"/>
    <w:rsid w:val="000824D5"/>
    <w:rsid w:val="000826E4"/>
    <w:rsid w:val="00082783"/>
    <w:rsid w:val="00082861"/>
    <w:rsid w:val="00082BBB"/>
    <w:rsid w:val="00082C56"/>
    <w:rsid w:val="00082D51"/>
    <w:rsid w:val="00082F2F"/>
    <w:rsid w:val="00082FD6"/>
    <w:rsid w:val="00083062"/>
    <w:rsid w:val="000834AE"/>
    <w:rsid w:val="00083AA4"/>
    <w:rsid w:val="00083B53"/>
    <w:rsid w:val="00084113"/>
    <w:rsid w:val="00084337"/>
    <w:rsid w:val="00084A50"/>
    <w:rsid w:val="00084BC3"/>
    <w:rsid w:val="0008503A"/>
    <w:rsid w:val="0008534B"/>
    <w:rsid w:val="000853F9"/>
    <w:rsid w:val="000856DA"/>
    <w:rsid w:val="000857AC"/>
    <w:rsid w:val="00085F04"/>
    <w:rsid w:val="00085FC9"/>
    <w:rsid w:val="00086DEF"/>
    <w:rsid w:val="00086F80"/>
    <w:rsid w:val="000871A8"/>
    <w:rsid w:val="0008724E"/>
    <w:rsid w:val="00087AAE"/>
    <w:rsid w:val="00090103"/>
    <w:rsid w:val="0009019F"/>
    <w:rsid w:val="000902EA"/>
    <w:rsid w:val="00090A27"/>
    <w:rsid w:val="00091010"/>
    <w:rsid w:val="00091CD2"/>
    <w:rsid w:val="00091F28"/>
    <w:rsid w:val="0009268E"/>
    <w:rsid w:val="00092702"/>
    <w:rsid w:val="0009291B"/>
    <w:rsid w:val="00092FBD"/>
    <w:rsid w:val="00092FE3"/>
    <w:rsid w:val="00093156"/>
    <w:rsid w:val="00093176"/>
    <w:rsid w:val="0009327C"/>
    <w:rsid w:val="00093407"/>
    <w:rsid w:val="00093606"/>
    <w:rsid w:val="000938DA"/>
    <w:rsid w:val="000939B1"/>
    <w:rsid w:val="00093D0C"/>
    <w:rsid w:val="00093EE8"/>
    <w:rsid w:val="00094071"/>
    <w:rsid w:val="000941A4"/>
    <w:rsid w:val="00094379"/>
    <w:rsid w:val="00094695"/>
    <w:rsid w:val="00095136"/>
    <w:rsid w:val="00095282"/>
    <w:rsid w:val="00095A20"/>
    <w:rsid w:val="00095B27"/>
    <w:rsid w:val="00096225"/>
    <w:rsid w:val="00096559"/>
    <w:rsid w:val="00096A4C"/>
    <w:rsid w:val="00096C31"/>
    <w:rsid w:val="00096E6D"/>
    <w:rsid w:val="00097506"/>
    <w:rsid w:val="0009756F"/>
    <w:rsid w:val="0009766D"/>
    <w:rsid w:val="00097C0F"/>
    <w:rsid w:val="00097C2D"/>
    <w:rsid w:val="00097C98"/>
    <w:rsid w:val="00097C9E"/>
    <w:rsid w:val="00097FA9"/>
    <w:rsid w:val="000A018F"/>
    <w:rsid w:val="000A0418"/>
    <w:rsid w:val="000A06B5"/>
    <w:rsid w:val="000A0748"/>
    <w:rsid w:val="000A07B5"/>
    <w:rsid w:val="000A0F14"/>
    <w:rsid w:val="000A1023"/>
    <w:rsid w:val="000A1CA7"/>
    <w:rsid w:val="000A1FB0"/>
    <w:rsid w:val="000A2138"/>
    <w:rsid w:val="000A2285"/>
    <w:rsid w:val="000A2AC3"/>
    <w:rsid w:val="000A2D50"/>
    <w:rsid w:val="000A3244"/>
    <w:rsid w:val="000A367C"/>
    <w:rsid w:val="000A36C8"/>
    <w:rsid w:val="000A3F74"/>
    <w:rsid w:val="000A4170"/>
    <w:rsid w:val="000A4324"/>
    <w:rsid w:val="000A4770"/>
    <w:rsid w:val="000A4D2E"/>
    <w:rsid w:val="000A507A"/>
    <w:rsid w:val="000A534B"/>
    <w:rsid w:val="000A61F5"/>
    <w:rsid w:val="000A6661"/>
    <w:rsid w:val="000A6A88"/>
    <w:rsid w:val="000A6ED3"/>
    <w:rsid w:val="000A7029"/>
    <w:rsid w:val="000A70DB"/>
    <w:rsid w:val="000A7C6C"/>
    <w:rsid w:val="000B00AE"/>
    <w:rsid w:val="000B0595"/>
    <w:rsid w:val="000B05FC"/>
    <w:rsid w:val="000B0816"/>
    <w:rsid w:val="000B0836"/>
    <w:rsid w:val="000B0B3E"/>
    <w:rsid w:val="000B0B8F"/>
    <w:rsid w:val="000B0FA2"/>
    <w:rsid w:val="000B10A4"/>
    <w:rsid w:val="000B1B77"/>
    <w:rsid w:val="000B200C"/>
    <w:rsid w:val="000B21D8"/>
    <w:rsid w:val="000B25F6"/>
    <w:rsid w:val="000B2E5F"/>
    <w:rsid w:val="000B337F"/>
    <w:rsid w:val="000B3660"/>
    <w:rsid w:val="000B383A"/>
    <w:rsid w:val="000B38E7"/>
    <w:rsid w:val="000B3A96"/>
    <w:rsid w:val="000B43F1"/>
    <w:rsid w:val="000B4509"/>
    <w:rsid w:val="000B462B"/>
    <w:rsid w:val="000B4EC4"/>
    <w:rsid w:val="000B5213"/>
    <w:rsid w:val="000B5634"/>
    <w:rsid w:val="000B5CFB"/>
    <w:rsid w:val="000B5D65"/>
    <w:rsid w:val="000B6651"/>
    <w:rsid w:val="000B6775"/>
    <w:rsid w:val="000B6840"/>
    <w:rsid w:val="000B6B07"/>
    <w:rsid w:val="000B6F50"/>
    <w:rsid w:val="000B6F80"/>
    <w:rsid w:val="000B6FE4"/>
    <w:rsid w:val="000B72F3"/>
    <w:rsid w:val="000B7327"/>
    <w:rsid w:val="000B7898"/>
    <w:rsid w:val="000B7C10"/>
    <w:rsid w:val="000B7C42"/>
    <w:rsid w:val="000B7E70"/>
    <w:rsid w:val="000C0342"/>
    <w:rsid w:val="000C0354"/>
    <w:rsid w:val="000C0A7A"/>
    <w:rsid w:val="000C0B9B"/>
    <w:rsid w:val="000C14F2"/>
    <w:rsid w:val="000C1925"/>
    <w:rsid w:val="000C1F00"/>
    <w:rsid w:val="000C2007"/>
    <w:rsid w:val="000C2348"/>
    <w:rsid w:val="000C25F9"/>
    <w:rsid w:val="000C26A5"/>
    <w:rsid w:val="000C2B75"/>
    <w:rsid w:val="000C2BA0"/>
    <w:rsid w:val="000C2C61"/>
    <w:rsid w:val="000C2D44"/>
    <w:rsid w:val="000C2E62"/>
    <w:rsid w:val="000C2FEA"/>
    <w:rsid w:val="000C314F"/>
    <w:rsid w:val="000C37A7"/>
    <w:rsid w:val="000C3977"/>
    <w:rsid w:val="000C4771"/>
    <w:rsid w:val="000C4916"/>
    <w:rsid w:val="000C54EA"/>
    <w:rsid w:val="000C551A"/>
    <w:rsid w:val="000C551D"/>
    <w:rsid w:val="000C7059"/>
    <w:rsid w:val="000C70A3"/>
    <w:rsid w:val="000C745C"/>
    <w:rsid w:val="000C783B"/>
    <w:rsid w:val="000C7911"/>
    <w:rsid w:val="000C7B81"/>
    <w:rsid w:val="000D0E9F"/>
    <w:rsid w:val="000D1002"/>
    <w:rsid w:val="000D1094"/>
    <w:rsid w:val="000D147E"/>
    <w:rsid w:val="000D19C5"/>
    <w:rsid w:val="000D1FBE"/>
    <w:rsid w:val="000D226B"/>
    <w:rsid w:val="000D279C"/>
    <w:rsid w:val="000D2AA9"/>
    <w:rsid w:val="000D2B9D"/>
    <w:rsid w:val="000D33FF"/>
    <w:rsid w:val="000D34CC"/>
    <w:rsid w:val="000D34D1"/>
    <w:rsid w:val="000D3530"/>
    <w:rsid w:val="000D3835"/>
    <w:rsid w:val="000D39A5"/>
    <w:rsid w:val="000D3DDC"/>
    <w:rsid w:val="000D3DF2"/>
    <w:rsid w:val="000D3E3E"/>
    <w:rsid w:val="000D3E7E"/>
    <w:rsid w:val="000D407C"/>
    <w:rsid w:val="000D428F"/>
    <w:rsid w:val="000D4467"/>
    <w:rsid w:val="000D4709"/>
    <w:rsid w:val="000D4E0B"/>
    <w:rsid w:val="000D5161"/>
    <w:rsid w:val="000D5568"/>
    <w:rsid w:val="000D55F0"/>
    <w:rsid w:val="000D5694"/>
    <w:rsid w:val="000D57A6"/>
    <w:rsid w:val="000D5AC0"/>
    <w:rsid w:val="000D5BFA"/>
    <w:rsid w:val="000D5E2A"/>
    <w:rsid w:val="000D5F9F"/>
    <w:rsid w:val="000D60C5"/>
    <w:rsid w:val="000D6206"/>
    <w:rsid w:val="000D6694"/>
    <w:rsid w:val="000D6855"/>
    <w:rsid w:val="000D6979"/>
    <w:rsid w:val="000D6CF4"/>
    <w:rsid w:val="000D6E73"/>
    <w:rsid w:val="000D7270"/>
    <w:rsid w:val="000D7529"/>
    <w:rsid w:val="000D79A9"/>
    <w:rsid w:val="000D7D7C"/>
    <w:rsid w:val="000D7FB6"/>
    <w:rsid w:val="000E010E"/>
    <w:rsid w:val="000E0236"/>
    <w:rsid w:val="000E02D2"/>
    <w:rsid w:val="000E032E"/>
    <w:rsid w:val="000E0918"/>
    <w:rsid w:val="000E0920"/>
    <w:rsid w:val="000E0D92"/>
    <w:rsid w:val="000E1651"/>
    <w:rsid w:val="000E1B7F"/>
    <w:rsid w:val="000E223D"/>
    <w:rsid w:val="000E245B"/>
    <w:rsid w:val="000E25A4"/>
    <w:rsid w:val="000E28D8"/>
    <w:rsid w:val="000E2A1F"/>
    <w:rsid w:val="000E2B1D"/>
    <w:rsid w:val="000E2B77"/>
    <w:rsid w:val="000E2ECA"/>
    <w:rsid w:val="000E39F8"/>
    <w:rsid w:val="000E4260"/>
    <w:rsid w:val="000E44A7"/>
    <w:rsid w:val="000E47C6"/>
    <w:rsid w:val="000E4813"/>
    <w:rsid w:val="000E4B7A"/>
    <w:rsid w:val="000E4BB2"/>
    <w:rsid w:val="000E4E14"/>
    <w:rsid w:val="000E4F9F"/>
    <w:rsid w:val="000E501B"/>
    <w:rsid w:val="000E5067"/>
    <w:rsid w:val="000E56A9"/>
    <w:rsid w:val="000E5B17"/>
    <w:rsid w:val="000E5ED2"/>
    <w:rsid w:val="000E5F00"/>
    <w:rsid w:val="000E5F36"/>
    <w:rsid w:val="000E60FE"/>
    <w:rsid w:val="000E637C"/>
    <w:rsid w:val="000E6435"/>
    <w:rsid w:val="000E6591"/>
    <w:rsid w:val="000E6675"/>
    <w:rsid w:val="000E6884"/>
    <w:rsid w:val="000E7606"/>
    <w:rsid w:val="000E7902"/>
    <w:rsid w:val="000E7DA0"/>
    <w:rsid w:val="000E7E9C"/>
    <w:rsid w:val="000F0380"/>
    <w:rsid w:val="000F04FE"/>
    <w:rsid w:val="000F0A04"/>
    <w:rsid w:val="000F1351"/>
    <w:rsid w:val="000F15D2"/>
    <w:rsid w:val="000F18FC"/>
    <w:rsid w:val="000F1C94"/>
    <w:rsid w:val="000F1CF0"/>
    <w:rsid w:val="000F1F69"/>
    <w:rsid w:val="000F264F"/>
    <w:rsid w:val="000F268C"/>
    <w:rsid w:val="000F2838"/>
    <w:rsid w:val="000F28A9"/>
    <w:rsid w:val="000F315C"/>
    <w:rsid w:val="000F31C7"/>
    <w:rsid w:val="000F321A"/>
    <w:rsid w:val="000F40A6"/>
    <w:rsid w:val="000F4165"/>
    <w:rsid w:val="000F4260"/>
    <w:rsid w:val="000F43B7"/>
    <w:rsid w:val="000F447D"/>
    <w:rsid w:val="000F4498"/>
    <w:rsid w:val="000F45C2"/>
    <w:rsid w:val="000F471B"/>
    <w:rsid w:val="000F482F"/>
    <w:rsid w:val="000F4872"/>
    <w:rsid w:val="000F4C77"/>
    <w:rsid w:val="000F4ED9"/>
    <w:rsid w:val="000F520B"/>
    <w:rsid w:val="000F532D"/>
    <w:rsid w:val="000F5642"/>
    <w:rsid w:val="000F5B0E"/>
    <w:rsid w:val="000F5E6B"/>
    <w:rsid w:val="000F60EB"/>
    <w:rsid w:val="000F6C5C"/>
    <w:rsid w:val="000F7ABB"/>
    <w:rsid w:val="000F7B34"/>
    <w:rsid w:val="000F7D0F"/>
    <w:rsid w:val="00100073"/>
    <w:rsid w:val="001000C5"/>
    <w:rsid w:val="0010033E"/>
    <w:rsid w:val="0010053F"/>
    <w:rsid w:val="00100593"/>
    <w:rsid w:val="001007B4"/>
    <w:rsid w:val="0010108A"/>
    <w:rsid w:val="001010F8"/>
    <w:rsid w:val="00101C0B"/>
    <w:rsid w:val="00101DF0"/>
    <w:rsid w:val="001025E7"/>
    <w:rsid w:val="00102DF5"/>
    <w:rsid w:val="00102EF3"/>
    <w:rsid w:val="00102FFE"/>
    <w:rsid w:val="00103049"/>
    <w:rsid w:val="0010311C"/>
    <w:rsid w:val="0010312C"/>
    <w:rsid w:val="001031E0"/>
    <w:rsid w:val="001034DC"/>
    <w:rsid w:val="00103A52"/>
    <w:rsid w:val="00103BA0"/>
    <w:rsid w:val="00103C3B"/>
    <w:rsid w:val="0010474C"/>
    <w:rsid w:val="00104905"/>
    <w:rsid w:val="00104DF9"/>
    <w:rsid w:val="00104F32"/>
    <w:rsid w:val="00104F80"/>
    <w:rsid w:val="00105099"/>
    <w:rsid w:val="001054BF"/>
    <w:rsid w:val="001057C9"/>
    <w:rsid w:val="0010599A"/>
    <w:rsid w:val="001059AB"/>
    <w:rsid w:val="00105BAA"/>
    <w:rsid w:val="001062D6"/>
    <w:rsid w:val="00106996"/>
    <w:rsid w:val="00106A32"/>
    <w:rsid w:val="00106A88"/>
    <w:rsid w:val="00107689"/>
    <w:rsid w:val="001076C3"/>
    <w:rsid w:val="001077AB"/>
    <w:rsid w:val="00107B1F"/>
    <w:rsid w:val="00107EE8"/>
    <w:rsid w:val="0011074E"/>
    <w:rsid w:val="00110963"/>
    <w:rsid w:val="001109E8"/>
    <w:rsid w:val="00110B7F"/>
    <w:rsid w:val="00110BAE"/>
    <w:rsid w:val="00110CAD"/>
    <w:rsid w:val="00110E0D"/>
    <w:rsid w:val="00110F7C"/>
    <w:rsid w:val="00111362"/>
    <w:rsid w:val="001118E3"/>
    <w:rsid w:val="0011195E"/>
    <w:rsid w:val="00111C54"/>
    <w:rsid w:val="001120F5"/>
    <w:rsid w:val="00112549"/>
    <w:rsid w:val="00112573"/>
    <w:rsid w:val="00112829"/>
    <w:rsid w:val="00112BC9"/>
    <w:rsid w:val="00112CCB"/>
    <w:rsid w:val="0011357E"/>
    <w:rsid w:val="00113663"/>
    <w:rsid w:val="001138EC"/>
    <w:rsid w:val="00113B85"/>
    <w:rsid w:val="0011405B"/>
    <w:rsid w:val="0011432E"/>
    <w:rsid w:val="00114CA8"/>
    <w:rsid w:val="00114E1A"/>
    <w:rsid w:val="00114E69"/>
    <w:rsid w:val="00114EA2"/>
    <w:rsid w:val="00115200"/>
    <w:rsid w:val="0011522C"/>
    <w:rsid w:val="0011598D"/>
    <w:rsid w:val="00115ACB"/>
    <w:rsid w:val="001165F9"/>
    <w:rsid w:val="00116766"/>
    <w:rsid w:val="001169BC"/>
    <w:rsid w:val="00116A31"/>
    <w:rsid w:val="001175A3"/>
    <w:rsid w:val="001178DD"/>
    <w:rsid w:val="00117BEB"/>
    <w:rsid w:val="0012007B"/>
    <w:rsid w:val="001202FE"/>
    <w:rsid w:val="00120350"/>
    <w:rsid w:val="0012064D"/>
    <w:rsid w:val="00120983"/>
    <w:rsid w:val="00120C12"/>
    <w:rsid w:val="00120F25"/>
    <w:rsid w:val="00120F54"/>
    <w:rsid w:val="00120F82"/>
    <w:rsid w:val="00120FCC"/>
    <w:rsid w:val="00121345"/>
    <w:rsid w:val="00121514"/>
    <w:rsid w:val="001215B4"/>
    <w:rsid w:val="00121970"/>
    <w:rsid w:val="001219D7"/>
    <w:rsid w:val="00121A05"/>
    <w:rsid w:val="00121A07"/>
    <w:rsid w:val="00121CE2"/>
    <w:rsid w:val="0012251A"/>
    <w:rsid w:val="001228C6"/>
    <w:rsid w:val="00122FF9"/>
    <w:rsid w:val="0012301D"/>
    <w:rsid w:val="00123073"/>
    <w:rsid w:val="00123162"/>
    <w:rsid w:val="00123257"/>
    <w:rsid w:val="001238FA"/>
    <w:rsid w:val="0012391F"/>
    <w:rsid w:val="00123C1A"/>
    <w:rsid w:val="00123C45"/>
    <w:rsid w:val="00123DCF"/>
    <w:rsid w:val="00123FD4"/>
    <w:rsid w:val="00124A31"/>
    <w:rsid w:val="00124F86"/>
    <w:rsid w:val="001253EC"/>
    <w:rsid w:val="0012555D"/>
    <w:rsid w:val="00125712"/>
    <w:rsid w:val="00125846"/>
    <w:rsid w:val="00125B00"/>
    <w:rsid w:val="00125C15"/>
    <w:rsid w:val="00125EB7"/>
    <w:rsid w:val="00126131"/>
    <w:rsid w:val="00126580"/>
    <w:rsid w:val="00126B7C"/>
    <w:rsid w:val="00126BA4"/>
    <w:rsid w:val="00126BD9"/>
    <w:rsid w:val="00127283"/>
    <w:rsid w:val="0012760C"/>
    <w:rsid w:val="001276C6"/>
    <w:rsid w:val="001278E6"/>
    <w:rsid w:val="00127D9F"/>
    <w:rsid w:val="00130070"/>
    <w:rsid w:val="00130704"/>
    <w:rsid w:val="00130D0B"/>
    <w:rsid w:val="00130E26"/>
    <w:rsid w:val="00130F9F"/>
    <w:rsid w:val="001310B4"/>
    <w:rsid w:val="001310DC"/>
    <w:rsid w:val="001311A2"/>
    <w:rsid w:val="001313B9"/>
    <w:rsid w:val="00131C0D"/>
    <w:rsid w:val="00131D0A"/>
    <w:rsid w:val="00131E50"/>
    <w:rsid w:val="001325A0"/>
    <w:rsid w:val="001328A9"/>
    <w:rsid w:val="00132F8E"/>
    <w:rsid w:val="00133006"/>
    <w:rsid w:val="001331F4"/>
    <w:rsid w:val="001332A4"/>
    <w:rsid w:val="001332FF"/>
    <w:rsid w:val="00133374"/>
    <w:rsid w:val="0013339E"/>
    <w:rsid w:val="001333F2"/>
    <w:rsid w:val="0013353A"/>
    <w:rsid w:val="001336A4"/>
    <w:rsid w:val="001337EB"/>
    <w:rsid w:val="00133943"/>
    <w:rsid w:val="00134247"/>
    <w:rsid w:val="00134510"/>
    <w:rsid w:val="0013456F"/>
    <w:rsid w:val="00134964"/>
    <w:rsid w:val="00134C9B"/>
    <w:rsid w:val="00134F55"/>
    <w:rsid w:val="00135282"/>
    <w:rsid w:val="00135467"/>
    <w:rsid w:val="00135797"/>
    <w:rsid w:val="001359F6"/>
    <w:rsid w:val="00135C69"/>
    <w:rsid w:val="00135D93"/>
    <w:rsid w:val="00135F7D"/>
    <w:rsid w:val="00135FA1"/>
    <w:rsid w:val="00136A07"/>
    <w:rsid w:val="00136AD2"/>
    <w:rsid w:val="00136D59"/>
    <w:rsid w:val="00137266"/>
    <w:rsid w:val="00140BE3"/>
    <w:rsid w:val="00140D0F"/>
    <w:rsid w:val="001411E6"/>
    <w:rsid w:val="001416E7"/>
    <w:rsid w:val="00141BD4"/>
    <w:rsid w:val="00142308"/>
    <w:rsid w:val="00142458"/>
    <w:rsid w:val="0014246C"/>
    <w:rsid w:val="001427BC"/>
    <w:rsid w:val="001429F3"/>
    <w:rsid w:val="00142C76"/>
    <w:rsid w:val="00142EB8"/>
    <w:rsid w:val="0014336F"/>
    <w:rsid w:val="001438FF"/>
    <w:rsid w:val="00143AC4"/>
    <w:rsid w:val="00143E5A"/>
    <w:rsid w:val="00143FB1"/>
    <w:rsid w:val="00144262"/>
    <w:rsid w:val="001442D4"/>
    <w:rsid w:val="001442F8"/>
    <w:rsid w:val="0014451B"/>
    <w:rsid w:val="00144877"/>
    <w:rsid w:val="00144992"/>
    <w:rsid w:val="0014510D"/>
    <w:rsid w:val="001453EA"/>
    <w:rsid w:val="0014566B"/>
    <w:rsid w:val="001456AA"/>
    <w:rsid w:val="00145EC5"/>
    <w:rsid w:val="00146211"/>
    <w:rsid w:val="00146327"/>
    <w:rsid w:val="00146334"/>
    <w:rsid w:val="00146728"/>
    <w:rsid w:val="0014694C"/>
    <w:rsid w:val="001469D1"/>
    <w:rsid w:val="00146D8F"/>
    <w:rsid w:val="00146D9E"/>
    <w:rsid w:val="00146E71"/>
    <w:rsid w:val="00146F8E"/>
    <w:rsid w:val="00146FE7"/>
    <w:rsid w:val="0014759F"/>
    <w:rsid w:val="00147A91"/>
    <w:rsid w:val="0015010E"/>
    <w:rsid w:val="00150114"/>
    <w:rsid w:val="00150554"/>
    <w:rsid w:val="00150D60"/>
    <w:rsid w:val="00150EBA"/>
    <w:rsid w:val="0015152D"/>
    <w:rsid w:val="001515B5"/>
    <w:rsid w:val="001519A6"/>
    <w:rsid w:val="001519F7"/>
    <w:rsid w:val="00151CD3"/>
    <w:rsid w:val="00151DA4"/>
    <w:rsid w:val="00151EDF"/>
    <w:rsid w:val="001522C2"/>
    <w:rsid w:val="00152556"/>
    <w:rsid w:val="00152722"/>
    <w:rsid w:val="00152879"/>
    <w:rsid w:val="00152C99"/>
    <w:rsid w:val="00152D0B"/>
    <w:rsid w:val="00152DA1"/>
    <w:rsid w:val="00153299"/>
    <w:rsid w:val="00153364"/>
    <w:rsid w:val="001535EF"/>
    <w:rsid w:val="001536D3"/>
    <w:rsid w:val="001539B5"/>
    <w:rsid w:val="00153BA7"/>
    <w:rsid w:val="00153E01"/>
    <w:rsid w:val="00153E57"/>
    <w:rsid w:val="001541F9"/>
    <w:rsid w:val="0015426E"/>
    <w:rsid w:val="00154588"/>
    <w:rsid w:val="0015483D"/>
    <w:rsid w:val="00154A5E"/>
    <w:rsid w:val="00154B67"/>
    <w:rsid w:val="00154D61"/>
    <w:rsid w:val="00155596"/>
    <w:rsid w:val="0015562E"/>
    <w:rsid w:val="001557D6"/>
    <w:rsid w:val="00155948"/>
    <w:rsid w:val="00155FD0"/>
    <w:rsid w:val="001569A1"/>
    <w:rsid w:val="00156B2C"/>
    <w:rsid w:val="00156CA8"/>
    <w:rsid w:val="00156EF1"/>
    <w:rsid w:val="00157364"/>
    <w:rsid w:val="001574C3"/>
    <w:rsid w:val="001575C7"/>
    <w:rsid w:val="00157841"/>
    <w:rsid w:val="001578D2"/>
    <w:rsid w:val="001579FC"/>
    <w:rsid w:val="00160511"/>
    <w:rsid w:val="00160737"/>
    <w:rsid w:val="00160746"/>
    <w:rsid w:val="00160C54"/>
    <w:rsid w:val="00160EC2"/>
    <w:rsid w:val="00161173"/>
    <w:rsid w:val="001612A0"/>
    <w:rsid w:val="00161629"/>
    <w:rsid w:val="001619BA"/>
    <w:rsid w:val="00161A06"/>
    <w:rsid w:val="00161A51"/>
    <w:rsid w:val="00161EC7"/>
    <w:rsid w:val="00161F5D"/>
    <w:rsid w:val="001620F9"/>
    <w:rsid w:val="00162302"/>
    <w:rsid w:val="001623CA"/>
    <w:rsid w:val="00162423"/>
    <w:rsid w:val="0016252E"/>
    <w:rsid w:val="001626ED"/>
    <w:rsid w:val="00162A78"/>
    <w:rsid w:val="00163182"/>
    <w:rsid w:val="00163926"/>
    <w:rsid w:val="00163AA2"/>
    <w:rsid w:val="00163B67"/>
    <w:rsid w:val="001646AF"/>
    <w:rsid w:val="00164B46"/>
    <w:rsid w:val="00164F26"/>
    <w:rsid w:val="00164F55"/>
    <w:rsid w:val="00165042"/>
    <w:rsid w:val="0016568B"/>
    <w:rsid w:val="00165CA3"/>
    <w:rsid w:val="00165FCD"/>
    <w:rsid w:val="001664D3"/>
    <w:rsid w:val="001665B4"/>
    <w:rsid w:val="001666E5"/>
    <w:rsid w:val="00166BE7"/>
    <w:rsid w:val="00166FF8"/>
    <w:rsid w:val="00167039"/>
    <w:rsid w:val="001670FC"/>
    <w:rsid w:val="0016745F"/>
    <w:rsid w:val="001675F0"/>
    <w:rsid w:val="001677EC"/>
    <w:rsid w:val="00167A6A"/>
    <w:rsid w:val="00167AF0"/>
    <w:rsid w:val="00167CCE"/>
    <w:rsid w:val="00170013"/>
    <w:rsid w:val="00170657"/>
    <w:rsid w:val="00170A17"/>
    <w:rsid w:val="00171347"/>
    <w:rsid w:val="0017156E"/>
    <w:rsid w:val="0017171F"/>
    <w:rsid w:val="001719B4"/>
    <w:rsid w:val="00171A02"/>
    <w:rsid w:val="00171A37"/>
    <w:rsid w:val="001720F1"/>
    <w:rsid w:val="0017230E"/>
    <w:rsid w:val="001728D2"/>
    <w:rsid w:val="00172AC8"/>
    <w:rsid w:val="001735A4"/>
    <w:rsid w:val="00173A8D"/>
    <w:rsid w:val="00173C89"/>
    <w:rsid w:val="00173D02"/>
    <w:rsid w:val="00174034"/>
    <w:rsid w:val="00174074"/>
    <w:rsid w:val="001740DE"/>
    <w:rsid w:val="00174343"/>
    <w:rsid w:val="0017440E"/>
    <w:rsid w:val="00174565"/>
    <w:rsid w:val="001747E8"/>
    <w:rsid w:val="0017491B"/>
    <w:rsid w:val="00174A93"/>
    <w:rsid w:val="00174B07"/>
    <w:rsid w:val="001750FD"/>
    <w:rsid w:val="00175463"/>
    <w:rsid w:val="00175859"/>
    <w:rsid w:val="001758C9"/>
    <w:rsid w:val="00175A78"/>
    <w:rsid w:val="00175C62"/>
    <w:rsid w:val="00175D99"/>
    <w:rsid w:val="001766BD"/>
    <w:rsid w:val="00176B36"/>
    <w:rsid w:val="00176B48"/>
    <w:rsid w:val="00176DC5"/>
    <w:rsid w:val="00176E4E"/>
    <w:rsid w:val="00176EBD"/>
    <w:rsid w:val="00176EDA"/>
    <w:rsid w:val="00176F1A"/>
    <w:rsid w:val="001772B7"/>
    <w:rsid w:val="00177455"/>
    <w:rsid w:val="00177804"/>
    <w:rsid w:val="00177FA3"/>
    <w:rsid w:val="001800AD"/>
    <w:rsid w:val="0018048A"/>
    <w:rsid w:val="00180E4C"/>
    <w:rsid w:val="00180F34"/>
    <w:rsid w:val="001813EF"/>
    <w:rsid w:val="001818E7"/>
    <w:rsid w:val="00181C21"/>
    <w:rsid w:val="00181C7E"/>
    <w:rsid w:val="00181DE8"/>
    <w:rsid w:val="00182159"/>
    <w:rsid w:val="00182369"/>
    <w:rsid w:val="00182640"/>
    <w:rsid w:val="00182A11"/>
    <w:rsid w:val="00182DD7"/>
    <w:rsid w:val="00182DEA"/>
    <w:rsid w:val="00183F5C"/>
    <w:rsid w:val="001843CF"/>
    <w:rsid w:val="00184576"/>
    <w:rsid w:val="001845CA"/>
    <w:rsid w:val="001845ED"/>
    <w:rsid w:val="001846FA"/>
    <w:rsid w:val="00184862"/>
    <w:rsid w:val="001848FF"/>
    <w:rsid w:val="00184F59"/>
    <w:rsid w:val="001850E9"/>
    <w:rsid w:val="001854FC"/>
    <w:rsid w:val="00185642"/>
    <w:rsid w:val="00185908"/>
    <w:rsid w:val="00185B64"/>
    <w:rsid w:val="001860A9"/>
    <w:rsid w:val="00186A3A"/>
    <w:rsid w:val="00186AD8"/>
    <w:rsid w:val="00187151"/>
    <w:rsid w:val="00187169"/>
    <w:rsid w:val="00187624"/>
    <w:rsid w:val="0018771F"/>
    <w:rsid w:val="00187AF7"/>
    <w:rsid w:val="00187C2C"/>
    <w:rsid w:val="00190178"/>
    <w:rsid w:val="001905A5"/>
    <w:rsid w:val="00190947"/>
    <w:rsid w:val="00190C5A"/>
    <w:rsid w:val="00190CFC"/>
    <w:rsid w:val="00190D6E"/>
    <w:rsid w:val="00190E6C"/>
    <w:rsid w:val="00191231"/>
    <w:rsid w:val="001914DF"/>
    <w:rsid w:val="001915D6"/>
    <w:rsid w:val="00191DA9"/>
    <w:rsid w:val="00192066"/>
    <w:rsid w:val="001920CC"/>
    <w:rsid w:val="00192117"/>
    <w:rsid w:val="001924C4"/>
    <w:rsid w:val="00192AF2"/>
    <w:rsid w:val="001930A9"/>
    <w:rsid w:val="001931FB"/>
    <w:rsid w:val="0019322C"/>
    <w:rsid w:val="00193915"/>
    <w:rsid w:val="00194198"/>
    <w:rsid w:val="00194612"/>
    <w:rsid w:val="00194629"/>
    <w:rsid w:val="00194A57"/>
    <w:rsid w:val="00194F55"/>
    <w:rsid w:val="00194FD2"/>
    <w:rsid w:val="00195179"/>
    <w:rsid w:val="001952F4"/>
    <w:rsid w:val="00195493"/>
    <w:rsid w:val="0019579E"/>
    <w:rsid w:val="00195805"/>
    <w:rsid w:val="001959D7"/>
    <w:rsid w:val="00195A03"/>
    <w:rsid w:val="00196BF8"/>
    <w:rsid w:val="0019701E"/>
    <w:rsid w:val="00197086"/>
    <w:rsid w:val="0019762C"/>
    <w:rsid w:val="001976A4"/>
    <w:rsid w:val="00197B6F"/>
    <w:rsid w:val="001A0883"/>
    <w:rsid w:val="001A0B0E"/>
    <w:rsid w:val="001A0FBF"/>
    <w:rsid w:val="001A1058"/>
    <w:rsid w:val="001A1598"/>
    <w:rsid w:val="001A1614"/>
    <w:rsid w:val="001A19AD"/>
    <w:rsid w:val="001A1A13"/>
    <w:rsid w:val="001A1C88"/>
    <w:rsid w:val="001A2C10"/>
    <w:rsid w:val="001A2D37"/>
    <w:rsid w:val="001A3297"/>
    <w:rsid w:val="001A3404"/>
    <w:rsid w:val="001A3567"/>
    <w:rsid w:val="001A38FF"/>
    <w:rsid w:val="001A44EA"/>
    <w:rsid w:val="001A44EB"/>
    <w:rsid w:val="001A4531"/>
    <w:rsid w:val="001A46FC"/>
    <w:rsid w:val="001A487F"/>
    <w:rsid w:val="001A525D"/>
    <w:rsid w:val="001A525E"/>
    <w:rsid w:val="001A52A2"/>
    <w:rsid w:val="001A550C"/>
    <w:rsid w:val="001A5A7B"/>
    <w:rsid w:val="001A5BAE"/>
    <w:rsid w:val="001A5DA7"/>
    <w:rsid w:val="001A5F37"/>
    <w:rsid w:val="001A63C0"/>
    <w:rsid w:val="001A65DF"/>
    <w:rsid w:val="001A6673"/>
    <w:rsid w:val="001A6ACA"/>
    <w:rsid w:val="001A6CC6"/>
    <w:rsid w:val="001A6FE2"/>
    <w:rsid w:val="001A717F"/>
    <w:rsid w:val="001A7696"/>
    <w:rsid w:val="001A7A4A"/>
    <w:rsid w:val="001A7F12"/>
    <w:rsid w:val="001B03D4"/>
    <w:rsid w:val="001B05A4"/>
    <w:rsid w:val="001B0DE0"/>
    <w:rsid w:val="001B17BB"/>
    <w:rsid w:val="001B1A89"/>
    <w:rsid w:val="001B1AAC"/>
    <w:rsid w:val="001B1C39"/>
    <w:rsid w:val="001B1C90"/>
    <w:rsid w:val="001B1D8B"/>
    <w:rsid w:val="001B1ED5"/>
    <w:rsid w:val="001B21E9"/>
    <w:rsid w:val="001B25B2"/>
    <w:rsid w:val="001B28C0"/>
    <w:rsid w:val="001B29BA"/>
    <w:rsid w:val="001B2EF9"/>
    <w:rsid w:val="001B3033"/>
    <w:rsid w:val="001B3108"/>
    <w:rsid w:val="001B369A"/>
    <w:rsid w:val="001B3B22"/>
    <w:rsid w:val="001B4128"/>
    <w:rsid w:val="001B41DA"/>
    <w:rsid w:val="001B454B"/>
    <w:rsid w:val="001B46E1"/>
    <w:rsid w:val="001B49FF"/>
    <w:rsid w:val="001B4BBA"/>
    <w:rsid w:val="001B4DE2"/>
    <w:rsid w:val="001B5199"/>
    <w:rsid w:val="001B53E5"/>
    <w:rsid w:val="001B55A0"/>
    <w:rsid w:val="001B57FB"/>
    <w:rsid w:val="001B5B82"/>
    <w:rsid w:val="001B5F16"/>
    <w:rsid w:val="001B5FDD"/>
    <w:rsid w:val="001B60CE"/>
    <w:rsid w:val="001B6257"/>
    <w:rsid w:val="001B62E7"/>
    <w:rsid w:val="001B6768"/>
    <w:rsid w:val="001B6A3C"/>
    <w:rsid w:val="001B6D6B"/>
    <w:rsid w:val="001B6D73"/>
    <w:rsid w:val="001B6E85"/>
    <w:rsid w:val="001B6FAD"/>
    <w:rsid w:val="001B77CA"/>
    <w:rsid w:val="001B7FF6"/>
    <w:rsid w:val="001C025F"/>
    <w:rsid w:val="001C0E26"/>
    <w:rsid w:val="001C122E"/>
    <w:rsid w:val="001C14B1"/>
    <w:rsid w:val="001C1C86"/>
    <w:rsid w:val="001C277D"/>
    <w:rsid w:val="001C28DF"/>
    <w:rsid w:val="001C2B68"/>
    <w:rsid w:val="001C2CCB"/>
    <w:rsid w:val="001C2D8A"/>
    <w:rsid w:val="001C2FE7"/>
    <w:rsid w:val="001C3324"/>
    <w:rsid w:val="001C368B"/>
    <w:rsid w:val="001C3A09"/>
    <w:rsid w:val="001C3D08"/>
    <w:rsid w:val="001C3FA1"/>
    <w:rsid w:val="001C42F5"/>
    <w:rsid w:val="001C45B1"/>
    <w:rsid w:val="001C45BC"/>
    <w:rsid w:val="001C463D"/>
    <w:rsid w:val="001C47D5"/>
    <w:rsid w:val="001C48A4"/>
    <w:rsid w:val="001C48A8"/>
    <w:rsid w:val="001C4B76"/>
    <w:rsid w:val="001C5029"/>
    <w:rsid w:val="001C5232"/>
    <w:rsid w:val="001C5781"/>
    <w:rsid w:val="001C5FF8"/>
    <w:rsid w:val="001C60C4"/>
    <w:rsid w:val="001C6122"/>
    <w:rsid w:val="001C6297"/>
    <w:rsid w:val="001C67D6"/>
    <w:rsid w:val="001C6ED4"/>
    <w:rsid w:val="001C7159"/>
    <w:rsid w:val="001C771D"/>
    <w:rsid w:val="001C78D8"/>
    <w:rsid w:val="001C7A1D"/>
    <w:rsid w:val="001C7B36"/>
    <w:rsid w:val="001C7DA2"/>
    <w:rsid w:val="001C7E76"/>
    <w:rsid w:val="001C7FB6"/>
    <w:rsid w:val="001D0027"/>
    <w:rsid w:val="001D00DD"/>
    <w:rsid w:val="001D031B"/>
    <w:rsid w:val="001D0537"/>
    <w:rsid w:val="001D07D9"/>
    <w:rsid w:val="001D082E"/>
    <w:rsid w:val="001D0933"/>
    <w:rsid w:val="001D0B1B"/>
    <w:rsid w:val="001D0BFA"/>
    <w:rsid w:val="001D119F"/>
    <w:rsid w:val="001D12C5"/>
    <w:rsid w:val="001D1721"/>
    <w:rsid w:val="001D1782"/>
    <w:rsid w:val="001D1880"/>
    <w:rsid w:val="001D18A7"/>
    <w:rsid w:val="001D197A"/>
    <w:rsid w:val="001D1994"/>
    <w:rsid w:val="001D1AFF"/>
    <w:rsid w:val="001D1BC9"/>
    <w:rsid w:val="001D1CC4"/>
    <w:rsid w:val="001D201A"/>
    <w:rsid w:val="001D207A"/>
    <w:rsid w:val="001D2134"/>
    <w:rsid w:val="001D224C"/>
    <w:rsid w:val="001D22E3"/>
    <w:rsid w:val="001D2443"/>
    <w:rsid w:val="001D25A7"/>
    <w:rsid w:val="001D2A96"/>
    <w:rsid w:val="001D2C20"/>
    <w:rsid w:val="001D2D73"/>
    <w:rsid w:val="001D3012"/>
    <w:rsid w:val="001D3474"/>
    <w:rsid w:val="001D35EF"/>
    <w:rsid w:val="001D3B16"/>
    <w:rsid w:val="001D3B6F"/>
    <w:rsid w:val="001D3E7F"/>
    <w:rsid w:val="001D42BB"/>
    <w:rsid w:val="001D43D3"/>
    <w:rsid w:val="001D4595"/>
    <w:rsid w:val="001D499E"/>
    <w:rsid w:val="001D4ECE"/>
    <w:rsid w:val="001D4F1B"/>
    <w:rsid w:val="001D517E"/>
    <w:rsid w:val="001D5336"/>
    <w:rsid w:val="001D539E"/>
    <w:rsid w:val="001D5509"/>
    <w:rsid w:val="001D55B4"/>
    <w:rsid w:val="001D5643"/>
    <w:rsid w:val="001D616F"/>
    <w:rsid w:val="001D61AD"/>
    <w:rsid w:val="001D63E2"/>
    <w:rsid w:val="001D6490"/>
    <w:rsid w:val="001D6A66"/>
    <w:rsid w:val="001D6ECD"/>
    <w:rsid w:val="001D7596"/>
    <w:rsid w:val="001D7673"/>
    <w:rsid w:val="001D7967"/>
    <w:rsid w:val="001D7A2E"/>
    <w:rsid w:val="001D7C0B"/>
    <w:rsid w:val="001E04CE"/>
    <w:rsid w:val="001E0722"/>
    <w:rsid w:val="001E078F"/>
    <w:rsid w:val="001E0AF5"/>
    <w:rsid w:val="001E0EFF"/>
    <w:rsid w:val="001E0F1B"/>
    <w:rsid w:val="001E0F83"/>
    <w:rsid w:val="001E110B"/>
    <w:rsid w:val="001E1244"/>
    <w:rsid w:val="001E1570"/>
    <w:rsid w:val="001E194E"/>
    <w:rsid w:val="001E1AF7"/>
    <w:rsid w:val="001E1C5D"/>
    <w:rsid w:val="001E1D3A"/>
    <w:rsid w:val="001E1D59"/>
    <w:rsid w:val="001E1D8D"/>
    <w:rsid w:val="001E1F69"/>
    <w:rsid w:val="001E206D"/>
    <w:rsid w:val="001E2181"/>
    <w:rsid w:val="001E220C"/>
    <w:rsid w:val="001E27C0"/>
    <w:rsid w:val="001E2ED0"/>
    <w:rsid w:val="001E2F2C"/>
    <w:rsid w:val="001E2FE2"/>
    <w:rsid w:val="001E3884"/>
    <w:rsid w:val="001E3A97"/>
    <w:rsid w:val="001E3AC8"/>
    <w:rsid w:val="001E3F77"/>
    <w:rsid w:val="001E3F8E"/>
    <w:rsid w:val="001E43B1"/>
    <w:rsid w:val="001E4488"/>
    <w:rsid w:val="001E4A9A"/>
    <w:rsid w:val="001E4CB0"/>
    <w:rsid w:val="001E5035"/>
    <w:rsid w:val="001E50F6"/>
    <w:rsid w:val="001E5268"/>
    <w:rsid w:val="001E546E"/>
    <w:rsid w:val="001E569E"/>
    <w:rsid w:val="001E59BC"/>
    <w:rsid w:val="001E5D78"/>
    <w:rsid w:val="001E601C"/>
    <w:rsid w:val="001E60D6"/>
    <w:rsid w:val="001E611B"/>
    <w:rsid w:val="001E61E3"/>
    <w:rsid w:val="001E629F"/>
    <w:rsid w:val="001E6A31"/>
    <w:rsid w:val="001F00A6"/>
    <w:rsid w:val="001F00CB"/>
    <w:rsid w:val="001F03FE"/>
    <w:rsid w:val="001F06B8"/>
    <w:rsid w:val="001F0EC5"/>
    <w:rsid w:val="001F20D3"/>
    <w:rsid w:val="001F2491"/>
    <w:rsid w:val="001F253A"/>
    <w:rsid w:val="001F28F2"/>
    <w:rsid w:val="001F2E26"/>
    <w:rsid w:val="001F333A"/>
    <w:rsid w:val="001F36E9"/>
    <w:rsid w:val="001F3779"/>
    <w:rsid w:val="001F382D"/>
    <w:rsid w:val="001F3B40"/>
    <w:rsid w:val="001F426B"/>
    <w:rsid w:val="001F47F5"/>
    <w:rsid w:val="001F4E76"/>
    <w:rsid w:val="001F5099"/>
    <w:rsid w:val="001F518D"/>
    <w:rsid w:val="001F5196"/>
    <w:rsid w:val="001F5EF8"/>
    <w:rsid w:val="001F646A"/>
    <w:rsid w:val="001F6A4F"/>
    <w:rsid w:val="001F75EE"/>
    <w:rsid w:val="001F7AFC"/>
    <w:rsid w:val="001F7DA6"/>
    <w:rsid w:val="001F7EFD"/>
    <w:rsid w:val="00200366"/>
    <w:rsid w:val="0020036E"/>
    <w:rsid w:val="002003AC"/>
    <w:rsid w:val="0020040D"/>
    <w:rsid w:val="0020069D"/>
    <w:rsid w:val="0020072E"/>
    <w:rsid w:val="00200998"/>
    <w:rsid w:val="00200A3B"/>
    <w:rsid w:val="00200AA5"/>
    <w:rsid w:val="00200BE5"/>
    <w:rsid w:val="002012C5"/>
    <w:rsid w:val="00201361"/>
    <w:rsid w:val="002013EB"/>
    <w:rsid w:val="00201635"/>
    <w:rsid w:val="00201EAC"/>
    <w:rsid w:val="00202081"/>
    <w:rsid w:val="00202540"/>
    <w:rsid w:val="002027E1"/>
    <w:rsid w:val="00202D7A"/>
    <w:rsid w:val="00202F41"/>
    <w:rsid w:val="00203428"/>
    <w:rsid w:val="00203472"/>
    <w:rsid w:val="00203586"/>
    <w:rsid w:val="002037D8"/>
    <w:rsid w:val="0020394A"/>
    <w:rsid w:val="00203CD2"/>
    <w:rsid w:val="00203F50"/>
    <w:rsid w:val="00204270"/>
    <w:rsid w:val="0020432C"/>
    <w:rsid w:val="00204778"/>
    <w:rsid w:val="002047C8"/>
    <w:rsid w:val="00204BFA"/>
    <w:rsid w:val="0020551F"/>
    <w:rsid w:val="00205771"/>
    <w:rsid w:val="00205DC8"/>
    <w:rsid w:val="00206043"/>
    <w:rsid w:val="0020625C"/>
    <w:rsid w:val="00206389"/>
    <w:rsid w:val="002065AA"/>
    <w:rsid w:val="002065E2"/>
    <w:rsid w:val="00206A1B"/>
    <w:rsid w:val="00206C3A"/>
    <w:rsid w:val="00206DF6"/>
    <w:rsid w:val="00206F50"/>
    <w:rsid w:val="002071C5"/>
    <w:rsid w:val="00207231"/>
    <w:rsid w:val="0020727E"/>
    <w:rsid w:val="002076FB"/>
    <w:rsid w:val="00207D05"/>
    <w:rsid w:val="00207F0B"/>
    <w:rsid w:val="002101E0"/>
    <w:rsid w:val="002102F4"/>
    <w:rsid w:val="00210398"/>
    <w:rsid w:val="002104DA"/>
    <w:rsid w:val="0021051C"/>
    <w:rsid w:val="00210B66"/>
    <w:rsid w:val="00210BD2"/>
    <w:rsid w:val="00210D3E"/>
    <w:rsid w:val="00210D67"/>
    <w:rsid w:val="00210DA2"/>
    <w:rsid w:val="00210EFA"/>
    <w:rsid w:val="002116E2"/>
    <w:rsid w:val="002118FB"/>
    <w:rsid w:val="00212155"/>
    <w:rsid w:val="00212179"/>
    <w:rsid w:val="00212522"/>
    <w:rsid w:val="0021254A"/>
    <w:rsid w:val="002126AA"/>
    <w:rsid w:val="00212793"/>
    <w:rsid w:val="002127CD"/>
    <w:rsid w:val="00212854"/>
    <w:rsid w:val="00212940"/>
    <w:rsid w:val="00212C4D"/>
    <w:rsid w:val="00213044"/>
    <w:rsid w:val="0021377C"/>
    <w:rsid w:val="002137A5"/>
    <w:rsid w:val="002137AF"/>
    <w:rsid w:val="00213B67"/>
    <w:rsid w:val="00213C57"/>
    <w:rsid w:val="00213D3E"/>
    <w:rsid w:val="00213E0F"/>
    <w:rsid w:val="002143AC"/>
    <w:rsid w:val="0021478B"/>
    <w:rsid w:val="00214807"/>
    <w:rsid w:val="002148D5"/>
    <w:rsid w:val="002148EE"/>
    <w:rsid w:val="00214B47"/>
    <w:rsid w:val="00214CC6"/>
    <w:rsid w:val="0021507F"/>
    <w:rsid w:val="002150A5"/>
    <w:rsid w:val="00215130"/>
    <w:rsid w:val="00215D96"/>
    <w:rsid w:val="00216411"/>
    <w:rsid w:val="0021673F"/>
    <w:rsid w:val="002168F4"/>
    <w:rsid w:val="00216B54"/>
    <w:rsid w:val="00216F14"/>
    <w:rsid w:val="00217137"/>
    <w:rsid w:val="00217318"/>
    <w:rsid w:val="002174FE"/>
    <w:rsid w:val="002175CC"/>
    <w:rsid w:val="0021782A"/>
    <w:rsid w:val="002178D6"/>
    <w:rsid w:val="002200CF"/>
    <w:rsid w:val="00220833"/>
    <w:rsid w:val="00220906"/>
    <w:rsid w:val="00220A2C"/>
    <w:rsid w:val="00220A58"/>
    <w:rsid w:val="00220D74"/>
    <w:rsid w:val="002214C6"/>
    <w:rsid w:val="00221CC6"/>
    <w:rsid w:val="0022210D"/>
    <w:rsid w:val="00222132"/>
    <w:rsid w:val="0022217A"/>
    <w:rsid w:val="0022244F"/>
    <w:rsid w:val="00222620"/>
    <w:rsid w:val="00222B3B"/>
    <w:rsid w:val="00222E5E"/>
    <w:rsid w:val="00222F19"/>
    <w:rsid w:val="002231BE"/>
    <w:rsid w:val="002231F9"/>
    <w:rsid w:val="0022338C"/>
    <w:rsid w:val="0022365F"/>
    <w:rsid w:val="00223A7C"/>
    <w:rsid w:val="00223AE1"/>
    <w:rsid w:val="00223FD4"/>
    <w:rsid w:val="00224257"/>
    <w:rsid w:val="00224961"/>
    <w:rsid w:val="00224BD0"/>
    <w:rsid w:val="00224CEC"/>
    <w:rsid w:val="00224DEC"/>
    <w:rsid w:val="00224EAC"/>
    <w:rsid w:val="00224EC5"/>
    <w:rsid w:val="00225143"/>
    <w:rsid w:val="0022529E"/>
    <w:rsid w:val="002257B9"/>
    <w:rsid w:val="002259D1"/>
    <w:rsid w:val="00225F9A"/>
    <w:rsid w:val="002264F8"/>
    <w:rsid w:val="00226928"/>
    <w:rsid w:val="00226FAA"/>
    <w:rsid w:val="002271FC"/>
    <w:rsid w:val="00227241"/>
    <w:rsid w:val="0022749F"/>
    <w:rsid w:val="002276A2"/>
    <w:rsid w:val="00227840"/>
    <w:rsid w:val="00227FDA"/>
    <w:rsid w:val="002300BD"/>
    <w:rsid w:val="00230523"/>
    <w:rsid w:val="0023091A"/>
    <w:rsid w:val="002309C5"/>
    <w:rsid w:val="00230AA7"/>
    <w:rsid w:val="00230C4F"/>
    <w:rsid w:val="00230FA9"/>
    <w:rsid w:val="00231234"/>
    <w:rsid w:val="002312FB"/>
    <w:rsid w:val="00231C64"/>
    <w:rsid w:val="00231E3C"/>
    <w:rsid w:val="00232090"/>
    <w:rsid w:val="00232092"/>
    <w:rsid w:val="002321A0"/>
    <w:rsid w:val="00232448"/>
    <w:rsid w:val="00232712"/>
    <w:rsid w:val="00232745"/>
    <w:rsid w:val="00232794"/>
    <w:rsid w:val="00232A7E"/>
    <w:rsid w:val="00232B67"/>
    <w:rsid w:val="00232CE7"/>
    <w:rsid w:val="00233153"/>
    <w:rsid w:val="00233931"/>
    <w:rsid w:val="00233CDC"/>
    <w:rsid w:val="00233E59"/>
    <w:rsid w:val="00233FB7"/>
    <w:rsid w:val="0023496C"/>
    <w:rsid w:val="002353ED"/>
    <w:rsid w:val="00235B16"/>
    <w:rsid w:val="00235E54"/>
    <w:rsid w:val="0023631C"/>
    <w:rsid w:val="0023671C"/>
    <w:rsid w:val="00236A1D"/>
    <w:rsid w:val="00236BA3"/>
    <w:rsid w:val="00236D72"/>
    <w:rsid w:val="00236F93"/>
    <w:rsid w:val="00237165"/>
    <w:rsid w:val="0023745B"/>
    <w:rsid w:val="00237504"/>
    <w:rsid w:val="00237CC8"/>
    <w:rsid w:val="00240104"/>
    <w:rsid w:val="002401BD"/>
    <w:rsid w:val="0024020D"/>
    <w:rsid w:val="002402B8"/>
    <w:rsid w:val="00240415"/>
    <w:rsid w:val="0024052D"/>
    <w:rsid w:val="002405DF"/>
    <w:rsid w:val="00240A9F"/>
    <w:rsid w:val="00240AA0"/>
    <w:rsid w:val="00240E58"/>
    <w:rsid w:val="0024139E"/>
    <w:rsid w:val="00241665"/>
    <w:rsid w:val="00241DBA"/>
    <w:rsid w:val="002420D8"/>
    <w:rsid w:val="0024250C"/>
    <w:rsid w:val="002425DB"/>
    <w:rsid w:val="00242A2F"/>
    <w:rsid w:val="00242CE8"/>
    <w:rsid w:val="00242F78"/>
    <w:rsid w:val="00243142"/>
    <w:rsid w:val="00243269"/>
    <w:rsid w:val="00243679"/>
    <w:rsid w:val="002437E7"/>
    <w:rsid w:val="00243A4F"/>
    <w:rsid w:val="00243E3C"/>
    <w:rsid w:val="00244996"/>
    <w:rsid w:val="00244BDC"/>
    <w:rsid w:val="0024570C"/>
    <w:rsid w:val="00245C1C"/>
    <w:rsid w:val="00245D45"/>
    <w:rsid w:val="00245F50"/>
    <w:rsid w:val="00245F56"/>
    <w:rsid w:val="0024605C"/>
    <w:rsid w:val="0024611E"/>
    <w:rsid w:val="002462B5"/>
    <w:rsid w:val="00246456"/>
    <w:rsid w:val="00246519"/>
    <w:rsid w:val="00246541"/>
    <w:rsid w:val="00246643"/>
    <w:rsid w:val="002468BC"/>
    <w:rsid w:val="00246CBE"/>
    <w:rsid w:val="002472D9"/>
    <w:rsid w:val="00247389"/>
    <w:rsid w:val="00247562"/>
    <w:rsid w:val="00247B16"/>
    <w:rsid w:val="00247E02"/>
    <w:rsid w:val="00247E94"/>
    <w:rsid w:val="0025012E"/>
    <w:rsid w:val="00250406"/>
    <w:rsid w:val="00250A6B"/>
    <w:rsid w:val="00250CC7"/>
    <w:rsid w:val="00250CDD"/>
    <w:rsid w:val="0025111C"/>
    <w:rsid w:val="002511BB"/>
    <w:rsid w:val="00251373"/>
    <w:rsid w:val="002513F5"/>
    <w:rsid w:val="00251A15"/>
    <w:rsid w:val="00251AD9"/>
    <w:rsid w:val="00251B52"/>
    <w:rsid w:val="00251C87"/>
    <w:rsid w:val="00252321"/>
    <w:rsid w:val="00252593"/>
    <w:rsid w:val="00252862"/>
    <w:rsid w:val="002529FA"/>
    <w:rsid w:val="00252AFB"/>
    <w:rsid w:val="00252E40"/>
    <w:rsid w:val="00252F1D"/>
    <w:rsid w:val="0025390C"/>
    <w:rsid w:val="002543D1"/>
    <w:rsid w:val="002547C4"/>
    <w:rsid w:val="00254914"/>
    <w:rsid w:val="00254C51"/>
    <w:rsid w:val="002550F5"/>
    <w:rsid w:val="0025539C"/>
    <w:rsid w:val="00256560"/>
    <w:rsid w:val="0025724F"/>
    <w:rsid w:val="002575E8"/>
    <w:rsid w:val="00257A36"/>
    <w:rsid w:val="00260078"/>
    <w:rsid w:val="002608F9"/>
    <w:rsid w:val="00260988"/>
    <w:rsid w:val="00260A0C"/>
    <w:rsid w:val="00260BF5"/>
    <w:rsid w:val="00260DF3"/>
    <w:rsid w:val="00260F46"/>
    <w:rsid w:val="00260FDA"/>
    <w:rsid w:val="0026100D"/>
    <w:rsid w:val="00261325"/>
    <w:rsid w:val="00261346"/>
    <w:rsid w:val="00261D15"/>
    <w:rsid w:val="0026255A"/>
    <w:rsid w:val="0026274F"/>
    <w:rsid w:val="00262839"/>
    <w:rsid w:val="002629A7"/>
    <w:rsid w:val="00262AF2"/>
    <w:rsid w:val="00262C8A"/>
    <w:rsid w:val="00262E01"/>
    <w:rsid w:val="0026309F"/>
    <w:rsid w:val="00263195"/>
    <w:rsid w:val="00263368"/>
    <w:rsid w:val="002636B3"/>
    <w:rsid w:val="00263805"/>
    <w:rsid w:val="00263A6E"/>
    <w:rsid w:val="00263C69"/>
    <w:rsid w:val="00263D88"/>
    <w:rsid w:val="002641FE"/>
    <w:rsid w:val="002644A8"/>
    <w:rsid w:val="00264534"/>
    <w:rsid w:val="0026463F"/>
    <w:rsid w:val="00264967"/>
    <w:rsid w:val="00264A76"/>
    <w:rsid w:val="00264AC8"/>
    <w:rsid w:val="002650BA"/>
    <w:rsid w:val="0026576A"/>
    <w:rsid w:val="002658AB"/>
    <w:rsid w:val="00265A9E"/>
    <w:rsid w:val="00265B70"/>
    <w:rsid w:val="00266009"/>
    <w:rsid w:val="002667FD"/>
    <w:rsid w:val="002669F6"/>
    <w:rsid w:val="00266A5C"/>
    <w:rsid w:val="00266B79"/>
    <w:rsid w:val="00266E38"/>
    <w:rsid w:val="00267234"/>
    <w:rsid w:val="002678BD"/>
    <w:rsid w:val="00267A0F"/>
    <w:rsid w:val="00267AE2"/>
    <w:rsid w:val="00267C3F"/>
    <w:rsid w:val="00267DAA"/>
    <w:rsid w:val="00270846"/>
    <w:rsid w:val="00270D9D"/>
    <w:rsid w:val="00270F71"/>
    <w:rsid w:val="002713F4"/>
    <w:rsid w:val="002714E0"/>
    <w:rsid w:val="0027156A"/>
    <w:rsid w:val="002717A2"/>
    <w:rsid w:val="00271842"/>
    <w:rsid w:val="00271844"/>
    <w:rsid w:val="00271DDA"/>
    <w:rsid w:val="002720BC"/>
    <w:rsid w:val="002729FB"/>
    <w:rsid w:val="00272C73"/>
    <w:rsid w:val="00272E1E"/>
    <w:rsid w:val="00273312"/>
    <w:rsid w:val="002736D6"/>
    <w:rsid w:val="002739ED"/>
    <w:rsid w:val="00273C1A"/>
    <w:rsid w:val="00273ED1"/>
    <w:rsid w:val="002741F3"/>
    <w:rsid w:val="00274A8B"/>
    <w:rsid w:val="00274DD8"/>
    <w:rsid w:val="0027501D"/>
    <w:rsid w:val="0027502D"/>
    <w:rsid w:val="002752FF"/>
    <w:rsid w:val="00275582"/>
    <w:rsid w:val="00276004"/>
    <w:rsid w:val="00276219"/>
    <w:rsid w:val="00276352"/>
    <w:rsid w:val="00276BB4"/>
    <w:rsid w:val="00276C07"/>
    <w:rsid w:val="00276EEB"/>
    <w:rsid w:val="002770EC"/>
    <w:rsid w:val="002773E6"/>
    <w:rsid w:val="002774CF"/>
    <w:rsid w:val="00277759"/>
    <w:rsid w:val="00277935"/>
    <w:rsid w:val="00277B12"/>
    <w:rsid w:val="00277BE8"/>
    <w:rsid w:val="00277F7E"/>
    <w:rsid w:val="0028006E"/>
    <w:rsid w:val="00280271"/>
    <w:rsid w:val="00280528"/>
    <w:rsid w:val="00280688"/>
    <w:rsid w:val="00280830"/>
    <w:rsid w:val="0028097B"/>
    <w:rsid w:val="002809FA"/>
    <w:rsid w:val="00280C86"/>
    <w:rsid w:val="00280C98"/>
    <w:rsid w:val="002811D7"/>
    <w:rsid w:val="0028167C"/>
    <w:rsid w:val="00281784"/>
    <w:rsid w:val="00281E40"/>
    <w:rsid w:val="002820ED"/>
    <w:rsid w:val="002827E0"/>
    <w:rsid w:val="00282A31"/>
    <w:rsid w:val="00282AAE"/>
    <w:rsid w:val="00282D6C"/>
    <w:rsid w:val="00282F8E"/>
    <w:rsid w:val="00282FD8"/>
    <w:rsid w:val="0028304B"/>
    <w:rsid w:val="00283175"/>
    <w:rsid w:val="002835A7"/>
    <w:rsid w:val="00283AAC"/>
    <w:rsid w:val="00283EFF"/>
    <w:rsid w:val="0028439C"/>
    <w:rsid w:val="00284679"/>
    <w:rsid w:val="00284C0A"/>
    <w:rsid w:val="00284C6B"/>
    <w:rsid w:val="00284D36"/>
    <w:rsid w:val="00284DAE"/>
    <w:rsid w:val="00285125"/>
    <w:rsid w:val="002854FB"/>
    <w:rsid w:val="00285736"/>
    <w:rsid w:val="00285C35"/>
    <w:rsid w:val="00285F36"/>
    <w:rsid w:val="0028648B"/>
    <w:rsid w:val="0028649B"/>
    <w:rsid w:val="00286582"/>
    <w:rsid w:val="00286895"/>
    <w:rsid w:val="002869F1"/>
    <w:rsid w:val="00286DBC"/>
    <w:rsid w:val="002870D0"/>
    <w:rsid w:val="002874F5"/>
    <w:rsid w:val="00287539"/>
    <w:rsid w:val="00287640"/>
    <w:rsid w:val="00287663"/>
    <w:rsid w:val="0028778A"/>
    <w:rsid w:val="002877B9"/>
    <w:rsid w:val="002879AA"/>
    <w:rsid w:val="00290341"/>
    <w:rsid w:val="00290871"/>
    <w:rsid w:val="002908AB"/>
    <w:rsid w:val="00290C73"/>
    <w:rsid w:val="00290CBF"/>
    <w:rsid w:val="00291051"/>
    <w:rsid w:val="00291291"/>
    <w:rsid w:val="002913ED"/>
    <w:rsid w:val="00291A47"/>
    <w:rsid w:val="00292041"/>
    <w:rsid w:val="002920CB"/>
    <w:rsid w:val="002923FE"/>
    <w:rsid w:val="002925C8"/>
    <w:rsid w:val="002926B6"/>
    <w:rsid w:val="002929D4"/>
    <w:rsid w:val="00292BFD"/>
    <w:rsid w:val="00292DED"/>
    <w:rsid w:val="00292EB4"/>
    <w:rsid w:val="0029328F"/>
    <w:rsid w:val="00293297"/>
    <w:rsid w:val="00293631"/>
    <w:rsid w:val="0029372A"/>
    <w:rsid w:val="00293892"/>
    <w:rsid w:val="0029390C"/>
    <w:rsid w:val="00293AEF"/>
    <w:rsid w:val="00293C02"/>
    <w:rsid w:val="00294A0A"/>
    <w:rsid w:val="00294A2E"/>
    <w:rsid w:val="00294A5B"/>
    <w:rsid w:val="00294CD4"/>
    <w:rsid w:val="00295055"/>
    <w:rsid w:val="002951BC"/>
    <w:rsid w:val="002951DF"/>
    <w:rsid w:val="002957CE"/>
    <w:rsid w:val="002957D2"/>
    <w:rsid w:val="00296088"/>
    <w:rsid w:val="00296478"/>
    <w:rsid w:val="00296A96"/>
    <w:rsid w:val="00296B14"/>
    <w:rsid w:val="0029715D"/>
    <w:rsid w:val="0029722D"/>
    <w:rsid w:val="0029754B"/>
    <w:rsid w:val="00297C7D"/>
    <w:rsid w:val="00297D31"/>
    <w:rsid w:val="00297F23"/>
    <w:rsid w:val="002A00B6"/>
    <w:rsid w:val="002A00DC"/>
    <w:rsid w:val="002A06AC"/>
    <w:rsid w:val="002A0A15"/>
    <w:rsid w:val="002A1082"/>
    <w:rsid w:val="002A1258"/>
    <w:rsid w:val="002A14AE"/>
    <w:rsid w:val="002A16EB"/>
    <w:rsid w:val="002A17EB"/>
    <w:rsid w:val="002A1EB1"/>
    <w:rsid w:val="002A2969"/>
    <w:rsid w:val="002A29E0"/>
    <w:rsid w:val="002A2FFD"/>
    <w:rsid w:val="002A3503"/>
    <w:rsid w:val="002A364E"/>
    <w:rsid w:val="002A37D9"/>
    <w:rsid w:val="002A3DF8"/>
    <w:rsid w:val="002A419F"/>
    <w:rsid w:val="002A41D9"/>
    <w:rsid w:val="002A4242"/>
    <w:rsid w:val="002A4931"/>
    <w:rsid w:val="002A495C"/>
    <w:rsid w:val="002A5649"/>
    <w:rsid w:val="002A5929"/>
    <w:rsid w:val="002A5973"/>
    <w:rsid w:val="002A5E37"/>
    <w:rsid w:val="002A5EE1"/>
    <w:rsid w:val="002A6375"/>
    <w:rsid w:val="002A68D7"/>
    <w:rsid w:val="002A6B05"/>
    <w:rsid w:val="002A6CF0"/>
    <w:rsid w:val="002A73D6"/>
    <w:rsid w:val="002A7739"/>
    <w:rsid w:val="002A7B98"/>
    <w:rsid w:val="002A7BD4"/>
    <w:rsid w:val="002A7D9C"/>
    <w:rsid w:val="002B030D"/>
    <w:rsid w:val="002B087D"/>
    <w:rsid w:val="002B089F"/>
    <w:rsid w:val="002B0A13"/>
    <w:rsid w:val="002B0C98"/>
    <w:rsid w:val="002B1117"/>
    <w:rsid w:val="002B1637"/>
    <w:rsid w:val="002B1738"/>
    <w:rsid w:val="002B1A9C"/>
    <w:rsid w:val="002B1B22"/>
    <w:rsid w:val="002B1B4E"/>
    <w:rsid w:val="002B1E1E"/>
    <w:rsid w:val="002B2575"/>
    <w:rsid w:val="002B2F88"/>
    <w:rsid w:val="002B3122"/>
    <w:rsid w:val="002B3361"/>
    <w:rsid w:val="002B34B9"/>
    <w:rsid w:val="002B3D00"/>
    <w:rsid w:val="002B4098"/>
    <w:rsid w:val="002B4A67"/>
    <w:rsid w:val="002B524D"/>
    <w:rsid w:val="002B5FE1"/>
    <w:rsid w:val="002B62D2"/>
    <w:rsid w:val="002B63AA"/>
    <w:rsid w:val="002B64A3"/>
    <w:rsid w:val="002B64A9"/>
    <w:rsid w:val="002B65ED"/>
    <w:rsid w:val="002B68E6"/>
    <w:rsid w:val="002B6D1C"/>
    <w:rsid w:val="002B6D9A"/>
    <w:rsid w:val="002B6E81"/>
    <w:rsid w:val="002B7BB8"/>
    <w:rsid w:val="002B7DFB"/>
    <w:rsid w:val="002C06FD"/>
    <w:rsid w:val="002C087A"/>
    <w:rsid w:val="002C08E4"/>
    <w:rsid w:val="002C08F7"/>
    <w:rsid w:val="002C0962"/>
    <w:rsid w:val="002C0AC0"/>
    <w:rsid w:val="002C0D6E"/>
    <w:rsid w:val="002C0ECE"/>
    <w:rsid w:val="002C0EF7"/>
    <w:rsid w:val="002C1361"/>
    <w:rsid w:val="002C1364"/>
    <w:rsid w:val="002C14A9"/>
    <w:rsid w:val="002C2122"/>
    <w:rsid w:val="002C2134"/>
    <w:rsid w:val="002C2239"/>
    <w:rsid w:val="002C22C7"/>
    <w:rsid w:val="002C236D"/>
    <w:rsid w:val="002C36B9"/>
    <w:rsid w:val="002C3B0D"/>
    <w:rsid w:val="002C3DB9"/>
    <w:rsid w:val="002C3EE6"/>
    <w:rsid w:val="002C42C7"/>
    <w:rsid w:val="002C430D"/>
    <w:rsid w:val="002C4463"/>
    <w:rsid w:val="002C44C1"/>
    <w:rsid w:val="002C49B0"/>
    <w:rsid w:val="002C4AD6"/>
    <w:rsid w:val="002C4F69"/>
    <w:rsid w:val="002C56D9"/>
    <w:rsid w:val="002C5791"/>
    <w:rsid w:val="002C5CAB"/>
    <w:rsid w:val="002C601A"/>
    <w:rsid w:val="002C617E"/>
    <w:rsid w:val="002C6222"/>
    <w:rsid w:val="002C69C5"/>
    <w:rsid w:val="002C6B7F"/>
    <w:rsid w:val="002C7DB2"/>
    <w:rsid w:val="002D0062"/>
    <w:rsid w:val="002D070A"/>
    <w:rsid w:val="002D091A"/>
    <w:rsid w:val="002D0956"/>
    <w:rsid w:val="002D0EF4"/>
    <w:rsid w:val="002D1041"/>
    <w:rsid w:val="002D12FE"/>
    <w:rsid w:val="002D143B"/>
    <w:rsid w:val="002D1711"/>
    <w:rsid w:val="002D178F"/>
    <w:rsid w:val="002D187F"/>
    <w:rsid w:val="002D1AD5"/>
    <w:rsid w:val="002D2385"/>
    <w:rsid w:val="002D27DA"/>
    <w:rsid w:val="002D2863"/>
    <w:rsid w:val="002D2A3C"/>
    <w:rsid w:val="002D2A51"/>
    <w:rsid w:val="002D2DEC"/>
    <w:rsid w:val="002D2FFC"/>
    <w:rsid w:val="002D315F"/>
    <w:rsid w:val="002D3826"/>
    <w:rsid w:val="002D3D10"/>
    <w:rsid w:val="002D3EEB"/>
    <w:rsid w:val="002D4075"/>
    <w:rsid w:val="002D44CB"/>
    <w:rsid w:val="002D453F"/>
    <w:rsid w:val="002D4C2E"/>
    <w:rsid w:val="002D4C55"/>
    <w:rsid w:val="002D4C70"/>
    <w:rsid w:val="002D5859"/>
    <w:rsid w:val="002D5C90"/>
    <w:rsid w:val="002D5C98"/>
    <w:rsid w:val="002D5E06"/>
    <w:rsid w:val="002D5FE6"/>
    <w:rsid w:val="002D616B"/>
    <w:rsid w:val="002D635E"/>
    <w:rsid w:val="002D6399"/>
    <w:rsid w:val="002D63BB"/>
    <w:rsid w:val="002D6645"/>
    <w:rsid w:val="002D67F1"/>
    <w:rsid w:val="002D6B04"/>
    <w:rsid w:val="002D6B59"/>
    <w:rsid w:val="002D6B99"/>
    <w:rsid w:val="002D6C75"/>
    <w:rsid w:val="002D6D95"/>
    <w:rsid w:val="002D74D2"/>
    <w:rsid w:val="002D7591"/>
    <w:rsid w:val="002D76BC"/>
    <w:rsid w:val="002D7B32"/>
    <w:rsid w:val="002D7CA3"/>
    <w:rsid w:val="002D7E6D"/>
    <w:rsid w:val="002D7F3E"/>
    <w:rsid w:val="002E01EC"/>
    <w:rsid w:val="002E0303"/>
    <w:rsid w:val="002E0599"/>
    <w:rsid w:val="002E0746"/>
    <w:rsid w:val="002E0844"/>
    <w:rsid w:val="002E099F"/>
    <w:rsid w:val="002E0EA4"/>
    <w:rsid w:val="002E0F9D"/>
    <w:rsid w:val="002E18EC"/>
    <w:rsid w:val="002E1CC7"/>
    <w:rsid w:val="002E2446"/>
    <w:rsid w:val="002E2488"/>
    <w:rsid w:val="002E249B"/>
    <w:rsid w:val="002E2571"/>
    <w:rsid w:val="002E2594"/>
    <w:rsid w:val="002E27A0"/>
    <w:rsid w:val="002E29F2"/>
    <w:rsid w:val="002E29F3"/>
    <w:rsid w:val="002E2A02"/>
    <w:rsid w:val="002E2B6A"/>
    <w:rsid w:val="002E2CDE"/>
    <w:rsid w:val="002E2ECF"/>
    <w:rsid w:val="002E2F2B"/>
    <w:rsid w:val="002E330F"/>
    <w:rsid w:val="002E34AA"/>
    <w:rsid w:val="002E35DA"/>
    <w:rsid w:val="002E3737"/>
    <w:rsid w:val="002E397F"/>
    <w:rsid w:val="002E3C1F"/>
    <w:rsid w:val="002E3D7F"/>
    <w:rsid w:val="002E4449"/>
    <w:rsid w:val="002E45A3"/>
    <w:rsid w:val="002E4797"/>
    <w:rsid w:val="002E4A76"/>
    <w:rsid w:val="002E5064"/>
    <w:rsid w:val="002E548E"/>
    <w:rsid w:val="002E55FC"/>
    <w:rsid w:val="002E5615"/>
    <w:rsid w:val="002E5F96"/>
    <w:rsid w:val="002E701B"/>
    <w:rsid w:val="002E7158"/>
    <w:rsid w:val="002E74A1"/>
    <w:rsid w:val="002E753F"/>
    <w:rsid w:val="002E75AC"/>
    <w:rsid w:val="002E77C9"/>
    <w:rsid w:val="002E7BF7"/>
    <w:rsid w:val="002E7C8D"/>
    <w:rsid w:val="002E7DE0"/>
    <w:rsid w:val="002E7E9B"/>
    <w:rsid w:val="002F023B"/>
    <w:rsid w:val="002F0552"/>
    <w:rsid w:val="002F0810"/>
    <w:rsid w:val="002F0A12"/>
    <w:rsid w:val="002F0C48"/>
    <w:rsid w:val="002F10B2"/>
    <w:rsid w:val="002F123F"/>
    <w:rsid w:val="002F1864"/>
    <w:rsid w:val="002F1C27"/>
    <w:rsid w:val="002F1CAB"/>
    <w:rsid w:val="002F1D00"/>
    <w:rsid w:val="002F2061"/>
    <w:rsid w:val="002F25D9"/>
    <w:rsid w:val="002F2735"/>
    <w:rsid w:val="002F27C3"/>
    <w:rsid w:val="002F27C4"/>
    <w:rsid w:val="002F2B20"/>
    <w:rsid w:val="002F2D50"/>
    <w:rsid w:val="002F2E4F"/>
    <w:rsid w:val="002F3825"/>
    <w:rsid w:val="002F3A8A"/>
    <w:rsid w:val="002F3ACF"/>
    <w:rsid w:val="002F3B37"/>
    <w:rsid w:val="002F3CC3"/>
    <w:rsid w:val="002F3CDE"/>
    <w:rsid w:val="002F3D35"/>
    <w:rsid w:val="002F3DE0"/>
    <w:rsid w:val="002F4059"/>
    <w:rsid w:val="002F41A9"/>
    <w:rsid w:val="002F4606"/>
    <w:rsid w:val="002F4624"/>
    <w:rsid w:val="002F4829"/>
    <w:rsid w:val="002F4872"/>
    <w:rsid w:val="002F4A0B"/>
    <w:rsid w:val="002F4C4B"/>
    <w:rsid w:val="002F5048"/>
    <w:rsid w:val="002F511A"/>
    <w:rsid w:val="002F5AD2"/>
    <w:rsid w:val="002F5B11"/>
    <w:rsid w:val="002F5C31"/>
    <w:rsid w:val="002F6301"/>
    <w:rsid w:val="002F6843"/>
    <w:rsid w:val="002F68AB"/>
    <w:rsid w:val="002F6A31"/>
    <w:rsid w:val="002F6AF6"/>
    <w:rsid w:val="002F6B2F"/>
    <w:rsid w:val="002F6C90"/>
    <w:rsid w:val="002F6CEF"/>
    <w:rsid w:val="002F6DD7"/>
    <w:rsid w:val="002F6EBC"/>
    <w:rsid w:val="002F6F2D"/>
    <w:rsid w:val="002F753A"/>
    <w:rsid w:val="002F77FF"/>
    <w:rsid w:val="002F7C01"/>
    <w:rsid w:val="0030046E"/>
    <w:rsid w:val="0030073F"/>
    <w:rsid w:val="0030079B"/>
    <w:rsid w:val="003008A6"/>
    <w:rsid w:val="00300AE4"/>
    <w:rsid w:val="0030112B"/>
    <w:rsid w:val="00301648"/>
    <w:rsid w:val="0030175E"/>
    <w:rsid w:val="00301792"/>
    <w:rsid w:val="00301D5F"/>
    <w:rsid w:val="00301FDF"/>
    <w:rsid w:val="0030207E"/>
    <w:rsid w:val="003027AD"/>
    <w:rsid w:val="003029AB"/>
    <w:rsid w:val="00303534"/>
    <w:rsid w:val="00303C01"/>
    <w:rsid w:val="00303C87"/>
    <w:rsid w:val="00303E37"/>
    <w:rsid w:val="00303F3A"/>
    <w:rsid w:val="003044E6"/>
    <w:rsid w:val="0030469C"/>
    <w:rsid w:val="00304A38"/>
    <w:rsid w:val="00304DD6"/>
    <w:rsid w:val="00304EE5"/>
    <w:rsid w:val="0030577F"/>
    <w:rsid w:val="003059F9"/>
    <w:rsid w:val="0030680E"/>
    <w:rsid w:val="003068AA"/>
    <w:rsid w:val="00306B0F"/>
    <w:rsid w:val="00306E89"/>
    <w:rsid w:val="00306F22"/>
    <w:rsid w:val="0030715E"/>
    <w:rsid w:val="003077F1"/>
    <w:rsid w:val="0030782B"/>
    <w:rsid w:val="0030798E"/>
    <w:rsid w:val="00307B39"/>
    <w:rsid w:val="00307C53"/>
    <w:rsid w:val="00307DDB"/>
    <w:rsid w:val="003103AB"/>
    <w:rsid w:val="00310606"/>
    <w:rsid w:val="0031061C"/>
    <w:rsid w:val="00310B42"/>
    <w:rsid w:val="00310DB5"/>
    <w:rsid w:val="00310E65"/>
    <w:rsid w:val="00310EE2"/>
    <w:rsid w:val="00311027"/>
    <w:rsid w:val="003110DE"/>
    <w:rsid w:val="00311346"/>
    <w:rsid w:val="00311582"/>
    <w:rsid w:val="003115E2"/>
    <w:rsid w:val="00311790"/>
    <w:rsid w:val="003117B7"/>
    <w:rsid w:val="00311B16"/>
    <w:rsid w:val="00311C68"/>
    <w:rsid w:val="00311CF9"/>
    <w:rsid w:val="00311DEF"/>
    <w:rsid w:val="0031270F"/>
    <w:rsid w:val="0031279A"/>
    <w:rsid w:val="00312B05"/>
    <w:rsid w:val="00312E25"/>
    <w:rsid w:val="003133C8"/>
    <w:rsid w:val="003134A7"/>
    <w:rsid w:val="003136F5"/>
    <w:rsid w:val="00313DCE"/>
    <w:rsid w:val="00313FA4"/>
    <w:rsid w:val="003144BC"/>
    <w:rsid w:val="00314661"/>
    <w:rsid w:val="00314938"/>
    <w:rsid w:val="00314974"/>
    <w:rsid w:val="00314AC3"/>
    <w:rsid w:val="00314D15"/>
    <w:rsid w:val="00314F97"/>
    <w:rsid w:val="00315592"/>
    <w:rsid w:val="0031573D"/>
    <w:rsid w:val="00315802"/>
    <w:rsid w:val="00315D61"/>
    <w:rsid w:val="0031636E"/>
    <w:rsid w:val="00316427"/>
    <w:rsid w:val="003165B3"/>
    <w:rsid w:val="003166B7"/>
    <w:rsid w:val="003168C0"/>
    <w:rsid w:val="00316B86"/>
    <w:rsid w:val="00317054"/>
    <w:rsid w:val="003177D8"/>
    <w:rsid w:val="00317AA3"/>
    <w:rsid w:val="00317C86"/>
    <w:rsid w:val="00317CF5"/>
    <w:rsid w:val="0032013A"/>
    <w:rsid w:val="003201DA"/>
    <w:rsid w:val="0032088E"/>
    <w:rsid w:val="00320994"/>
    <w:rsid w:val="00320A38"/>
    <w:rsid w:val="00320C30"/>
    <w:rsid w:val="003211E8"/>
    <w:rsid w:val="00321824"/>
    <w:rsid w:val="0032189C"/>
    <w:rsid w:val="00321B26"/>
    <w:rsid w:val="00321E7B"/>
    <w:rsid w:val="0032203D"/>
    <w:rsid w:val="003220C4"/>
    <w:rsid w:val="00322358"/>
    <w:rsid w:val="00322739"/>
    <w:rsid w:val="00322989"/>
    <w:rsid w:val="00322CAB"/>
    <w:rsid w:val="003232B9"/>
    <w:rsid w:val="00323A5E"/>
    <w:rsid w:val="00323B04"/>
    <w:rsid w:val="00323B90"/>
    <w:rsid w:val="00323C3D"/>
    <w:rsid w:val="00323FD9"/>
    <w:rsid w:val="00324035"/>
    <w:rsid w:val="00324149"/>
    <w:rsid w:val="00324D7F"/>
    <w:rsid w:val="00325356"/>
    <w:rsid w:val="00325494"/>
    <w:rsid w:val="0032557D"/>
    <w:rsid w:val="00325762"/>
    <w:rsid w:val="00325789"/>
    <w:rsid w:val="00325ABE"/>
    <w:rsid w:val="00325CFF"/>
    <w:rsid w:val="00325DCE"/>
    <w:rsid w:val="00326000"/>
    <w:rsid w:val="003260C9"/>
    <w:rsid w:val="0032638D"/>
    <w:rsid w:val="003267A2"/>
    <w:rsid w:val="00326B70"/>
    <w:rsid w:val="00326C63"/>
    <w:rsid w:val="003275F4"/>
    <w:rsid w:val="00327A31"/>
    <w:rsid w:val="00327CBA"/>
    <w:rsid w:val="00327DD0"/>
    <w:rsid w:val="00327E9E"/>
    <w:rsid w:val="00327FD5"/>
    <w:rsid w:val="00327FEC"/>
    <w:rsid w:val="003301A7"/>
    <w:rsid w:val="0033033B"/>
    <w:rsid w:val="00330E4B"/>
    <w:rsid w:val="003310CA"/>
    <w:rsid w:val="00331217"/>
    <w:rsid w:val="003314C2"/>
    <w:rsid w:val="003317E6"/>
    <w:rsid w:val="00331B13"/>
    <w:rsid w:val="00331BB8"/>
    <w:rsid w:val="00331C17"/>
    <w:rsid w:val="0033251F"/>
    <w:rsid w:val="00332A32"/>
    <w:rsid w:val="00332A8F"/>
    <w:rsid w:val="00332D70"/>
    <w:rsid w:val="00333647"/>
    <w:rsid w:val="00333729"/>
    <w:rsid w:val="0033385E"/>
    <w:rsid w:val="00333D53"/>
    <w:rsid w:val="00334097"/>
    <w:rsid w:val="003341B7"/>
    <w:rsid w:val="0033450A"/>
    <w:rsid w:val="0033452E"/>
    <w:rsid w:val="003345A6"/>
    <w:rsid w:val="0033475D"/>
    <w:rsid w:val="00334E5F"/>
    <w:rsid w:val="00334FAF"/>
    <w:rsid w:val="00334FFA"/>
    <w:rsid w:val="003350D7"/>
    <w:rsid w:val="003351A9"/>
    <w:rsid w:val="003353CC"/>
    <w:rsid w:val="003355E5"/>
    <w:rsid w:val="00335EA4"/>
    <w:rsid w:val="003360B6"/>
    <w:rsid w:val="003360E2"/>
    <w:rsid w:val="003361CD"/>
    <w:rsid w:val="00336261"/>
    <w:rsid w:val="0033648F"/>
    <w:rsid w:val="003364DF"/>
    <w:rsid w:val="0033686C"/>
    <w:rsid w:val="00336B00"/>
    <w:rsid w:val="00336C53"/>
    <w:rsid w:val="00336ED4"/>
    <w:rsid w:val="00336EEC"/>
    <w:rsid w:val="003374B9"/>
    <w:rsid w:val="00337544"/>
    <w:rsid w:val="00337679"/>
    <w:rsid w:val="00337976"/>
    <w:rsid w:val="00337CF6"/>
    <w:rsid w:val="00337DB8"/>
    <w:rsid w:val="00337F92"/>
    <w:rsid w:val="003400CC"/>
    <w:rsid w:val="0034039D"/>
    <w:rsid w:val="003404AA"/>
    <w:rsid w:val="00340ADB"/>
    <w:rsid w:val="00341049"/>
    <w:rsid w:val="003412B5"/>
    <w:rsid w:val="0034151F"/>
    <w:rsid w:val="003416A4"/>
    <w:rsid w:val="00341968"/>
    <w:rsid w:val="00341F92"/>
    <w:rsid w:val="0034229F"/>
    <w:rsid w:val="00342489"/>
    <w:rsid w:val="0034280D"/>
    <w:rsid w:val="00342B17"/>
    <w:rsid w:val="00342C10"/>
    <w:rsid w:val="00342D47"/>
    <w:rsid w:val="00342DDD"/>
    <w:rsid w:val="0034318D"/>
    <w:rsid w:val="003432A7"/>
    <w:rsid w:val="00343B5A"/>
    <w:rsid w:val="00343C9E"/>
    <w:rsid w:val="00343D3E"/>
    <w:rsid w:val="003442D3"/>
    <w:rsid w:val="00344358"/>
    <w:rsid w:val="003445DF"/>
    <w:rsid w:val="00344625"/>
    <w:rsid w:val="00344B22"/>
    <w:rsid w:val="003450AE"/>
    <w:rsid w:val="00345217"/>
    <w:rsid w:val="00345282"/>
    <w:rsid w:val="0034538B"/>
    <w:rsid w:val="00345927"/>
    <w:rsid w:val="00345A10"/>
    <w:rsid w:val="00345CB4"/>
    <w:rsid w:val="00345E56"/>
    <w:rsid w:val="00345E65"/>
    <w:rsid w:val="00345FFD"/>
    <w:rsid w:val="003462BC"/>
    <w:rsid w:val="00347223"/>
    <w:rsid w:val="003474A3"/>
    <w:rsid w:val="00347510"/>
    <w:rsid w:val="00347513"/>
    <w:rsid w:val="0034767C"/>
    <w:rsid w:val="003479A3"/>
    <w:rsid w:val="00347AFE"/>
    <w:rsid w:val="00347B3E"/>
    <w:rsid w:val="00347B98"/>
    <w:rsid w:val="00347E42"/>
    <w:rsid w:val="0035032A"/>
    <w:rsid w:val="0035090F"/>
    <w:rsid w:val="00350ACB"/>
    <w:rsid w:val="00350B05"/>
    <w:rsid w:val="00350BED"/>
    <w:rsid w:val="00350FF9"/>
    <w:rsid w:val="00351312"/>
    <w:rsid w:val="003513C9"/>
    <w:rsid w:val="003513F4"/>
    <w:rsid w:val="003517F5"/>
    <w:rsid w:val="00352967"/>
    <w:rsid w:val="00352A49"/>
    <w:rsid w:val="00352F77"/>
    <w:rsid w:val="00353139"/>
    <w:rsid w:val="00353158"/>
    <w:rsid w:val="003533A5"/>
    <w:rsid w:val="00353465"/>
    <w:rsid w:val="003536B3"/>
    <w:rsid w:val="003539C0"/>
    <w:rsid w:val="0035404B"/>
    <w:rsid w:val="0035426B"/>
    <w:rsid w:val="0035473E"/>
    <w:rsid w:val="00354A95"/>
    <w:rsid w:val="00355154"/>
    <w:rsid w:val="00355744"/>
    <w:rsid w:val="0035581E"/>
    <w:rsid w:val="003558F6"/>
    <w:rsid w:val="0035590F"/>
    <w:rsid w:val="00355AEF"/>
    <w:rsid w:val="00355B95"/>
    <w:rsid w:val="00355D78"/>
    <w:rsid w:val="0035613A"/>
    <w:rsid w:val="00356223"/>
    <w:rsid w:val="003562A8"/>
    <w:rsid w:val="00356A41"/>
    <w:rsid w:val="00356BE7"/>
    <w:rsid w:val="00356FC4"/>
    <w:rsid w:val="003574D1"/>
    <w:rsid w:val="003575F0"/>
    <w:rsid w:val="003579B5"/>
    <w:rsid w:val="00357E96"/>
    <w:rsid w:val="00357ECE"/>
    <w:rsid w:val="003601D2"/>
    <w:rsid w:val="0036034A"/>
    <w:rsid w:val="003603E8"/>
    <w:rsid w:val="003604D3"/>
    <w:rsid w:val="00360607"/>
    <w:rsid w:val="00360787"/>
    <w:rsid w:val="00360C1E"/>
    <w:rsid w:val="00360DCE"/>
    <w:rsid w:val="00361CC5"/>
    <w:rsid w:val="00362010"/>
    <w:rsid w:val="003621D0"/>
    <w:rsid w:val="00362587"/>
    <w:rsid w:val="0036294F"/>
    <w:rsid w:val="0036303F"/>
    <w:rsid w:val="0036339A"/>
    <w:rsid w:val="0036378E"/>
    <w:rsid w:val="003638F5"/>
    <w:rsid w:val="0036390E"/>
    <w:rsid w:val="003642D9"/>
    <w:rsid w:val="00364725"/>
    <w:rsid w:val="00364941"/>
    <w:rsid w:val="00364B87"/>
    <w:rsid w:val="00364C58"/>
    <w:rsid w:val="00364CB8"/>
    <w:rsid w:val="00364F4B"/>
    <w:rsid w:val="00365538"/>
    <w:rsid w:val="0036557E"/>
    <w:rsid w:val="0036589B"/>
    <w:rsid w:val="00365C46"/>
    <w:rsid w:val="00365EDF"/>
    <w:rsid w:val="003664C4"/>
    <w:rsid w:val="00366594"/>
    <w:rsid w:val="0036677E"/>
    <w:rsid w:val="00366867"/>
    <w:rsid w:val="0036694F"/>
    <w:rsid w:val="00366A0C"/>
    <w:rsid w:val="00366C6A"/>
    <w:rsid w:val="00366D61"/>
    <w:rsid w:val="00366FC1"/>
    <w:rsid w:val="003678F1"/>
    <w:rsid w:val="003700F7"/>
    <w:rsid w:val="003702BB"/>
    <w:rsid w:val="003707FC"/>
    <w:rsid w:val="00370805"/>
    <w:rsid w:val="00370FFF"/>
    <w:rsid w:val="003711CC"/>
    <w:rsid w:val="003713FB"/>
    <w:rsid w:val="0037144F"/>
    <w:rsid w:val="00371479"/>
    <w:rsid w:val="003715D1"/>
    <w:rsid w:val="00371B3E"/>
    <w:rsid w:val="003721C1"/>
    <w:rsid w:val="00372B48"/>
    <w:rsid w:val="00372BD4"/>
    <w:rsid w:val="00372DA9"/>
    <w:rsid w:val="00372F17"/>
    <w:rsid w:val="00373314"/>
    <w:rsid w:val="003734BA"/>
    <w:rsid w:val="00373597"/>
    <w:rsid w:val="003739EE"/>
    <w:rsid w:val="00373C1C"/>
    <w:rsid w:val="00373C7A"/>
    <w:rsid w:val="00373CA4"/>
    <w:rsid w:val="00373CC3"/>
    <w:rsid w:val="00373EB0"/>
    <w:rsid w:val="003741CF"/>
    <w:rsid w:val="00374CA5"/>
    <w:rsid w:val="00374CDD"/>
    <w:rsid w:val="00374F0D"/>
    <w:rsid w:val="0037575B"/>
    <w:rsid w:val="00375D25"/>
    <w:rsid w:val="00376030"/>
    <w:rsid w:val="003760D4"/>
    <w:rsid w:val="00376253"/>
    <w:rsid w:val="003767F5"/>
    <w:rsid w:val="003769D1"/>
    <w:rsid w:val="00376B2F"/>
    <w:rsid w:val="00376E58"/>
    <w:rsid w:val="00377836"/>
    <w:rsid w:val="003805EA"/>
    <w:rsid w:val="003808CE"/>
    <w:rsid w:val="00380978"/>
    <w:rsid w:val="003817FD"/>
    <w:rsid w:val="00381FAA"/>
    <w:rsid w:val="0038217A"/>
    <w:rsid w:val="00382253"/>
    <w:rsid w:val="00382937"/>
    <w:rsid w:val="003830FB"/>
    <w:rsid w:val="0038321B"/>
    <w:rsid w:val="003832C5"/>
    <w:rsid w:val="0038337A"/>
    <w:rsid w:val="003835A9"/>
    <w:rsid w:val="0038376E"/>
    <w:rsid w:val="00383779"/>
    <w:rsid w:val="00383A70"/>
    <w:rsid w:val="00383AE6"/>
    <w:rsid w:val="00383CCE"/>
    <w:rsid w:val="00383FCA"/>
    <w:rsid w:val="00384152"/>
    <w:rsid w:val="00384840"/>
    <w:rsid w:val="00384A06"/>
    <w:rsid w:val="0038507D"/>
    <w:rsid w:val="003850BF"/>
    <w:rsid w:val="003851B8"/>
    <w:rsid w:val="00385ECF"/>
    <w:rsid w:val="00385FB2"/>
    <w:rsid w:val="0038650F"/>
    <w:rsid w:val="00386A3E"/>
    <w:rsid w:val="00386A60"/>
    <w:rsid w:val="00386C2A"/>
    <w:rsid w:val="003871C4"/>
    <w:rsid w:val="003872AF"/>
    <w:rsid w:val="00387375"/>
    <w:rsid w:val="003873DC"/>
    <w:rsid w:val="003873F8"/>
    <w:rsid w:val="003876E6"/>
    <w:rsid w:val="0038798A"/>
    <w:rsid w:val="00387F86"/>
    <w:rsid w:val="003907DF"/>
    <w:rsid w:val="003912F6"/>
    <w:rsid w:val="0039133E"/>
    <w:rsid w:val="0039151C"/>
    <w:rsid w:val="003919EA"/>
    <w:rsid w:val="00391F4D"/>
    <w:rsid w:val="003923AD"/>
    <w:rsid w:val="0039257E"/>
    <w:rsid w:val="003925B3"/>
    <w:rsid w:val="00392AB2"/>
    <w:rsid w:val="00392CDC"/>
    <w:rsid w:val="00392D66"/>
    <w:rsid w:val="00393B54"/>
    <w:rsid w:val="003943C9"/>
    <w:rsid w:val="00394B89"/>
    <w:rsid w:val="00394E0A"/>
    <w:rsid w:val="00394E1E"/>
    <w:rsid w:val="00395069"/>
    <w:rsid w:val="00395BBB"/>
    <w:rsid w:val="00395D75"/>
    <w:rsid w:val="00395F0B"/>
    <w:rsid w:val="003965CB"/>
    <w:rsid w:val="0039687A"/>
    <w:rsid w:val="00396965"/>
    <w:rsid w:val="00396A40"/>
    <w:rsid w:val="00396C7E"/>
    <w:rsid w:val="00396D45"/>
    <w:rsid w:val="00397231"/>
    <w:rsid w:val="003972A2"/>
    <w:rsid w:val="003972E5"/>
    <w:rsid w:val="003973A4"/>
    <w:rsid w:val="003973C2"/>
    <w:rsid w:val="00397431"/>
    <w:rsid w:val="003974BA"/>
    <w:rsid w:val="00397815"/>
    <w:rsid w:val="00397A69"/>
    <w:rsid w:val="00397B44"/>
    <w:rsid w:val="00397CDE"/>
    <w:rsid w:val="00397D4F"/>
    <w:rsid w:val="00397FC3"/>
    <w:rsid w:val="003A0469"/>
    <w:rsid w:val="003A04CE"/>
    <w:rsid w:val="003A0648"/>
    <w:rsid w:val="003A07DA"/>
    <w:rsid w:val="003A0A5B"/>
    <w:rsid w:val="003A12BB"/>
    <w:rsid w:val="003A1666"/>
    <w:rsid w:val="003A17AC"/>
    <w:rsid w:val="003A17C6"/>
    <w:rsid w:val="003A17D3"/>
    <w:rsid w:val="003A1AAA"/>
    <w:rsid w:val="003A1E83"/>
    <w:rsid w:val="003A2090"/>
    <w:rsid w:val="003A2749"/>
    <w:rsid w:val="003A284D"/>
    <w:rsid w:val="003A2AAC"/>
    <w:rsid w:val="003A2AEE"/>
    <w:rsid w:val="003A2EEC"/>
    <w:rsid w:val="003A2F21"/>
    <w:rsid w:val="003A345E"/>
    <w:rsid w:val="003A3A52"/>
    <w:rsid w:val="003A3A66"/>
    <w:rsid w:val="003A3EE0"/>
    <w:rsid w:val="003A410A"/>
    <w:rsid w:val="003A45CD"/>
    <w:rsid w:val="003A488F"/>
    <w:rsid w:val="003A5054"/>
    <w:rsid w:val="003A5591"/>
    <w:rsid w:val="003A5648"/>
    <w:rsid w:val="003A5A7D"/>
    <w:rsid w:val="003A61C7"/>
    <w:rsid w:val="003A6E68"/>
    <w:rsid w:val="003A7A6D"/>
    <w:rsid w:val="003A7CA2"/>
    <w:rsid w:val="003B0044"/>
    <w:rsid w:val="003B04D4"/>
    <w:rsid w:val="003B050B"/>
    <w:rsid w:val="003B0775"/>
    <w:rsid w:val="003B0C2F"/>
    <w:rsid w:val="003B0CD5"/>
    <w:rsid w:val="003B12B3"/>
    <w:rsid w:val="003B17A4"/>
    <w:rsid w:val="003B17F3"/>
    <w:rsid w:val="003B181A"/>
    <w:rsid w:val="003B1C15"/>
    <w:rsid w:val="003B1D6C"/>
    <w:rsid w:val="003B2208"/>
    <w:rsid w:val="003B22D9"/>
    <w:rsid w:val="003B2373"/>
    <w:rsid w:val="003B2625"/>
    <w:rsid w:val="003B26CD"/>
    <w:rsid w:val="003B26E4"/>
    <w:rsid w:val="003B3B25"/>
    <w:rsid w:val="003B3D78"/>
    <w:rsid w:val="003B4464"/>
    <w:rsid w:val="003B4B8D"/>
    <w:rsid w:val="003B4FB9"/>
    <w:rsid w:val="003B5078"/>
    <w:rsid w:val="003B537C"/>
    <w:rsid w:val="003B56C6"/>
    <w:rsid w:val="003B5731"/>
    <w:rsid w:val="003B59E0"/>
    <w:rsid w:val="003B5E0D"/>
    <w:rsid w:val="003B5FBB"/>
    <w:rsid w:val="003B66D8"/>
    <w:rsid w:val="003B67BC"/>
    <w:rsid w:val="003B6B86"/>
    <w:rsid w:val="003B6BD5"/>
    <w:rsid w:val="003B6BDC"/>
    <w:rsid w:val="003B6D0C"/>
    <w:rsid w:val="003B6EB1"/>
    <w:rsid w:val="003B7198"/>
    <w:rsid w:val="003B75BD"/>
    <w:rsid w:val="003B76EE"/>
    <w:rsid w:val="003B7769"/>
    <w:rsid w:val="003B79A2"/>
    <w:rsid w:val="003B7E77"/>
    <w:rsid w:val="003C025D"/>
    <w:rsid w:val="003C04C2"/>
    <w:rsid w:val="003C0909"/>
    <w:rsid w:val="003C1DC6"/>
    <w:rsid w:val="003C202E"/>
    <w:rsid w:val="003C20FD"/>
    <w:rsid w:val="003C2B08"/>
    <w:rsid w:val="003C2E54"/>
    <w:rsid w:val="003C2F3B"/>
    <w:rsid w:val="003C31FD"/>
    <w:rsid w:val="003C33CC"/>
    <w:rsid w:val="003C33F2"/>
    <w:rsid w:val="003C35AD"/>
    <w:rsid w:val="003C3679"/>
    <w:rsid w:val="003C3731"/>
    <w:rsid w:val="003C3815"/>
    <w:rsid w:val="003C38AB"/>
    <w:rsid w:val="003C3A80"/>
    <w:rsid w:val="003C401D"/>
    <w:rsid w:val="003C4F3B"/>
    <w:rsid w:val="003C5078"/>
    <w:rsid w:val="003C543F"/>
    <w:rsid w:val="003C5A5B"/>
    <w:rsid w:val="003C63FD"/>
    <w:rsid w:val="003C64A4"/>
    <w:rsid w:val="003C65B4"/>
    <w:rsid w:val="003C6B86"/>
    <w:rsid w:val="003C6C2E"/>
    <w:rsid w:val="003C6C7F"/>
    <w:rsid w:val="003C6D42"/>
    <w:rsid w:val="003C6DB2"/>
    <w:rsid w:val="003C7809"/>
    <w:rsid w:val="003C7946"/>
    <w:rsid w:val="003C7A3B"/>
    <w:rsid w:val="003C7CD4"/>
    <w:rsid w:val="003D04A2"/>
    <w:rsid w:val="003D0BA7"/>
    <w:rsid w:val="003D0E67"/>
    <w:rsid w:val="003D11BA"/>
    <w:rsid w:val="003D1406"/>
    <w:rsid w:val="003D1649"/>
    <w:rsid w:val="003D16F6"/>
    <w:rsid w:val="003D1C4F"/>
    <w:rsid w:val="003D1D2C"/>
    <w:rsid w:val="003D1E7F"/>
    <w:rsid w:val="003D2374"/>
    <w:rsid w:val="003D2A8C"/>
    <w:rsid w:val="003D2F9A"/>
    <w:rsid w:val="003D305B"/>
    <w:rsid w:val="003D30E1"/>
    <w:rsid w:val="003D3157"/>
    <w:rsid w:val="003D3909"/>
    <w:rsid w:val="003D3BBF"/>
    <w:rsid w:val="003D3BE6"/>
    <w:rsid w:val="003D40B4"/>
    <w:rsid w:val="003D45BA"/>
    <w:rsid w:val="003D4D9C"/>
    <w:rsid w:val="003D521D"/>
    <w:rsid w:val="003D5441"/>
    <w:rsid w:val="003D5541"/>
    <w:rsid w:val="003D55CE"/>
    <w:rsid w:val="003D58DB"/>
    <w:rsid w:val="003D5BAF"/>
    <w:rsid w:val="003D5DBF"/>
    <w:rsid w:val="003D6246"/>
    <w:rsid w:val="003D628D"/>
    <w:rsid w:val="003D63F9"/>
    <w:rsid w:val="003D6465"/>
    <w:rsid w:val="003D6AF3"/>
    <w:rsid w:val="003D6B4D"/>
    <w:rsid w:val="003D6CDD"/>
    <w:rsid w:val="003D6EBE"/>
    <w:rsid w:val="003D70E8"/>
    <w:rsid w:val="003D7194"/>
    <w:rsid w:val="003D7267"/>
    <w:rsid w:val="003D72AA"/>
    <w:rsid w:val="003D73E7"/>
    <w:rsid w:val="003D7CD5"/>
    <w:rsid w:val="003E044A"/>
    <w:rsid w:val="003E05FC"/>
    <w:rsid w:val="003E0624"/>
    <w:rsid w:val="003E0A73"/>
    <w:rsid w:val="003E0B10"/>
    <w:rsid w:val="003E11E9"/>
    <w:rsid w:val="003E14FC"/>
    <w:rsid w:val="003E1579"/>
    <w:rsid w:val="003E15D3"/>
    <w:rsid w:val="003E174D"/>
    <w:rsid w:val="003E1C56"/>
    <w:rsid w:val="003E2419"/>
    <w:rsid w:val="003E2574"/>
    <w:rsid w:val="003E287F"/>
    <w:rsid w:val="003E2A56"/>
    <w:rsid w:val="003E2A57"/>
    <w:rsid w:val="003E2B61"/>
    <w:rsid w:val="003E3297"/>
    <w:rsid w:val="003E375B"/>
    <w:rsid w:val="003E3E02"/>
    <w:rsid w:val="003E3FEF"/>
    <w:rsid w:val="003E43D4"/>
    <w:rsid w:val="003E44A7"/>
    <w:rsid w:val="003E46D3"/>
    <w:rsid w:val="003E488D"/>
    <w:rsid w:val="003E48FC"/>
    <w:rsid w:val="003E5174"/>
    <w:rsid w:val="003E51A0"/>
    <w:rsid w:val="003E553E"/>
    <w:rsid w:val="003E590E"/>
    <w:rsid w:val="003E5A39"/>
    <w:rsid w:val="003E5CDA"/>
    <w:rsid w:val="003E658B"/>
    <w:rsid w:val="003E66C6"/>
    <w:rsid w:val="003E6741"/>
    <w:rsid w:val="003E6A92"/>
    <w:rsid w:val="003E6DDC"/>
    <w:rsid w:val="003E70FF"/>
    <w:rsid w:val="003E71B5"/>
    <w:rsid w:val="003E75A9"/>
    <w:rsid w:val="003E7943"/>
    <w:rsid w:val="003E7A14"/>
    <w:rsid w:val="003E7B44"/>
    <w:rsid w:val="003E7DE6"/>
    <w:rsid w:val="003E7FBE"/>
    <w:rsid w:val="003F0327"/>
    <w:rsid w:val="003F0343"/>
    <w:rsid w:val="003F062D"/>
    <w:rsid w:val="003F0680"/>
    <w:rsid w:val="003F072C"/>
    <w:rsid w:val="003F097B"/>
    <w:rsid w:val="003F0AD4"/>
    <w:rsid w:val="003F0B40"/>
    <w:rsid w:val="003F0CC7"/>
    <w:rsid w:val="003F0CC9"/>
    <w:rsid w:val="003F115D"/>
    <w:rsid w:val="003F131C"/>
    <w:rsid w:val="003F1443"/>
    <w:rsid w:val="003F1466"/>
    <w:rsid w:val="003F158F"/>
    <w:rsid w:val="003F16F1"/>
    <w:rsid w:val="003F1D5B"/>
    <w:rsid w:val="003F20E7"/>
    <w:rsid w:val="003F21A2"/>
    <w:rsid w:val="003F222D"/>
    <w:rsid w:val="003F225F"/>
    <w:rsid w:val="003F28BE"/>
    <w:rsid w:val="003F2A35"/>
    <w:rsid w:val="003F2B09"/>
    <w:rsid w:val="003F2D56"/>
    <w:rsid w:val="003F2E19"/>
    <w:rsid w:val="003F2FD6"/>
    <w:rsid w:val="003F2FF8"/>
    <w:rsid w:val="003F34C8"/>
    <w:rsid w:val="003F3A62"/>
    <w:rsid w:val="003F3F0C"/>
    <w:rsid w:val="003F4014"/>
    <w:rsid w:val="003F401D"/>
    <w:rsid w:val="003F40A0"/>
    <w:rsid w:val="003F4844"/>
    <w:rsid w:val="003F4CDE"/>
    <w:rsid w:val="003F4DA7"/>
    <w:rsid w:val="003F4FCB"/>
    <w:rsid w:val="003F502D"/>
    <w:rsid w:val="003F54B0"/>
    <w:rsid w:val="003F571E"/>
    <w:rsid w:val="003F599C"/>
    <w:rsid w:val="003F5A45"/>
    <w:rsid w:val="003F5A8B"/>
    <w:rsid w:val="003F5B04"/>
    <w:rsid w:val="003F5B64"/>
    <w:rsid w:val="003F5D24"/>
    <w:rsid w:val="003F611E"/>
    <w:rsid w:val="003F627F"/>
    <w:rsid w:val="003F630E"/>
    <w:rsid w:val="003F6519"/>
    <w:rsid w:val="003F6671"/>
    <w:rsid w:val="003F6A01"/>
    <w:rsid w:val="003F6B1D"/>
    <w:rsid w:val="003F6C17"/>
    <w:rsid w:val="003F6CE0"/>
    <w:rsid w:val="003F6CE4"/>
    <w:rsid w:val="003F6E3E"/>
    <w:rsid w:val="003F7883"/>
    <w:rsid w:val="003F7AF8"/>
    <w:rsid w:val="004000BD"/>
    <w:rsid w:val="0040063F"/>
    <w:rsid w:val="00400C0C"/>
    <w:rsid w:val="00400F9F"/>
    <w:rsid w:val="00400FAE"/>
    <w:rsid w:val="004010E5"/>
    <w:rsid w:val="004014FD"/>
    <w:rsid w:val="004015BD"/>
    <w:rsid w:val="004015F3"/>
    <w:rsid w:val="00401656"/>
    <w:rsid w:val="004017A0"/>
    <w:rsid w:val="00401894"/>
    <w:rsid w:val="00401EDA"/>
    <w:rsid w:val="00402162"/>
    <w:rsid w:val="004021A5"/>
    <w:rsid w:val="0040250C"/>
    <w:rsid w:val="00402741"/>
    <w:rsid w:val="00402951"/>
    <w:rsid w:val="00402C46"/>
    <w:rsid w:val="0040306C"/>
    <w:rsid w:val="0040317E"/>
    <w:rsid w:val="00403229"/>
    <w:rsid w:val="0040334A"/>
    <w:rsid w:val="004034B7"/>
    <w:rsid w:val="0040355F"/>
    <w:rsid w:val="004035BD"/>
    <w:rsid w:val="004036AC"/>
    <w:rsid w:val="00403B63"/>
    <w:rsid w:val="00404405"/>
    <w:rsid w:val="00404D00"/>
    <w:rsid w:val="00404F9F"/>
    <w:rsid w:val="00405151"/>
    <w:rsid w:val="00405163"/>
    <w:rsid w:val="004052F8"/>
    <w:rsid w:val="00405780"/>
    <w:rsid w:val="004058B6"/>
    <w:rsid w:val="0040608B"/>
    <w:rsid w:val="00406405"/>
    <w:rsid w:val="00406CC2"/>
    <w:rsid w:val="00406E0F"/>
    <w:rsid w:val="00407E10"/>
    <w:rsid w:val="00410342"/>
    <w:rsid w:val="00410360"/>
    <w:rsid w:val="004105E1"/>
    <w:rsid w:val="0041062A"/>
    <w:rsid w:val="0041065B"/>
    <w:rsid w:val="0041077F"/>
    <w:rsid w:val="0041088B"/>
    <w:rsid w:val="00410973"/>
    <w:rsid w:val="00410B95"/>
    <w:rsid w:val="00410C87"/>
    <w:rsid w:val="00410F4E"/>
    <w:rsid w:val="0041135B"/>
    <w:rsid w:val="004116B0"/>
    <w:rsid w:val="0041199B"/>
    <w:rsid w:val="00412002"/>
    <w:rsid w:val="004120EC"/>
    <w:rsid w:val="004121A2"/>
    <w:rsid w:val="004122C5"/>
    <w:rsid w:val="004124AC"/>
    <w:rsid w:val="00412AD8"/>
    <w:rsid w:val="00412AF9"/>
    <w:rsid w:val="00412D32"/>
    <w:rsid w:val="00413113"/>
    <w:rsid w:val="00413703"/>
    <w:rsid w:val="00413BF1"/>
    <w:rsid w:val="00413C4C"/>
    <w:rsid w:val="00414295"/>
    <w:rsid w:val="00414297"/>
    <w:rsid w:val="00414414"/>
    <w:rsid w:val="0041445A"/>
    <w:rsid w:val="004146CD"/>
    <w:rsid w:val="0041477A"/>
    <w:rsid w:val="004148E5"/>
    <w:rsid w:val="00414D42"/>
    <w:rsid w:val="0041515B"/>
    <w:rsid w:val="004152A2"/>
    <w:rsid w:val="0041572D"/>
    <w:rsid w:val="004162F3"/>
    <w:rsid w:val="004166C9"/>
    <w:rsid w:val="004166CC"/>
    <w:rsid w:val="00416FDD"/>
    <w:rsid w:val="0041744B"/>
    <w:rsid w:val="004175DC"/>
    <w:rsid w:val="00417FD3"/>
    <w:rsid w:val="00420298"/>
    <w:rsid w:val="00420694"/>
    <w:rsid w:val="00420881"/>
    <w:rsid w:val="00421366"/>
    <w:rsid w:val="004214C7"/>
    <w:rsid w:val="00421589"/>
    <w:rsid w:val="004218D4"/>
    <w:rsid w:val="00421B75"/>
    <w:rsid w:val="00421CC5"/>
    <w:rsid w:val="004226C6"/>
    <w:rsid w:val="004228B9"/>
    <w:rsid w:val="00423370"/>
    <w:rsid w:val="0042342A"/>
    <w:rsid w:val="00423517"/>
    <w:rsid w:val="00423AF3"/>
    <w:rsid w:val="00423BE5"/>
    <w:rsid w:val="00423C2D"/>
    <w:rsid w:val="00423E45"/>
    <w:rsid w:val="0042409F"/>
    <w:rsid w:val="0042480A"/>
    <w:rsid w:val="00424872"/>
    <w:rsid w:val="004248FE"/>
    <w:rsid w:val="00424EAA"/>
    <w:rsid w:val="00424F28"/>
    <w:rsid w:val="00425267"/>
    <w:rsid w:val="004255DC"/>
    <w:rsid w:val="004255F7"/>
    <w:rsid w:val="00425B17"/>
    <w:rsid w:val="00425F80"/>
    <w:rsid w:val="00425FF1"/>
    <w:rsid w:val="004266D1"/>
    <w:rsid w:val="004267CA"/>
    <w:rsid w:val="00426B12"/>
    <w:rsid w:val="00426BBE"/>
    <w:rsid w:val="004272FB"/>
    <w:rsid w:val="004273FE"/>
    <w:rsid w:val="004274AA"/>
    <w:rsid w:val="00427ABC"/>
    <w:rsid w:val="00427CC3"/>
    <w:rsid w:val="00427F61"/>
    <w:rsid w:val="00430470"/>
    <w:rsid w:val="00430774"/>
    <w:rsid w:val="00430780"/>
    <w:rsid w:val="004307F8"/>
    <w:rsid w:val="004308FD"/>
    <w:rsid w:val="00430901"/>
    <w:rsid w:val="00430902"/>
    <w:rsid w:val="00430BC3"/>
    <w:rsid w:val="00430C34"/>
    <w:rsid w:val="00431274"/>
    <w:rsid w:val="00431623"/>
    <w:rsid w:val="004319F4"/>
    <w:rsid w:val="00431BBB"/>
    <w:rsid w:val="00432239"/>
    <w:rsid w:val="004329D2"/>
    <w:rsid w:val="00432ACA"/>
    <w:rsid w:val="00432B98"/>
    <w:rsid w:val="00432C08"/>
    <w:rsid w:val="00432FFA"/>
    <w:rsid w:val="004337DA"/>
    <w:rsid w:val="00433F48"/>
    <w:rsid w:val="004341EA"/>
    <w:rsid w:val="0043477B"/>
    <w:rsid w:val="0043482E"/>
    <w:rsid w:val="00434855"/>
    <w:rsid w:val="00434AD7"/>
    <w:rsid w:val="00434FCE"/>
    <w:rsid w:val="00435547"/>
    <w:rsid w:val="004355B1"/>
    <w:rsid w:val="004357EA"/>
    <w:rsid w:val="00435AAF"/>
    <w:rsid w:val="00436E08"/>
    <w:rsid w:val="00437966"/>
    <w:rsid w:val="00437E7A"/>
    <w:rsid w:val="0044075E"/>
    <w:rsid w:val="00440A2A"/>
    <w:rsid w:val="00441034"/>
    <w:rsid w:val="00441098"/>
    <w:rsid w:val="00441335"/>
    <w:rsid w:val="00441A78"/>
    <w:rsid w:val="00441B1F"/>
    <w:rsid w:val="00441E16"/>
    <w:rsid w:val="00442174"/>
    <w:rsid w:val="0044218D"/>
    <w:rsid w:val="004422CC"/>
    <w:rsid w:val="00442320"/>
    <w:rsid w:val="004426C2"/>
    <w:rsid w:val="00442B6D"/>
    <w:rsid w:val="00442EF5"/>
    <w:rsid w:val="00442F41"/>
    <w:rsid w:val="004430B7"/>
    <w:rsid w:val="0044374D"/>
    <w:rsid w:val="00443786"/>
    <w:rsid w:val="00443952"/>
    <w:rsid w:val="004439CA"/>
    <w:rsid w:val="00443AF8"/>
    <w:rsid w:val="00443E11"/>
    <w:rsid w:val="00443EEF"/>
    <w:rsid w:val="00443F10"/>
    <w:rsid w:val="00444349"/>
    <w:rsid w:val="00444672"/>
    <w:rsid w:val="00444A68"/>
    <w:rsid w:val="00444EFA"/>
    <w:rsid w:val="00445668"/>
    <w:rsid w:val="00446221"/>
    <w:rsid w:val="00446670"/>
    <w:rsid w:val="0044691C"/>
    <w:rsid w:val="00446A74"/>
    <w:rsid w:val="00446E09"/>
    <w:rsid w:val="00447011"/>
    <w:rsid w:val="00447194"/>
    <w:rsid w:val="004474CD"/>
    <w:rsid w:val="00447805"/>
    <w:rsid w:val="004479B0"/>
    <w:rsid w:val="004502FA"/>
    <w:rsid w:val="00450586"/>
    <w:rsid w:val="00450C17"/>
    <w:rsid w:val="00450F4A"/>
    <w:rsid w:val="004513D8"/>
    <w:rsid w:val="00451415"/>
    <w:rsid w:val="00451863"/>
    <w:rsid w:val="004518B6"/>
    <w:rsid w:val="00451C74"/>
    <w:rsid w:val="00452989"/>
    <w:rsid w:val="00453389"/>
    <w:rsid w:val="004534F0"/>
    <w:rsid w:val="0045383F"/>
    <w:rsid w:val="004538AF"/>
    <w:rsid w:val="00453AEC"/>
    <w:rsid w:val="00453B05"/>
    <w:rsid w:val="00453B9E"/>
    <w:rsid w:val="00453C90"/>
    <w:rsid w:val="00453FBC"/>
    <w:rsid w:val="0045401A"/>
    <w:rsid w:val="00454021"/>
    <w:rsid w:val="004540CE"/>
    <w:rsid w:val="00454114"/>
    <w:rsid w:val="00454494"/>
    <w:rsid w:val="00454578"/>
    <w:rsid w:val="00454BDE"/>
    <w:rsid w:val="004551AD"/>
    <w:rsid w:val="004551C5"/>
    <w:rsid w:val="00455241"/>
    <w:rsid w:val="00455CF3"/>
    <w:rsid w:val="00456035"/>
    <w:rsid w:val="00456760"/>
    <w:rsid w:val="00456887"/>
    <w:rsid w:val="00456A9B"/>
    <w:rsid w:val="00456CBD"/>
    <w:rsid w:val="00457242"/>
    <w:rsid w:val="00457433"/>
    <w:rsid w:val="00457588"/>
    <w:rsid w:val="004575BD"/>
    <w:rsid w:val="004575F5"/>
    <w:rsid w:val="004576C0"/>
    <w:rsid w:val="00457A14"/>
    <w:rsid w:val="00457C1F"/>
    <w:rsid w:val="00457CB8"/>
    <w:rsid w:val="00457CBC"/>
    <w:rsid w:val="00457F7C"/>
    <w:rsid w:val="00457FC2"/>
    <w:rsid w:val="00460152"/>
    <w:rsid w:val="004609A8"/>
    <w:rsid w:val="00460F60"/>
    <w:rsid w:val="00460FEC"/>
    <w:rsid w:val="00461188"/>
    <w:rsid w:val="004612F8"/>
    <w:rsid w:val="004615EC"/>
    <w:rsid w:val="00461FE8"/>
    <w:rsid w:val="004623DD"/>
    <w:rsid w:val="00462663"/>
    <w:rsid w:val="004626C4"/>
    <w:rsid w:val="0046290B"/>
    <w:rsid w:val="00462D08"/>
    <w:rsid w:val="00462DAA"/>
    <w:rsid w:val="00462E70"/>
    <w:rsid w:val="0046335E"/>
    <w:rsid w:val="0046340A"/>
    <w:rsid w:val="0046383C"/>
    <w:rsid w:val="004638D2"/>
    <w:rsid w:val="004640FA"/>
    <w:rsid w:val="00464230"/>
    <w:rsid w:val="00464393"/>
    <w:rsid w:val="0046464B"/>
    <w:rsid w:val="0046474F"/>
    <w:rsid w:val="00464996"/>
    <w:rsid w:val="00464B2B"/>
    <w:rsid w:val="00464D71"/>
    <w:rsid w:val="00465105"/>
    <w:rsid w:val="004658AD"/>
    <w:rsid w:val="00465B26"/>
    <w:rsid w:val="00465CA1"/>
    <w:rsid w:val="0046694B"/>
    <w:rsid w:val="00466DA1"/>
    <w:rsid w:val="00466FED"/>
    <w:rsid w:val="00467130"/>
    <w:rsid w:val="00467626"/>
    <w:rsid w:val="00467AE9"/>
    <w:rsid w:val="00467E24"/>
    <w:rsid w:val="004701BD"/>
    <w:rsid w:val="00470326"/>
    <w:rsid w:val="004704E3"/>
    <w:rsid w:val="004706B7"/>
    <w:rsid w:val="004713EE"/>
    <w:rsid w:val="004716FC"/>
    <w:rsid w:val="00471ECE"/>
    <w:rsid w:val="004722F1"/>
    <w:rsid w:val="004726D2"/>
    <w:rsid w:val="0047276C"/>
    <w:rsid w:val="00472948"/>
    <w:rsid w:val="00472AC9"/>
    <w:rsid w:val="00472C0C"/>
    <w:rsid w:val="00472C8D"/>
    <w:rsid w:val="00472FDC"/>
    <w:rsid w:val="00473836"/>
    <w:rsid w:val="00473A32"/>
    <w:rsid w:val="00473B15"/>
    <w:rsid w:val="00473C1A"/>
    <w:rsid w:val="00473ECC"/>
    <w:rsid w:val="00473F5F"/>
    <w:rsid w:val="00473F6B"/>
    <w:rsid w:val="00473F85"/>
    <w:rsid w:val="00474009"/>
    <w:rsid w:val="004741C6"/>
    <w:rsid w:val="004742EB"/>
    <w:rsid w:val="0047481B"/>
    <w:rsid w:val="00474A2F"/>
    <w:rsid w:val="00474E60"/>
    <w:rsid w:val="004752DE"/>
    <w:rsid w:val="004757C0"/>
    <w:rsid w:val="004759BA"/>
    <w:rsid w:val="00475DA4"/>
    <w:rsid w:val="00476128"/>
    <w:rsid w:val="00476284"/>
    <w:rsid w:val="00476942"/>
    <w:rsid w:val="004769FF"/>
    <w:rsid w:val="00476A69"/>
    <w:rsid w:val="00476BFE"/>
    <w:rsid w:val="00476DBC"/>
    <w:rsid w:val="00476F86"/>
    <w:rsid w:val="0047709F"/>
    <w:rsid w:val="004770C8"/>
    <w:rsid w:val="004771E7"/>
    <w:rsid w:val="00477621"/>
    <w:rsid w:val="004778A1"/>
    <w:rsid w:val="004779AF"/>
    <w:rsid w:val="00477AE6"/>
    <w:rsid w:val="00477CA9"/>
    <w:rsid w:val="00477E28"/>
    <w:rsid w:val="00477FFE"/>
    <w:rsid w:val="00480376"/>
    <w:rsid w:val="004803C5"/>
    <w:rsid w:val="00480420"/>
    <w:rsid w:val="0048091C"/>
    <w:rsid w:val="00480A25"/>
    <w:rsid w:val="00480D06"/>
    <w:rsid w:val="00481202"/>
    <w:rsid w:val="00481271"/>
    <w:rsid w:val="0048153B"/>
    <w:rsid w:val="0048183F"/>
    <w:rsid w:val="00481948"/>
    <w:rsid w:val="00481D92"/>
    <w:rsid w:val="00482330"/>
    <w:rsid w:val="004827F7"/>
    <w:rsid w:val="00482BEA"/>
    <w:rsid w:val="00482EA3"/>
    <w:rsid w:val="00483012"/>
    <w:rsid w:val="00483493"/>
    <w:rsid w:val="004837CB"/>
    <w:rsid w:val="00483C39"/>
    <w:rsid w:val="00483D7A"/>
    <w:rsid w:val="00483DCA"/>
    <w:rsid w:val="004844C9"/>
    <w:rsid w:val="00484A17"/>
    <w:rsid w:val="00484B38"/>
    <w:rsid w:val="00484C1F"/>
    <w:rsid w:val="00484CC0"/>
    <w:rsid w:val="00484FB3"/>
    <w:rsid w:val="0048524A"/>
    <w:rsid w:val="0048525A"/>
    <w:rsid w:val="004852A1"/>
    <w:rsid w:val="0048562B"/>
    <w:rsid w:val="004858DF"/>
    <w:rsid w:val="004862EB"/>
    <w:rsid w:val="004864DF"/>
    <w:rsid w:val="004865E9"/>
    <w:rsid w:val="00486841"/>
    <w:rsid w:val="004869BB"/>
    <w:rsid w:val="00486BAE"/>
    <w:rsid w:val="00486E8C"/>
    <w:rsid w:val="00486EE1"/>
    <w:rsid w:val="0048714A"/>
    <w:rsid w:val="004871BA"/>
    <w:rsid w:val="00487564"/>
    <w:rsid w:val="00487849"/>
    <w:rsid w:val="00487C44"/>
    <w:rsid w:val="0049044B"/>
    <w:rsid w:val="004908E3"/>
    <w:rsid w:val="00490C5D"/>
    <w:rsid w:val="00491004"/>
    <w:rsid w:val="004915C2"/>
    <w:rsid w:val="0049185F"/>
    <w:rsid w:val="0049243B"/>
    <w:rsid w:val="0049297F"/>
    <w:rsid w:val="00492B6E"/>
    <w:rsid w:val="00492E71"/>
    <w:rsid w:val="00493510"/>
    <w:rsid w:val="0049362F"/>
    <w:rsid w:val="00493A69"/>
    <w:rsid w:val="00493DF3"/>
    <w:rsid w:val="00493DF5"/>
    <w:rsid w:val="00493FBF"/>
    <w:rsid w:val="004941CA"/>
    <w:rsid w:val="00494CE4"/>
    <w:rsid w:val="00494D8D"/>
    <w:rsid w:val="00494FA0"/>
    <w:rsid w:val="00494FBE"/>
    <w:rsid w:val="00495A47"/>
    <w:rsid w:val="00495BE3"/>
    <w:rsid w:val="00496454"/>
    <w:rsid w:val="00496BF9"/>
    <w:rsid w:val="00496E59"/>
    <w:rsid w:val="00496E8A"/>
    <w:rsid w:val="00496F10"/>
    <w:rsid w:val="00496FE6"/>
    <w:rsid w:val="004970A9"/>
    <w:rsid w:val="004970AB"/>
    <w:rsid w:val="0049726B"/>
    <w:rsid w:val="00497929"/>
    <w:rsid w:val="00497941"/>
    <w:rsid w:val="00497992"/>
    <w:rsid w:val="00497DA1"/>
    <w:rsid w:val="004A01E3"/>
    <w:rsid w:val="004A0286"/>
    <w:rsid w:val="004A0BF3"/>
    <w:rsid w:val="004A0CE4"/>
    <w:rsid w:val="004A0E1F"/>
    <w:rsid w:val="004A1039"/>
    <w:rsid w:val="004A1D48"/>
    <w:rsid w:val="004A1F8F"/>
    <w:rsid w:val="004A21E3"/>
    <w:rsid w:val="004A2A2A"/>
    <w:rsid w:val="004A2C3D"/>
    <w:rsid w:val="004A2E88"/>
    <w:rsid w:val="004A3072"/>
    <w:rsid w:val="004A3108"/>
    <w:rsid w:val="004A3115"/>
    <w:rsid w:val="004A31D2"/>
    <w:rsid w:val="004A342B"/>
    <w:rsid w:val="004A35CB"/>
    <w:rsid w:val="004A3D15"/>
    <w:rsid w:val="004A3DA5"/>
    <w:rsid w:val="004A3E2D"/>
    <w:rsid w:val="004A4080"/>
    <w:rsid w:val="004A43CE"/>
    <w:rsid w:val="004A441F"/>
    <w:rsid w:val="004A470F"/>
    <w:rsid w:val="004A4C7B"/>
    <w:rsid w:val="004A4C8C"/>
    <w:rsid w:val="004A4E4E"/>
    <w:rsid w:val="004A527C"/>
    <w:rsid w:val="004A557C"/>
    <w:rsid w:val="004A55D4"/>
    <w:rsid w:val="004A5742"/>
    <w:rsid w:val="004A59DD"/>
    <w:rsid w:val="004A6442"/>
    <w:rsid w:val="004A6EA8"/>
    <w:rsid w:val="004A6F16"/>
    <w:rsid w:val="004A71A8"/>
    <w:rsid w:val="004A7AD8"/>
    <w:rsid w:val="004A7B53"/>
    <w:rsid w:val="004A7CBC"/>
    <w:rsid w:val="004A7E5A"/>
    <w:rsid w:val="004A7FFC"/>
    <w:rsid w:val="004B047B"/>
    <w:rsid w:val="004B07F6"/>
    <w:rsid w:val="004B1045"/>
    <w:rsid w:val="004B1188"/>
    <w:rsid w:val="004B1535"/>
    <w:rsid w:val="004B2316"/>
    <w:rsid w:val="004B252E"/>
    <w:rsid w:val="004B2544"/>
    <w:rsid w:val="004B265B"/>
    <w:rsid w:val="004B2870"/>
    <w:rsid w:val="004B2C8E"/>
    <w:rsid w:val="004B2DE7"/>
    <w:rsid w:val="004B2F91"/>
    <w:rsid w:val="004B30C3"/>
    <w:rsid w:val="004B3173"/>
    <w:rsid w:val="004B34FA"/>
    <w:rsid w:val="004B3A51"/>
    <w:rsid w:val="004B3D34"/>
    <w:rsid w:val="004B41A0"/>
    <w:rsid w:val="004B449E"/>
    <w:rsid w:val="004B4752"/>
    <w:rsid w:val="004B47FC"/>
    <w:rsid w:val="004B4EFE"/>
    <w:rsid w:val="004B51BD"/>
    <w:rsid w:val="004B5340"/>
    <w:rsid w:val="004B55E0"/>
    <w:rsid w:val="004B5614"/>
    <w:rsid w:val="004B56BB"/>
    <w:rsid w:val="004B5BA3"/>
    <w:rsid w:val="004B5C21"/>
    <w:rsid w:val="004B5DDE"/>
    <w:rsid w:val="004B61D6"/>
    <w:rsid w:val="004B625F"/>
    <w:rsid w:val="004B6413"/>
    <w:rsid w:val="004B655B"/>
    <w:rsid w:val="004B66C1"/>
    <w:rsid w:val="004B6BF2"/>
    <w:rsid w:val="004B6DA3"/>
    <w:rsid w:val="004B732B"/>
    <w:rsid w:val="004B740A"/>
    <w:rsid w:val="004B7480"/>
    <w:rsid w:val="004B752E"/>
    <w:rsid w:val="004B7898"/>
    <w:rsid w:val="004B7BB0"/>
    <w:rsid w:val="004B7C7B"/>
    <w:rsid w:val="004B7CA7"/>
    <w:rsid w:val="004B7FC3"/>
    <w:rsid w:val="004C014C"/>
    <w:rsid w:val="004C0314"/>
    <w:rsid w:val="004C08D2"/>
    <w:rsid w:val="004C0915"/>
    <w:rsid w:val="004C0B1D"/>
    <w:rsid w:val="004C0B20"/>
    <w:rsid w:val="004C0B55"/>
    <w:rsid w:val="004C1058"/>
    <w:rsid w:val="004C1274"/>
    <w:rsid w:val="004C155C"/>
    <w:rsid w:val="004C1A03"/>
    <w:rsid w:val="004C23D2"/>
    <w:rsid w:val="004C292B"/>
    <w:rsid w:val="004C2C30"/>
    <w:rsid w:val="004C3CF2"/>
    <w:rsid w:val="004C3D74"/>
    <w:rsid w:val="004C3E1A"/>
    <w:rsid w:val="004C4331"/>
    <w:rsid w:val="004C43EE"/>
    <w:rsid w:val="004C4977"/>
    <w:rsid w:val="004C4B56"/>
    <w:rsid w:val="004C4BAE"/>
    <w:rsid w:val="004C519A"/>
    <w:rsid w:val="004C52BB"/>
    <w:rsid w:val="004C57E0"/>
    <w:rsid w:val="004C5A58"/>
    <w:rsid w:val="004C5B7D"/>
    <w:rsid w:val="004C6361"/>
    <w:rsid w:val="004C6889"/>
    <w:rsid w:val="004C6A61"/>
    <w:rsid w:val="004C6AE2"/>
    <w:rsid w:val="004C6C06"/>
    <w:rsid w:val="004C70DE"/>
    <w:rsid w:val="004C711F"/>
    <w:rsid w:val="004C7A21"/>
    <w:rsid w:val="004C7BA8"/>
    <w:rsid w:val="004C7C36"/>
    <w:rsid w:val="004C7F55"/>
    <w:rsid w:val="004C7F65"/>
    <w:rsid w:val="004C7F85"/>
    <w:rsid w:val="004D0876"/>
    <w:rsid w:val="004D09B7"/>
    <w:rsid w:val="004D114B"/>
    <w:rsid w:val="004D14BB"/>
    <w:rsid w:val="004D15A0"/>
    <w:rsid w:val="004D167F"/>
    <w:rsid w:val="004D1788"/>
    <w:rsid w:val="004D17A3"/>
    <w:rsid w:val="004D1BB4"/>
    <w:rsid w:val="004D256E"/>
    <w:rsid w:val="004D2743"/>
    <w:rsid w:val="004D2756"/>
    <w:rsid w:val="004D27CE"/>
    <w:rsid w:val="004D29CF"/>
    <w:rsid w:val="004D2C69"/>
    <w:rsid w:val="004D341D"/>
    <w:rsid w:val="004D3437"/>
    <w:rsid w:val="004D3A0A"/>
    <w:rsid w:val="004D3E99"/>
    <w:rsid w:val="004D416E"/>
    <w:rsid w:val="004D42F6"/>
    <w:rsid w:val="004D45EE"/>
    <w:rsid w:val="004D4F41"/>
    <w:rsid w:val="004D5107"/>
    <w:rsid w:val="004D52A9"/>
    <w:rsid w:val="004D54F8"/>
    <w:rsid w:val="004D5626"/>
    <w:rsid w:val="004D5C2B"/>
    <w:rsid w:val="004D6183"/>
    <w:rsid w:val="004D6C1F"/>
    <w:rsid w:val="004D6D11"/>
    <w:rsid w:val="004D6D5F"/>
    <w:rsid w:val="004D7116"/>
    <w:rsid w:val="004D73D1"/>
    <w:rsid w:val="004D7499"/>
    <w:rsid w:val="004D76EB"/>
    <w:rsid w:val="004E01EA"/>
    <w:rsid w:val="004E02D0"/>
    <w:rsid w:val="004E0460"/>
    <w:rsid w:val="004E04AA"/>
    <w:rsid w:val="004E0659"/>
    <w:rsid w:val="004E073F"/>
    <w:rsid w:val="004E0BD7"/>
    <w:rsid w:val="004E10EF"/>
    <w:rsid w:val="004E12A6"/>
    <w:rsid w:val="004E12CF"/>
    <w:rsid w:val="004E14ED"/>
    <w:rsid w:val="004E168C"/>
    <w:rsid w:val="004E1AAB"/>
    <w:rsid w:val="004E1C10"/>
    <w:rsid w:val="004E1C5B"/>
    <w:rsid w:val="004E1DE6"/>
    <w:rsid w:val="004E2283"/>
    <w:rsid w:val="004E2396"/>
    <w:rsid w:val="004E2544"/>
    <w:rsid w:val="004E2D26"/>
    <w:rsid w:val="004E30D1"/>
    <w:rsid w:val="004E3343"/>
    <w:rsid w:val="004E334E"/>
    <w:rsid w:val="004E3853"/>
    <w:rsid w:val="004E3858"/>
    <w:rsid w:val="004E3D33"/>
    <w:rsid w:val="004E478C"/>
    <w:rsid w:val="004E4926"/>
    <w:rsid w:val="004E493F"/>
    <w:rsid w:val="004E4A50"/>
    <w:rsid w:val="004E51BE"/>
    <w:rsid w:val="004E58EB"/>
    <w:rsid w:val="004E597D"/>
    <w:rsid w:val="004E5C03"/>
    <w:rsid w:val="004E5F7D"/>
    <w:rsid w:val="004E69D7"/>
    <w:rsid w:val="004E69F3"/>
    <w:rsid w:val="004E72AC"/>
    <w:rsid w:val="004E79A1"/>
    <w:rsid w:val="004E7CC2"/>
    <w:rsid w:val="004E7CFF"/>
    <w:rsid w:val="004E7EDB"/>
    <w:rsid w:val="004E7F27"/>
    <w:rsid w:val="004F0283"/>
    <w:rsid w:val="004F0476"/>
    <w:rsid w:val="004F0A9F"/>
    <w:rsid w:val="004F0BC4"/>
    <w:rsid w:val="004F0C71"/>
    <w:rsid w:val="004F0D84"/>
    <w:rsid w:val="004F0FA1"/>
    <w:rsid w:val="004F100F"/>
    <w:rsid w:val="004F10BD"/>
    <w:rsid w:val="004F12A5"/>
    <w:rsid w:val="004F1314"/>
    <w:rsid w:val="004F1806"/>
    <w:rsid w:val="004F19D2"/>
    <w:rsid w:val="004F1A64"/>
    <w:rsid w:val="004F1BED"/>
    <w:rsid w:val="004F1BF8"/>
    <w:rsid w:val="004F1E78"/>
    <w:rsid w:val="004F22E4"/>
    <w:rsid w:val="004F2379"/>
    <w:rsid w:val="004F248F"/>
    <w:rsid w:val="004F24F5"/>
    <w:rsid w:val="004F2531"/>
    <w:rsid w:val="004F2861"/>
    <w:rsid w:val="004F29B8"/>
    <w:rsid w:val="004F2DDB"/>
    <w:rsid w:val="004F369A"/>
    <w:rsid w:val="004F37BD"/>
    <w:rsid w:val="004F3999"/>
    <w:rsid w:val="004F3AB9"/>
    <w:rsid w:val="004F3BB1"/>
    <w:rsid w:val="004F4671"/>
    <w:rsid w:val="004F47DF"/>
    <w:rsid w:val="004F4846"/>
    <w:rsid w:val="004F492A"/>
    <w:rsid w:val="004F4C5F"/>
    <w:rsid w:val="004F54EB"/>
    <w:rsid w:val="004F5529"/>
    <w:rsid w:val="004F56E1"/>
    <w:rsid w:val="004F5709"/>
    <w:rsid w:val="004F572E"/>
    <w:rsid w:val="004F5836"/>
    <w:rsid w:val="004F586A"/>
    <w:rsid w:val="004F5D06"/>
    <w:rsid w:val="004F5D77"/>
    <w:rsid w:val="004F5E6D"/>
    <w:rsid w:val="004F6193"/>
    <w:rsid w:val="004F6580"/>
    <w:rsid w:val="004F66F1"/>
    <w:rsid w:val="004F67B9"/>
    <w:rsid w:val="004F6BFC"/>
    <w:rsid w:val="004F6DA8"/>
    <w:rsid w:val="004F7156"/>
    <w:rsid w:val="004F7235"/>
    <w:rsid w:val="004F7290"/>
    <w:rsid w:val="004F7C9E"/>
    <w:rsid w:val="0050005E"/>
    <w:rsid w:val="00500149"/>
    <w:rsid w:val="0050026A"/>
    <w:rsid w:val="005006BB"/>
    <w:rsid w:val="005009E7"/>
    <w:rsid w:val="00500C04"/>
    <w:rsid w:val="005011E1"/>
    <w:rsid w:val="00501B25"/>
    <w:rsid w:val="00501DBC"/>
    <w:rsid w:val="00501E09"/>
    <w:rsid w:val="00501F7F"/>
    <w:rsid w:val="00501FB0"/>
    <w:rsid w:val="00502074"/>
    <w:rsid w:val="0050212F"/>
    <w:rsid w:val="00502660"/>
    <w:rsid w:val="00502EAC"/>
    <w:rsid w:val="00503D69"/>
    <w:rsid w:val="00503EAF"/>
    <w:rsid w:val="00503F80"/>
    <w:rsid w:val="005046B3"/>
    <w:rsid w:val="00504C3B"/>
    <w:rsid w:val="0050566E"/>
    <w:rsid w:val="00505747"/>
    <w:rsid w:val="00505768"/>
    <w:rsid w:val="005059AB"/>
    <w:rsid w:val="00505DF4"/>
    <w:rsid w:val="00506884"/>
    <w:rsid w:val="00506A85"/>
    <w:rsid w:val="00506FCF"/>
    <w:rsid w:val="0050751C"/>
    <w:rsid w:val="00507ABA"/>
    <w:rsid w:val="00507D92"/>
    <w:rsid w:val="00507DEA"/>
    <w:rsid w:val="00507F5D"/>
    <w:rsid w:val="0051009A"/>
    <w:rsid w:val="005105A3"/>
    <w:rsid w:val="005106F2"/>
    <w:rsid w:val="005109C5"/>
    <w:rsid w:val="00510C2E"/>
    <w:rsid w:val="00510C99"/>
    <w:rsid w:val="00510D02"/>
    <w:rsid w:val="005110F0"/>
    <w:rsid w:val="00511378"/>
    <w:rsid w:val="00511A52"/>
    <w:rsid w:val="00511BD0"/>
    <w:rsid w:val="00512033"/>
    <w:rsid w:val="00512398"/>
    <w:rsid w:val="00512464"/>
    <w:rsid w:val="005129F3"/>
    <w:rsid w:val="00512AA2"/>
    <w:rsid w:val="00513235"/>
    <w:rsid w:val="00513811"/>
    <w:rsid w:val="005138D5"/>
    <w:rsid w:val="00513AEE"/>
    <w:rsid w:val="00513AF3"/>
    <w:rsid w:val="00513D3E"/>
    <w:rsid w:val="00513DA8"/>
    <w:rsid w:val="00513DD7"/>
    <w:rsid w:val="005144A5"/>
    <w:rsid w:val="00514933"/>
    <w:rsid w:val="00515299"/>
    <w:rsid w:val="0051545A"/>
    <w:rsid w:val="00515473"/>
    <w:rsid w:val="0051554C"/>
    <w:rsid w:val="005156D5"/>
    <w:rsid w:val="00515EE6"/>
    <w:rsid w:val="00516001"/>
    <w:rsid w:val="005161B1"/>
    <w:rsid w:val="005161DA"/>
    <w:rsid w:val="0051651A"/>
    <w:rsid w:val="00516A1C"/>
    <w:rsid w:val="00516A6E"/>
    <w:rsid w:val="00516B5B"/>
    <w:rsid w:val="00517179"/>
    <w:rsid w:val="00517309"/>
    <w:rsid w:val="0051737F"/>
    <w:rsid w:val="00517428"/>
    <w:rsid w:val="00517703"/>
    <w:rsid w:val="005178BC"/>
    <w:rsid w:val="00517F0F"/>
    <w:rsid w:val="0052008B"/>
    <w:rsid w:val="005201FC"/>
    <w:rsid w:val="005203F6"/>
    <w:rsid w:val="00520549"/>
    <w:rsid w:val="00521250"/>
    <w:rsid w:val="005218EC"/>
    <w:rsid w:val="005219EC"/>
    <w:rsid w:val="005219EF"/>
    <w:rsid w:val="005221CA"/>
    <w:rsid w:val="005226B1"/>
    <w:rsid w:val="005228B1"/>
    <w:rsid w:val="00522936"/>
    <w:rsid w:val="005231B1"/>
    <w:rsid w:val="005232F4"/>
    <w:rsid w:val="00523568"/>
    <w:rsid w:val="005238C6"/>
    <w:rsid w:val="00523B34"/>
    <w:rsid w:val="00523CE3"/>
    <w:rsid w:val="00523FAF"/>
    <w:rsid w:val="00523FFB"/>
    <w:rsid w:val="00524003"/>
    <w:rsid w:val="005241C8"/>
    <w:rsid w:val="005246E3"/>
    <w:rsid w:val="00524A58"/>
    <w:rsid w:val="00524B83"/>
    <w:rsid w:val="00524BA4"/>
    <w:rsid w:val="00524BC2"/>
    <w:rsid w:val="00524C31"/>
    <w:rsid w:val="0052502B"/>
    <w:rsid w:val="0052523B"/>
    <w:rsid w:val="0052600E"/>
    <w:rsid w:val="005261E3"/>
    <w:rsid w:val="005262B9"/>
    <w:rsid w:val="005262D9"/>
    <w:rsid w:val="005262F9"/>
    <w:rsid w:val="00526438"/>
    <w:rsid w:val="005266E1"/>
    <w:rsid w:val="00526807"/>
    <w:rsid w:val="005269E1"/>
    <w:rsid w:val="00526C5E"/>
    <w:rsid w:val="00526EA8"/>
    <w:rsid w:val="00526F20"/>
    <w:rsid w:val="0052720C"/>
    <w:rsid w:val="005274E2"/>
    <w:rsid w:val="005275A7"/>
    <w:rsid w:val="00527613"/>
    <w:rsid w:val="00527A00"/>
    <w:rsid w:val="00527A2D"/>
    <w:rsid w:val="00530355"/>
    <w:rsid w:val="00530380"/>
    <w:rsid w:val="005303D1"/>
    <w:rsid w:val="005306D4"/>
    <w:rsid w:val="00530A81"/>
    <w:rsid w:val="00530B23"/>
    <w:rsid w:val="00530EEC"/>
    <w:rsid w:val="005311E7"/>
    <w:rsid w:val="0053127E"/>
    <w:rsid w:val="005312EC"/>
    <w:rsid w:val="005313B8"/>
    <w:rsid w:val="00531434"/>
    <w:rsid w:val="005314E2"/>
    <w:rsid w:val="005316ED"/>
    <w:rsid w:val="00531A1B"/>
    <w:rsid w:val="00531ED6"/>
    <w:rsid w:val="0053201B"/>
    <w:rsid w:val="005320FF"/>
    <w:rsid w:val="00532313"/>
    <w:rsid w:val="00532433"/>
    <w:rsid w:val="005325CE"/>
    <w:rsid w:val="005328DC"/>
    <w:rsid w:val="0053292A"/>
    <w:rsid w:val="005329A0"/>
    <w:rsid w:val="00532CAE"/>
    <w:rsid w:val="00532D85"/>
    <w:rsid w:val="00532E1F"/>
    <w:rsid w:val="00532F6A"/>
    <w:rsid w:val="00533767"/>
    <w:rsid w:val="00533851"/>
    <w:rsid w:val="00533AA7"/>
    <w:rsid w:val="00534176"/>
    <w:rsid w:val="0053422D"/>
    <w:rsid w:val="0053462B"/>
    <w:rsid w:val="00534827"/>
    <w:rsid w:val="005348F2"/>
    <w:rsid w:val="005349B1"/>
    <w:rsid w:val="00534AD3"/>
    <w:rsid w:val="00535275"/>
    <w:rsid w:val="0053547C"/>
    <w:rsid w:val="00535577"/>
    <w:rsid w:val="00535746"/>
    <w:rsid w:val="005357E6"/>
    <w:rsid w:val="005359B1"/>
    <w:rsid w:val="00535B2F"/>
    <w:rsid w:val="00535D65"/>
    <w:rsid w:val="005365E5"/>
    <w:rsid w:val="005368C9"/>
    <w:rsid w:val="00536B51"/>
    <w:rsid w:val="00536CDD"/>
    <w:rsid w:val="00536EDE"/>
    <w:rsid w:val="00536F26"/>
    <w:rsid w:val="005370F9"/>
    <w:rsid w:val="0053722D"/>
    <w:rsid w:val="00537472"/>
    <w:rsid w:val="00537C79"/>
    <w:rsid w:val="00537CA4"/>
    <w:rsid w:val="00540097"/>
    <w:rsid w:val="005401A3"/>
    <w:rsid w:val="0054027C"/>
    <w:rsid w:val="00540774"/>
    <w:rsid w:val="00540819"/>
    <w:rsid w:val="00540A03"/>
    <w:rsid w:val="00540AD1"/>
    <w:rsid w:val="00540D8A"/>
    <w:rsid w:val="00540E8A"/>
    <w:rsid w:val="0054103D"/>
    <w:rsid w:val="005413BC"/>
    <w:rsid w:val="00541A39"/>
    <w:rsid w:val="00541AD1"/>
    <w:rsid w:val="00541FB6"/>
    <w:rsid w:val="0054204C"/>
    <w:rsid w:val="0054253C"/>
    <w:rsid w:val="00542AA3"/>
    <w:rsid w:val="00542BF4"/>
    <w:rsid w:val="00542CFA"/>
    <w:rsid w:val="0054320C"/>
    <w:rsid w:val="0054323E"/>
    <w:rsid w:val="00543368"/>
    <w:rsid w:val="00543877"/>
    <w:rsid w:val="0054442B"/>
    <w:rsid w:val="00544571"/>
    <w:rsid w:val="00544670"/>
    <w:rsid w:val="00544710"/>
    <w:rsid w:val="005447F2"/>
    <w:rsid w:val="00544A2A"/>
    <w:rsid w:val="00544BCB"/>
    <w:rsid w:val="00544CEF"/>
    <w:rsid w:val="00545155"/>
    <w:rsid w:val="0054537A"/>
    <w:rsid w:val="005454D0"/>
    <w:rsid w:val="005461B8"/>
    <w:rsid w:val="00546859"/>
    <w:rsid w:val="00546981"/>
    <w:rsid w:val="0054735E"/>
    <w:rsid w:val="005473F6"/>
    <w:rsid w:val="0054749E"/>
    <w:rsid w:val="00547A31"/>
    <w:rsid w:val="00547ACC"/>
    <w:rsid w:val="00547E80"/>
    <w:rsid w:val="00547FC6"/>
    <w:rsid w:val="00550075"/>
    <w:rsid w:val="0055079A"/>
    <w:rsid w:val="00550F2F"/>
    <w:rsid w:val="00550FB2"/>
    <w:rsid w:val="00552081"/>
    <w:rsid w:val="00552211"/>
    <w:rsid w:val="00552595"/>
    <w:rsid w:val="0055277B"/>
    <w:rsid w:val="0055282C"/>
    <w:rsid w:val="00552A54"/>
    <w:rsid w:val="00552AD2"/>
    <w:rsid w:val="00552CD9"/>
    <w:rsid w:val="00552F95"/>
    <w:rsid w:val="00552FE9"/>
    <w:rsid w:val="00553132"/>
    <w:rsid w:val="00553164"/>
    <w:rsid w:val="00553314"/>
    <w:rsid w:val="005538EA"/>
    <w:rsid w:val="00553CD0"/>
    <w:rsid w:val="00553DC6"/>
    <w:rsid w:val="0055402F"/>
    <w:rsid w:val="00554369"/>
    <w:rsid w:val="005548D3"/>
    <w:rsid w:val="00554ACF"/>
    <w:rsid w:val="00554CA9"/>
    <w:rsid w:val="00554D6E"/>
    <w:rsid w:val="00554FBE"/>
    <w:rsid w:val="0055517C"/>
    <w:rsid w:val="005552FD"/>
    <w:rsid w:val="00555346"/>
    <w:rsid w:val="005554FC"/>
    <w:rsid w:val="005555ED"/>
    <w:rsid w:val="0055583C"/>
    <w:rsid w:val="005558ED"/>
    <w:rsid w:val="005559F7"/>
    <w:rsid w:val="00555B9A"/>
    <w:rsid w:val="00555BF8"/>
    <w:rsid w:val="00556571"/>
    <w:rsid w:val="005567A4"/>
    <w:rsid w:val="005568D7"/>
    <w:rsid w:val="00556B4D"/>
    <w:rsid w:val="00556FD4"/>
    <w:rsid w:val="0055710B"/>
    <w:rsid w:val="0055716F"/>
    <w:rsid w:val="005571E3"/>
    <w:rsid w:val="0055721D"/>
    <w:rsid w:val="005574A8"/>
    <w:rsid w:val="005577B8"/>
    <w:rsid w:val="005578E0"/>
    <w:rsid w:val="00557D75"/>
    <w:rsid w:val="0056041F"/>
    <w:rsid w:val="00560646"/>
    <w:rsid w:val="00560BCE"/>
    <w:rsid w:val="00560BF1"/>
    <w:rsid w:val="00560CBB"/>
    <w:rsid w:val="00561F60"/>
    <w:rsid w:val="00562196"/>
    <w:rsid w:val="00562515"/>
    <w:rsid w:val="005629C9"/>
    <w:rsid w:val="00562BE3"/>
    <w:rsid w:val="00562C62"/>
    <w:rsid w:val="00562E2C"/>
    <w:rsid w:val="00562E48"/>
    <w:rsid w:val="00563056"/>
    <w:rsid w:val="005635BA"/>
    <w:rsid w:val="0056376C"/>
    <w:rsid w:val="005637CF"/>
    <w:rsid w:val="00563B2F"/>
    <w:rsid w:val="00563EC2"/>
    <w:rsid w:val="00563F35"/>
    <w:rsid w:val="005647F3"/>
    <w:rsid w:val="00564E5A"/>
    <w:rsid w:val="005650FC"/>
    <w:rsid w:val="00565237"/>
    <w:rsid w:val="00565351"/>
    <w:rsid w:val="00565612"/>
    <w:rsid w:val="005659B7"/>
    <w:rsid w:val="00566321"/>
    <w:rsid w:val="00566DF4"/>
    <w:rsid w:val="00566F18"/>
    <w:rsid w:val="00566FA7"/>
    <w:rsid w:val="00567066"/>
    <w:rsid w:val="00567480"/>
    <w:rsid w:val="005677DC"/>
    <w:rsid w:val="00567E13"/>
    <w:rsid w:val="00567E32"/>
    <w:rsid w:val="00570211"/>
    <w:rsid w:val="00570276"/>
    <w:rsid w:val="005702DE"/>
    <w:rsid w:val="0057036E"/>
    <w:rsid w:val="0057041C"/>
    <w:rsid w:val="0057046C"/>
    <w:rsid w:val="005704C6"/>
    <w:rsid w:val="00570A83"/>
    <w:rsid w:val="00570D9A"/>
    <w:rsid w:val="0057117A"/>
    <w:rsid w:val="00571387"/>
    <w:rsid w:val="0057144F"/>
    <w:rsid w:val="005714FA"/>
    <w:rsid w:val="00571560"/>
    <w:rsid w:val="005720DA"/>
    <w:rsid w:val="00572381"/>
    <w:rsid w:val="0057289C"/>
    <w:rsid w:val="0057296F"/>
    <w:rsid w:val="00572D9C"/>
    <w:rsid w:val="00572DE5"/>
    <w:rsid w:val="00573420"/>
    <w:rsid w:val="00573868"/>
    <w:rsid w:val="00573CBA"/>
    <w:rsid w:val="00573D2C"/>
    <w:rsid w:val="00574199"/>
    <w:rsid w:val="0057458B"/>
    <w:rsid w:val="005748D9"/>
    <w:rsid w:val="00574B34"/>
    <w:rsid w:val="00574BB1"/>
    <w:rsid w:val="005750AC"/>
    <w:rsid w:val="00575822"/>
    <w:rsid w:val="0057592E"/>
    <w:rsid w:val="005759AE"/>
    <w:rsid w:val="00575BAA"/>
    <w:rsid w:val="00575EA4"/>
    <w:rsid w:val="00575ECA"/>
    <w:rsid w:val="00576039"/>
    <w:rsid w:val="00576613"/>
    <w:rsid w:val="00577063"/>
    <w:rsid w:val="0057715C"/>
    <w:rsid w:val="0057734A"/>
    <w:rsid w:val="0057741A"/>
    <w:rsid w:val="0057742A"/>
    <w:rsid w:val="005774FD"/>
    <w:rsid w:val="00577AA1"/>
    <w:rsid w:val="00577B81"/>
    <w:rsid w:val="00577EAD"/>
    <w:rsid w:val="005801DB"/>
    <w:rsid w:val="005802B9"/>
    <w:rsid w:val="005802FC"/>
    <w:rsid w:val="0058058F"/>
    <w:rsid w:val="00580668"/>
    <w:rsid w:val="005806B3"/>
    <w:rsid w:val="00580785"/>
    <w:rsid w:val="005809CF"/>
    <w:rsid w:val="00580B6E"/>
    <w:rsid w:val="00580BE0"/>
    <w:rsid w:val="00580D71"/>
    <w:rsid w:val="00582091"/>
    <w:rsid w:val="005822FC"/>
    <w:rsid w:val="005823C5"/>
    <w:rsid w:val="005825EC"/>
    <w:rsid w:val="00582712"/>
    <w:rsid w:val="00582C22"/>
    <w:rsid w:val="0058331A"/>
    <w:rsid w:val="00583489"/>
    <w:rsid w:val="00583506"/>
    <w:rsid w:val="00583576"/>
    <w:rsid w:val="00583A06"/>
    <w:rsid w:val="00583AB3"/>
    <w:rsid w:val="00583BBC"/>
    <w:rsid w:val="005840A0"/>
    <w:rsid w:val="005845AC"/>
    <w:rsid w:val="0058460C"/>
    <w:rsid w:val="005847F9"/>
    <w:rsid w:val="0058492A"/>
    <w:rsid w:val="00584E0D"/>
    <w:rsid w:val="00585344"/>
    <w:rsid w:val="0058599E"/>
    <w:rsid w:val="00585CDF"/>
    <w:rsid w:val="0058642F"/>
    <w:rsid w:val="00586909"/>
    <w:rsid w:val="005869BC"/>
    <w:rsid w:val="00586A64"/>
    <w:rsid w:val="00586B43"/>
    <w:rsid w:val="0058791F"/>
    <w:rsid w:val="00587AC5"/>
    <w:rsid w:val="005900C6"/>
    <w:rsid w:val="00590901"/>
    <w:rsid w:val="00590A2C"/>
    <w:rsid w:val="00590B71"/>
    <w:rsid w:val="00590BE6"/>
    <w:rsid w:val="00590D5F"/>
    <w:rsid w:val="00590F01"/>
    <w:rsid w:val="00590F5D"/>
    <w:rsid w:val="005912A3"/>
    <w:rsid w:val="00591881"/>
    <w:rsid w:val="005918A7"/>
    <w:rsid w:val="00591928"/>
    <w:rsid w:val="00591B46"/>
    <w:rsid w:val="00591C20"/>
    <w:rsid w:val="00591CC0"/>
    <w:rsid w:val="00591FE1"/>
    <w:rsid w:val="0059259D"/>
    <w:rsid w:val="0059299C"/>
    <w:rsid w:val="00592C74"/>
    <w:rsid w:val="005934F3"/>
    <w:rsid w:val="00593B63"/>
    <w:rsid w:val="00593D22"/>
    <w:rsid w:val="00593F23"/>
    <w:rsid w:val="005948CA"/>
    <w:rsid w:val="00594AD4"/>
    <w:rsid w:val="00594D37"/>
    <w:rsid w:val="00594F5B"/>
    <w:rsid w:val="0059509C"/>
    <w:rsid w:val="00595484"/>
    <w:rsid w:val="00595650"/>
    <w:rsid w:val="005957FC"/>
    <w:rsid w:val="0059586A"/>
    <w:rsid w:val="00595981"/>
    <w:rsid w:val="00595A8F"/>
    <w:rsid w:val="00595D5D"/>
    <w:rsid w:val="00595EB9"/>
    <w:rsid w:val="0059656A"/>
    <w:rsid w:val="0059694A"/>
    <w:rsid w:val="00596997"/>
    <w:rsid w:val="00596CF2"/>
    <w:rsid w:val="00596F29"/>
    <w:rsid w:val="00596F3D"/>
    <w:rsid w:val="005976E4"/>
    <w:rsid w:val="00597A24"/>
    <w:rsid w:val="00597C2A"/>
    <w:rsid w:val="00597CC7"/>
    <w:rsid w:val="005A0152"/>
    <w:rsid w:val="005A015E"/>
    <w:rsid w:val="005A052E"/>
    <w:rsid w:val="005A0C4E"/>
    <w:rsid w:val="005A0D59"/>
    <w:rsid w:val="005A1184"/>
    <w:rsid w:val="005A14C4"/>
    <w:rsid w:val="005A16E2"/>
    <w:rsid w:val="005A1F8A"/>
    <w:rsid w:val="005A2091"/>
    <w:rsid w:val="005A2291"/>
    <w:rsid w:val="005A2A36"/>
    <w:rsid w:val="005A3400"/>
    <w:rsid w:val="005A3502"/>
    <w:rsid w:val="005A37F7"/>
    <w:rsid w:val="005A380E"/>
    <w:rsid w:val="005A3822"/>
    <w:rsid w:val="005A3C62"/>
    <w:rsid w:val="005A3FCE"/>
    <w:rsid w:val="005A41B7"/>
    <w:rsid w:val="005A468E"/>
    <w:rsid w:val="005A4A47"/>
    <w:rsid w:val="005A4B03"/>
    <w:rsid w:val="005A4B39"/>
    <w:rsid w:val="005A51FC"/>
    <w:rsid w:val="005A5831"/>
    <w:rsid w:val="005A5951"/>
    <w:rsid w:val="005A5C8B"/>
    <w:rsid w:val="005A5CEB"/>
    <w:rsid w:val="005A5DF6"/>
    <w:rsid w:val="005A5F98"/>
    <w:rsid w:val="005A6090"/>
    <w:rsid w:val="005A632F"/>
    <w:rsid w:val="005A6476"/>
    <w:rsid w:val="005A66F1"/>
    <w:rsid w:val="005A6CF1"/>
    <w:rsid w:val="005A75A7"/>
    <w:rsid w:val="005A7AFF"/>
    <w:rsid w:val="005A7FE6"/>
    <w:rsid w:val="005B1020"/>
    <w:rsid w:val="005B11F9"/>
    <w:rsid w:val="005B13FE"/>
    <w:rsid w:val="005B1540"/>
    <w:rsid w:val="005B1A06"/>
    <w:rsid w:val="005B1A1D"/>
    <w:rsid w:val="005B220B"/>
    <w:rsid w:val="005B231B"/>
    <w:rsid w:val="005B2A7E"/>
    <w:rsid w:val="005B2A91"/>
    <w:rsid w:val="005B2B81"/>
    <w:rsid w:val="005B2F52"/>
    <w:rsid w:val="005B2F68"/>
    <w:rsid w:val="005B31E5"/>
    <w:rsid w:val="005B3292"/>
    <w:rsid w:val="005B3328"/>
    <w:rsid w:val="005B38FA"/>
    <w:rsid w:val="005B3975"/>
    <w:rsid w:val="005B3D05"/>
    <w:rsid w:val="005B3EB0"/>
    <w:rsid w:val="005B400A"/>
    <w:rsid w:val="005B42EE"/>
    <w:rsid w:val="005B4315"/>
    <w:rsid w:val="005B45C0"/>
    <w:rsid w:val="005B4843"/>
    <w:rsid w:val="005B4BDE"/>
    <w:rsid w:val="005B4E66"/>
    <w:rsid w:val="005B5346"/>
    <w:rsid w:val="005B564A"/>
    <w:rsid w:val="005B58AF"/>
    <w:rsid w:val="005B5929"/>
    <w:rsid w:val="005B5A3E"/>
    <w:rsid w:val="005B5DC2"/>
    <w:rsid w:val="005B5ED8"/>
    <w:rsid w:val="005B6144"/>
    <w:rsid w:val="005B6198"/>
    <w:rsid w:val="005B6414"/>
    <w:rsid w:val="005B693F"/>
    <w:rsid w:val="005B69A9"/>
    <w:rsid w:val="005B6A18"/>
    <w:rsid w:val="005B6B52"/>
    <w:rsid w:val="005B6DC3"/>
    <w:rsid w:val="005B6E40"/>
    <w:rsid w:val="005B6EC0"/>
    <w:rsid w:val="005B7378"/>
    <w:rsid w:val="005B7494"/>
    <w:rsid w:val="005B7AFE"/>
    <w:rsid w:val="005B7B59"/>
    <w:rsid w:val="005B7B78"/>
    <w:rsid w:val="005B7B93"/>
    <w:rsid w:val="005B7C9D"/>
    <w:rsid w:val="005B7CB5"/>
    <w:rsid w:val="005C0643"/>
    <w:rsid w:val="005C0D81"/>
    <w:rsid w:val="005C11F1"/>
    <w:rsid w:val="005C1233"/>
    <w:rsid w:val="005C13B8"/>
    <w:rsid w:val="005C1644"/>
    <w:rsid w:val="005C1CA3"/>
    <w:rsid w:val="005C1D18"/>
    <w:rsid w:val="005C1F64"/>
    <w:rsid w:val="005C1F90"/>
    <w:rsid w:val="005C2400"/>
    <w:rsid w:val="005C2439"/>
    <w:rsid w:val="005C268A"/>
    <w:rsid w:val="005C2734"/>
    <w:rsid w:val="005C2959"/>
    <w:rsid w:val="005C2FA1"/>
    <w:rsid w:val="005C2FDA"/>
    <w:rsid w:val="005C331B"/>
    <w:rsid w:val="005C33F8"/>
    <w:rsid w:val="005C387C"/>
    <w:rsid w:val="005C3D31"/>
    <w:rsid w:val="005C3E79"/>
    <w:rsid w:val="005C3F04"/>
    <w:rsid w:val="005C4247"/>
    <w:rsid w:val="005C45CE"/>
    <w:rsid w:val="005C4617"/>
    <w:rsid w:val="005C4790"/>
    <w:rsid w:val="005C4ABE"/>
    <w:rsid w:val="005C4F8D"/>
    <w:rsid w:val="005C5272"/>
    <w:rsid w:val="005C54DA"/>
    <w:rsid w:val="005C5620"/>
    <w:rsid w:val="005C5746"/>
    <w:rsid w:val="005C5E3C"/>
    <w:rsid w:val="005C6040"/>
    <w:rsid w:val="005C60CA"/>
    <w:rsid w:val="005C66CD"/>
    <w:rsid w:val="005C6E94"/>
    <w:rsid w:val="005C74F4"/>
    <w:rsid w:val="005C759E"/>
    <w:rsid w:val="005C76C9"/>
    <w:rsid w:val="005C7740"/>
    <w:rsid w:val="005C7BD0"/>
    <w:rsid w:val="005C7F50"/>
    <w:rsid w:val="005D0306"/>
    <w:rsid w:val="005D03B0"/>
    <w:rsid w:val="005D03E4"/>
    <w:rsid w:val="005D073F"/>
    <w:rsid w:val="005D084B"/>
    <w:rsid w:val="005D1445"/>
    <w:rsid w:val="005D164F"/>
    <w:rsid w:val="005D166E"/>
    <w:rsid w:val="005D1A48"/>
    <w:rsid w:val="005D1DB8"/>
    <w:rsid w:val="005D1E4D"/>
    <w:rsid w:val="005D2069"/>
    <w:rsid w:val="005D23FD"/>
    <w:rsid w:val="005D253F"/>
    <w:rsid w:val="005D2640"/>
    <w:rsid w:val="005D2643"/>
    <w:rsid w:val="005D27FB"/>
    <w:rsid w:val="005D2B40"/>
    <w:rsid w:val="005D2BD3"/>
    <w:rsid w:val="005D2FC8"/>
    <w:rsid w:val="005D310A"/>
    <w:rsid w:val="005D3203"/>
    <w:rsid w:val="005D3690"/>
    <w:rsid w:val="005D372F"/>
    <w:rsid w:val="005D3D5D"/>
    <w:rsid w:val="005D411A"/>
    <w:rsid w:val="005D421A"/>
    <w:rsid w:val="005D477A"/>
    <w:rsid w:val="005D4A61"/>
    <w:rsid w:val="005D5067"/>
    <w:rsid w:val="005D5587"/>
    <w:rsid w:val="005D575F"/>
    <w:rsid w:val="005D57F7"/>
    <w:rsid w:val="005D58C1"/>
    <w:rsid w:val="005D5AAF"/>
    <w:rsid w:val="005D5CC0"/>
    <w:rsid w:val="005D6136"/>
    <w:rsid w:val="005D66D4"/>
    <w:rsid w:val="005D6A2C"/>
    <w:rsid w:val="005D7749"/>
    <w:rsid w:val="005D778A"/>
    <w:rsid w:val="005D79C5"/>
    <w:rsid w:val="005D7CA7"/>
    <w:rsid w:val="005E008E"/>
    <w:rsid w:val="005E01A4"/>
    <w:rsid w:val="005E02DA"/>
    <w:rsid w:val="005E031D"/>
    <w:rsid w:val="005E0500"/>
    <w:rsid w:val="005E07F6"/>
    <w:rsid w:val="005E0AB1"/>
    <w:rsid w:val="005E13E3"/>
    <w:rsid w:val="005E150A"/>
    <w:rsid w:val="005E183B"/>
    <w:rsid w:val="005E18AB"/>
    <w:rsid w:val="005E1912"/>
    <w:rsid w:val="005E19E8"/>
    <w:rsid w:val="005E21FF"/>
    <w:rsid w:val="005E292E"/>
    <w:rsid w:val="005E3622"/>
    <w:rsid w:val="005E3C18"/>
    <w:rsid w:val="005E4302"/>
    <w:rsid w:val="005E4991"/>
    <w:rsid w:val="005E4AD6"/>
    <w:rsid w:val="005E55DD"/>
    <w:rsid w:val="005E5973"/>
    <w:rsid w:val="005E5C39"/>
    <w:rsid w:val="005E62A4"/>
    <w:rsid w:val="005E6318"/>
    <w:rsid w:val="005E67BA"/>
    <w:rsid w:val="005E6A54"/>
    <w:rsid w:val="005E6FE0"/>
    <w:rsid w:val="005E6FE2"/>
    <w:rsid w:val="005E70FB"/>
    <w:rsid w:val="005E7243"/>
    <w:rsid w:val="005E73B0"/>
    <w:rsid w:val="005E7C79"/>
    <w:rsid w:val="005E7E80"/>
    <w:rsid w:val="005F000F"/>
    <w:rsid w:val="005F0045"/>
    <w:rsid w:val="005F0091"/>
    <w:rsid w:val="005F081A"/>
    <w:rsid w:val="005F0B8B"/>
    <w:rsid w:val="005F0E31"/>
    <w:rsid w:val="005F1080"/>
    <w:rsid w:val="005F173F"/>
    <w:rsid w:val="005F18FD"/>
    <w:rsid w:val="005F1C93"/>
    <w:rsid w:val="005F1D3B"/>
    <w:rsid w:val="005F1D76"/>
    <w:rsid w:val="005F20C1"/>
    <w:rsid w:val="005F217B"/>
    <w:rsid w:val="005F2D34"/>
    <w:rsid w:val="005F2FEB"/>
    <w:rsid w:val="005F3094"/>
    <w:rsid w:val="005F348A"/>
    <w:rsid w:val="005F3881"/>
    <w:rsid w:val="005F3939"/>
    <w:rsid w:val="005F492D"/>
    <w:rsid w:val="005F4BB4"/>
    <w:rsid w:val="005F4CA1"/>
    <w:rsid w:val="005F4CEA"/>
    <w:rsid w:val="005F4FA4"/>
    <w:rsid w:val="005F5741"/>
    <w:rsid w:val="005F5E94"/>
    <w:rsid w:val="005F5FD8"/>
    <w:rsid w:val="005F624C"/>
    <w:rsid w:val="005F6968"/>
    <w:rsid w:val="005F70D6"/>
    <w:rsid w:val="005F719B"/>
    <w:rsid w:val="005F755A"/>
    <w:rsid w:val="005F75D6"/>
    <w:rsid w:val="005F7622"/>
    <w:rsid w:val="005F7A7A"/>
    <w:rsid w:val="005F7D59"/>
    <w:rsid w:val="0060008D"/>
    <w:rsid w:val="006003BF"/>
    <w:rsid w:val="00600684"/>
    <w:rsid w:val="00600975"/>
    <w:rsid w:val="00600C1A"/>
    <w:rsid w:val="00600E5D"/>
    <w:rsid w:val="00600F06"/>
    <w:rsid w:val="00600F4E"/>
    <w:rsid w:val="00601084"/>
    <w:rsid w:val="006013DA"/>
    <w:rsid w:val="00601847"/>
    <w:rsid w:val="00601985"/>
    <w:rsid w:val="00601F9C"/>
    <w:rsid w:val="00602101"/>
    <w:rsid w:val="0060211D"/>
    <w:rsid w:val="00602774"/>
    <w:rsid w:val="00602A83"/>
    <w:rsid w:val="00602E51"/>
    <w:rsid w:val="0060349B"/>
    <w:rsid w:val="0060385C"/>
    <w:rsid w:val="0060399F"/>
    <w:rsid w:val="00605056"/>
    <w:rsid w:val="00605A44"/>
    <w:rsid w:val="00605B8C"/>
    <w:rsid w:val="00606292"/>
    <w:rsid w:val="0060681D"/>
    <w:rsid w:val="00606878"/>
    <w:rsid w:val="00606A5B"/>
    <w:rsid w:val="00606B21"/>
    <w:rsid w:val="00606B5E"/>
    <w:rsid w:val="00607266"/>
    <w:rsid w:val="00607293"/>
    <w:rsid w:val="0060747D"/>
    <w:rsid w:val="00607C86"/>
    <w:rsid w:val="00607FFA"/>
    <w:rsid w:val="00610A6E"/>
    <w:rsid w:val="00610B98"/>
    <w:rsid w:val="00610BCB"/>
    <w:rsid w:val="00610F85"/>
    <w:rsid w:val="00611185"/>
    <w:rsid w:val="0061124A"/>
    <w:rsid w:val="0061125C"/>
    <w:rsid w:val="006118BB"/>
    <w:rsid w:val="00611997"/>
    <w:rsid w:val="00611F03"/>
    <w:rsid w:val="00611FBA"/>
    <w:rsid w:val="00612330"/>
    <w:rsid w:val="00612422"/>
    <w:rsid w:val="00612759"/>
    <w:rsid w:val="00612F95"/>
    <w:rsid w:val="00612FC3"/>
    <w:rsid w:val="0061310B"/>
    <w:rsid w:val="00613DAD"/>
    <w:rsid w:val="006140D1"/>
    <w:rsid w:val="00614286"/>
    <w:rsid w:val="00614CD8"/>
    <w:rsid w:val="0061539A"/>
    <w:rsid w:val="0061563F"/>
    <w:rsid w:val="00615824"/>
    <w:rsid w:val="00615C54"/>
    <w:rsid w:val="00615E21"/>
    <w:rsid w:val="00615E5B"/>
    <w:rsid w:val="00616352"/>
    <w:rsid w:val="00616C44"/>
    <w:rsid w:val="006170A8"/>
    <w:rsid w:val="00617754"/>
    <w:rsid w:val="00617B1D"/>
    <w:rsid w:val="00617B87"/>
    <w:rsid w:val="00617D69"/>
    <w:rsid w:val="00617F0D"/>
    <w:rsid w:val="0062062C"/>
    <w:rsid w:val="00620691"/>
    <w:rsid w:val="00620C77"/>
    <w:rsid w:val="00620EDA"/>
    <w:rsid w:val="00620F69"/>
    <w:rsid w:val="00620FFD"/>
    <w:rsid w:val="0062106D"/>
    <w:rsid w:val="00621187"/>
    <w:rsid w:val="00621610"/>
    <w:rsid w:val="00621915"/>
    <w:rsid w:val="006219BD"/>
    <w:rsid w:val="00621BF3"/>
    <w:rsid w:val="00621E85"/>
    <w:rsid w:val="00621E97"/>
    <w:rsid w:val="006224F0"/>
    <w:rsid w:val="00622862"/>
    <w:rsid w:val="00622B0F"/>
    <w:rsid w:val="00622BDB"/>
    <w:rsid w:val="00622D07"/>
    <w:rsid w:val="00623329"/>
    <w:rsid w:val="0062350F"/>
    <w:rsid w:val="00623796"/>
    <w:rsid w:val="00623D5B"/>
    <w:rsid w:val="00624056"/>
    <w:rsid w:val="0062415F"/>
    <w:rsid w:val="006243DC"/>
    <w:rsid w:val="00624457"/>
    <w:rsid w:val="00624DD2"/>
    <w:rsid w:val="00625559"/>
    <w:rsid w:val="0062561B"/>
    <w:rsid w:val="0062571D"/>
    <w:rsid w:val="006260D7"/>
    <w:rsid w:val="006264B8"/>
    <w:rsid w:val="006264DB"/>
    <w:rsid w:val="00626731"/>
    <w:rsid w:val="006268FB"/>
    <w:rsid w:val="00626E0C"/>
    <w:rsid w:val="00626E20"/>
    <w:rsid w:val="00627042"/>
    <w:rsid w:val="00627779"/>
    <w:rsid w:val="00627F01"/>
    <w:rsid w:val="006300A0"/>
    <w:rsid w:val="006300B1"/>
    <w:rsid w:val="0063146B"/>
    <w:rsid w:val="00631CCB"/>
    <w:rsid w:val="006326A1"/>
    <w:rsid w:val="006328FA"/>
    <w:rsid w:val="00632C80"/>
    <w:rsid w:val="00633092"/>
    <w:rsid w:val="0063323F"/>
    <w:rsid w:val="00633B67"/>
    <w:rsid w:val="00633B70"/>
    <w:rsid w:val="00633E40"/>
    <w:rsid w:val="006340EF"/>
    <w:rsid w:val="006340F6"/>
    <w:rsid w:val="00634751"/>
    <w:rsid w:val="006348FF"/>
    <w:rsid w:val="00634BCA"/>
    <w:rsid w:val="00634C15"/>
    <w:rsid w:val="00634E34"/>
    <w:rsid w:val="00634E38"/>
    <w:rsid w:val="00634F23"/>
    <w:rsid w:val="0063513D"/>
    <w:rsid w:val="0063521C"/>
    <w:rsid w:val="006352A1"/>
    <w:rsid w:val="0063556C"/>
    <w:rsid w:val="00635C38"/>
    <w:rsid w:val="00635DC1"/>
    <w:rsid w:val="00635F1E"/>
    <w:rsid w:val="00636A09"/>
    <w:rsid w:val="00636AC4"/>
    <w:rsid w:val="00636FF3"/>
    <w:rsid w:val="006377D3"/>
    <w:rsid w:val="0063780A"/>
    <w:rsid w:val="00637A07"/>
    <w:rsid w:val="00637C18"/>
    <w:rsid w:val="006405B3"/>
    <w:rsid w:val="00640783"/>
    <w:rsid w:val="00640848"/>
    <w:rsid w:val="00640C30"/>
    <w:rsid w:val="00640D36"/>
    <w:rsid w:val="00640EF4"/>
    <w:rsid w:val="00641017"/>
    <w:rsid w:val="0064119D"/>
    <w:rsid w:val="00641331"/>
    <w:rsid w:val="00641916"/>
    <w:rsid w:val="00641ABB"/>
    <w:rsid w:val="00641AED"/>
    <w:rsid w:val="00641C7C"/>
    <w:rsid w:val="00641F84"/>
    <w:rsid w:val="0064204E"/>
    <w:rsid w:val="0064233E"/>
    <w:rsid w:val="00642A8C"/>
    <w:rsid w:val="006430A0"/>
    <w:rsid w:val="006433E2"/>
    <w:rsid w:val="006435BA"/>
    <w:rsid w:val="00643693"/>
    <w:rsid w:val="0064371E"/>
    <w:rsid w:val="00643829"/>
    <w:rsid w:val="0064387F"/>
    <w:rsid w:val="00643969"/>
    <w:rsid w:val="0064435D"/>
    <w:rsid w:val="00644540"/>
    <w:rsid w:val="00644980"/>
    <w:rsid w:val="0064498C"/>
    <w:rsid w:val="006449C8"/>
    <w:rsid w:val="00644B9D"/>
    <w:rsid w:val="00644E21"/>
    <w:rsid w:val="0064534C"/>
    <w:rsid w:val="0064556E"/>
    <w:rsid w:val="006457A9"/>
    <w:rsid w:val="00645914"/>
    <w:rsid w:val="00645A2B"/>
    <w:rsid w:val="00645DDE"/>
    <w:rsid w:val="00646503"/>
    <w:rsid w:val="0064652F"/>
    <w:rsid w:val="006467F2"/>
    <w:rsid w:val="00646BAA"/>
    <w:rsid w:val="00646C94"/>
    <w:rsid w:val="00646F1E"/>
    <w:rsid w:val="0064778B"/>
    <w:rsid w:val="00647C4A"/>
    <w:rsid w:val="00647E51"/>
    <w:rsid w:val="0065001B"/>
    <w:rsid w:val="0065039D"/>
    <w:rsid w:val="00650B23"/>
    <w:rsid w:val="00650CB0"/>
    <w:rsid w:val="00651417"/>
    <w:rsid w:val="00651730"/>
    <w:rsid w:val="00651C8F"/>
    <w:rsid w:val="00651CAC"/>
    <w:rsid w:val="00651E9F"/>
    <w:rsid w:val="00651F0F"/>
    <w:rsid w:val="006525EB"/>
    <w:rsid w:val="00652603"/>
    <w:rsid w:val="006528D7"/>
    <w:rsid w:val="00652A8B"/>
    <w:rsid w:val="00652AFC"/>
    <w:rsid w:val="006531BB"/>
    <w:rsid w:val="006533CC"/>
    <w:rsid w:val="00653745"/>
    <w:rsid w:val="00653987"/>
    <w:rsid w:val="00653B8C"/>
    <w:rsid w:val="00653C9D"/>
    <w:rsid w:val="00653E2C"/>
    <w:rsid w:val="00653F64"/>
    <w:rsid w:val="00653F7F"/>
    <w:rsid w:val="00654250"/>
    <w:rsid w:val="00654336"/>
    <w:rsid w:val="00654396"/>
    <w:rsid w:val="006554AE"/>
    <w:rsid w:val="006554B5"/>
    <w:rsid w:val="00655BD2"/>
    <w:rsid w:val="00656248"/>
    <w:rsid w:val="00656542"/>
    <w:rsid w:val="0065661B"/>
    <w:rsid w:val="006567CE"/>
    <w:rsid w:val="006568A0"/>
    <w:rsid w:val="00656D9B"/>
    <w:rsid w:val="0065709F"/>
    <w:rsid w:val="006570CC"/>
    <w:rsid w:val="006571D5"/>
    <w:rsid w:val="00657246"/>
    <w:rsid w:val="006572D6"/>
    <w:rsid w:val="00657300"/>
    <w:rsid w:val="0065746D"/>
    <w:rsid w:val="0065759E"/>
    <w:rsid w:val="00657806"/>
    <w:rsid w:val="00657A3E"/>
    <w:rsid w:val="00657ADA"/>
    <w:rsid w:val="006601DA"/>
    <w:rsid w:val="00660247"/>
    <w:rsid w:val="006602D7"/>
    <w:rsid w:val="006607C3"/>
    <w:rsid w:val="00660B7F"/>
    <w:rsid w:val="00660D93"/>
    <w:rsid w:val="0066129E"/>
    <w:rsid w:val="00661A1A"/>
    <w:rsid w:val="00661FE4"/>
    <w:rsid w:val="00662078"/>
    <w:rsid w:val="00662402"/>
    <w:rsid w:val="006624F2"/>
    <w:rsid w:val="0066256E"/>
    <w:rsid w:val="0066263A"/>
    <w:rsid w:val="006629F6"/>
    <w:rsid w:val="00662B38"/>
    <w:rsid w:val="00662C83"/>
    <w:rsid w:val="00662E9E"/>
    <w:rsid w:val="00662ED5"/>
    <w:rsid w:val="00662EFF"/>
    <w:rsid w:val="00662F48"/>
    <w:rsid w:val="00663011"/>
    <w:rsid w:val="00663351"/>
    <w:rsid w:val="006635C7"/>
    <w:rsid w:val="006637B2"/>
    <w:rsid w:val="00663DC2"/>
    <w:rsid w:val="006647D6"/>
    <w:rsid w:val="00664AFB"/>
    <w:rsid w:val="006651E9"/>
    <w:rsid w:val="006652A5"/>
    <w:rsid w:val="0066544A"/>
    <w:rsid w:val="00665574"/>
    <w:rsid w:val="006655D6"/>
    <w:rsid w:val="006656CC"/>
    <w:rsid w:val="0066570D"/>
    <w:rsid w:val="006659DD"/>
    <w:rsid w:val="00665D0F"/>
    <w:rsid w:val="00665DEA"/>
    <w:rsid w:val="00665DF5"/>
    <w:rsid w:val="0066605D"/>
    <w:rsid w:val="006661EA"/>
    <w:rsid w:val="00666330"/>
    <w:rsid w:val="00666347"/>
    <w:rsid w:val="00666435"/>
    <w:rsid w:val="00666439"/>
    <w:rsid w:val="00666540"/>
    <w:rsid w:val="00667C96"/>
    <w:rsid w:val="00667EC5"/>
    <w:rsid w:val="00670601"/>
    <w:rsid w:val="0067085F"/>
    <w:rsid w:val="006708F5"/>
    <w:rsid w:val="00670A6D"/>
    <w:rsid w:val="00670C21"/>
    <w:rsid w:val="00670E91"/>
    <w:rsid w:val="00671028"/>
    <w:rsid w:val="00671682"/>
    <w:rsid w:val="006716BA"/>
    <w:rsid w:val="00671759"/>
    <w:rsid w:val="006717AF"/>
    <w:rsid w:val="00671E15"/>
    <w:rsid w:val="006721E8"/>
    <w:rsid w:val="00672A43"/>
    <w:rsid w:val="00672B80"/>
    <w:rsid w:val="00672C35"/>
    <w:rsid w:val="00672CD6"/>
    <w:rsid w:val="00672CEE"/>
    <w:rsid w:val="00672D71"/>
    <w:rsid w:val="00672F34"/>
    <w:rsid w:val="00672FBA"/>
    <w:rsid w:val="00673050"/>
    <w:rsid w:val="00673076"/>
    <w:rsid w:val="006730EB"/>
    <w:rsid w:val="00673200"/>
    <w:rsid w:val="0067363C"/>
    <w:rsid w:val="006738BA"/>
    <w:rsid w:val="00673A2E"/>
    <w:rsid w:val="00673BAF"/>
    <w:rsid w:val="00673C7C"/>
    <w:rsid w:val="00673D96"/>
    <w:rsid w:val="006743C1"/>
    <w:rsid w:val="006746D7"/>
    <w:rsid w:val="00674932"/>
    <w:rsid w:val="006749D9"/>
    <w:rsid w:val="00674AB8"/>
    <w:rsid w:val="00674B14"/>
    <w:rsid w:val="00674DD5"/>
    <w:rsid w:val="0067521A"/>
    <w:rsid w:val="00675581"/>
    <w:rsid w:val="0067568C"/>
    <w:rsid w:val="0067603A"/>
    <w:rsid w:val="0067640B"/>
    <w:rsid w:val="006764AC"/>
    <w:rsid w:val="006765DB"/>
    <w:rsid w:val="00676796"/>
    <w:rsid w:val="006769E4"/>
    <w:rsid w:val="00676F4B"/>
    <w:rsid w:val="0067727F"/>
    <w:rsid w:val="006773DD"/>
    <w:rsid w:val="00677726"/>
    <w:rsid w:val="006779A4"/>
    <w:rsid w:val="0068006C"/>
    <w:rsid w:val="00680413"/>
    <w:rsid w:val="006807F9"/>
    <w:rsid w:val="00680DF2"/>
    <w:rsid w:val="006812CC"/>
    <w:rsid w:val="006816DE"/>
    <w:rsid w:val="006817B6"/>
    <w:rsid w:val="0068201F"/>
    <w:rsid w:val="0068208A"/>
    <w:rsid w:val="00682093"/>
    <w:rsid w:val="0068213E"/>
    <w:rsid w:val="0068224F"/>
    <w:rsid w:val="006825D4"/>
    <w:rsid w:val="0068272E"/>
    <w:rsid w:val="006828DC"/>
    <w:rsid w:val="006828FF"/>
    <w:rsid w:val="0068297A"/>
    <w:rsid w:val="00682D38"/>
    <w:rsid w:val="006830CA"/>
    <w:rsid w:val="006831CC"/>
    <w:rsid w:val="00683227"/>
    <w:rsid w:val="00683474"/>
    <w:rsid w:val="00683678"/>
    <w:rsid w:val="006836AD"/>
    <w:rsid w:val="006837EF"/>
    <w:rsid w:val="00683997"/>
    <w:rsid w:val="00683A13"/>
    <w:rsid w:val="0068420C"/>
    <w:rsid w:val="0068427C"/>
    <w:rsid w:val="006844E7"/>
    <w:rsid w:val="00684957"/>
    <w:rsid w:val="00684C14"/>
    <w:rsid w:val="00684C41"/>
    <w:rsid w:val="00684CA0"/>
    <w:rsid w:val="00684F95"/>
    <w:rsid w:val="0068502A"/>
    <w:rsid w:val="0068510F"/>
    <w:rsid w:val="00686033"/>
    <w:rsid w:val="0068613E"/>
    <w:rsid w:val="0068666A"/>
    <w:rsid w:val="006868BA"/>
    <w:rsid w:val="00686B15"/>
    <w:rsid w:val="00686F4A"/>
    <w:rsid w:val="0068703B"/>
    <w:rsid w:val="0068754F"/>
    <w:rsid w:val="00687601"/>
    <w:rsid w:val="006878BE"/>
    <w:rsid w:val="00687BA1"/>
    <w:rsid w:val="00687E87"/>
    <w:rsid w:val="006901EE"/>
    <w:rsid w:val="006902C3"/>
    <w:rsid w:val="006902F6"/>
    <w:rsid w:val="0069065C"/>
    <w:rsid w:val="006906C2"/>
    <w:rsid w:val="00690791"/>
    <w:rsid w:val="00690A99"/>
    <w:rsid w:val="00690BC7"/>
    <w:rsid w:val="00690CE8"/>
    <w:rsid w:val="0069141F"/>
    <w:rsid w:val="0069169D"/>
    <w:rsid w:val="00691728"/>
    <w:rsid w:val="006917A4"/>
    <w:rsid w:val="00691D70"/>
    <w:rsid w:val="00692225"/>
    <w:rsid w:val="006925AD"/>
    <w:rsid w:val="006928E2"/>
    <w:rsid w:val="00692B28"/>
    <w:rsid w:val="00692DE9"/>
    <w:rsid w:val="00692ECB"/>
    <w:rsid w:val="006941FF"/>
    <w:rsid w:val="0069428F"/>
    <w:rsid w:val="006943B1"/>
    <w:rsid w:val="00694435"/>
    <w:rsid w:val="006944FD"/>
    <w:rsid w:val="006949C1"/>
    <w:rsid w:val="00694B71"/>
    <w:rsid w:val="0069589B"/>
    <w:rsid w:val="00695C95"/>
    <w:rsid w:val="00695E94"/>
    <w:rsid w:val="00695E98"/>
    <w:rsid w:val="00695FF2"/>
    <w:rsid w:val="00696319"/>
    <w:rsid w:val="006967B3"/>
    <w:rsid w:val="00696808"/>
    <w:rsid w:val="00696B03"/>
    <w:rsid w:val="00696E19"/>
    <w:rsid w:val="00696FF1"/>
    <w:rsid w:val="00697182"/>
    <w:rsid w:val="00697A77"/>
    <w:rsid w:val="00697BD1"/>
    <w:rsid w:val="00697E89"/>
    <w:rsid w:val="00697E9B"/>
    <w:rsid w:val="00697F31"/>
    <w:rsid w:val="00697FDA"/>
    <w:rsid w:val="006A03F2"/>
    <w:rsid w:val="006A0787"/>
    <w:rsid w:val="006A08A5"/>
    <w:rsid w:val="006A091C"/>
    <w:rsid w:val="006A0EAC"/>
    <w:rsid w:val="006A0EBB"/>
    <w:rsid w:val="006A177F"/>
    <w:rsid w:val="006A19DE"/>
    <w:rsid w:val="006A1BE1"/>
    <w:rsid w:val="006A1C2C"/>
    <w:rsid w:val="006A1C98"/>
    <w:rsid w:val="006A1D96"/>
    <w:rsid w:val="006A2425"/>
    <w:rsid w:val="006A283F"/>
    <w:rsid w:val="006A2840"/>
    <w:rsid w:val="006A285D"/>
    <w:rsid w:val="006A2AFD"/>
    <w:rsid w:val="006A2E87"/>
    <w:rsid w:val="006A3075"/>
    <w:rsid w:val="006A373E"/>
    <w:rsid w:val="006A37B3"/>
    <w:rsid w:val="006A3E73"/>
    <w:rsid w:val="006A3F7B"/>
    <w:rsid w:val="006A4466"/>
    <w:rsid w:val="006A485D"/>
    <w:rsid w:val="006A4B70"/>
    <w:rsid w:val="006A518F"/>
    <w:rsid w:val="006A53FD"/>
    <w:rsid w:val="006A5DFF"/>
    <w:rsid w:val="006A5F9E"/>
    <w:rsid w:val="006A5FA2"/>
    <w:rsid w:val="006A6092"/>
    <w:rsid w:val="006A6336"/>
    <w:rsid w:val="006A6615"/>
    <w:rsid w:val="006A6A08"/>
    <w:rsid w:val="006A6E8A"/>
    <w:rsid w:val="006A6F2C"/>
    <w:rsid w:val="006A703A"/>
    <w:rsid w:val="006A74E6"/>
    <w:rsid w:val="006A755D"/>
    <w:rsid w:val="006A766C"/>
    <w:rsid w:val="006A7B74"/>
    <w:rsid w:val="006B020E"/>
    <w:rsid w:val="006B02ED"/>
    <w:rsid w:val="006B0597"/>
    <w:rsid w:val="006B05CD"/>
    <w:rsid w:val="006B0642"/>
    <w:rsid w:val="006B0AA1"/>
    <w:rsid w:val="006B0C35"/>
    <w:rsid w:val="006B0FE5"/>
    <w:rsid w:val="006B11B7"/>
    <w:rsid w:val="006B1748"/>
    <w:rsid w:val="006B187B"/>
    <w:rsid w:val="006B1A6A"/>
    <w:rsid w:val="006B1BC5"/>
    <w:rsid w:val="006B1C82"/>
    <w:rsid w:val="006B206B"/>
    <w:rsid w:val="006B2099"/>
    <w:rsid w:val="006B22B0"/>
    <w:rsid w:val="006B22CF"/>
    <w:rsid w:val="006B2798"/>
    <w:rsid w:val="006B30B3"/>
    <w:rsid w:val="006B31BA"/>
    <w:rsid w:val="006B35BE"/>
    <w:rsid w:val="006B36F6"/>
    <w:rsid w:val="006B374A"/>
    <w:rsid w:val="006B3A85"/>
    <w:rsid w:val="006B3A8E"/>
    <w:rsid w:val="006B3C22"/>
    <w:rsid w:val="006B3D64"/>
    <w:rsid w:val="006B3F9E"/>
    <w:rsid w:val="006B4253"/>
    <w:rsid w:val="006B4301"/>
    <w:rsid w:val="006B4671"/>
    <w:rsid w:val="006B467D"/>
    <w:rsid w:val="006B46D7"/>
    <w:rsid w:val="006B4922"/>
    <w:rsid w:val="006B4BB6"/>
    <w:rsid w:val="006B4EF4"/>
    <w:rsid w:val="006B503A"/>
    <w:rsid w:val="006B50D5"/>
    <w:rsid w:val="006B5150"/>
    <w:rsid w:val="006B5327"/>
    <w:rsid w:val="006B5454"/>
    <w:rsid w:val="006B547B"/>
    <w:rsid w:val="006B5775"/>
    <w:rsid w:val="006B5914"/>
    <w:rsid w:val="006B5B09"/>
    <w:rsid w:val="006B610C"/>
    <w:rsid w:val="006B6A85"/>
    <w:rsid w:val="006B6A8E"/>
    <w:rsid w:val="006B6CDA"/>
    <w:rsid w:val="006B6EB4"/>
    <w:rsid w:val="006B744B"/>
    <w:rsid w:val="006B7584"/>
    <w:rsid w:val="006B78A3"/>
    <w:rsid w:val="006B7C76"/>
    <w:rsid w:val="006B7F98"/>
    <w:rsid w:val="006C02E1"/>
    <w:rsid w:val="006C04BE"/>
    <w:rsid w:val="006C0592"/>
    <w:rsid w:val="006C08AC"/>
    <w:rsid w:val="006C0B26"/>
    <w:rsid w:val="006C0ECB"/>
    <w:rsid w:val="006C0F6A"/>
    <w:rsid w:val="006C161B"/>
    <w:rsid w:val="006C1D4E"/>
    <w:rsid w:val="006C1EDC"/>
    <w:rsid w:val="006C2071"/>
    <w:rsid w:val="006C222B"/>
    <w:rsid w:val="006C2948"/>
    <w:rsid w:val="006C2B99"/>
    <w:rsid w:val="006C2E28"/>
    <w:rsid w:val="006C2FA2"/>
    <w:rsid w:val="006C2FD9"/>
    <w:rsid w:val="006C327C"/>
    <w:rsid w:val="006C3297"/>
    <w:rsid w:val="006C3359"/>
    <w:rsid w:val="006C347B"/>
    <w:rsid w:val="006C350D"/>
    <w:rsid w:val="006C3679"/>
    <w:rsid w:val="006C39C9"/>
    <w:rsid w:val="006C4026"/>
    <w:rsid w:val="006C40AC"/>
    <w:rsid w:val="006C4226"/>
    <w:rsid w:val="006C42DC"/>
    <w:rsid w:val="006C447F"/>
    <w:rsid w:val="006C4591"/>
    <w:rsid w:val="006C45AF"/>
    <w:rsid w:val="006C45F6"/>
    <w:rsid w:val="006C4CFD"/>
    <w:rsid w:val="006C4F24"/>
    <w:rsid w:val="006C5323"/>
    <w:rsid w:val="006C57A4"/>
    <w:rsid w:val="006C5E91"/>
    <w:rsid w:val="006C6263"/>
    <w:rsid w:val="006C636B"/>
    <w:rsid w:val="006C6608"/>
    <w:rsid w:val="006C6661"/>
    <w:rsid w:val="006C66CC"/>
    <w:rsid w:val="006C6BA9"/>
    <w:rsid w:val="006C6C95"/>
    <w:rsid w:val="006C79A5"/>
    <w:rsid w:val="006C7A21"/>
    <w:rsid w:val="006C7C03"/>
    <w:rsid w:val="006C7F9A"/>
    <w:rsid w:val="006D002D"/>
    <w:rsid w:val="006D00BC"/>
    <w:rsid w:val="006D0136"/>
    <w:rsid w:val="006D0162"/>
    <w:rsid w:val="006D05B5"/>
    <w:rsid w:val="006D0780"/>
    <w:rsid w:val="006D093B"/>
    <w:rsid w:val="006D11EA"/>
    <w:rsid w:val="006D14B0"/>
    <w:rsid w:val="006D14EE"/>
    <w:rsid w:val="006D163F"/>
    <w:rsid w:val="006D1772"/>
    <w:rsid w:val="006D1F1A"/>
    <w:rsid w:val="006D224E"/>
    <w:rsid w:val="006D22F4"/>
    <w:rsid w:val="006D2401"/>
    <w:rsid w:val="006D2505"/>
    <w:rsid w:val="006D2582"/>
    <w:rsid w:val="006D2901"/>
    <w:rsid w:val="006D2B80"/>
    <w:rsid w:val="006D3061"/>
    <w:rsid w:val="006D3166"/>
    <w:rsid w:val="006D35FC"/>
    <w:rsid w:val="006D3AE2"/>
    <w:rsid w:val="006D3CFE"/>
    <w:rsid w:val="006D3DE1"/>
    <w:rsid w:val="006D4045"/>
    <w:rsid w:val="006D4354"/>
    <w:rsid w:val="006D4374"/>
    <w:rsid w:val="006D4E0B"/>
    <w:rsid w:val="006D5058"/>
    <w:rsid w:val="006D53B2"/>
    <w:rsid w:val="006D53B3"/>
    <w:rsid w:val="006D5558"/>
    <w:rsid w:val="006D56FA"/>
    <w:rsid w:val="006D5884"/>
    <w:rsid w:val="006D5B0F"/>
    <w:rsid w:val="006D5E4B"/>
    <w:rsid w:val="006D60C0"/>
    <w:rsid w:val="006D6173"/>
    <w:rsid w:val="006D62B6"/>
    <w:rsid w:val="006D65EE"/>
    <w:rsid w:val="006D6678"/>
    <w:rsid w:val="006D6722"/>
    <w:rsid w:val="006D6931"/>
    <w:rsid w:val="006D6970"/>
    <w:rsid w:val="006D6D07"/>
    <w:rsid w:val="006D6E73"/>
    <w:rsid w:val="006D6F8D"/>
    <w:rsid w:val="006D707E"/>
    <w:rsid w:val="006D7348"/>
    <w:rsid w:val="006D746B"/>
    <w:rsid w:val="006E0094"/>
    <w:rsid w:val="006E0598"/>
    <w:rsid w:val="006E0642"/>
    <w:rsid w:val="006E072E"/>
    <w:rsid w:val="006E0911"/>
    <w:rsid w:val="006E096A"/>
    <w:rsid w:val="006E098B"/>
    <w:rsid w:val="006E0AD6"/>
    <w:rsid w:val="006E0B08"/>
    <w:rsid w:val="006E0FDF"/>
    <w:rsid w:val="006E13A6"/>
    <w:rsid w:val="006E1497"/>
    <w:rsid w:val="006E14B1"/>
    <w:rsid w:val="006E164C"/>
    <w:rsid w:val="006E168C"/>
    <w:rsid w:val="006E1723"/>
    <w:rsid w:val="006E186D"/>
    <w:rsid w:val="006E195C"/>
    <w:rsid w:val="006E1AC4"/>
    <w:rsid w:val="006E1BC9"/>
    <w:rsid w:val="006E1C8A"/>
    <w:rsid w:val="006E1ED5"/>
    <w:rsid w:val="006E231C"/>
    <w:rsid w:val="006E2C8C"/>
    <w:rsid w:val="006E2E21"/>
    <w:rsid w:val="006E2E67"/>
    <w:rsid w:val="006E30AB"/>
    <w:rsid w:val="006E3247"/>
    <w:rsid w:val="006E3320"/>
    <w:rsid w:val="006E34E5"/>
    <w:rsid w:val="006E3641"/>
    <w:rsid w:val="006E3683"/>
    <w:rsid w:val="006E3929"/>
    <w:rsid w:val="006E3937"/>
    <w:rsid w:val="006E398C"/>
    <w:rsid w:val="006E3F6E"/>
    <w:rsid w:val="006E419A"/>
    <w:rsid w:val="006E4636"/>
    <w:rsid w:val="006E4955"/>
    <w:rsid w:val="006E5537"/>
    <w:rsid w:val="006E597A"/>
    <w:rsid w:val="006E5AFF"/>
    <w:rsid w:val="006E5CA3"/>
    <w:rsid w:val="006E5E6A"/>
    <w:rsid w:val="006E5F6C"/>
    <w:rsid w:val="006E60C3"/>
    <w:rsid w:val="006E6372"/>
    <w:rsid w:val="006E6E9A"/>
    <w:rsid w:val="006E6EAC"/>
    <w:rsid w:val="006E71BF"/>
    <w:rsid w:val="006E73F1"/>
    <w:rsid w:val="006E75D6"/>
    <w:rsid w:val="006E798E"/>
    <w:rsid w:val="006E7B02"/>
    <w:rsid w:val="006E7D5E"/>
    <w:rsid w:val="006E7D7F"/>
    <w:rsid w:val="006E7DE6"/>
    <w:rsid w:val="006E7E3F"/>
    <w:rsid w:val="006F0085"/>
    <w:rsid w:val="006F00D7"/>
    <w:rsid w:val="006F0A0B"/>
    <w:rsid w:val="006F0A87"/>
    <w:rsid w:val="006F0AE8"/>
    <w:rsid w:val="006F0B69"/>
    <w:rsid w:val="006F1939"/>
    <w:rsid w:val="006F19E7"/>
    <w:rsid w:val="006F1A29"/>
    <w:rsid w:val="006F1AF8"/>
    <w:rsid w:val="006F1D73"/>
    <w:rsid w:val="006F1FE4"/>
    <w:rsid w:val="006F1FFA"/>
    <w:rsid w:val="006F2036"/>
    <w:rsid w:val="006F296E"/>
    <w:rsid w:val="006F2A74"/>
    <w:rsid w:val="006F2D95"/>
    <w:rsid w:val="006F2DE4"/>
    <w:rsid w:val="006F30CF"/>
    <w:rsid w:val="006F339F"/>
    <w:rsid w:val="006F3748"/>
    <w:rsid w:val="006F37C2"/>
    <w:rsid w:val="006F394D"/>
    <w:rsid w:val="006F3BA3"/>
    <w:rsid w:val="006F3DD0"/>
    <w:rsid w:val="006F42A7"/>
    <w:rsid w:val="006F4340"/>
    <w:rsid w:val="006F4835"/>
    <w:rsid w:val="006F48EA"/>
    <w:rsid w:val="006F4A62"/>
    <w:rsid w:val="006F5182"/>
    <w:rsid w:val="006F54D7"/>
    <w:rsid w:val="006F557B"/>
    <w:rsid w:val="006F5906"/>
    <w:rsid w:val="006F5B34"/>
    <w:rsid w:val="006F5DD3"/>
    <w:rsid w:val="006F6245"/>
    <w:rsid w:val="006F633A"/>
    <w:rsid w:val="006F68A3"/>
    <w:rsid w:val="006F68C6"/>
    <w:rsid w:val="006F6B97"/>
    <w:rsid w:val="006F6D2A"/>
    <w:rsid w:val="006F744A"/>
    <w:rsid w:val="006F758F"/>
    <w:rsid w:val="006F7887"/>
    <w:rsid w:val="006F78D5"/>
    <w:rsid w:val="006F7962"/>
    <w:rsid w:val="006F7D9C"/>
    <w:rsid w:val="006F7DB1"/>
    <w:rsid w:val="006F7F61"/>
    <w:rsid w:val="007003F8"/>
    <w:rsid w:val="00700631"/>
    <w:rsid w:val="007006F6"/>
    <w:rsid w:val="00700955"/>
    <w:rsid w:val="00700CC2"/>
    <w:rsid w:val="0070135D"/>
    <w:rsid w:val="0070135F"/>
    <w:rsid w:val="007022D0"/>
    <w:rsid w:val="00702324"/>
    <w:rsid w:val="0070266C"/>
    <w:rsid w:val="007027CA"/>
    <w:rsid w:val="007028D3"/>
    <w:rsid w:val="00702C7A"/>
    <w:rsid w:val="007033F8"/>
    <w:rsid w:val="0070345B"/>
    <w:rsid w:val="007037DA"/>
    <w:rsid w:val="00703E14"/>
    <w:rsid w:val="0070421D"/>
    <w:rsid w:val="00704377"/>
    <w:rsid w:val="00704647"/>
    <w:rsid w:val="00704810"/>
    <w:rsid w:val="007049C4"/>
    <w:rsid w:val="00704A87"/>
    <w:rsid w:val="0070500F"/>
    <w:rsid w:val="00705229"/>
    <w:rsid w:val="007057C6"/>
    <w:rsid w:val="007057FD"/>
    <w:rsid w:val="0070583C"/>
    <w:rsid w:val="00705A06"/>
    <w:rsid w:val="00705AD7"/>
    <w:rsid w:val="007060ED"/>
    <w:rsid w:val="007062FB"/>
    <w:rsid w:val="00706386"/>
    <w:rsid w:val="007063E0"/>
    <w:rsid w:val="00706717"/>
    <w:rsid w:val="007069A6"/>
    <w:rsid w:val="00706BA4"/>
    <w:rsid w:val="007071D9"/>
    <w:rsid w:val="007071E9"/>
    <w:rsid w:val="007074D0"/>
    <w:rsid w:val="007077F5"/>
    <w:rsid w:val="00707960"/>
    <w:rsid w:val="00707A94"/>
    <w:rsid w:val="00707A98"/>
    <w:rsid w:val="0071005B"/>
    <w:rsid w:val="00710454"/>
    <w:rsid w:val="00710A65"/>
    <w:rsid w:val="00710DA1"/>
    <w:rsid w:val="00710E3F"/>
    <w:rsid w:val="007110D3"/>
    <w:rsid w:val="0071148A"/>
    <w:rsid w:val="007118E4"/>
    <w:rsid w:val="00711943"/>
    <w:rsid w:val="00712033"/>
    <w:rsid w:val="007121F6"/>
    <w:rsid w:val="00712585"/>
    <w:rsid w:val="007125BE"/>
    <w:rsid w:val="0071272F"/>
    <w:rsid w:val="00712D9F"/>
    <w:rsid w:val="007130AA"/>
    <w:rsid w:val="00713413"/>
    <w:rsid w:val="007136E5"/>
    <w:rsid w:val="007136EF"/>
    <w:rsid w:val="00713777"/>
    <w:rsid w:val="0071379D"/>
    <w:rsid w:val="0071380E"/>
    <w:rsid w:val="007139BE"/>
    <w:rsid w:val="00713E37"/>
    <w:rsid w:val="00713FED"/>
    <w:rsid w:val="00714592"/>
    <w:rsid w:val="007146A2"/>
    <w:rsid w:val="007146B4"/>
    <w:rsid w:val="0071498E"/>
    <w:rsid w:val="00714B55"/>
    <w:rsid w:val="007152B7"/>
    <w:rsid w:val="0071549E"/>
    <w:rsid w:val="007154F9"/>
    <w:rsid w:val="007155B0"/>
    <w:rsid w:val="00715BCF"/>
    <w:rsid w:val="00715FF3"/>
    <w:rsid w:val="00716129"/>
    <w:rsid w:val="007161F3"/>
    <w:rsid w:val="007162A0"/>
    <w:rsid w:val="007163E3"/>
    <w:rsid w:val="00716940"/>
    <w:rsid w:val="00716A3F"/>
    <w:rsid w:val="00716FC1"/>
    <w:rsid w:val="0071708A"/>
    <w:rsid w:val="00717D93"/>
    <w:rsid w:val="00720031"/>
    <w:rsid w:val="00720494"/>
    <w:rsid w:val="007206BB"/>
    <w:rsid w:val="00720F47"/>
    <w:rsid w:val="0072102F"/>
    <w:rsid w:val="0072121A"/>
    <w:rsid w:val="00721349"/>
    <w:rsid w:val="0072155C"/>
    <w:rsid w:val="007215E0"/>
    <w:rsid w:val="00721770"/>
    <w:rsid w:val="0072185B"/>
    <w:rsid w:val="0072192E"/>
    <w:rsid w:val="00721A2D"/>
    <w:rsid w:val="00721A7C"/>
    <w:rsid w:val="007220F2"/>
    <w:rsid w:val="0072219E"/>
    <w:rsid w:val="00722BDA"/>
    <w:rsid w:val="00722D2A"/>
    <w:rsid w:val="00722DE1"/>
    <w:rsid w:val="00722E48"/>
    <w:rsid w:val="007232A1"/>
    <w:rsid w:val="007232DC"/>
    <w:rsid w:val="00723433"/>
    <w:rsid w:val="007236F0"/>
    <w:rsid w:val="00723723"/>
    <w:rsid w:val="00723AAD"/>
    <w:rsid w:val="00723C6A"/>
    <w:rsid w:val="007240E1"/>
    <w:rsid w:val="00724102"/>
    <w:rsid w:val="007241B3"/>
    <w:rsid w:val="0072441C"/>
    <w:rsid w:val="007244E8"/>
    <w:rsid w:val="00724994"/>
    <w:rsid w:val="00724B86"/>
    <w:rsid w:val="00724C03"/>
    <w:rsid w:val="00724D2D"/>
    <w:rsid w:val="00724E5A"/>
    <w:rsid w:val="00724FB5"/>
    <w:rsid w:val="0072533F"/>
    <w:rsid w:val="0072540B"/>
    <w:rsid w:val="00725645"/>
    <w:rsid w:val="00725A45"/>
    <w:rsid w:val="00725DA1"/>
    <w:rsid w:val="00726260"/>
    <w:rsid w:val="0072626A"/>
    <w:rsid w:val="007262D4"/>
    <w:rsid w:val="007265F3"/>
    <w:rsid w:val="007269F1"/>
    <w:rsid w:val="00726D3C"/>
    <w:rsid w:val="0072707A"/>
    <w:rsid w:val="0072794E"/>
    <w:rsid w:val="007279F9"/>
    <w:rsid w:val="00727A1E"/>
    <w:rsid w:val="00727B7F"/>
    <w:rsid w:val="00727CEA"/>
    <w:rsid w:val="007306B7"/>
    <w:rsid w:val="00730737"/>
    <w:rsid w:val="0073087F"/>
    <w:rsid w:val="00731123"/>
    <w:rsid w:val="00731210"/>
    <w:rsid w:val="0073147E"/>
    <w:rsid w:val="0073159A"/>
    <w:rsid w:val="007318CA"/>
    <w:rsid w:val="00731B7B"/>
    <w:rsid w:val="00731CF6"/>
    <w:rsid w:val="00731F7C"/>
    <w:rsid w:val="007327A7"/>
    <w:rsid w:val="00732963"/>
    <w:rsid w:val="007329A6"/>
    <w:rsid w:val="007329BF"/>
    <w:rsid w:val="00732C48"/>
    <w:rsid w:val="0073391C"/>
    <w:rsid w:val="00733C95"/>
    <w:rsid w:val="00733ECE"/>
    <w:rsid w:val="007341A3"/>
    <w:rsid w:val="007342AB"/>
    <w:rsid w:val="0073434D"/>
    <w:rsid w:val="00734521"/>
    <w:rsid w:val="00734919"/>
    <w:rsid w:val="0073496A"/>
    <w:rsid w:val="007351B9"/>
    <w:rsid w:val="007352B2"/>
    <w:rsid w:val="00735355"/>
    <w:rsid w:val="0073548A"/>
    <w:rsid w:val="00735803"/>
    <w:rsid w:val="0073612C"/>
    <w:rsid w:val="00736173"/>
    <w:rsid w:val="007362FD"/>
    <w:rsid w:val="00736653"/>
    <w:rsid w:val="007368AD"/>
    <w:rsid w:val="00736C18"/>
    <w:rsid w:val="00736C88"/>
    <w:rsid w:val="00736D2E"/>
    <w:rsid w:val="00736FF2"/>
    <w:rsid w:val="00737795"/>
    <w:rsid w:val="0073788C"/>
    <w:rsid w:val="00737A35"/>
    <w:rsid w:val="00737B07"/>
    <w:rsid w:val="00737D94"/>
    <w:rsid w:val="007405AE"/>
    <w:rsid w:val="00740608"/>
    <w:rsid w:val="00740A54"/>
    <w:rsid w:val="00740E70"/>
    <w:rsid w:val="00741193"/>
    <w:rsid w:val="007413FE"/>
    <w:rsid w:val="0074145B"/>
    <w:rsid w:val="0074153C"/>
    <w:rsid w:val="00741589"/>
    <w:rsid w:val="00741877"/>
    <w:rsid w:val="007418E4"/>
    <w:rsid w:val="00741BD0"/>
    <w:rsid w:val="00741BDB"/>
    <w:rsid w:val="00741F03"/>
    <w:rsid w:val="007420BD"/>
    <w:rsid w:val="00742530"/>
    <w:rsid w:val="00742669"/>
    <w:rsid w:val="007428EF"/>
    <w:rsid w:val="00742FF4"/>
    <w:rsid w:val="0074306B"/>
    <w:rsid w:val="007430F5"/>
    <w:rsid w:val="00743289"/>
    <w:rsid w:val="0074343C"/>
    <w:rsid w:val="007434A9"/>
    <w:rsid w:val="0074376E"/>
    <w:rsid w:val="00743B88"/>
    <w:rsid w:val="00743DF4"/>
    <w:rsid w:val="00743EAE"/>
    <w:rsid w:val="007441EA"/>
    <w:rsid w:val="00744AE0"/>
    <w:rsid w:val="00744BCF"/>
    <w:rsid w:val="00744FB6"/>
    <w:rsid w:val="007452E9"/>
    <w:rsid w:val="00745321"/>
    <w:rsid w:val="00745472"/>
    <w:rsid w:val="00745A83"/>
    <w:rsid w:val="00745EF6"/>
    <w:rsid w:val="0074639C"/>
    <w:rsid w:val="00746836"/>
    <w:rsid w:val="00747086"/>
    <w:rsid w:val="007471E0"/>
    <w:rsid w:val="007471E9"/>
    <w:rsid w:val="007475AF"/>
    <w:rsid w:val="00747887"/>
    <w:rsid w:val="00747A35"/>
    <w:rsid w:val="00747A49"/>
    <w:rsid w:val="00747B0F"/>
    <w:rsid w:val="00747BC3"/>
    <w:rsid w:val="00747C98"/>
    <w:rsid w:val="00747F4B"/>
    <w:rsid w:val="0075023B"/>
    <w:rsid w:val="007509BD"/>
    <w:rsid w:val="00751055"/>
    <w:rsid w:val="007516A2"/>
    <w:rsid w:val="0075173A"/>
    <w:rsid w:val="007518A1"/>
    <w:rsid w:val="0075232D"/>
    <w:rsid w:val="0075249E"/>
    <w:rsid w:val="00752AA4"/>
    <w:rsid w:val="00752B0B"/>
    <w:rsid w:val="007530D3"/>
    <w:rsid w:val="0075346B"/>
    <w:rsid w:val="007539F6"/>
    <w:rsid w:val="00753A65"/>
    <w:rsid w:val="00753B87"/>
    <w:rsid w:val="00753BA1"/>
    <w:rsid w:val="00753CA8"/>
    <w:rsid w:val="00754107"/>
    <w:rsid w:val="007542E5"/>
    <w:rsid w:val="0075444C"/>
    <w:rsid w:val="0075450C"/>
    <w:rsid w:val="00754658"/>
    <w:rsid w:val="00754A71"/>
    <w:rsid w:val="007551D1"/>
    <w:rsid w:val="007552F1"/>
    <w:rsid w:val="0075568C"/>
    <w:rsid w:val="007559C1"/>
    <w:rsid w:val="00755FC8"/>
    <w:rsid w:val="00756232"/>
    <w:rsid w:val="00756536"/>
    <w:rsid w:val="00756B1E"/>
    <w:rsid w:val="00756F29"/>
    <w:rsid w:val="007570C5"/>
    <w:rsid w:val="00757217"/>
    <w:rsid w:val="00757342"/>
    <w:rsid w:val="00757619"/>
    <w:rsid w:val="0075767C"/>
    <w:rsid w:val="007577CD"/>
    <w:rsid w:val="007578B3"/>
    <w:rsid w:val="00757EA1"/>
    <w:rsid w:val="00760042"/>
    <w:rsid w:val="007602FF"/>
    <w:rsid w:val="007605BF"/>
    <w:rsid w:val="00760708"/>
    <w:rsid w:val="00760AC2"/>
    <w:rsid w:val="00760B5F"/>
    <w:rsid w:val="00760D09"/>
    <w:rsid w:val="00760E20"/>
    <w:rsid w:val="0076105D"/>
    <w:rsid w:val="00761319"/>
    <w:rsid w:val="0076157D"/>
    <w:rsid w:val="00761983"/>
    <w:rsid w:val="00761ACF"/>
    <w:rsid w:val="00761CBA"/>
    <w:rsid w:val="00761E70"/>
    <w:rsid w:val="00762073"/>
    <w:rsid w:val="007620AF"/>
    <w:rsid w:val="00762A91"/>
    <w:rsid w:val="00762E71"/>
    <w:rsid w:val="0076343F"/>
    <w:rsid w:val="00763453"/>
    <w:rsid w:val="007636B1"/>
    <w:rsid w:val="007638E5"/>
    <w:rsid w:val="00763933"/>
    <w:rsid w:val="00763EAB"/>
    <w:rsid w:val="00764177"/>
    <w:rsid w:val="00764405"/>
    <w:rsid w:val="00764B92"/>
    <w:rsid w:val="00764BD9"/>
    <w:rsid w:val="00765696"/>
    <w:rsid w:val="00765BC2"/>
    <w:rsid w:val="00765C8E"/>
    <w:rsid w:val="0076648B"/>
    <w:rsid w:val="00766CEA"/>
    <w:rsid w:val="00766F03"/>
    <w:rsid w:val="0076719E"/>
    <w:rsid w:val="0076752F"/>
    <w:rsid w:val="00767777"/>
    <w:rsid w:val="00767A70"/>
    <w:rsid w:val="00767CDC"/>
    <w:rsid w:val="00767EE5"/>
    <w:rsid w:val="00770552"/>
    <w:rsid w:val="0077055D"/>
    <w:rsid w:val="007709F7"/>
    <w:rsid w:val="00770D29"/>
    <w:rsid w:val="00771011"/>
    <w:rsid w:val="00771087"/>
    <w:rsid w:val="007710EA"/>
    <w:rsid w:val="00771151"/>
    <w:rsid w:val="00771194"/>
    <w:rsid w:val="0077189F"/>
    <w:rsid w:val="00771AB5"/>
    <w:rsid w:val="00771BE8"/>
    <w:rsid w:val="00772731"/>
    <w:rsid w:val="007728B8"/>
    <w:rsid w:val="00773344"/>
    <w:rsid w:val="007735AE"/>
    <w:rsid w:val="00773786"/>
    <w:rsid w:val="0077410B"/>
    <w:rsid w:val="00774294"/>
    <w:rsid w:val="00774357"/>
    <w:rsid w:val="00774504"/>
    <w:rsid w:val="007745CF"/>
    <w:rsid w:val="007745E3"/>
    <w:rsid w:val="0077462E"/>
    <w:rsid w:val="007748C5"/>
    <w:rsid w:val="0077491D"/>
    <w:rsid w:val="00775149"/>
    <w:rsid w:val="0077523F"/>
    <w:rsid w:val="007755CD"/>
    <w:rsid w:val="00775BA2"/>
    <w:rsid w:val="00775D22"/>
    <w:rsid w:val="00775FC9"/>
    <w:rsid w:val="00775FEE"/>
    <w:rsid w:val="00776408"/>
    <w:rsid w:val="007765D0"/>
    <w:rsid w:val="00776864"/>
    <w:rsid w:val="00777691"/>
    <w:rsid w:val="00777D24"/>
    <w:rsid w:val="00777DE3"/>
    <w:rsid w:val="0078000B"/>
    <w:rsid w:val="0078105F"/>
    <w:rsid w:val="0078129F"/>
    <w:rsid w:val="00781923"/>
    <w:rsid w:val="0078266A"/>
    <w:rsid w:val="007826D5"/>
    <w:rsid w:val="00782E37"/>
    <w:rsid w:val="007831A0"/>
    <w:rsid w:val="0078385C"/>
    <w:rsid w:val="00783E03"/>
    <w:rsid w:val="00784025"/>
    <w:rsid w:val="007842A4"/>
    <w:rsid w:val="007849F3"/>
    <w:rsid w:val="00784BEA"/>
    <w:rsid w:val="00784C15"/>
    <w:rsid w:val="0078543D"/>
    <w:rsid w:val="00785494"/>
    <w:rsid w:val="007856A7"/>
    <w:rsid w:val="007856CB"/>
    <w:rsid w:val="0078597F"/>
    <w:rsid w:val="00785B01"/>
    <w:rsid w:val="00785FFF"/>
    <w:rsid w:val="007860C6"/>
    <w:rsid w:val="00786163"/>
    <w:rsid w:val="00786B09"/>
    <w:rsid w:val="0078765B"/>
    <w:rsid w:val="00787875"/>
    <w:rsid w:val="00787B88"/>
    <w:rsid w:val="00787FD8"/>
    <w:rsid w:val="007901F8"/>
    <w:rsid w:val="00790274"/>
    <w:rsid w:val="007903F6"/>
    <w:rsid w:val="007908BE"/>
    <w:rsid w:val="00790B61"/>
    <w:rsid w:val="007910CA"/>
    <w:rsid w:val="007911B9"/>
    <w:rsid w:val="00791B24"/>
    <w:rsid w:val="00791CD7"/>
    <w:rsid w:val="00791F27"/>
    <w:rsid w:val="00792150"/>
    <w:rsid w:val="00792255"/>
    <w:rsid w:val="00792B42"/>
    <w:rsid w:val="00792CDD"/>
    <w:rsid w:val="00792D12"/>
    <w:rsid w:val="00792E50"/>
    <w:rsid w:val="00792F7B"/>
    <w:rsid w:val="00793218"/>
    <w:rsid w:val="0079342C"/>
    <w:rsid w:val="00793485"/>
    <w:rsid w:val="007936E9"/>
    <w:rsid w:val="00793946"/>
    <w:rsid w:val="00793967"/>
    <w:rsid w:val="00793D84"/>
    <w:rsid w:val="0079418A"/>
    <w:rsid w:val="007942BA"/>
    <w:rsid w:val="0079447A"/>
    <w:rsid w:val="00794913"/>
    <w:rsid w:val="00794F01"/>
    <w:rsid w:val="00794FDF"/>
    <w:rsid w:val="0079521D"/>
    <w:rsid w:val="00795A52"/>
    <w:rsid w:val="00795D44"/>
    <w:rsid w:val="00795F96"/>
    <w:rsid w:val="0079612D"/>
    <w:rsid w:val="0079653A"/>
    <w:rsid w:val="007967A4"/>
    <w:rsid w:val="00796884"/>
    <w:rsid w:val="00796AF9"/>
    <w:rsid w:val="00796BED"/>
    <w:rsid w:val="00796F41"/>
    <w:rsid w:val="00797123"/>
    <w:rsid w:val="007973AC"/>
    <w:rsid w:val="0079753E"/>
    <w:rsid w:val="0079759E"/>
    <w:rsid w:val="00797A2A"/>
    <w:rsid w:val="00797B15"/>
    <w:rsid w:val="00797E19"/>
    <w:rsid w:val="007A0867"/>
    <w:rsid w:val="007A0C1E"/>
    <w:rsid w:val="007A0D4F"/>
    <w:rsid w:val="007A0DA8"/>
    <w:rsid w:val="007A11A0"/>
    <w:rsid w:val="007A1309"/>
    <w:rsid w:val="007A158D"/>
    <w:rsid w:val="007A1672"/>
    <w:rsid w:val="007A1991"/>
    <w:rsid w:val="007A19FF"/>
    <w:rsid w:val="007A1E95"/>
    <w:rsid w:val="007A20B6"/>
    <w:rsid w:val="007A2402"/>
    <w:rsid w:val="007A246E"/>
    <w:rsid w:val="007A253D"/>
    <w:rsid w:val="007A29A3"/>
    <w:rsid w:val="007A33AC"/>
    <w:rsid w:val="007A34CC"/>
    <w:rsid w:val="007A4389"/>
    <w:rsid w:val="007A43F3"/>
    <w:rsid w:val="007A46B7"/>
    <w:rsid w:val="007A4743"/>
    <w:rsid w:val="007A4BDB"/>
    <w:rsid w:val="007A4C7D"/>
    <w:rsid w:val="007A4DAB"/>
    <w:rsid w:val="007A4F44"/>
    <w:rsid w:val="007A4FC4"/>
    <w:rsid w:val="007A5226"/>
    <w:rsid w:val="007A55D1"/>
    <w:rsid w:val="007A560A"/>
    <w:rsid w:val="007A57CB"/>
    <w:rsid w:val="007A592F"/>
    <w:rsid w:val="007A5B49"/>
    <w:rsid w:val="007A5D86"/>
    <w:rsid w:val="007A6584"/>
    <w:rsid w:val="007A65A6"/>
    <w:rsid w:val="007A65EF"/>
    <w:rsid w:val="007A6C35"/>
    <w:rsid w:val="007A748B"/>
    <w:rsid w:val="007A755E"/>
    <w:rsid w:val="007A7741"/>
    <w:rsid w:val="007A795B"/>
    <w:rsid w:val="007A79A7"/>
    <w:rsid w:val="007A7BDB"/>
    <w:rsid w:val="007A7C66"/>
    <w:rsid w:val="007B06BC"/>
    <w:rsid w:val="007B0A99"/>
    <w:rsid w:val="007B11A7"/>
    <w:rsid w:val="007B11AA"/>
    <w:rsid w:val="007B11CE"/>
    <w:rsid w:val="007B1301"/>
    <w:rsid w:val="007B13A7"/>
    <w:rsid w:val="007B1502"/>
    <w:rsid w:val="007B162F"/>
    <w:rsid w:val="007B1671"/>
    <w:rsid w:val="007B181C"/>
    <w:rsid w:val="007B18B0"/>
    <w:rsid w:val="007B1AE0"/>
    <w:rsid w:val="007B1BEE"/>
    <w:rsid w:val="007B27D6"/>
    <w:rsid w:val="007B28C7"/>
    <w:rsid w:val="007B29F4"/>
    <w:rsid w:val="007B2C46"/>
    <w:rsid w:val="007B2FD7"/>
    <w:rsid w:val="007B3027"/>
    <w:rsid w:val="007B30F0"/>
    <w:rsid w:val="007B311D"/>
    <w:rsid w:val="007B3265"/>
    <w:rsid w:val="007B3286"/>
    <w:rsid w:val="007B3347"/>
    <w:rsid w:val="007B33C4"/>
    <w:rsid w:val="007B3405"/>
    <w:rsid w:val="007B36B1"/>
    <w:rsid w:val="007B3B87"/>
    <w:rsid w:val="007B3B98"/>
    <w:rsid w:val="007B3BE6"/>
    <w:rsid w:val="007B3DFB"/>
    <w:rsid w:val="007B413D"/>
    <w:rsid w:val="007B4E80"/>
    <w:rsid w:val="007B5006"/>
    <w:rsid w:val="007B5115"/>
    <w:rsid w:val="007B5141"/>
    <w:rsid w:val="007B564F"/>
    <w:rsid w:val="007B5704"/>
    <w:rsid w:val="007B5745"/>
    <w:rsid w:val="007B5A25"/>
    <w:rsid w:val="007B5D08"/>
    <w:rsid w:val="007B6342"/>
    <w:rsid w:val="007B638E"/>
    <w:rsid w:val="007B69F5"/>
    <w:rsid w:val="007B6A59"/>
    <w:rsid w:val="007B6B18"/>
    <w:rsid w:val="007B6F69"/>
    <w:rsid w:val="007B73B5"/>
    <w:rsid w:val="007B74C0"/>
    <w:rsid w:val="007B798D"/>
    <w:rsid w:val="007B7D53"/>
    <w:rsid w:val="007C0272"/>
    <w:rsid w:val="007C07CF"/>
    <w:rsid w:val="007C0833"/>
    <w:rsid w:val="007C0D8B"/>
    <w:rsid w:val="007C1109"/>
    <w:rsid w:val="007C174C"/>
    <w:rsid w:val="007C1FBE"/>
    <w:rsid w:val="007C2503"/>
    <w:rsid w:val="007C27E9"/>
    <w:rsid w:val="007C2829"/>
    <w:rsid w:val="007C2BBB"/>
    <w:rsid w:val="007C313B"/>
    <w:rsid w:val="007C32DF"/>
    <w:rsid w:val="007C35F2"/>
    <w:rsid w:val="007C3897"/>
    <w:rsid w:val="007C3B10"/>
    <w:rsid w:val="007C423E"/>
    <w:rsid w:val="007C47D9"/>
    <w:rsid w:val="007C4AA5"/>
    <w:rsid w:val="007C4B7F"/>
    <w:rsid w:val="007C4D81"/>
    <w:rsid w:val="007C4FB9"/>
    <w:rsid w:val="007C5106"/>
    <w:rsid w:val="007C5172"/>
    <w:rsid w:val="007C540F"/>
    <w:rsid w:val="007C54E4"/>
    <w:rsid w:val="007C564B"/>
    <w:rsid w:val="007C573F"/>
    <w:rsid w:val="007C57B0"/>
    <w:rsid w:val="007C5874"/>
    <w:rsid w:val="007C5F3B"/>
    <w:rsid w:val="007C61C2"/>
    <w:rsid w:val="007C61F5"/>
    <w:rsid w:val="007C6AB9"/>
    <w:rsid w:val="007C6C28"/>
    <w:rsid w:val="007C6F6F"/>
    <w:rsid w:val="007C7140"/>
    <w:rsid w:val="007C7170"/>
    <w:rsid w:val="007C7590"/>
    <w:rsid w:val="007C791A"/>
    <w:rsid w:val="007C7A9D"/>
    <w:rsid w:val="007C7D3C"/>
    <w:rsid w:val="007C7EC7"/>
    <w:rsid w:val="007D04E9"/>
    <w:rsid w:val="007D06C8"/>
    <w:rsid w:val="007D07E2"/>
    <w:rsid w:val="007D09A5"/>
    <w:rsid w:val="007D102B"/>
    <w:rsid w:val="007D14EA"/>
    <w:rsid w:val="007D1753"/>
    <w:rsid w:val="007D1870"/>
    <w:rsid w:val="007D19BC"/>
    <w:rsid w:val="007D1B0F"/>
    <w:rsid w:val="007D1B79"/>
    <w:rsid w:val="007D1EA7"/>
    <w:rsid w:val="007D22FE"/>
    <w:rsid w:val="007D2393"/>
    <w:rsid w:val="007D2811"/>
    <w:rsid w:val="007D2B1D"/>
    <w:rsid w:val="007D2BA0"/>
    <w:rsid w:val="007D2DA5"/>
    <w:rsid w:val="007D2DF4"/>
    <w:rsid w:val="007D2F81"/>
    <w:rsid w:val="007D3261"/>
    <w:rsid w:val="007D3273"/>
    <w:rsid w:val="007D32D9"/>
    <w:rsid w:val="007D3480"/>
    <w:rsid w:val="007D34C7"/>
    <w:rsid w:val="007D356F"/>
    <w:rsid w:val="007D3758"/>
    <w:rsid w:val="007D3BC3"/>
    <w:rsid w:val="007D3EE8"/>
    <w:rsid w:val="007D405E"/>
    <w:rsid w:val="007D4264"/>
    <w:rsid w:val="007D4361"/>
    <w:rsid w:val="007D4480"/>
    <w:rsid w:val="007D4A17"/>
    <w:rsid w:val="007D4B28"/>
    <w:rsid w:val="007D4CB6"/>
    <w:rsid w:val="007D5357"/>
    <w:rsid w:val="007D55A6"/>
    <w:rsid w:val="007D5650"/>
    <w:rsid w:val="007D5920"/>
    <w:rsid w:val="007D5B6E"/>
    <w:rsid w:val="007D5C1B"/>
    <w:rsid w:val="007D5CB8"/>
    <w:rsid w:val="007D5D83"/>
    <w:rsid w:val="007D5E69"/>
    <w:rsid w:val="007D5FC5"/>
    <w:rsid w:val="007D660E"/>
    <w:rsid w:val="007D69DB"/>
    <w:rsid w:val="007D6AAC"/>
    <w:rsid w:val="007D6C49"/>
    <w:rsid w:val="007D6EB5"/>
    <w:rsid w:val="007D70AD"/>
    <w:rsid w:val="007D74AA"/>
    <w:rsid w:val="007D7658"/>
    <w:rsid w:val="007D7B56"/>
    <w:rsid w:val="007D7CA0"/>
    <w:rsid w:val="007D7DD9"/>
    <w:rsid w:val="007D7E94"/>
    <w:rsid w:val="007D7F85"/>
    <w:rsid w:val="007E025D"/>
    <w:rsid w:val="007E03DD"/>
    <w:rsid w:val="007E077C"/>
    <w:rsid w:val="007E0D1E"/>
    <w:rsid w:val="007E1565"/>
    <w:rsid w:val="007E1611"/>
    <w:rsid w:val="007E17A4"/>
    <w:rsid w:val="007E18D7"/>
    <w:rsid w:val="007E1D27"/>
    <w:rsid w:val="007E1E3B"/>
    <w:rsid w:val="007E2740"/>
    <w:rsid w:val="007E274C"/>
    <w:rsid w:val="007E2A39"/>
    <w:rsid w:val="007E2E85"/>
    <w:rsid w:val="007E35DD"/>
    <w:rsid w:val="007E3B53"/>
    <w:rsid w:val="007E3B78"/>
    <w:rsid w:val="007E42BB"/>
    <w:rsid w:val="007E42FA"/>
    <w:rsid w:val="007E4656"/>
    <w:rsid w:val="007E4B6B"/>
    <w:rsid w:val="007E5673"/>
    <w:rsid w:val="007E5935"/>
    <w:rsid w:val="007E5EEE"/>
    <w:rsid w:val="007E5F82"/>
    <w:rsid w:val="007E60DD"/>
    <w:rsid w:val="007E616B"/>
    <w:rsid w:val="007E6AD2"/>
    <w:rsid w:val="007E6B7B"/>
    <w:rsid w:val="007E7034"/>
    <w:rsid w:val="007E745B"/>
    <w:rsid w:val="007E7504"/>
    <w:rsid w:val="007E79E7"/>
    <w:rsid w:val="007F00BB"/>
    <w:rsid w:val="007F0264"/>
    <w:rsid w:val="007F032E"/>
    <w:rsid w:val="007F0554"/>
    <w:rsid w:val="007F065F"/>
    <w:rsid w:val="007F0784"/>
    <w:rsid w:val="007F08D6"/>
    <w:rsid w:val="007F09DB"/>
    <w:rsid w:val="007F1634"/>
    <w:rsid w:val="007F1C6B"/>
    <w:rsid w:val="007F23C5"/>
    <w:rsid w:val="007F26F0"/>
    <w:rsid w:val="007F2BA0"/>
    <w:rsid w:val="007F2D96"/>
    <w:rsid w:val="007F2E3B"/>
    <w:rsid w:val="007F2F3B"/>
    <w:rsid w:val="007F3131"/>
    <w:rsid w:val="007F31D2"/>
    <w:rsid w:val="007F391A"/>
    <w:rsid w:val="007F3BBB"/>
    <w:rsid w:val="007F42A2"/>
    <w:rsid w:val="007F4449"/>
    <w:rsid w:val="007F4516"/>
    <w:rsid w:val="007F4C8D"/>
    <w:rsid w:val="007F5072"/>
    <w:rsid w:val="007F5617"/>
    <w:rsid w:val="007F5C58"/>
    <w:rsid w:val="007F6088"/>
    <w:rsid w:val="007F617A"/>
    <w:rsid w:val="007F62FF"/>
    <w:rsid w:val="007F643D"/>
    <w:rsid w:val="007F6B18"/>
    <w:rsid w:val="007F6DD3"/>
    <w:rsid w:val="007F7020"/>
    <w:rsid w:val="007F7275"/>
    <w:rsid w:val="008001A0"/>
    <w:rsid w:val="0080095C"/>
    <w:rsid w:val="008009AA"/>
    <w:rsid w:val="008009FB"/>
    <w:rsid w:val="008010AB"/>
    <w:rsid w:val="00801428"/>
    <w:rsid w:val="0080145A"/>
    <w:rsid w:val="00801BA9"/>
    <w:rsid w:val="008026E8"/>
    <w:rsid w:val="00802DC2"/>
    <w:rsid w:val="008030B6"/>
    <w:rsid w:val="008031D0"/>
    <w:rsid w:val="00803254"/>
    <w:rsid w:val="00803331"/>
    <w:rsid w:val="00803416"/>
    <w:rsid w:val="0080344B"/>
    <w:rsid w:val="00803882"/>
    <w:rsid w:val="008038A7"/>
    <w:rsid w:val="00803A6B"/>
    <w:rsid w:val="00803CC3"/>
    <w:rsid w:val="00803D49"/>
    <w:rsid w:val="0080422F"/>
    <w:rsid w:val="00804321"/>
    <w:rsid w:val="008044E0"/>
    <w:rsid w:val="00804C8D"/>
    <w:rsid w:val="00804D31"/>
    <w:rsid w:val="00804E77"/>
    <w:rsid w:val="00804EB5"/>
    <w:rsid w:val="00805061"/>
    <w:rsid w:val="00805243"/>
    <w:rsid w:val="00805B44"/>
    <w:rsid w:val="00805C84"/>
    <w:rsid w:val="00805EF9"/>
    <w:rsid w:val="00806041"/>
    <w:rsid w:val="008065A9"/>
    <w:rsid w:val="00806868"/>
    <w:rsid w:val="00806B3E"/>
    <w:rsid w:val="00806CE9"/>
    <w:rsid w:val="00806DFD"/>
    <w:rsid w:val="008074F6"/>
    <w:rsid w:val="008077CA"/>
    <w:rsid w:val="00807B59"/>
    <w:rsid w:val="00810044"/>
    <w:rsid w:val="0081019C"/>
    <w:rsid w:val="008104D7"/>
    <w:rsid w:val="008109A2"/>
    <w:rsid w:val="00811339"/>
    <w:rsid w:val="00811928"/>
    <w:rsid w:val="008119B9"/>
    <w:rsid w:val="00811E32"/>
    <w:rsid w:val="00811EA0"/>
    <w:rsid w:val="00812196"/>
    <w:rsid w:val="00812285"/>
    <w:rsid w:val="00812652"/>
    <w:rsid w:val="00813216"/>
    <w:rsid w:val="0081328D"/>
    <w:rsid w:val="008135F9"/>
    <w:rsid w:val="008139E2"/>
    <w:rsid w:val="00814078"/>
    <w:rsid w:val="00814242"/>
    <w:rsid w:val="00814714"/>
    <w:rsid w:val="00814B41"/>
    <w:rsid w:val="00814C67"/>
    <w:rsid w:val="00814F78"/>
    <w:rsid w:val="008152D6"/>
    <w:rsid w:val="008156C8"/>
    <w:rsid w:val="00815C57"/>
    <w:rsid w:val="0081648B"/>
    <w:rsid w:val="008166D7"/>
    <w:rsid w:val="00816D83"/>
    <w:rsid w:val="008171F5"/>
    <w:rsid w:val="008171F8"/>
    <w:rsid w:val="00817298"/>
    <w:rsid w:val="008176AA"/>
    <w:rsid w:val="00817A77"/>
    <w:rsid w:val="00820A6C"/>
    <w:rsid w:val="00820F80"/>
    <w:rsid w:val="00821369"/>
    <w:rsid w:val="00821806"/>
    <w:rsid w:val="00821C70"/>
    <w:rsid w:val="00821D26"/>
    <w:rsid w:val="00821D77"/>
    <w:rsid w:val="00821EC3"/>
    <w:rsid w:val="0082204E"/>
    <w:rsid w:val="0082261B"/>
    <w:rsid w:val="00822B42"/>
    <w:rsid w:val="00822D80"/>
    <w:rsid w:val="00823125"/>
    <w:rsid w:val="00823509"/>
    <w:rsid w:val="00823854"/>
    <w:rsid w:val="008238A5"/>
    <w:rsid w:val="00823B80"/>
    <w:rsid w:val="00823D7B"/>
    <w:rsid w:val="00823ED8"/>
    <w:rsid w:val="00823F67"/>
    <w:rsid w:val="00824299"/>
    <w:rsid w:val="0082495F"/>
    <w:rsid w:val="00824FE5"/>
    <w:rsid w:val="008250D1"/>
    <w:rsid w:val="008252D1"/>
    <w:rsid w:val="008253D8"/>
    <w:rsid w:val="00825716"/>
    <w:rsid w:val="00825A1E"/>
    <w:rsid w:val="00825CD6"/>
    <w:rsid w:val="00825DEC"/>
    <w:rsid w:val="00826042"/>
    <w:rsid w:val="008268FC"/>
    <w:rsid w:val="00826A26"/>
    <w:rsid w:val="00826B0B"/>
    <w:rsid w:val="008274CC"/>
    <w:rsid w:val="008279DA"/>
    <w:rsid w:val="00827A6B"/>
    <w:rsid w:val="00827E76"/>
    <w:rsid w:val="0083033E"/>
    <w:rsid w:val="0083040F"/>
    <w:rsid w:val="00830B2C"/>
    <w:rsid w:val="00830B65"/>
    <w:rsid w:val="0083107F"/>
    <w:rsid w:val="008312FC"/>
    <w:rsid w:val="0083169E"/>
    <w:rsid w:val="00831A5D"/>
    <w:rsid w:val="00831B82"/>
    <w:rsid w:val="00831B9C"/>
    <w:rsid w:val="00831CEA"/>
    <w:rsid w:val="00831D95"/>
    <w:rsid w:val="00831FC8"/>
    <w:rsid w:val="00832138"/>
    <w:rsid w:val="008322FD"/>
    <w:rsid w:val="0083265D"/>
    <w:rsid w:val="00832867"/>
    <w:rsid w:val="008328D6"/>
    <w:rsid w:val="00832A00"/>
    <w:rsid w:val="00833146"/>
    <w:rsid w:val="00833B52"/>
    <w:rsid w:val="00833EF6"/>
    <w:rsid w:val="00834126"/>
    <w:rsid w:val="00834527"/>
    <w:rsid w:val="008349CB"/>
    <w:rsid w:val="00834E14"/>
    <w:rsid w:val="00834E30"/>
    <w:rsid w:val="00834E6F"/>
    <w:rsid w:val="00834EDD"/>
    <w:rsid w:val="00834F50"/>
    <w:rsid w:val="00834FBC"/>
    <w:rsid w:val="008352B8"/>
    <w:rsid w:val="00835B23"/>
    <w:rsid w:val="00836247"/>
    <w:rsid w:val="0083658B"/>
    <w:rsid w:val="00836731"/>
    <w:rsid w:val="008369E2"/>
    <w:rsid w:val="00836EB1"/>
    <w:rsid w:val="00837822"/>
    <w:rsid w:val="00837928"/>
    <w:rsid w:val="00837C45"/>
    <w:rsid w:val="0084005F"/>
    <w:rsid w:val="00840270"/>
    <w:rsid w:val="0084046F"/>
    <w:rsid w:val="008404CF"/>
    <w:rsid w:val="00840860"/>
    <w:rsid w:val="00840AAC"/>
    <w:rsid w:val="00840AB5"/>
    <w:rsid w:val="00840ADD"/>
    <w:rsid w:val="008411BA"/>
    <w:rsid w:val="00841356"/>
    <w:rsid w:val="00841419"/>
    <w:rsid w:val="0084148D"/>
    <w:rsid w:val="008415C2"/>
    <w:rsid w:val="008418AA"/>
    <w:rsid w:val="00841965"/>
    <w:rsid w:val="00841B08"/>
    <w:rsid w:val="00841CB2"/>
    <w:rsid w:val="00841D2A"/>
    <w:rsid w:val="00841FF9"/>
    <w:rsid w:val="00842581"/>
    <w:rsid w:val="00842826"/>
    <w:rsid w:val="008428CD"/>
    <w:rsid w:val="008428D4"/>
    <w:rsid w:val="00842E7A"/>
    <w:rsid w:val="00842FB7"/>
    <w:rsid w:val="0084303C"/>
    <w:rsid w:val="0084304F"/>
    <w:rsid w:val="00843052"/>
    <w:rsid w:val="0084310A"/>
    <w:rsid w:val="008447D1"/>
    <w:rsid w:val="00844ACC"/>
    <w:rsid w:val="008450A5"/>
    <w:rsid w:val="008452CC"/>
    <w:rsid w:val="008456EE"/>
    <w:rsid w:val="00845989"/>
    <w:rsid w:val="00845F05"/>
    <w:rsid w:val="008460B2"/>
    <w:rsid w:val="00846210"/>
    <w:rsid w:val="008467EC"/>
    <w:rsid w:val="00847069"/>
    <w:rsid w:val="008470D6"/>
    <w:rsid w:val="00847736"/>
    <w:rsid w:val="008477F5"/>
    <w:rsid w:val="008478E2"/>
    <w:rsid w:val="008479BC"/>
    <w:rsid w:val="00847A29"/>
    <w:rsid w:val="00847A8A"/>
    <w:rsid w:val="00847B43"/>
    <w:rsid w:val="00847D69"/>
    <w:rsid w:val="008500CF"/>
    <w:rsid w:val="00850734"/>
    <w:rsid w:val="00850F3E"/>
    <w:rsid w:val="008511AB"/>
    <w:rsid w:val="008513D6"/>
    <w:rsid w:val="008513E2"/>
    <w:rsid w:val="00851668"/>
    <w:rsid w:val="00851884"/>
    <w:rsid w:val="00851A3F"/>
    <w:rsid w:val="00851C57"/>
    <w:rsid w:val="00851D96"/>
    <w:rsid w:val="00851E67"/>
    <w:rsid w:val="00852121"/>
    <w:rsid w:val="00852599"/>
    <w:rsid w:val="008525F7"/>
    <w:rsid w:val="00852CE7"/>
    <w:rsid w:val="00852DEA"/>
    <w:rsid w:val="0085364F"/>
    <w:rsid w:val="00853991"/>
    <w:rsid w:val="00853A1A"/>
    <w:rsid w:val="00854096"/>
    <w:rsid w:val="00854841"/>
    <w:rsid w:val="008548E6"/>
    <w:rsid w:val="00854B8E"/>
    <w:rsid w:val="00854C71"/>
    <w:rsid w:val="00855125"/>
    <w:rsid w:val="0085518A"/>
    <w:rsid w:val="00855540"/>
    <w:rsid w:val="00855568"/>
    <w:rsid w:val="008557E2"/>
    <w:rsid w:val="00855A82"/>
    <w:rsid w:val="00855B94"/>
    <w:rsid w:val="00855EDA"/>
    <w:rsid w:val="00856344"/>
    <w:rsid w:val="008565F4"/>
    <w:rsid w:val="008566BB"/>
    <w:rsid w:val="008567C4"/>
    <w:rsid w:val="00856843"/>
    <w:rsid w:val="00856886"/>
    <w:rsid w:val="00856B52"/>
    <w:rsid w:val="00856F1B"/>
    <w:rsid w:val="008570EF"/>
    <w:rsid w:val="00857148"/>
    <w:rsid w:val="00857789"/>
    <w:rsid w:val="00857E7F"/>
    <w:rsid w:val="00860F6E"/>
    <w:rsid w:val="0086109F"/>
    <w:rsid w:val="008610F8"/>
    <w:rsid w:val="008611BB"/>
    <w:rsid w:val="00861206"/>
    <w:rsid w:val="00861426"/>
    <w:rsid w:val="008619D3"/>
    <w:rsid w:val="00861A79"/>
    <w:rsid w:val="00861F3F"/>
    <w:rsid w:val="00862248"/>
    <w:rsid w:val="00862461"/>
    <w:rsid w:val="00862A4B"/>
    <w:rsid w:val="00862AD4"/>
    <w:rsid w:val="00862C39"/>
    <w:rsid w:val="0086323D"/>
    <w:rsid w:val="008633C5"/>
    <w:rsid w:val="008634CE"/>
    <w:rsid w:val="008635A3"/>
    <w:rsid w:val="00863912"/>
    <w:rsid w:val="0086399C"/>
    <w:rsid w:val="00863C48"/>
    <w:rsid w:val="00863CD5"/>
    <w:rsid w:val="00863E38"/>
    <w:rsid w:val="00863F2A"/>
    <w:rsid w:val="00864829"/>
    <w:rsid w:val="00864A07"/>
    <w:rsid w:val="00864AA5"/>
    <w:rsid w:val="00864EF7"/>
    <w:rsid w:val="008651E9"/>
    <w:rsid w:val="008652A9"/>
    <w:rsid w:val="00865374"/>
    <w:rsid w:val="00865555"/>
    <w:rsid w:val="008655D3"/>
    <w:rsid w:val="00865807"/>
    <w:rsid w:val="00865921"/>
    <w:rsid w:val="00865DF9"/>
    <w:rsid w:val="0086612C"/>
    <w:rsid w:val="0086645D"/>
    <w:rsid w:val="008664FF"/>
    <w:rsid w:val="0086673A"/>
    <w:rsid w:val="008668B2"/>
    <w:rsid w:val="00866B69"/>
    <w:rsid w:val="00866C38"/>
    <w:rsid w:val="00866CA6"/>
    <w:rsid w:val="00867037"/>
    <w:rsid w:val="00867794"/>
    <w:rsid w:val="00867854"/>
    <w:rsid w:val="0086786C"/>
    <w:rsid w:val="008678A9"/>
    <w:rsid w:val="00867C41"/>
    <w:rsid w:val="00867DDA"/>
    <w:rsid w:val="00870271"/>
    <w:rsid w:val="00870291"/>
    <w:rsid w:val="0087065F"/>
    <w:rsid w:val="0087083B"/>
    <w:rsid w:val="00870B22"/>
    <w:rsid w:val="00870BAE"/>
    <w:rsid w:val="00870F37"/>
    <w:rsid w:val="00871099"/>
    <w:rsid w:val="0087136A"/>
    <w:rsid w:val="00871765"/>
    <w:rsid w:val="00871B74"/>
    <w:rsid w:val="00871E20"/>
    <w:rsid w:val="008720CD"/>
    <w:rsid w:val="008721E4"/>
    <w:rsid w:val="008722AE"/>
    <w:rsid w:val="00872575"/>
    <w:rsid w:val="00872772"/>
    <w:rsid w:val="00872973"/>
    <w:rsid w:val="00872C0B"/>
    <w:rsid w:val="00872CF1"/>
    <w:rsid w:val="00872D36"/>
    <w:rsid w:val="00873989"/>
    <w:rsid w:val="008739E1"/>
    <w:rsid w:val="00873A0E"/>
    <w:rsid w:val="00873CBD"/>
    <w:rsid w:val="0087425E"/>
    <w:rsid w:val="0087454B"/>
    <w:rsid w:val="00874752"/>
    <w:rsid w:val="00874C5B"/>
    <w:rsid w:val="00875181"/>
    <w:rsid w:val="008751ED"/>
    <w:rsid w:val="0087581A"/>
    <w:rsid w:val="00875AAF"/>
    <w:rsid w:val="00875B33"/>
    <w:rsid w:val="00875BB4"/>
    <w:rsid w:val="00875E39"/>
    <w:rsid w:val="00876436"/>
    <w:rsid w:val="008765D5"/>
    <w:rsid w:val="00876687"/>
    <w:rsid w:val="008766CF"/>
    <w:rsid w:val="00876D15"/>
    <w:rsid w:val="0087702A"/>
    <w:rsid w:val="00877111"/>
    <w:rsid w:val="00877545"/>
    <w:rsid w:val="00877678"/>
    <w:rsid w:val="0087781B"/>
    <w:rsid w:val="008779EC"/>
    <w:rsid w:val="00877ADB"/>
    <w:rsid w:val="008800B8"/>
    <w:rsid w:val="00880190"/>
    <w:rsid w:val="008803B4"/>
    <w:rsid w:val="00880526"/>
    <w:rsid w:val="0088141F"/>
    <w:rsid w:val="00881CD3"/>
    <w:rsid w:val="00881E3A"/>
    <w:rsid w:val="00882178"/>
    <w:rsid w:val="008821AB"/>
    <w:rsid w:val="00882239"/>
    <w:rsid w:val="008826D1"/>
    <w:rsid w:val="008828CF"/>
    <w:rsid w:val="00882CA4"/>
    <w:rsid w:val="00882F27"/>
    <w:rsid w:val="008837EF"/>
    <w:rsid w:val="008838E4"/>
    <w:rsid w:val="00883906"/>
    <w:rsid w:val="00883A5A"/>
    <w:rsid w:val="00883C1A"/>
    <w:rsid w:val="00883E6E"/>
    <w:rsid w:val="00883E8B"/>
    <w:rsid w:val="00883F50"/>
    <w:rsid w:val="0088408E"/>
    <w:rsid w:val="00884157"/>
    <w:rsid w:val="00884196"/>
    <w:rsid w:val="00884322"/>
    <w:rsid w:val="00884369"/>
    <w:rsid w:val="008847C3"/>
    <w:rsid w:val="008848B1"/>
    <w:rsid w:val="008851A7"/>
    <w:rsid w:val="008854D7"/>
    <w:rsid w:val="0088616D"/>
    <w:rsid w:val="00886510"/>
    <w:rsid w:val="00886539"/>
    <w:rsid w:val="008865E9"/>
    <w:rsid w:val="00886822"/>
    <w:rsid w:val="008873FE"/>
    <w:rsid w:val="0088787F"/>
    <w:rsid w:val="00887928"/>
    <w:rsid w:val="008879DB"/>
    <w:rsid w:val="00887CEA"/>
    <w:rsid w:val="00890051"/>
    <w:rsid w:val="00890103"/>
    <w:rsid w:val="00890B96"/>
    <w:rsid w:val="00890E9A"/>
    <w:rsid w:val="008912FF"/>
    <w:rsid w:val="008915C0"/>
    <w:rsid w:val="0089175B"/>
    <w:rsid w:val="00891AFD"/>
    <w:rsid w:val="00891D6F"/>
    <w:rsid w:val="008922A4"/>
    <w:rsid w:val="00892798"/>
    <w:rsid w:val="00892896"/>
    <w:rsid w:val="00892AC4"/>
    <w:rsid w:val="00892B22"/>
    <w:rsid w:val="00892F59"/>
    <w:rsid w:val="008937DE"/>
    <w:rsid w:val="00893A6C"/>
    <w:rsid w:val="00893D25"/>
    <w:rsid w:val="008942D8"/>
    <w:rsid w:val="00894354"/>
    <w:rsid w:val="0089481B"/>
    <w:rsid w:val="00894A58"/>
    <w:rsid w:val="00894EA7"/>
    <w:rsid w:val="00894ECC"/>
    <w:rsid w:val="008950D9"/>
    <w:rsid w:val="0089520B"/>
    <w:rsid w:val="0089537C"/>
    <w:rsid w:val="00895645"/>
    <w:rsid w:val="00895772"/>
    <w:rsid w:val="008957FB"/>
    <w:rsid w:val="00895B62"/>
    <w:rsid w:val="00895E48"/>
    <w:rsid w:val="00895EB2"/>
    <w:rsid w:val="0089605D"/>
    <w:rsid w:val="0089615B"/>
    <w:rsid w:val="008962BC"/>
    <w:rsid w:val="008963B1"/>
    <w:rsid w:val="0089667E"/>
    <w:rsid w:val="008966AD"/>
    <w:rsid w:val="00896AAE"/>
    <w:rsid w:val="00896AD9"/>
    <w:rsid w:val="0089720D"/>
    <w:rsid w:val="00897601"/>
    <w:rsid w:val="008978AA"/>
    <w:rsid w:val="008978C9"/>
    <w:rsid w:val="008A0AE3"/>
    <w:rsid w:val="008A0C5D"/>
    <w:rsid w:val="008A11F5"/>
    <w:rsid w:val="008A13A5"/>
    <w:rsid w:val="008A1876"/>
    <w:rsid w:val="008A1916"/>
    <w:rsid w:val="008A1A0D"/>
    <w:rsid w:val="008A1A3B"/>
    <w:rsid w:val="008A1AEA"/>
    <w:rsid w:val="008A2249"/>
    <w:rsid w:val="008A2609"/>
    <w:rsid w:val="008A2800"/>
    <w:rsid w:val="008A28AF"/>
    <w:rsid w:val="008A3380"/>
    <w:rsid w:val="008A3A72"/>
    <w:rsid w:val="008A3BAF"/>
    <w:rsid w:val="008A4258"/>
    <w:rsid w:val="008A4388"/>
    <w:rsid w:val="008A4623"/>
    <w:rsid w:val="008A4929"/>
    <w:rsid w:val="008A4D28"/>
    <w:rsid w:val="008A5168"/>
    <w:rsid w:val="008A57CC"/>
    <w:rsid w:val="008A58CB"/>
    <w:rsid w:val="008A5F3E"/>
    <w:rsid w:val="008A6462"/>
    <w:rsid w:val="008A6559"/>
    <w:rsid w:val="008A68BF"/>
    <w:rsid w:val="008A6E32"/>
    <w:rsid w:val="008A6E62"/>
    <w:rsid w:val="008A76B7"/>
    <w:rsid w:val="008A7744"/>
    <w:rsid w:val="008A7788"/>
    <w:rsid w:val="008A7A91"/>
    <w:rsid w:val="008A7C8B"/>
    <w:rsid w:val="008A7FDD"/>
    <w:rsid w:val="008B043D"/>
    <w:rsid w:val="008B09CD"/>
    <w:rsid w:val="008B0DBB"/>
    <w:rsid w:val="008B1008"/>
    <w:rsid w:val="008B18A4"/>
    <w:rsid w:val="008B1AA5"/>
    <w:rsid w:val="008B205E"/>
    <w:rsid w:val="008B223D"/>
    <w:rsid w:val="008B232A"/>
    <w:rsid w:val="008B27C5"/>
    <w:rsid w:val="008B2814"/>
    <w:rsid w:val="008B2862"/>
    <w:rsid w:val="008B297A"/>
    <w:rsid w:val="008B2B60"/>
    <w:rsid w:val="008B2CBF"/>
    <w:rsid w:val="008B2DB9"/>
    <w:rsid w:val="008B337E"/>
    <w:rsid w:val="008B371B"/>
    <w:rsid w:val="008B38C0"/>
    <w:rsid w:val="008B3E77"/>
    <w:rsid w:val="008B4BEF"/>
    <w:rsid w:val="008B4D1A"/>
    <w:rsid w:val="008B4F2A"/>
    <w:rsid w:val="008B4F76"/>
    <w:rsid w:val="008B4FB7"/>
    <w:rsid w:val="008B5020"/>
    <w:rsid w:val="008B510B"/>
    <w:rsid w:val="008B582E"/>
    <w:rsid w:val="008B5A83"/>
    <w:rsid w:val="008B5C0E"/>
    <w:rsid w:val="008B5D42"/>
    <w:rsid w:val="008B5EE6"/>
    <w:rsid w:val="008B60C8"/>
    <w:rsid w:val="008B6163"/>
    <w:rsid w:val="008B62B4"/>
    <w:rsid w:val="008B66B6"/>
    <w:rsid w:val="008B675F"/>
    <w:rsid w:val="008B687C"/>
    <w:rsid w:val="008B6B20"/>
    <w:rsid w:val="008B6CBB"/>
    <w:rsid w:val="008B6E21"/>
    <w:rsid w:val="008B6EB1"/>
    <w:rsid w:val="008B7188"/>
    <w:rsid w:val="008B74DE"/>
    <w:rsid w:val="008B75B1"/>
    <w:rsid w:val="008B75B8"/>
    <w:rsid w:val="008B76AE"/>
    <w:rsid w:val="008B7A10"/>
    <w:rsid w:val="008C0214"/>
    <w:rsid w:val="008C05B6"/>
    <w:rsid w:val="008C0728"/>
    <w:rsid w:val="008C0A95"/>
    <w:rsid w:val="008C0AE7"/>
    <w:rsid w:val="008C0FD4"/>
    <w:rsid w:val="008C10CA"/>
    <w:rsid w:val="008C14EA"/>
    <w:rsid w:val="008C1C75"/>
    <w:rsid w:val="008C23F5"/>
    <w:rsid w:val="008C23FA"/>
    <w:rsid w:val="008C2441"/>
    <w:rsid w:val="008C25B8"/>
    <w:rsid w:val="008C2857"/>
    <w:rsid w:val="008C2912"/>
    <w:rsid w:val="008C2BCE"/>
    <w:rsid w:val="008C2CAC"/>
    <w:rsid w:val="008C2FDF"/>
    <w:rsid w:val="008C3261"/>
    <w:rsid w:val="008C36EE"/>
    <w:rsid w:val="008C4666"/>
    <w:rsid w:val="008C46BF"/>
    <w:rsid w:val="008C4841"/>
    <w:rsid w:val="008C48FF"/>
    <w:rsid w:val="008C4B2C"/>
    <w:rsid w:val="008C58D1"/>
    <w:rsid w:val="008C6092"/>
    <w:rsid w:val="008C6331"/>
    <w:rsid w:val="008C6507"/>
    <w:rsid w:val="008C6638"/>
    <w:rsid w:val="008C6675"/>
    <w:rsid w:val="008C6833"/>
    <w:rsid w:val="008C6C6B"/>
    <w:rsid w:val="008C6FB4"/>
    <w:rsid w:val="008C77FA"/>
    <w:rsid w:val="008C7815"/>
    <w:rsid w:val="008D03DF"/>
    <w:rsid w:val="008D04DB"/>
    <w:rsid w:val="008D068E"/>
    <w:rsid w:val="008D09F7"/>
    <w:rsid w:val="008D1350"/>
    <w:rsid w:val="008D17F2"/>
    <w:rsid w:val="008D1C44"/>
    <w:rsid w:val="008D2307"/>
    <w:rsid w:val="008D2815"/>
    <w:rsid w:val="008D29A2"/>
    <w:rsid w:val="008D2AFB"/>
    <w:rsid w:val="008D2B39"/>
    <w:rsid w:val="008D2D37"/>
    <w:rsid w:val="008D3371"/>
    <w:rsid w:val="008D36A3"/>
    <w:rsid w:val="008D38FC"/>
    <w:rsid w:val="008D3BE4"/>
    <w:rsid w:val="008D4199"/>
    <w:rsid w:val="008D45C1"/>
    <w:rsid w:val="008D4811"/>
    <w:rsid w:val="008D4922"/>
    <w:rsid w:val="008D4AC7"/>
    <w:rsid w:val="008D4BB8"/>
    <w:rsid w:val="008D4F07"/>
    <w:rsid w:val="008D4F38"/>
    <w:rsid w:val="008D4F44"/>
    <w:rsid w:val="008D5084"/>
    <w:rsid w:val="008D5523"/>
    <w:rsid w:val="008D58CF"/>
    <w:rsid w:val="008D59EC"/>
    <w:rsid w:val="008D5B83"/>
    <w:rsid w:val="008D5F25"/>
    <w:rsid w:val="008D61B9"/>
    <w:rsid w:val="008D692B"/>
    <w:rsid w:val="008D6A8A"/>
    <w:rsid w:val="008D6B33"/>
    <w:rsid w:val="008D6CFE"/>
    <w:rsid w:val="008D76EC"/>
    <w:rsid w:val="008D777F"/>
    <w:rsid w:val="008D7C49"/>
    <w:rsid w:val="008D7EF1"/>
    <w:rsid w:val="008D7F17"/>
    <w:rsid w:val="008E009A"/>
    <w:rsid w:val="008E04B6"/>
    <w:rsid w:val="008E0738"/>
    <w:rsid w:val="008E082D"/>
    <w:rsid w:val="008E0934"/>
    <w:rsid w:val="008E09F0"/>
    <w:rsid w:val="008E145D"/>
    <w:rsid w:val="008E1657"/>
    <w:rsid w:val="008E1AE2"/>
    <w:rsid w:val="008E216E"/>
    <w:rsid w:val="008E23E2"/>
    <w:rsid w:val="008E252B"/>
    <w:rsid w:val="008E2729"/>
    <w:rsid w:val="008E2921"/>
    <w:rsid w:val="008E314F"/>
    <w:rsid w:val="008E318C"/>
    <w:rsid w:val="008E34A5"/>
    <w:rsid w:val="008E363A"/>
    <w:rsid w:val="008E3B53"/>
    <w:rsid w:val="008E3CA9"/>
    <w:rsid w:val="008E3D72"/>
    <w:rsid w:val="008E3DEA"/>
    <w:rsid w:val="008E4411"/>
    <w:rsid w:val="008E477F"/>
    <w:rsid w:val="008E4D55"/>
    <w:rsid w:val="008E5120"/>
    <w:rsid w:val="008E519C"/>
    <w:rsid w:val="008E5235"/>
    <w:rsid w:val="008E53CC"/>
    <w:rsid w:val="008E5805"/>
    <w:rsid w:val="008E5904"/>
    <w:rsid w:val="008E5CB6"/>
    <w:rsid w:val="008E5CBE"/>
    <w:rsid w:val="008E5D76"/>
    <w:rsid w:val="008E5E06"/>
    <w:rsid w:val="008E61D5"/>
    <w:rsid w:val="008E62BF"/>
    <w:rsid w:val="008E6A1E"/>
    <w:rsid w:val="008E6C24"/>
    <w:rsid w:val="008E70B9"/>
    <w:rsid w:val="008E73E6"/>
    <w:rsid w:val="008E778A"/>
    <w:rsid w:val="008E77F9"/>
    <w:rsid w:val="008E781F"/>
    <w:rsid w:val="008E78D3"/>
    <w:rsid w:val="008E79C5"/>
    <w:rsid w:val="008E7A7B"/>
    <w:rsid w:val="008F00E2"/>
    <w:rsid w:val="008F0516"/>
    <w:rsid w:val="008F09C5"/>
    <w:rsid w:val="008F0C04"/>
    <w:rsid w:val="008F0CD3"/>
    <w:rsid w:val="008F1042"/>
    <w:rsid w:val="008F11A1"/>
    <w:rsid w:val="008F122B"/>
    <w:rsid w:val="008F17C6"/>
    <w:rsid w:val="008F228C"/>
    <w:rsid w:val="008F2328"/>
    <w:rsid w:val="008F2403"/>
    <w:rsid w:val="008F24A9"/>
    <w:rsid w:val="008F2750"/>
    <w:rsid w:val="008F2DBA"/>
    <w:rsid w:val="008F2FFB"/>
    <w:rsid w:val="008F3137"/>
    <w:rsid w:val="008F3170"/>
    <w:rsid w:val="008F34E1"/>
    <w:rsid w:val="008F38AC"/>
    <w:rsid w:val="008F4365"/>
    <w:rsid w:val="008F48C6"/>
    <w:rsid w:val="008F4ED5"/>
    <w:rsid w:val="008F4FA0"/>
    <w:rsid w:val="008F566E"/>
    <w:rsid w:val="008F588F"/>
    <w:rsid w:val="008F590F"/>
    <w:rsid w:val="008F598B"/>
    <w:rsid w:val="008F5EB7"/>
    <w:rsid w:val="008F675E"/>
    <w:rsid w:val="008F6994"/>
    <w:rsid w:val="008F7038"/>
    <w:rsid w:val="008F738B"/>
    <w:rsid w:val="008F7395"/>
    <w:rsid w:val="008F7C2D"/>
    <w:rsid w:val="008F7E15"/>
    <w:rsid w:val="008F7F08"/>
    <w:rsid w:val="009002EF"/>
    <w:rsid w:val="00900CFC"/>
    <w:rsid w:val="00900E59"/>
    <w:rsid w:val="00900FDB"/>
    <w:rsid w:val="0090122E"/>
    <w:rsid w:val="00901237"/>
    <w:rsid w:val="00901256"/>
    <w:rsid w:val="0090144B"/>
    <w:rsid w:val="009015AE"/>
    <w:rsid w:val="00901A56"/>
    <w:rsid w:val="00901C1A"/>
    <w:rsid w:val="00901F7D"/>
    <w:rsid w:val="00902188"/>
    <w:rsid w:val="0090244F"/>
    <w:rsid w:val="009025D8"/>
    <w:rsid w:val="00902619"/>
    <w:rsid w:val="00902AC2"/>
    <w:rsid w:val="00902FBB"/>
    <w:rsid w:val="00903017"/>
    <w:rsid w:val="0090343B"/>
    <w:rsid w:val="0090361C"/>
    <w:rsid w:val="00903B70"/>
    <w:rsid w:val="00903D67"/>
    <w:rsid w:val="00903E54"/>
    <w:rsid w:val="00903E6C"/>
    <w:rsid w:val="00903F51"/>
    <w:rsid w:val="009040B9"/>
    <w:rsid w:val="009046A0"/>
    <w:rsid w:val="0090491B"/>
    <w:rsid w:val="00904D88"/>
    <w:rsid w:val="009057FE"/>
    <w:rsid w:val="00905F80"/>
    <w:rsid w:val="0090609A"/>
    <w:rsid w:val="009064E5"/>
    <w:rsid w:val="0090680D"/>
    <w:rsid w:val="0090686F"/>
    <w:rsid w:val="00906940"/>
    <w:rsid w:val="009069F1"/>
    <w:rsid w:val="00907C8C"/>
    <w:rsid w:val="00907DA8"/>
    <w:rsid w:val="00907F84"/>
    <w:rsid w:val="00910048"/>
    <w:rsid w:val="00910193"/>
    <w:rsid w:val="00910299"/>
    <w:rsid w:val="009103D3"/>
    <w:rsid w:val="00910768"/>
    <w:rsid w:val="00910AA2"/>
    <w:rsid w:val="00910B80"/>
    <w:rsid w:val="00910BC0"/>
    <w:rsid w:val="0091167E"/>
    <w:rsid w:val="00911B41"/>
    <w:rsid w:val="00911B8E"/>
    <w:rsid w:val="00911C47"/>
    <w:rsid w:val="00911E6F"/>
    <w:rsid w:val="0091201A"/>
    <w:rsid w:val="0091205D"/>
    <w:rsid w:val="00912109"/>
    <w:rsid w:val="00912605"/>
    <w:rsid w:val="0091260C"/>
    <w:rsid w:val="0091283D"/>
    <w:rsid w:val="00912B43"/>
    <w:rsid w:val="00912C54"/>
    <w:rsid w:val="00912C89"/>
    <w:rsid w:val="009132A7"/>
    <w:rsid w:val="00913A15"/>
    <w:rsid w:val="00913F24"/>
    <w:rsid w:val="00914155"/>
    <w:rsid w:val="00914183"/>
    <w:rsid w:val="00915166"/>
    <w:rsid w:val="0091519D"/>
    <w:rsid w:val="009151F7"/>
    <w:rsid w:val="00915DE6"/>
    <w:rsid w:val="009163B7"/>
    <w:rsid w:val="00916ACE"/>
    <w:rsid w:val="00916E62"/>
    <w:rsid w:val="00917132"/>
    <w:rsid w:val="009174C9"/>
    <w:rsid w:val="009174F5"/>
    <w:rsid w:val="00917699"/>
    <w:rsid w:val="00917B5C"/>
    <w:rsid w:val="0092014D"/>
    <w:rsid w:val="009205E6"/>
    <w:rsid w:val="00920948"/>
    <w:rsid w:val="00920A40"/>
    <w:rsid w:val="009211B7"/>
    <w:rsid w:val="0092125D"/>
    <w:rsid w:val="00921288"/>
    <w:rsid w:val="00921C0C"/>
    <w:rsid w:val="0092200C"/>
    <w:rsid w:val="009220DE"/>
    <w:rsid w:val="00922158"/>
    <w:rsid w:val="009224E3"/>
    <w:rsid w:val="009228F2"/>
    <w:rsid w:val="0092294C"/>
    <w:rsid w:val="00922D36"/>
    <w:rsid w:val="00922FBE"/>
    <w:rsid w:val="009230AC"/>
    <w:rsid w:val="0092353B"/>
    <w:rsid w:val="00923832"/>
    <w:rsid w:val="009238C7"/>
    <w:rsid w:val="00923BEF"/>
    <w:rsid w:val="00923E3A"/>
    <w:rsid w:val="00923F06"/>
    <w:rsid w:val="00924216"/>
    <w:rsid w:val="00924269"/>
    <w:rsid w:val="009245A3"/>
    <w:rsid w:val="00924762"/>
    <w:rsid w:val="00924ACB"/>
    <w:rsid w:val="00924BE7"/>
    <w:rsid w:val="00925138"/>
    <w:rsid w:val="00925165"/>
    <w:rsid w:val="00925362"/>
    <w:rsid w:val="00925664"/>
    <w:rsid w:val="0092586A"/>
    <w:rsid w:val="00925C2A"/>
    <w:rsid w:val="009263C6"/>
    <w:rsid w:val="00926488"/>
    <w:rsid w:val="00926683"/>
    <w:rsid w:val="009267FF"/>
    <w:rsid w:val="009269CA"/>
    <w:rsid w:val="00926A56"/>
    <w:rsid w:val="00926B5C"/>
    <w:rsid w:val="00926BB1"/>
    <w:rsid w:val="00926E2C"/>
    <w:rsid w:val="00927316"/>
    <w:rsid w:val="00927542"/>
    <w:rsid w:val="0092784B"/>
    <w:rsid w:val="00927A71"/>
    <w:rsid w:val="00927B23"/>
    <w:rsid w:val="00927B8C"/>
    <w:rsid w:val="00927EB1"/>
    <w:rsid w:val="00930029"/>
    <w:rsid w:val="0093086E"/>
    <w:rsid w:val="00930A0B"/>
    <w:rsid w:val="009310D6"/>
    <w:rsid w:val="009318F1"/>
    <w:rsid w:val="0093213D"/>
    <w:rsid w:val="00932514"/>
    <w:rsid w:val="00932EBF"/>
    <w:rsid w:val="00932F83"/>
    <w:rsid w:val="00933276"/>
    <w:rsid w:val="009332AA"/>
    <w:rsid w:val="00933E61"/>
    <w:rsid w:val="00933EC1"/>
    <w:rsid w:val="00933F2A"/>
    <w:rsid w:val="009344F1"/>
    <w:rsid w:val="00934636"/>
    <w:rsid w:val="009347D5"/>
    <w:rsid w:val="009347EC"/>
    <w:rsid w:val="00934AE8"/>
    <w:rsid w:val="00934E7A"/>
    <w:rsid w:val="00935A90"/>
    <w:rsid w:val="00935C9F"/>
    <w:rsid w:val="00936053"/>
    <w:rsid w:val="009369ED"/>
    <w:rsid w:val="00936BD4"/>
    <w:rsid w:val="00936BE7"/>
    <w:rsid w:val="00936C19"/>
    <w:rsid w:val="00936DEA"/>
    <w:rsid w:val="00936E5E"/>
    <w:rsid w:val="0093708F"/>
    <w:rsid w:val="0093722D"/>
    <w:rsid w:val="00937468"/>
    <w:rsid w:val="009374FF"/>
    <w:rsid w:val="00937E31"/>
    <w:rsid w:val="00937ED0"/>
    <w:rsid w:val="009402B3"/>
    <w:rsid w:val="009408FC"/>
    <w:rsid w:val="00940D21"/>
    <w:rsid w:val="00940E53"/>
    <w:rsid w:val="009412F5"/>
    <w:rsid w:val="0094133B"/>
    <w:rsid w:val="009414BA"/>
    <w:rsid w:val="00941723"/>
    <w:rsid w:val="00941B3A"/>
    <w:rsid w:val="00942346"/>
    <w:rsid w:val="0094249C"/>
    <w:rsid w:val="00942869"/>
    <w:rsid w:val="009428CC"/>
    <w:rsid w:val="009428F0"/>
    <w:rsid w:val="00942BFD"/>
    <w:rsid w:val="00943231"/>
    <w:rsid w:val="009432E7"/>
    <w:rsid w:val="0094337A"/>
    <w:rsid w:val="0094374C"/>
    <w:rsid w:val="009438B7"/>
    <w:rsid w:val="0094423F"/>
    <w:rsid w:val="00944278"/>
    <w:rsid w:val="0094498D"/>
    <w:rsid w:val="00944A5F"/>
    <w:rsid w:val="00944FEE"/>
    <w:rsid w:val="00945596"/>
    <w:rsid w:val="00945683"/>
    <w:rsid w:val="0094570A"/>
    <w:rsid w:val="00945897"/>
    <w:rsid w:val="00945A47"/>
    <w:rsid w:val="00945BB3"/>
    <w:rsid w:val="00945D92"/>
    <w:rsid w:val="00945FE7"/>
    <w:rsid w:val="00946134"/>
    <w:rsid w:val="009463A1"/>
    <w:rsid w:val="00946424"/>
    <w:rsid w:val="00946668"/>
    <w:rsid w:val="0094694C"/>
    <w:rsid w:val="0094724D"/>
    <w:rsid w:val="009475BF"/>
    <w:rsid w:val="0094770C"/>
    <w:rsid w:val="009478B7"/>
    <w:rsid w:val="00947B18"/>
    <w:rsid w:val="00947BA9"/>
    <w:rsid w:val="00947E61"/>
    <w:rsid w:val="00950065"/>
    <w:rsid w:val="00950529"/>
    <w:rsid w:val="00950791"/>
    <w:rsid w:val="009509A8"/>
    <w:rsid w:val="00950CEC"/>
    <w:rsid w:val="00950D0F"/>
    <w:rsid w:val="00951090"/>
    <w:rsid w:val="009516CF"/>
    <w:rsid w:val="009517DA"/>
    <w:rsid w:val="00951EB5"/>
    <w:rsid w:val="009520B8"/>
    <w:rsid w:val="00952270"/>
    <w:rsid w:val="009522F8"/>
    <w:rsid w:val="00952907"/>
    <w:rsid w:val="009531C3"/>
    <w:rsid w:val="00953638"/>
    <w:rsid w:val="009536DE"/>
    <w:rsid w:val="009537B7"/>
    <w:rsid w:val="0095391E"/>
    <w:rsid w:val="00954438"/>
    <w:rsid w:val="00954525"/>
    <w:rsid w:val="00954A7F"/>
    <w:rsid w:val="00955234"/>
    <w:rsid w:val="009552AF"/>
    <w:rsid w:val="009554DA"/>
    <w:rsid w:val="009555BD"/>
    <w:rsid w:val="00955750"/>
    <w:rsid w:val="00955895"/>
    <w:rsid w:val="00956462"/>
    <w:rsid w:val="009565FC"/>
    <w:rsid w:val="009566B8"/>
    <w:rsid w:val="00957C5C"/>
    <w:rsid w:val="00957DD8"/>
    <w:rsid w:val="00960124"/>
    <w:rsid w:val="00960145"/>
    <w:rsid w:val="00960547"/>
    <w:rsid w:val="0096075C"/>
    <w:rsid w:val="00960771"/>
    <w:rsid w:val="00960B30"/>
    <w:rsid w:val="00960F3B"/>
    <w:rsid w:val="00961413"/>
    <w:rsid w:val="009614DF"/>
    <w:rsid w:val="00961BE2"/>
    <w:rsid w:val="00961C37"/>
    <w:rsid w:val="00961CCF"/>
    <w:rsid w:val="00961D51"/>
    <w:rsid w:val="00961DC0"/>
    <w:rsid w:val="00961E5D"/>
    <w:rsid w:val="00961EE5"/>
    <w:rsid w:val="00962022"/>
    <w:rsid w:val="009621A0"/>
    <w:rsid w:val="009624B8"/>
    <w:rsid w:val="0096285D"/>
    <w:rsid w:val="00962B0F"/>
    <w:rsid w:val="00962C78"/>
    <w:rsid w:val="00962C8E"/>
    <w:rsid w:val="00962CA1"/>
    <w:rsid w:val="009630A1"/>
    <w:rsid w:val="00963506"/>
    <w:rsid w:val="00963B80"/>
    <w:rsid w:val="00963BE7"/>
    <w:rsid w:val="00963C16"/>
    <w:rsid w:val="00963CB9"/>
    <w:rsid w:val="00963E05"/>
    <w:rsid w:val="00963F98"/>
    <w:rsid w:val="00963F9A"/>
    <w:rsid w:val="0096438D"/>
    <w:rsid w:val="00964802"/>
    <w:rsid w:val="00964D62"/>
    <w:rsid w:val="009651A2"/>
    <w:rsid w:val="00965245"/>
    <w:rsid w:val="009652A0"/>
    <w:rsid w:val="009654A3"/>
    <w:rsid w:val="00965705"/>
    <w:rsid w:val="0096576F"/>
    <w:rsid w:val="00965C75"/>
    <w:rsid w:val="00965D42"/>
    <w:rsid w:val="00966327"/>
    <w:rsid w:val="00966A0A"/>
    <w:rsid w:val="00967101"/>
    <w:rsid w:val="00967219"/>
    <w:rsid w:val="00967277"/>
    <w:rsid w:val="009673DF"/>
    <w:rsid w:val="009674B0"/>
    <w:rsid w:val="009676A6"/>
    <w:rsid w:val="009677BE"/>
    <w:rsid w:val="00967829"/>
    <w:rsid w:val="00967DBE"/>
    <w:rsid w:val="00970023"/>
    <w:rsid w:val="0097015F"/>
    <w:rsid w:val="0097058C"/>
    <w:rsid w:val="00970B78"/>
    <w:rsid w:val="00970BBD"/>
    <w:rsid w:val="00970DCD"/>
    <w:rsid w:val="009719A0"/>
    <w:rsid w:val="00972414"/>
    <w:rsid w:val="0097258C"/>
    <w:rsid w:val="00972624"/>
    <w:rsid w:val="0097266D"/>
    <w:rsid w:val="00973005"/>
    <w:rsid w:val="0097391C"/>
    <w:rsid w:val="00973E10"/>
    <w:rsid w:val="009740BD"/>
    <w:rsid w:val="00974208"/>
    <w:rsid w:val="009742CF"/>
    <w:rsid w:val="009742E2"/>
    <w:rsid w:val="0097435B"/>
    <w:rsid w:val="009746E1"/>
    <w:rsid w:val="00974895"/>
    <w:rsid w:val="00974B2E"/>
    <w:rsid w:val="00974BF0"/>
    <w:rsid w:val="00974CDC"/>
    <w:rsid w:val="0097556E"/>
    <w:rsid w:val="0097587E"/>
    <w:rsid w:val="00975AFF"/>
    <w:rsid w:val="00976B8C"/>
    <w:rsid w:val="0097792D"/>
    <w:rsid w:val="0097792F"/>
    <w:rsid w:val="00977A25"/>
    <w:rsid w:val="00977A44"/>
    <w:rsid w:val="00980364"/>
    <w:rsid w:val="009806DA"/>
    <w:rsid w:val="00980929"/>
    <w:rsid w:val="0098096B"/>
    <w:rsid w:val="009809ED"/>
    <w:rsid w:val="00980A33"/>
    <w:rsid w:val="00981198"/>
    <w:rsid w:val="009814A0"/>
    <w:rsid w:val="009815EE"/>
    <w:rsid w:val="00981729"/>
    <w:rsid w:val="00981AFF"/>
    <w:rsid w:val="00981C1E"/>
    <w:rsid w:val="00981CB4"/>
    <w:rsid w:val="00981D9F"/>
    <w:rsid w:val="00981FDB"/>
    <w:rsid w:val="0098240E"/>
    <w:rsid w:val="00982A20"/>
    <w:rsid w:val="00982C31"/>
    <w:rsid w:val="00983042"/>
    <w:rsid w:val="0098363C"/>
    <w:rsid w:val="009837AF"/>
    <w:rsid w:val="00983942"/>
    <w:rsid w:val="00983C6A"/>
    <w:rsid w:val="00983D46"/>
    <w:rsid w:val="00984058"/>
    <w:rsid w:val="00984088"/>
    <w:rsid w:val="009841AE"/>
    <w:rsid w:val="00984491"/>
    <w:rsid w:val="009848F8"/>
    <w:rsid w:val="0098527A"/>
    <w:rsid w:val="009854FF"/>
    <w:rsid w:val="009856EB"/>
    <w:rsid w:val="00985AFB"/>
    <w:rsid w:val="00985E51"/>
    <w:rsid w:val="00985EE1"/>
    <w:rsid w:val="00985FF2"/>
    <w:rsid w:val="00986420"/>
    <w:rsid w:val="00986E35"/>
    <w:rsid w:val="00986F45"/>
    <w:rsid w:val="009874DB"/>
    <w:rsid w:val="00987692"/>
    <w:rsid w:val="00987696"/>
    <w:rsid w:val="00987CD0"/>
    <w:rsid w:val="00987EC1"/>
    <w:rsid w:val="00987F6A"/>
    <w:rsid w:val="00987FC7"/>
    <w:rsid w:val="00990588"/>
    <w:rsid w:val="00990A74"/>
    <w:rsid w:val="00990AB8"/>
    <w:rsid w:val="00991497"/>
    <w:rsid w:val="009915F2"/>
    <w:rsid w:val="00991D73"/>
    <w:rsid w:val="0099245D"/>
    <w:rsid w:val="009924CC"/>
    <w:rsid w:val="00992586"/>
    <w:rsid w:val="009930DB"/>
    <w:rsid w:val="0099314D"/>
    <w:rsid w:val="00993870"/>
    <w:rsid w:val="00994110"/>
    <w:rsid w:val="0099412E"/>
    <w:rsid w:val="0099427D"/>
    <w:rsid w:val="0099433D"/>
    <w:rsid w:val="00994360"/>
    <w:rsid w:val="00994478"/>
    <w:rsid w:val="0099462B"/>
    <w:rsid w:val="00994831"/>
    <w:rsid w:val="0099496F"/>
    <w:rsid w:val="009952D8"/>
    <w:rsid w:val="0099544D"/>
    <w:rsid w:val="00995BBB"/>
    <w:rsid w:val="00995DDE"/>
    <w:rsid w:val="00995E2B"/>
    <w:rsid w:val="00995E3B"/>
    <w:rsid w:val="0099619F"/>
    <w:rsid w:val="00996474"/>
    <w:rsid w:val="00996690"/>
    <w:rsid w:val="00996786"/>
    <w:rsid w:val="009967CB"/>
    <w:rsid w:val="009967E5"/>
    <w:rsid w:val="00996851"/>
    <w:rsid w:val="00996FDB"/>
    <w:rsid w:val="00997151"/>
    <w:rsid w:val="00997414"/>
    <w:rsid w:val="009A073A"/>
    <w:rsid w:val="009A0771"/>
    <w:rsid w:val="009A0A8B"/>
    <w:rsid w:val="009A0D04"/>
    <w:rsid w:val="009A10C4"/>
    <w:rsid w:val="009A10ED"/>
    <w:rsid w:val="009A114B"/>
    <w:rsid w:val="009A1385"/>
    <w:rsid w:val="009A15D9"/>
    <w:rsid w:val="009A1666"/>
    <w:rsid w:val="009A183F"/>
    <w:rsid w:val="009A19B0"/>
    <w:rsid w:val="009A1ACB"/>
    <w:rsid w:val="009A229F"/>
    <w:rsid w:val="009A2331"/>
    <w:rsid w:val="009A23A3"/>
    <w:rsid w:val="009A23E4"/>
    <w:rsid w:val="009A2589"/>
    <w:rsid w:val="009A2B77"/>
    <w:rsid w:val="009A2C5D"/>
    <w:rsid w:val="009A2E25"/>
    <w:rsid w:val="009A3335"/>
    <w:rsid w:val="009A359E"/>
    <w:rsid w:val="009A3694"/>
    <w:rsid w:val="009A3869"/>
    <w:rsid w:val="009A3A24"/>
    <w:rsid w:val="009A3E64"/>
    <w:rsid w:val="009A4239"/>
    <w:rsid w:val="009A47C3"/>
    <w:rsid w:val="009A53CB"/>
    <w:rsid w:val="009A56A2"/>
    <w:rsid w:val="009A56DA"/>
    <w:rsid w:val="009A58AC"/>
    <w:rsid w:val="009A58F6"/>
    <w:rsid w:val="009A5A7D"/>
    <w:rsid w:val="009A5C44"/>
    <w:rsid w:val="009A5D8E"/>
    <w:rsid w:val="009A5EB4"/>
    <w:rsid w:val="009A609F"/>
    <w:rsid w:val="009A621D"/>
    <w:rsid w:val="009A6806"/>
    <w:rsid w:val="009A6A98"/>
    <w:rsid w:val="009A6C5E"/>
    <w:rsid w:val="009A7209"/>
    <w:rsid w:val="009A7582"/>
    <w:rsid w:val="009A79A8"/>
    <w:rsid w:val="009A7FED"/>
    <w:rsid w:val="009B001F"/>
    <w:rsid w:val="009B03F5"/>
    <w:rsid w:val="009B0813"/>
    <w:rsid w:val="009B0869"/>
    <w:rsid w:val="009B08F6"/>
    <w:rsid w:val="009B09A4"/>
    <w:rsid w:val="009B0AF5"/>
    <w:rsid w:val="009B0DC0"/>
    <w:rsid w:val="009B189A"/>
    <w:rsid w:val="009B20A2"/>
    <w:rsid w:val="009B224F"/>
    <w:rsid w:val="009B2B70"/>
    <w:rsid w:val="009B2C5A"/>
    <w:rsid w:val="009B2DAB"/>
    <w:rsid w:val="009B2E00"/>
    <w:rsid w:val="009B2F58"/>
    <w:rsid w:val="009B2FE4"/>
    <w:rsid w:val="009B306E"/>
    <w:rsid w:val="009B31AB"/>
    <w:rsid w:val="009B320B"/>
    <w:rsid w:val="009B332F"/>
    <w:rsid w:val="009B3E13"/>
    <w:rsid w:val="009B4DBC"/>
    <w:rsid w:val="009B4F1E"/>
    <w:rsid w:val="009B547C"/>
    <w:rsid w:val="009B5E34"/>
    <w:rsid w:val="009B6097"/>
    <w:rsid w:val="009B618F"/>
    <w:rsid w:val="009B665C"/>
    <w:rsid w:val="009B6B2A"/>
    <w:rsid w:val="009B6C82"/>
    <w:rsid w:val="009B6DF0"/>
    <w:rsid w:val="009B6F6D"/>
    <w:rsid w:val="009B74E1"/>
    <w:rsid w:val="009B7769"/>
    <w:rsid w:val="009B78B1"/>
    <w:rsid w:val="009B7908"/>
    <w:rsid w:val="009B7DEA"/>
    <w:rsid w:val="009B7FD3"/>
    <w:rsid w:val="009C02D1"/>
    <w:rsid w:val="009C067D"/>
    <w:rsid w:val="009C07A5"/>
    <w:rsid w:val="009C0853"/>
    <w:rsid w:val="009C0877"/>
    <w:rsid w:val="009C106E"/>
    <w:rsid w:val="009C10B5"/>
    <w:rsid w:val="009C1247"/>
    <w:rsid w:val="009C130D"/>
    <w:rsid w:val="009C16EB"/>
    <w:rsid w:val="009C1707"/>
    <w:rsid w:val="009C1739"/>
    <w:rsid w:val="009C19DD"/>
    <w:rsid w:val="009C1F0F"/>
    <w:rsid w:val="009C216A"/>
    <w:rsid w:val="009C2391"/>
    <w:rsid w:val="009C3014"/>
    <w:rsid w:val="009C37E8"/>
    <w:rsid w:val="009C37EE"/>
    <w:rsid w:val="009C38FC"/>
    <w:rsid w:val="009C3BAB"/>
    <w:rsid w:val="009C3CDE"/>
    <w:rsid w:val="009C3E1D"/>
    <w:rsid w:val="009C4556"/>
    <w:rsid w:val="009C45BC"/>
    <w:rsid w:val="009C48ED"/>
    <w:rsid w:val="009C50E2"/>
    <w:rsid w:val="009C5283"/>
    <w:rsid w:val="009C55FA"/>
    <w:rsid w:val="009C5709"/>
    <w:rsid w:val="009C5B75"/>
    <w:rsid w:val="009C5EE3"/>
    <w:rsid w:val="009C6D69"/>
    <w:rsid w:val="009C6DED"/>
    <w:rsid w:val="009C6E90"/>
    <w:rsid w:val="009C70DC"/>
    <w:rsid w:val="009C715F"/>
    <w:rsid w:val="009C7587"/>
    <w:rsid w:val="009C777B"/>
    <w:rsid w:val="009C78AF"/>
    <w:rsid w:val="009C7A89"/>
    <w:rsid w:val="009C7E7A"/>
    <w:rsid w:val="009D01B5"/>
    <w:rsid w:val="009D043B"/>
    <w:rsid w:val="009D064A"/>
    <w:rsid w:val="009D117F"/>
    <w:rsid w:val="009D1293"/>
    <w:rsid w:val="009D1318"/>
    <w:rsid w:val="009D13C7"/>
    <w:rsid w:val="009D1625"/>
    <w:rsid w:val="009D1634"/>
    <w:rsid w:val="009D1670"/>
    <w:rsid w:val="009D1A3A"/>
    <w:rsid w:val="009D22DE"/>
    <w:rsid w:val="009D23AB"/>
    <w:rsid w:val="009D2637"/>
    <w:rsid w:val="009D2CA5"/>
    <w:rsid w:val="009D31CC"/>
    <w:rsid w:val="009D3289"/>
    <w:rsid w:val="009D32E1"/>
    <w:rsid w:val="009D348F"/>
    <w:rsid w:val="009D350E"/>
    <w:rsid w:val="009D394F"/>
    <w:rsid w:val="009D39C1"/>
    <w:rsid w:val="009D45EB"/>
    <w:rsid w:val="009D46FB"/>
    <w:rsid w:val="009D4779"/>
    <w:rsid w:val="009D498A"/>
    <w:rsid w:val="009D49C6"/>
    <w:rsid w:val="009D4E03"/>
    <w:rsid w:val="009D5073"/>
    <w:rsid w:val="009D5140"/>
    <w:rsid w:val="009D5215"/>
    <w:rsid w:val="009D5580"/>
    <w:rsid w:val="009D5891"/>
    <w:rsid w:val="009D5A2F"/>
    <w:rsid w:val="009D659C"/>
    <w:rsid w:val="009D6665"/>
    <w:rsid w:val="009D6AC3"/>
    <w:rsid w:val="009D6E2F"/>
    <w:rsid w:val="009D7A90"/>
    <w:rsid w:val="009D7AAD"/>
    <w:rsid w:val="009E01AB"/>
    <w:rsid w:val="009E02C0"/>
    <w:rsid w:val="009E049C"/>
    <w:rsid w:val="009E06D7"/>
    <w:rsid w:val="009E0900"/>
    <w:rsid w:val="009E0F25"/>
    <w:rsid w:val="009E0FBF"/>
    <w:rsid w:val="009E1254"/>
    <w:rsid w:val="009E14C7"/>
    <w:rsid w:val="009E19EC"/>
    <w:rsid w:val="009E1BF7"/>
    <w:rsid w:val="009E1C7E"/>
    <w:rsid w:val="009E1D41"/>
    <w:rsid w:val="009E1D75"/>
    <w:rsid w:val="009E203C"/>
    <w:rsid w:val="009E2512"/>
    <w:rsid w:val="009E251B"/>
    <w:rsid w:val="009E27A7"/>
    <w:rsid w:val="009E287D"/>
    <w:rsid w:val="009E2960"/>
    <w:rsid w:val="009E327D"/>
    <w:rsid w:val="009E3BED"/>
    <w:rsid w:val="009E3C22"/>
    <w:rsid w:val="009E3C87"/>
    <w:rsid w:val="009E3D00"/>
    <w:rsid w:val="009E4579"/>
    <w:rsid w:val="009E4A0A"/>
    <w:rsid w:val="009E4E61"/>
    <w:rsid w:val="009E5291"/>
    <w:rsid w:val="009E566B"/>
    <w:rsid w:val="009E5C0C"/>
    <w:rsid w:val="009E60E8"/>
    <w:rsid w:val="009E6210"/>
    <w:rsid w:val="009E635B"/>
    <w:rsid w:val="009E6705"/>
    <w:rsid w:val="009E6C77"/>
    <w:rsid w:val="009E7232"/>
    <w:rsid w:val="009E72EF"/>
    <w:rsid w:val="009E786D"/>
    <w:rsid w:val="009E78A4"/>
    <w:rsid w:val="009E79A8"/>
    <w:rsid w:val="009F0129"/>
    <w:rsid w:val="009F0616"/>
    <w:rsid w:val="009F0AC2"/>
    <w:rsid w:val="009F0F11"/>
    <w:rsid w:val="009F1CD7"/>
    <w:rsid w:val="009F1D41"/>
    <w:rsid w:val="009F1DD7"/>
    <w:rsid w:val="009F1DFD"/>
    <w:rsid w:val="009F1F70"/>
    <w:rsid w:val="009F1FF0"/>
    <w:rsid w:val="009F20EC"/>
    <w:rsid w:val="009F2377"/>
    <w:rsid w:val="009F2603"/>
    <w:rsid w:val="009F2966"/>
    <w:rsid w:val="009F2B3B"/>
    <w:rsid w:val="009F2D20"/>
    <w:rsid w:val="009F3005"/>
    <w:rsid w:val="009F311F"/>
    <w:rsid w:val="009F31DC"/>
    <w:rsid w:val="009F32D3"/>
    <w:rsid w:val="009F37D6"/>
    <w:rsid w:val="009F39B5"/>
    <w:rsid w:val="009F3B12"/>
    <w:rsid w:val="009F3C8D"/>
    <w:rsid w:val="009F3E8F"/>
    <w:rsid w:val="009F3FB7"/>
    <w:rsid w:val="009F4094"/>
    <w:rsid w:val="009F45C5"/>
    <w:rsid w:val="009F4956"/>
    <w:rsid w:val="009F4960"/>
    <w:rsid w:val="009F4BF2"/>
    <w:rsid w:val="009F4D35"/>
    <w:rsid w:val="009F5626"/>
    <w:rsid w:val="009F56DB"/>
    <w:rsid w:val="009F5850"/>
    <w:rsid w:val="009F59C8"/>
    <w:rsid w:val="009F5ABD"/>
    <w:rsid w:val="009F5AE1"/>
    <w:rsid w:val="009F5C15"/>
    <w:rsid w:val="009F5DC4"/>
    <w:rsid w:val="009F5FAD"/>
    <w:rsid w:val="009F6014"/>
    <w:rsid w:val="009F602C"/>
    <w:rsid w:val="009F625F"/>
    <w:rsid w:val="009F652F"/>
    <w:rsid w:val="009F6749"/>
    <w:rsid w:val="009F6B04"/>
    <w:rsid w:val="009F6B9F"/>
    <w:rsid w:val="009F6E3F"/>
    <w:rsid w:val="009F6E8D"/>
    <w:rsid w:val="009F6FAA"/>
    <w:rsid w:val="009F7168"/>
    <w:rsid w:val="009F71FA"/>
    <w:rsid w:val="009F7289"/>
    <w:rsid w:val="009F7546"/>
    <w:rsid w:val="009F7AE4"/>
    <w:rsid w:val="009F7C8D"/>
    <w:rsid w:val="009F7E23"/>
    <w:rsid w:val="00A005FE"/>
    <w:rsid w:val="00A00A6D"/>
    <w:rsid w:val="00A00CFC"/>
    <w:rsid w:val="00A010A3"/>
    <w:rsid w:val="00A01183"/>
    <w:rsid w:val="00A0130A"/>
    <w:rsid w:val="00A013EE"/>
    <w:rsid w:val="00A01895"/>
    <w:rsid w:val="00A01D5A"/>
    <w:rsid w:val="00A0216F"/>
    <w:rsid w:val="00A026F6"/>
    <w:rsid w:val="00A02CC7"/>
    <w:rsid w:val="00A030D1"/>
    <w:rsid w:val="00A03C33"/>
    <w:rsid w:val="00A03D32"/>
    <w:rsid w:val="00A03E6B"/>
    <w:rsid w:val="00A0402B"/>
    <w:rsid w:val="00A041DC"/>
    <w:rsid w:val="00A04265"/>
    <w:rsid w:val="00A0430B"/>
    <w:rsid w:val="00A04462"/>
    <w:rsid w:val="00A050CD"/>
    <w:rsid w:val="00A0551B"/>
    <w:rsid w:val="00A0552D"/>
    <w:rsid w:val="00A059EA"/>
    <w:rsid w:val="00A05A45"/>
    <w:rsid w:val="00A05DED"/>
    <w:rsid w:val="00A062BD"/>
    <w:rsid w:val="00A0638C"/>
    <w:rsid w:val="00A06547"/>
    <w:rsid w:val="00A065F3"/>
    <w:rsid w:val="00A069FA"/>
    <w:rsid w:val="00A06BEE"/>
    <w:rsid w:val="00A06D5A"/>
    <w:rsid w:val="00A0711C"/>
    <w:rsid w:val="00A07A67"/>
    <w:rsid w:val="00A07BC8"/>
    <w:rsid w:val="00A07C90"/>
    <w:rsid w:val="00A07DFF"/>
    <w:rsid w:val="00A10025"/>
    <w:rsid w:val="00A100A5"/>
    <w:rsid w:val="00A1086C"/>
    <w:rsid w:val="00A115E4"/>
    <w:rsid w:val="00A117C8"/>
    <w:rsid w:val="00A12414"/>
    <w:rsid w:val="00A12470"/>
    <w:rsid w:val="00A127C4"/>
    <w:rsid w:val="00A128A6"/>
    <w:rsid w:val="00A12B15"/>
    <w:rsid w:val="00A12E46"/>
    <w:rsid w:val="00A130C0"/>
    <w:rsid w:val="00A130D4"/>
    <w:rsid w:val="00A13775"/>
    <w:rsid w:val="00A13BD0"/>
    <w:rsid w:val="00A14195"/>
    <w:rsid w:val="00A145AC"/>
    <w:rsid w:val="00A14698"/>
    <w:rsid w:val="00A146AD"/>
    <w:rsid w:val="00A14E39"/>
    <w:rsid w:val="00A15680"/>
    <w:rsid w:val="00A15C20"/>
    <w:rsid w:val="00A15C65"/>
    <w:rsid w:val="00A15FDD"/>
    <w:rsid w:val="00A161B9"/>
    <w:rsid w:val="00A16631"/>
    <w:rsid w:val="00A166AF"/>
    <w:rsid w:val="00A16EC5"/>
    <w:rsid w:val="00A16F3C"/>
    <w:rsid w:val="00A1714A"/>
    <w:rsid w:val="00A17188"/>
    <w:rsid w:val="00A171E0"/>
    <w:rsid w:val="00A17636"/>
    <w:rsid w:val="00A17FBD"/>
    <w:rsid w:val="00A206B6"/>
    <w:rsid w:val="00A20A91"/>
    <w:rsid w:val="00A20AFD"/>
    <w:rsid w:val="00A20DCB"/>
    <w:rsid w:val="00A20DEC"/>
    <w:rsid w:val="00A20EFC"/>
    <w:rsid w:val="00A2126E"/>
    <w:rsid w:val="00A219AB"/>
    <w:rsid w:val="00A221A1"/>
    <w:rsid w:val="00A22CC9"/>
    <w:rsid w:val="00A22E84"/>
    <w:rsid w:val="00A231AF"/>
    <w:rsid w:val="00A2377F"/>
    <w:rsid w:val="00A239DD"/>
    <w:rsid w:val="00A23C82"/>
    <w:rsid w:val="00A24423"/>
    <w:rsid w:val="00A245D6"/>
    <w:rsid w:val="00A248BD"/>
    <w:rsid w:val="00A24CAF"/>
    <w:rsid w:val="00A25244"/>
    <w:rsid w:val="00A25332"/>
    <w:rsid w:val="00A25409"/>
    <w:rsid w:val="00A25B35"/>
    <w:rsid w:val="00A25F00"/>
    <w:rsid w:val="00A260EB"/>
    <w:rsid w:val="00A2622F"/>
    <w:rsid w:val="00A26570"/>
    <w:rsid w:val="00A26A8F"/>
    <w:rsid w:val="00A26C3B"/>
    <w:rsid w:val="00A26D3D"/>
    <w:rsid w:val="00A2731E"/>
    <w:rsid w:val="00A2747F"/>
    <w:rsid w:val="00A27A70"/>
    <w:rsid w:val="00A27AAF"/>
    <w:rsid w:val="00A27D01"/>
    <w:rsid w:val="00A30082"/>
    <w:rsid w:val="00A30643"/>
    <w:rsid w:val="00A30806"/>
    <w:rsid w:val="00A31059"/>
    <w:rsid w:val="00A311C3"/>
    <w:rsid w:val="00A31CCC"/>
    <w:rsid w:val="00A31D45"/>
    <w:rsid w:val="00A31D87"/>
    <w:rsid w:val="00A31DD0"/>
    <w:rsid w:val="00A320AB"/>
    <w:rsid w:val="00A324AA"/>
    <w:rsid w:val="00A329CD"/>
    <w:rsid w:val="00A329F2"/>
    <w:rsid w:val="00A32F4A"/>
    <w:rsid w:val="00A32FD5"/>
    <w:rsid w:val="00A33127"/>
    <w:rsid w:val="00A333F5"/>
    <w:rsid w:val="00A35241"/>
    <w:rsid w:val="00A35443"/>
    <w:rsid w:val="00A355F2"/>
    <w:rsid w:val="00A35621"/>
    <w:rsid w:val="00A35F92"/>
    <w:rsid w:val="00A3609B"/>
    <w:rsid w:val="00A3627E"/>
    <w:rsid w:val="00A36357"/>
    <w:rsid w:val="00A36481"/>
    <w:rsid w:val="00A36516"/>
    <w:rsid w:val="00A36B7D"/>
    <w:rsid w:val="00A36C5E"/>
    <w:rsid w:val="00A36C97"/>
    <w:rsid w:val="00A36D0A"/>
    <w:rsid w:val="00A36D51"/>
    <w:rsid w:val="00A36E3C"/>
    <w:rsid w:val="00A36F4C"/>
    <w:rsid w:val="00A372A5"/>
    <w:rsid w:val="00A37569"/>
    <w:rsid w:val="00A4004F"/>
    <w:rsid w:val="00A40304"/>
    <w:rsid w:val="00A403C0"/>
    <w:rsid w:val="00A40BDF"/>
    <w:rsid w:val="00A41061"/>
    <w:rsid w:val="00A4150E"/>
    <w:rsid w:val="00A41AC1"/>
    <w:rsid w:val="00A41B57"/>
    <w:rsid w:val="00A42072"/>
    <w:rsid w:val="00A420F0"/>
    <w:rsid w:val="00A42859"/>
    <w:rsid w:val="00A42A59"/>
    <w:rsid w:val="00A42DB9"/>
    <w:rsid w:val="00A42ED6"/>
    <w:rsid w:val="00A43154"/>
    <w:rsid w:val="00A431CF"/>
    <w:rsid w:val="00A43531"/>
    <w:rsid w:val="00A4369C"/>
    <w:rsid w:val="00A436E7"/>
    <w:rsid w:val="00A43929"/>
    <w:rsid w:val="00A43E8B"/>
    <w:rsid w:val="00A43FAC"/>
    <w:rsid w:val="00A445CD"/>
    <w:rsid w:val="00A447DB"/>
    <w:rsid w:val="00A4495D"/>
    <w:rsid w:val="00A44B1F"/>
    <w:rsid w:val="00A44E28"/>
    <w:rsid w:val="00A44EA4"/>
    <w:rsid w:val="00A4525B"/>
    <w:rsid w:val="00A4532E"/>
    <w:rsid w:val="00A454EA"/>
    <w:rsid w:val="00A45AF2"/>
    <w:rsid w:val="00A45BF6"/>
    <w:rsid w:val="00A46060"/>
    <w:rsid w:val="00A4626D"/>
    <w:rsid w:val="00A46A63"/>
    <w:rsid w:val="00A46B58"/>
    <w:rsid w:val="00A46BBB"/>
    <w:rsid w:val="00A46C77"/>
    <w:rsid w:val="00A4712B"/>
    <w:rsid w:val="00A4728D"/>
    <w:rsid w:val="00A47504"/>
    <w:rsid w:val="00A479F9"/>
    <w:rsid w:val="00A47D0A"/>
    <w:rsid w:val="00A47F8C"/>
    <w:rsid w:val="00A47FAE"/>
    <w:rsid w:val="00A50136"/>
    <w:rsid w:val="00A506FA"/>
    <w:rsid w:val="00A50C15"/>
    <w:rsid w:val="00A51460"/>
    <w:rsid w:val="00A51992"/>
    <w:rsid w:val="00A519A9"/>
    <w:rsid w:val="00A51A2A"/>
    <w:rsid w:val="00A51B59"/>
    <w:rsid w:val="00A51E9E"/>
    <w:rsid w:val="00A51FBB"/>
    <w:rsid w:val="00A52304"/>
    <w:rsid w:val="00A526DF"/>
    <w:rsid w:val="00A52896"/>
    <w:rsid w:val="00A5290C"/>
    <w:rsid w:val="00A52A96"/>
    <w:rsid w:val="00A52AD3"/>
    <w:rsid w:val="00A52B4E"/>
    <w:rsid w:val="00A52CA4"/>
    <w:rsid w:val="00A53F86"/>
    <w:rsid w:val="00A54317"/>
    <w:rsid w:val="00A5445B"/>
    <w:rsid w:val="00A544CD"/>
    <w:rsid w:val="00A5457F"/>
    <w:rsid w:val="00A54A3F"/>
    <w:rsid w:val="00A54F55"/>
    <w:rsid w:val="00A5536D"/>
    <w:rsid w:val="00A5538E"/>
    <w:rsid w:val="00A55865"/>
    <w:rsid w:val="00A55BC8"/>
    <w:rsid w:val="00A561CD"/>
    <w:rsid w:val="00A56641"/>
    <w:rsid w:val="00A56CA5"/>
    <w:rsid w:val="00A570A9"/>
    <w:rsid w:val="00A575A7"/>
    <w:rsid w:val="00A575B7"/>
    <w:rsid w:val="00A5764A"/>
    <w:rsid w:val="00A6043D"/>
    <w:rsid w:val="00A60450"/>
    <w:rsid w:val="00A60551"/>
    <w:rsid w:val="00A60748"/>
    <w:rsid w:val="00A608B8"/>
    <w:rsid w:val="00A60916"/>
    <w:rsid w:val="00A60ECD"/>
    <w:rsid w:val="00A611BA"/>
    <w:rsid w:val="00A6169C"/>
    <w:rsid w:val="00A6210C"/>
    <w:rsid w:val="00A625E2"/>
    <w:rsid w:val="00A62E0E"/>
    <w:rsid w:val="00A62F9F"/>
    <w:rsid w:val="00A63132"/>
    <w:rsid w:val="00A63503"/>
    <w:rsid w:val="00A63577"/>
    <w:rsid w:val="00A63581"/>
    <w:rsid w:val="00A6369F"/>
    <w:rsid w:val="00A636BC"/>
    <w:rsid w:val="00A64185"/>
    <w:rsid w:val="00A647AA"/>
    <w:rsid w:val="00A64EC3"/>
    <w:rsid w:val="00A64F54"/>
    <w:rsid w:val="00A651A5"/>
    <w:rsid w:val="00A651AB"/>
    <w:rsid w:val="00A652F6"/>
    <w:rsid w:val="00A6643E"/>
    <w:rsid w:val="00A66B38"/>
    <w:rsid w:val="00A66B47"/>
    <w:rsid w:val="00A66DCC"/>
    <w:rsid w:val="00A67273"/>
    <w:rsid w:val="00A6741D"/>
    <w:rsid w:val="00A67ACA"/>
    <w:rsid w:val="00A67B4E"/>
    <w:rsid w:val="00A67BD2"/>
    <w:rsid w:val="00A67E2F"/>
    <w:rsid w:val="00A67F26"/>
    <w:rsid w:val="00A700F7"/>
    <w:rsid w:val="00A70128"/>
    <w:rsid w:val="00A7028C"/>
    <w:rsid w:val="00A70290"/>
    <w:rsid w:val="00A70B81"/>
    <w:rsid w:val="00A71631"/>
    <w:rsid w:val="00A71735"/>
    <w:rsid w:val="00A7188C"/>
    <w:rsid w:val="00A71D2E"/>
    <w:rsid w:val="00A71D60"/>
    <w:rsid w:val="00A720EC"/>
    <w:rsid w:val="00A7218F"/>
    <w:rsid w:val="00A72900"/>
    <w:rsid w:val="00A7352E"/>
    <w:rsid w:val="00A737B4"/>
    <w:rsid w:val="00A73C84"/>
    <w:rsid w:val="00A74351"/>
    <w:rsid w:val="00A744BE"/>
    <w:rsid w:val="00A74767"/>
    <w:rsid w:val="00A747EB"/>
    <w:rsid w:val="00A74AE0"/>
    <w:rsid w:val="00A74AE4"/>
    <w:rsid w:val="00A74B7F"/>
    <w:rsid w:val="00A753BE"/>
    <w:rsid w:val="00A754E7"/>
    <w:rsid w:val="00A756E7"/>
    <w:rsid w:val="00A75A1C"/>
    <w:rsid w:val="00A75FE0"/>
    <w:rsid w:val="00A76030"/>
    <w:rsid w:val="00A760B9"/>
    <w:rsid w:val="00A76105"/>
    <w:rsid w:val="00A765A9"/>
    <w:rsid w:val="00A76BAD"/>
    <w:rsid w:val="00A772C2"/>
    <w:rsid w:val="00A77631"/>
    <w:rsid w:val="00A7790E"/>
    <w:rsid w:val="00A77969"/>
    <w:rsid w:val="00A77A2B"/>
    <w:rsid w:val="00A80303"/>
    <w:rsid w:val="00A80544"/>
    <w:rsid w:val="00A805B6"/>
    <w:rsid w:val="00A8062C"/>
    <w:rsid w:val="00A80996"/>
    <w:rsid w:val="00A80A59"/>
    <w:rsid w:val="00A80B5F"/>
    <w:rsid w:val="00A81162"/>
    <w:rsid w:val="00A814AC"/>
    <w:rsid w:val="00A815F8"/>
    <w:rsid w:val="00A81740"/>
    <w:rsid w:val="00A817BE"/>
    <w:rsid w:val="00A81B93"/>
    <w:rsid w:val="00A824B7"/>
    <w:rsid w:val="00A82AA2"/>
    <w:rsid w:val="00A83140"/>
    <w:rsid w:val="00A836FC"/>
    <w:rsid w:val="00A83A45"/>
    <w:rsid w:val="00A83A91"/>
    <w:rsid w:val="00A83B0F"/>
    <w:rsid w:val="00A83D51"/>
    <w:rsid w:val="00A8408D"/>
    <w:rsid w:val="00A840B8"/>
    <w:rsid w:val="00A84685"/>
    <w:rsid w:val="00A849C3"/>
    <w:rsid w:val="00A84FC3"/>
    <w:rsid w:val="00A85543"/>
    <w:rsid w:val="00A85575"/>
    <w:rsid w:val="00A85819"/>
    <w:rsid w:val="00A861BF"/>
    <w:rsid w:val="00A8670E"/>
    <w:rsid w:val="00A867BA"/>
    <w:rsid w:val="00A8682B"/>
    <w:rsid w:val="00A86B3D"/>
    <w:rsid w:val="00A86C6D"/>
    <w:rsid w:val="00A86DA8"/>
    <w:rsid w:val="00A86F2D"/>
    <w:rsid w:val="00A87115"/>
    <w:rsid w:val="00A87198"/>
    <w:rsid w:val="00A871FB"/>
    <w:rsid w:val="00A87556"/>
    <w:rsid w:val="00A875C2"/>
    <w:rsid w:val="00A878E0"/>
    <w:rsid w:val="00A87ADA"/>
    <w:rsid w:val="00A87B50"/>
    <w:rsid w:val="00A87D4C"/>
    <w:rsid w:val="00A87E10"/>
    <w:rsid w:val="00A87FCD"/>
    <w:rsid w:val="00A900BD"/>
    <w:rsid w:val="00A90150"/>
    <w:rsid w:val="00A901B4"/>
    <w:rsid w:val="00A90514"/>
    <w:rsid w:val="00A907FA"/>
    <w:rsid w:val="00A9081D"/>
    <w:rsid w:val="00A909B7"/>
    <w:rsid w:val="00A90AA6"/>
    <w:rsid w:val="00A90F99"/>
    <w:rsid w:val="00A916BE"/>
    <w:rsid w:val="00A917D1"/>
    <w:rsid w:val="00A91B66"/>
    <w:rsid w:val="00A92153"/>
    <w:rsid w:val="00A9285A"/>
    <w:rsid w:val="00A9296A"/>
    <w:rsid w:val="00A92AC8"/>
    <w:rsid w:val="00A92D05"/>
    <w:rsid w:val="00A93366"/>
    <w:rsid w:val="00A937DC"/>
    <w:rsid w:val="00A93B4A"/>
    <w:rsid w:val="00A93D60"/>
    <w:rsid w:val="00A93E36"/>
    <w:rsid w:val="00A94008"/>
    <w:rsid w:val="00A94217"/>
    <w:rsid w:val="00A94249"/>
    <w:rsid w:val="00A945CE"/>
    <w:rsid w:val="00A94655"/>
    <w:rsid w:val="00A9475D"/>
    <w:rsid w:val="00A94E0B"/>
    <w:rsid w:val="00A94F1C"/>
    <w:rsid w:val="00A952BE"/>
    <w:rsid w:val="00A95457"/>
    <w:rsid w:val="00A9549D"/>
    <w:rsid w:val="00A9580F"/>
    <w:rsid w:val="00A961DA"/>
    <w:rsid w:val="00A96563"/>
    <w:rsid w:val="00A9663E"/>
    <w:rsid w:val="00A97297"/>
    <w:rsid w:val="00A97607"/>
    <w:rsid w:val="00A9775D"/>
    <w:rsid w:val="00A97B42"/>
    <w:rsid w:val="00A97D58"/>
    <w:rsid w:val="00A97EC2"/>
    <w:rsid w:val="00AA07D7"/>
    <w:rsid w:val="00AA0866"/>
    <w:rsid w:val="00AA1029"/>
    <w:rsid w:val="00AA12F3"/>
    <w:rsid w:val="00AA195B"/>
    <w:rsid w:val="00AA199C"/>
    <w:rsid w:val="00AA1C5C"/>
    <w:rsid w:val="00AA2516"/>
    <w:rsid w:val="00AA2740"/>
    <w:rsid w:val="00AA293B"/>
    <w:rsid w:val="00AA2A5D"/>
    <w:rsid w:val="00AA2DC5"/>
    <w:rsid w:val="00AA2DC7"/>
    <w:rsid w:val="00AA2EC0"/>
    <w:rsid w:val="00AA30B5"/>
    <w:rsid w:val="00AA359F"/>
    <w:rsid w:val="00AA35DA"/>
    <w:rsid w:val="00AA363C"/>
    <w:rsid w:val="00AA374E"/>
    <w:rsid w:val="00AA3890"/>
    <w:rsid w:val="00AA39A6"/>
    <w:rsid w:val="00AA4141"/>
    <w:rsid w:val="00AA4306"/>
    <w:rsid w:val="00AA4410"/>
    <w:rsid w:val="00AA4C75"/>
    <w:rsid w:val="00AA4C98"/>
    <w:rsid w:val="00AA4DC8"/>
    <w:rsid w:val="00AA512A"/>
    <w:rsid w:val="00AA530F"/>
    <w:rsid w:val="00AA5442"/>
    <w:rsid w:val="00AA57E0"/>
    <w:rsid w:val="00AA5A33"/>
    <w:rsid w:val="00AA5A64"/>
    <w:rsid w:val="00AA5DE1"/>
    <w:rsid w:val="00AA5E46"/>
    <w:rsid w:val="00AA6495"/>
    <w:rsid w:val="00AA6955"/>
    <w:rsid w:val="00AA6E1E"/>
    <w:rsid w:val="00AA7187"/>
    <w:rsid w:val="00AA732A"/>
    <w:rsid w:val="00AA785A"/>
    <w:rsid w:val="00AA797D"/>
    <w:rsid w:val="00AA7CF9"/>
    <w:rsid w:val="00AA7D0C"/>
    <w:rsid w:val="00AB0666"/>
    <w:rsid w:val="00AB0BAB"/>
    <w:rsid w:val="00AB0BF1"/>
    <w:rsid w:val="00AB0BFC"/>
    <w:rsid w:val="00AB1102"/>
    <w:rsid w:val="00AB174D"/>
    <w:rsid w:val="00AB1920"/>
    <w:rsid w:val="00AB19EA"/>
    <w:rsid w:val="00AB1C9E"/>
    <w:rsid w:val="00AB2339"/>
    <w:rsid w:val="00AB244D"/>
    <w:rsid w:val="00AB2671"/>
    <w:rsid w:val="00AB2696"/>
    <w:rsid w:val="00AB2A87"/>
    <w:rsid w:val="00AB2D35"/>
    <w:rsid w:val="00AB2DAD"/>
    <w:rsid w:val="00AB2E29"/>
    <w:rsid w:val="00AB300B"/>
    <w:rsid w:val="00AB30BD"/>
    <w:rsid w:val="00AB30FB"/>
    <w:rsid w:val="00AB32FA"/>
    <w:rsid w:val="00AB3398"/>
    <w:rsid w:val="00AB3924"/>
    <w:rsid w:val="00AB3952"/>
    <w:rsid w:val="00AB41B4"/>
    <w:rsid w:val="00AB4254"/>
    <w:rsid w:val="00AB42F1"/>
    <w:rsid w:val="00AB484D"/>
    <w:rsid w:val="00AB4861"/>
    <w:rsid w:val="00AB4A4D"/>
    <w:rsid w:val="00AB4CAB"/>
    <w:rsid w:val="00AB4DA8"/>
    <w:rsid w:val="00AB4EC5"/>
    <w:rsid w:val="00AB5809"/>
    <w:rsid w:val="00AB5971"/>
    <w:rsid w:val="00AB5D36"/>
    <w:rsid w:val="00AB65BD"/>
    <w:rsid w:val="00AB672C"/>
    <w:rsid w:val="00AB6A53"/>
    <w:rsid w:val="00AB6ACB"/>
    <w:rsid w:val="00AB6E21"/>
    <w:rsid w:val="00AB72D4"/>
    <w:rsid w:val="00AB7384"/>
    <w:rsid w:val="00AB74E1"/>
    <w:rsid w:val="00AB77D7"/>
    <w:rsid w:val="00AB783A"/>
    <w:rsid w:val="00AB7D66"/>
    <w:rsid w:val="00AB7D7B"/>
    <w:rsid w:val="00AB7DBA"/>
    <w:rsid w:val="00AB7DD6"/>
    <w:rsid w:val="00AC0227"/>
    <w:rsid w:val="00AC064C"/>
    <w:rsid w:val="00AC0979"/>
    <w:rsid w:val="00AC1BC0"/>
    <w:rsid w:val="00AC1C88"/>
    <w:rsid w:val="00AC1F0F"/>
    <w:rsid w:val="00AC2136"/>
    <w:rsid w:val="00AC221A"/>
    <w:rsid w:val="00AC2250"/>
    <w:rsid w:val="00AC241A"/>
    <w:rsid w:val="00AC24DE"/>
    <w:rsid w:val="00AC29A8"/>
    <w:rsid w:val="00AC2AEE"/>
    <w:rsid w:val="00AC3BE7"/>
    <w:rsid w:val="00AC3FF8"/>
    <w:rsid w:val="00AC4613"/>
    <w:rsid w:val="00AC4E1E"/>
    <w:rsid w:val="00AC4E97"/>
    <w:rsid w:val="00AC4F0E"/>
    <w:rsid w:val="00AC4F47"/>
    <w:rsid w:val="00AC564D"/>
    <w:rsid w:val="00AC5CD8"/>
    <w:rsid w:val="00AC62AE"/>
    <w:rsid w:val="00AC6355"/>
    <w:rsid w:val="00AC6E09"/>
    <w:rsid w:val="00AC6FDB"/>
    <w:rsid w:val="00AC712F"/>
    <w:rsid w:val="00AC7417"/>
    <w:rsid w:val="00AC7872"/>
    <w:rsid w:val="00AC7E6F"/>
    <w:rsid w:val="00AC7EF0"/>
    <w:rsid w:val="00AD0444"/>
    <w:rsid w:val="00AD0532"/>
    <w:rsid w:val="00AD069A"/>
    <w:rsid w:val="00AD08B6"/>
    <w:rsid w:val="00AD0BBE"/>
    <w:rsid w:val="00AD1198"/>
    <w:rsid w:val="00AD11DC"/>
    <w:rsid w:val="00AD1209"/>
    <w:rsid w:val="00AD1342"/>
    <w:rsid w:val="00AD144C"/>
    <w:rsid w:val="00AD1979"/>
    <w:rsid w:val="00AD1B35"/>
    <w:rsid w:val="00AD1CE1"/>
    <w:rsid w:val="00AD1D65"/>
    <w:rsid w:val="00AD1DDB"/>
    <w:rsid w:val="00AD1E36"/>
    <w:rsid w:val="00AD1EC7"/>
    <w:rsid w:val="00AD22E4"/>
    <w:rsid w:val="00AD242B"/>
    <w:rsid w:val="00AD244B"/>
    <w:rsid w:val="00AD250C"/>
    <w:rsid w:val="00AD25D7"/>
    <w:rsid w:val="00AD29B4"/>
    <w:rsid w:val="00AD2B69"/>
    <w:rsid w:val="00AD2C96"/>
    <w:rsid w:val="00AD3057"/>
    <w:rsid w:val="00AD3064"/>
    <w:rsid w:val="00AD3B26"/>
    <w:rsid w:val="00AD3B6B"/>
    <w:rsid w:val="00AD3B9B"/>
    <w:rsid w:val="00AD4346"/>
    <w:rsid w:val="00AD4C07"/>
    <w:rsid w:val="00AD4C9D"/>
    <w:rsid w:val="00AD4E28"/>
    <w:rsid w:val="00AD4EAA"/>
    <w:rsid w:val="00AD4FAF"/>
    <w:rsid w:val="00AD50C6"/>
    <w:rsid w:val="00AD511E"/>
    <w:rsid w:val="00AD556A"/>
    <w:rsid w:val="00AD5660"/>
    <w:rsid w:val="00AD5901"/>
    <w:rsid w:val="00AD5B89"/>
    <w:rsid w:val="00AD5D3C"/>
    <w:rsid w:val="00AD63A9"/>
    <w:rsid w:val="00AD65E7"/>
    <w:rsid w:val="00AD7304"/>
    <w:rsid w:val="00AD75C0"/>
    <w:rsid w:val="00AD7852"/>
    <w:rsid w:val="00AD7E5B"/>
    <w:rsid w:val="00AE0086"/>
    <w:rsid w:val="00AE0221"/>
    <w:rsid w:val="00AE03E0"/>
    <w:rsid w:val="00AE0407"/>
    <w:rsid w:val="00AE063F"/>
    <w:rsid w:val="00AE0C9D"/>
    <w:rsid w:val="00AE170A"/>
    <w:rsid w:val="00AE183E"/>
    <w:rsid w:val="00AE1A30"/>
    <w:rsid w:val="00AE1A64"/>
    <w:rsid w:val="00AE1B32"/>
    <w:rsid w:val="00AE1CD4"/>
    <w:rsid w:val="00AE1DA9"/>
    <w:rsid w:val="00AE1EC8"/>
    <w:rsid w:val="00AE229B"/>
    <w:rsid w:val="00AE24CD"/>
    <w:rsid w:val="00AE2B59"/>
    <w:rsid w:val="00AE2BFB"/>
    <w:rsid w:val="00AE2C26"/>
    <w:rsid w:val="00AE3285"/>
    <w:rsid w:val="00AE33C1"/>
    <w:rsid w:val="00AE3A62"/>
    <w:rsid w:val="00AE3A99"/>
    <w:rsid w:val="00AE41F9"/>
    <w:rsid w:val="00AE4B77"/>
    <w:rsid w:val="00AE5254"/>
    <w:rsid w:val="00AE555F"/>
    <w:rsid w:val="00AE59F9"/>
    <w:rsid w:val="00AE5FA2"/>
    <w:rsid w:val="00AE5FFC"/>
    <w:rsid w:val="00AE6109"/>
    <w:rsid w:val="00AE62F5"/>
    <w:rsid w:val="00AE6B03"/>
    <w:rsid w:val="00AE6B28"/>
    <w:rsid w:val="00AE6ED4"/>
    <w:rsid w:val="00AE7294"/>
    <w:rsid w:val="00AE75DC"/>
    <w:rsid w:val="00AE7849"/>
    <w:rsid w:val="00AE7A53"/>
    <w:rsid w:val="00AE7B60"/>
    <w:rsid w:val="00AE7C8E"/>
    <w:rsid w:val="00AE7D34"/>
    <w:rsid w:val="00AE7DBC"/>
    <w:rsid w:val="00AE7EA5"/>
    <w:rsid w:val="00AF01C7"/>
    <w:rsid w:val="00AF0ED8"/>
    <w:rsid w:val="00AF116F"/>
    <w:rsid w:val="00AF1605"/>
    <w:rsid w:val="00AF1682"/>
    <w:rsid w:val="00AF1B9F"/>
    <w:rsid w:val="00AF1C04"/>
    <w:rsid w:val="00AF1D59"/>
    <w:rsid w:val="00AF2E4E"/>
    <w:rsid w:val="00AF3142"/>
    <w:rsid w:val="00AF359A"/>
    <w:rsid w:val="00AF37A5"/>
    <w:rsid w:val="00AF3FCC"/>
    <w:rsid w:val="00AF40EF"/>
    <w:rsid w:val="00AF41AE"/>
    <w:rsid w:val="00AF4351"/>
    <w:rsid w:val="00AF4564"/>
    <w:rsid w:val="00AF5294"/>
    <w:rsid w:val="00AF5536"/>
    <w:rsid w:val="00AF58FC"/>
    <w:rsid w:val="00AF5E50"/>
    <w:rsid w:val="00AF623E"/>
    <w:rsid w:val="00AF6278"/>
    <w:rsid w:val="00AF64C0"/>
    <w:rsid w:val="00AF6940"/>
    <w:rsid w:val="00AF6ADA"/>
    <w:rsid w:val="00AF6BDD"/>
    <w:rsid w:val="00AF6BEF"/>
    <w:rsid w:val="00AF736E"/>
    <w:rsid w:val="00AF741C"/>
    <w:rsid w:val="00AF75BD"/>
    <w:rsid w:val="00AF7819"/>
    <w:rsid w:val="00AF7BA0"/>
    <w:rsid w:val="00AF7C96"/>
    <w:rsid w:val="00AF7D2D"/>
    <w:rsid w:val="00AF7D92"/>
    <w:rsid w:val="00B00314"/>
    <w:rsid w:val="00B0063F"/>
    <w:rsid w:val="00B009C5"/>
    <w:rsid w:val="00B00D52"/>
    <w:rsid w:val="00B00EF2"/>
    <w:rsid w:val="00B0127E"/>
    <w:rsid w:val="00B01447"/>
    <w:rsid w:val="00B01870"/>
    <w:rsid w:val="00B01949"/>
    <w:rsid w:val="00B01B11"/>
    <w:rsid w:val="00B01BE0"/>
    <w:rsid w:val="00B01FDE"/>
    <w:rsid w:val="00B023FE"/>
    <w:rsid w:val="00B0263B"/>
    <w:rsid w:val="00B027EE"/>
    <w:rsid w:val="00B028F2"/>
    <w:rsid w:val="00B03240"/>
    <w:rsid w:val="00B03348"/>
    <w:rsid w:val="00B03757"/>
    <w:rsid w:val="00B037E5"/>
    <w:rsid w:val="00B03C98"/>
    <w:rsid w:val="00B042CC"/>
    <w:rsid w:val="00B043CC"/>
    <w:rsid w:val="00B04829"/>
    <w:rsid w:val="00B04A20"/>
    <w:rsid w:val="00B04A3A"/>
    <w:rsid w:val="00B04A8B"/>
    <w:rsid w:val="00B04BFC"/>
    <w:rsid w:val="00B04C3F"/>
    <w:rsid w:val="00B04C49"/>
    <w:rsid w:val="00B04EE1"/>
    <w:rsid w:val="00B05A87"/>
    <w:rsid w:val="00B05D6B"/>
    <w:rsid w:val="00B05DD8"/>
    <w:rsid w:val="00B05E5A"/>
    <w:rsid w:val="00B060AA"/>
    <w:rsid w:val="00B060DB"/>
    <w:rsid w:val="00B060E4"/>
    <w:rsid w:val="00B06579"/>
    <w:rsid w:val="00B0672E"/>
    <w:rsid w:val="00B068D2"/>
    <w:rsid w:val="00B06A1E"/>
    <w:rsid w:val="00B06BBC"/>
    <w:rsid w:val="00B06D75"/>
    <w:rsid w:val="00B071C0"/>
    <w:rsid w:val="00B07284"/>
    <w:rsid w:val="00B07366"/>
    <w:rsid w:val="00B07376"/>
    <w:rsid w:val="00B0762C"/>
    <w:rsid w:val="00B1026D"/>
    <w:rsid w:val="00B1035E"/>
    <w:rsid w:val="00B10797"/>
    <w:rsid w:val="00B107A8"/>
    <w:rsid w:val="00B10D17"/>
    <w:rsid w:val="00B10E40"/>
    <w:rsid w:val="00B11231"/>
    <w:rsid w:val="00B113E5"/>
    <w:rsid w:val="00B11643"/>
    <w:rsid w:val="00B11A82"/>
    <w:rsid w:val="00B11C46"/>
    <w:rsid w:val="00B122B7"/>
    <w:rsid w:val="00B122C6"/>
    <w:rsid w:val="00B123F6"/>
    <w:rsid w:val="00B12457"/>
    <w:rsid w:val="00B126C8"/>
    <w:rsid w:val="00B12BAC"/>
    <w:rsid w:val="00B12CFA"/>
    <w:rsid w:val="00B13267"/>
    <w:rsid w:val="00B13312"/>
    <w:rsid w:val="00B1333C"/>
    <w:rsid w:val="00B13679"/>
    <w:rsid w:val="00B1371E"/>
    <w:rsid w:val="00B13DA4"/>
    <w:rsid w:val="00B14155"/>
    <w:rsid w:val="00B14593"/>
    <w:rsid w:val="00B14890"/>
    <w:rsid w:val="00B14C62"/>
    <w:rsid w:val="00B14FF1"/>
    <w:rsid w:val="00B1524F"/>
    <w:rsid w:val="00B160FB"/>
    <w:rsid w:val="00B16230"/>
    <w:rsid w:val="00B1660A"/>
    <w:rsid w:val="00B1694F"/>
    <w:rsid w:val="00B17055"/>
    <w:rsid w:val="00B172BE"/>
    <w:rsid w:val="00B178DD"/>
    <w:rsid w:val="00B202F9"/>
    <w:rsid w:val="00B207E9"/>
    <w:rsid w:val="00B20BD6"/>
    <w:rsid w:val="00B20E5B"/>
    <w:rsid w:val="00B21131"/>
    <w:rsid w:val="00B21364"/>
    <w:rsid w:val="00B217B1"/>
    <w:rsid w:val="00B21952"/>
    <w:rsid w:val="00B21D3D"/>
    <w:rsid w:val="00B21E11"/>
    <w:rsid w:val="00B220E0"/>
    <w:rsid w:val="00B222B4"/>
    <w:rsid w:val="00B22305"/>
    <w:rsid w:val="00B226EA"/>
    <w:rsid w:val="00B22A90"/>
    <w:rsid w:val="00B22BC5"/>
    <w:rsid w:val="00B22EC7"/>
    <w:rsid w:val="00B23074"/>
    <w:rsid w:val="00B232DE"/>
    <w:rsid w:val="00B23587"/>
    <w:rsid w:val="00B23ABE"/>
    <w:rsid w:val="00B23D9B"/>
    <w:rsid w:val="00B23DE6"/>
    <w:rsid w:val="00B23F88"/>
    <w:rsid w:val="00B24008"/>
    <w:rsid w:val="00B246A4"/>
    <w:rsid w:val="00B247DE"/>
    <w:rsid w:val="00B248A1"/>
    <w:rsid w:val="00B249E4"/>
    <w:rsid w:val="00B24C5C"/>
    <w:rsid w:val="00B24C73"/>
    <w:rsid w:val="00B24EF2"/>
    <w:rsid w:val="00B25040"/>
    <w:rsid w:val="00B252F6"/>
    <w:rsid w:val="00B253F9"/>
    <w:rsid w:val="00B25790"/>
    <w:rsid w:val="00B25E0F"/>
    <w:rsid w:val="00B2624F"/>
    <w:rsid w:val="00B26296"/>
    <w:rsid w:val="00B26428"/>
    <w:rsid w:val="00B264BD"/>
    <w:rsid w:val="00B26834"/>
    <w:rsid w:val="00B26965"/>
    <w:rsid w:val="00B27434"/>
    <w:rsid w:val="00B27452"/>
    <w:rsid w:val="00B27562"/>
    <w:rsid w:val="00B2759C"/>
    <w:rsid w:val="00B277D2"/>
    <w:rsid w:val="00B27A67"/>
    <w:rsid w:val="00B27B5E"/>
    <w:rsid w:val="00B27FA4"/>
    <w:rsid w:val="00B301AD"/>
    <w:rsid w:val="00B303BF"/>
    <w:rsid w:val="00B30806"/>
    <w:rsid w:val="00B30866"/>
    <w:rsid w:val="00B30942"/>
    <w:rsid w:val="00B31CB3"/>
    <w:rsid w:val="00B31D48"/>
    <w:rsid w:val="00B323DA"/>
    <w:rsid w:val="00B32569"/>
    <w:rsid w:val="00B3268C"/>
    <w:rsid w:val="00B32720"/>
    <w:rsid w:val="00B32B09"/>
    <w:rsid w:val="00B32D23"/>
    <w:rsid w:val="00B33136"/>
    <w:rsid w:val="00B3322D"/>
    <w:rsid w:val="00B332AA"/>
    <w:rsid w:val="00B3385E"/>
    <w:rsid w:val="00B3388D"/>
    <w:rsid w:val="00B33AB3"/>
    <w:rsid w:val="00B34BF8"/>
    <w:rsid w:val="00B34E2D"/>
    <w:rsid w:val="00B35274"/>
    <w:rsid w:val="00B35470"/>
    <w:rsid w:val="00B35734"/>
    <w:rsid w:val="00B35761"/>
    <w:rsid w:val="00B3583A"/>
    <w:rsid w:val="00B35FEC"/>
    <w:rsid w:val="00B362CE"/>
    <w:rsid w:val="00B363CB"/>
    <w:rsid w:val="00B364FD"/>
    <w:rsid w:val="00B36972"/>
    <w:rsid w:val="00B371F6"/>
    <w:rsid w:val="00B37D71"/>
    <w:rsid w:val="00B37E7D"/>
    <w:rsid w:val="00B403FF"/>
    <w:rsid w:val="00B406B0"/>
    <w:rsid w:val="00B40732"/>
    <w:rsid w:val="00B40EB7"/>
    <w:rsid w:val="00B40F66"/>
    <w:rsid w:val="00B41758"/>
    <w:rsid w:val="00B41815"/>
    <w:rsid w:val="00B419BA"/>
    <w:rsid w:val="00B41DB7"/>
    <w:rsid w:val="00B41EEC"/>
    <w:rsid w:val="00B42081"/>
    <w:rsid w:val="00B42580"/>
    <w:rsid w:val="00B427E3"/>
    <w:rsid w:val="00B42B1F"/>
    <w:rsid w:val="00B43080"/>
    <w:rsid w:val="00B432F7"/>
    <w:rsid w:val="00B43520"/>
    <w:rsid w:val="00B436AC"/>
    <w:rsid w:val="00B438DF"/>
    <w:rsid w:val="00B43B22"/>
    <w:rsid w:val="00B43C9F"/>
    <w:rsid w:val="00B43CA0"/>
    <w:rsid w:val="00B44670"/>
    <w:rsid w:val="00B44974"/>
    <w:rsid w:val="00B44D3D"/>
    <w:rsid w:val="00B44FB8"/>
    <w:rsid w:val="00B44FCF"/>
    <w:rsid w:val="00B4632B"/>
    <w:rsid w:val="00B46481"/>
    <w:rsid w:val="00B46661"/>
    <w:rsid w:val="00B467BB"/>
    <w:rsid w:val="00B46A1B"/>
    <w:rsid w:val="00B46C5A"/>
    <w:rsid w:val="00B474A2"/>
    <w:rsid w:val="00B47737"/>
    <w:rsid w:val="00B4779E"/>
    <w:rsid w:val="00B478B5"/>
    <w:rsid w:val="00B47A88"/>
    <w:rsid w:val="00B47AFC"/>
    <w:rsid w:val="00B50738"/>
    <w:rsid w:val="00B50AC6"/>
    <w:rsid w:val="00B50EE5"/>
    <w:rsid w:val="00B51021"/>
    <w:rsid w:val="00B5172D"/>
    <w:rsid w:val="00B517C2"/>
    <w:rsid w:val="00B518A4"/>
    <w:rsid w:val="00B51943"/>
    <w:rsid w:val="00B51C8A"/>
    <w:rsid w:val="00B51D2B"/>
    <w:rsid w:val="00B5216D"/>
    <w:rsid w:val="00B52389"/>
    <w:rsid w:val="00B5269A"/>
    <w:rsid w:val="00B52864"/>
    <w:rsid w:val="00B529FA"/>
    <w:rsid w:val="00B52A0C"/>
    <w:rsid w:val="00B52C66"/>
    <w:rsid w:val="00B52E51"/>
    <w:rsid w:val="00B53716"/>
    <w:rsid w:val="00B53CB7"/>
    <w:rsid w:val="00B54062"/>
    <w:rsid w:val="00B54099"/>
    <w:rsid w:val="00B54173"/>
    <w:rsid w:val="00B5420B"/>
    <w:rsid w:val="00B54585"/>
    <w:rsid w:val="00B54802"/>
    <w:rsid w:val="00B54C56"/>
    <w:rsid w:val="00B54F91"/>
    <w:rsid w:val="00B55299"/>
    <w:rsid w:val="00B55395"/>
    <w:rsid w:val="00B55588"/>
    <w:rsid w:val="00B556D9"/>
    <w:rsid w:val="00B55A0B"/>
    <w:rsid w:val="00B55A40"/>
    <w:rsid w:val="00B5609F"/>
    <w:rsid w:val="00B5634B"/>
    <w:rsid w:val="00B56852"/>
    <w:rsid w:val="00B56BF7"/>
    <w:rsid w:val="00B56E10"/>
    <w:rsid w:val="00B570D8"/>
    <w:rsid w:val="00B57397"/>
    <w:rsid w:val="00B579D5"/>
    <w:rsid w:val="00B607C8"/>
    <w:rsid w:val="00B6093E"/>
    <w:rsid w:val="00B60D01"/>
    <w:rsid w:val="00B60E68"/>
    <w:rsid w:val="00B61081"/>
    <w:rsid w:val="00B6115F"/>
    <w:rsid w:val="00B61599"/>
    <w:rsid w:val="00B615FA"/>
    <w:rsid w:val="00B616BF"/>
    <w:rsid w:val="00B61B58"/>
    <w:rsid w:val="00B61F89"/>
    <w:rsid w:val="00B62413"/>
    <w:rsid w:val="00B626A6"/>
    <w:rsid w:val="00B62858"/>
    <w:rsid w:val="00B62BBB"/>
    <w:rsid w:val="00B62CC8"/>
    <w:rsid w:val="00B62D20"/>
    <w:rsid w:val="00B62F0D"/>
    <w:rsid w:val="00B630CB"/>
    <w:rsid w:val="00B630D1"/>
    <w:rsid w:val="00B642AE"/>
    <w:rsid w:val="00B6430D"/>
    <w:rsid w:val="00B643D2"/>
    <w:rsid w:val="00B648FA"/>
    <w:rsid w:val="00B64C97"/>
    <w:rsid w:val="00B64F50"/>
    <w:rsid w:val="00B65CE5"/>
    <w:rsid w:val="00B6603A"/>
    <w:rsid w:val="00B6610A"/>
    <w:rsid w:val="00B66697"/>
    <w:rsid w:val="00B66B31"/>
    <w:rsid w:val="00B67284"/>
    <w:rsid w:val="00B67406"/>
    <w:rsid w:val="00B676C3"/>
    <w:rsid w:val="00B67C36"/>
    <w:rsid w:val="00B67E49"/>
    <w:rsid w:val="00B67F0F"/>
    <w:rsid w:val="00B708EE"/>
    <w:rsid w:val="00B70AD0"/>
    <w:rsid w:val="00B70D1E"/>
    <w:rsid w:val="00B710EA"/>
    <w:rsid w:val="00B714FF"/>
    <w:rsid w:val="00B7178A"/>
    <w:rsid w:val="00B71919"/>
    <w:rsid w:val="00B71C95"/>
    <w:rsid w:val="00B71D88"/>
    <w:rsid w:val="00B7230E"/>
    <w:rsid w:val="00B72494"/>
    <w:rsid w:val="00B7277C"/>
    <w:rsid w:val="00B727A3"/>
    <w:rsid w:val="00B72D9F"/>
    <w:rsid w:val="00B72F96"/>
    <w:rsid w:val="00B7319A"/>
    <w:rsid w:val="00B73504"/>
    <w:rsid w:val="00B73672"/>
    <w:rsid w:val="00B739FB"/>
    <w:rsid w:val="00B73CBF"/>
    <w:rsid w:val="00B73F04"/>
    <w:rsid w:val="00B741DE"/>
    <w:rsid w:val="00B74328"/>
    <w:rsid w:val="00B74CED"/>
    <w:rsid w:val="00B74EAD"/>
    <w:rsid w:val="00B74FDA"/>
    <w:rsid w:val="00B75D81"/>
    <w:rsid w:val="00B75D9D"/>
    <w:rsid w:val="00B76012"/>
    <w:rsid w:val="00B760AC"/>
    <w:rsid w:val="00B76155"/>
    <w:rsid w:val="00B767BB"/>
    <w:rsid w:val="00B7697A"/>
    <w:rsid w:val="00B76DA9"/>
    <w:rsid w:val="00B76EE3"/>
    <w:rsid w:val="00B77617"/>
    <w:rsid w:val="00B777CC"/>
    <w:rsid w:val="00B77936"/>
    <w:rsid w:val="00B77B1F"/>
    <w:rsid w:val="00B77B21"/>
    <w:rsid w:val="00B77D31"/>
    <w:rsid w:val="00B77E0E"/>
    <w:rsid w:val="00B805FC"/>
    <w:rsid w:val="00B8144C"/>
    <w:rsid w:val="00B81640"/>
    <w:rsid w:val="00B8174B"/>
    <w:rsid w:val="00B819B6"/>
    <w:rsid w:val="00B81A84"/>
    <w:rsid w:val="00B81AC1"/>
    <w:rsid w:val="00B81CF3"/>
    <w:rsid w:val="00B82329"/>
    <w:rsid w:val="00B82375"/>
    <w:rsid w:val="00B835A4"/>
    <w:rsid w:val="00B83643"/>
    <w:rsid w:val="00B83A8D"/>
    <w:rsid w:val="00B83C85"/>
    <w:rsid w:val="00B846C4"/>
    <w:rsid w:val="00B84A7D"/>
    <w:rsid w:val="00B84ED7"/>
    <w:rsid w:val="00B84F94"/>
    <w:rsid w:val="00B851A3"/>
    <w:rsid w:val="00B85552"/>
    <w:rsid w:val="00B85678"/>
    <w:rsid w:val="00B85801"/>
    <w:rsid w:val="00B85B94"/>
    <w:rsid w:val="00B85D5A"/>
    <w:rsid w:val="00B86A0A"/>
    <w:rsid w:val="00B86B79"/>
    <w:rsid w:val="00B86D22"/>
    <w:rsid w:val="00B86DD8"/>
    <w:rsid w:val="00B86EE9"/>
    <w:rsid w:val="00B86F9B"/>
    <w:rsid w:val="00B87460"/>
    <w:rsid w:val="00B87752"/>
    <w:rsid w:val="00B8778C"/>
    <w:rsid w:val="00B87B24"/>
    <w:rsid w:val="00B87F0B"/>
    <w:rsid w:val="00B87FAE"/>
    <w:rsid w:val="00B9000B"/>
    <w:rsid w:val="00B90013"/>
    <w:rsid w:val="00B90260"/>
    <w:rsid w:val="00B904C2"/>
    <w:rsid w:val="00B90D56"/>
    <w:rsid w:val="00B912CC"/>
    <w:rsid w:val="00B915C0"/>
    <w:rsid w:val="00B91AD4"/>
    <w:rsid w:val="00B91D52"/>
    <w:rsid w:val="00B91E47"/>
    <w:rsid w:val="00B91F86"/>
    <w:rsid w:val="00B9275C"/>
    <w:rsid w:val="00B92DF6"/>
    <w:rsid w:val="00B9314B"/>
    <w:rsid w:val="00B93256"/>
    <w:rsid w:val="00B9397E"/>
    <w:rsid w:val="00B93DB9"/>
    <w:rsid w:val="00B94410"/>
    <w:rsid w:val="00B9454D"/>
    <w:rsid w:val="00B94CC3"/>
    <w:rsid w:val="00B94DED"/>
    <w:rsid w:val="00B951E1"/>
    <w:rsid w:val="00B954FB"/>
    <w:rsid w:val="00B95D53"/>
    <w:rsid w:val="00B95FCC"/>
    <w:rsid w:val="00B9631D"/>
    <w:rsid w:val="00B9697E"/>
    <w:rsid w:val="00B96C62"/>
    <w:rsid w:val="00B97032"/>
    <w:rsid w:val="00B9729A"/>
    <w:rsid w:val="00B97314"/>
    <w:rsid w:val="00B97696"/>
    <w:rsid w:val="00B97744"/>
    <w:rsid w:val="00B978C4"/>
    <w:rsid w:val="00B97D4B"/>
    <w:rsid w:val="00B97FDA"/>
    <w:rsid w:val="00BA0179"/>
    <w:rsid w:val="00BA01A5"/>
    <w:rsid w:val="00BA032D"/>
    <w:rsid w:val="00BA03E5"/>
    <w:rsid w:val="00BA1105"/>
    <w:rsid w:val="00BA14A8"/>
    <w:rsid w:val="00BA14CB"/>
    <w:rsid w:val="00BA1637"/>
    <w:rsid w:val="00BA1BEA"/>
    <w:rsid w:val="00BA1D80"/>
    <w:rsid w:val="00BA230B"/>
    <w:rsid w:val="00BA2755"/>
    <w:rsid w:val="00BA2A3A"/>
    <w:rsid w:val="00BA30B4"/>
    <w:rsid w:val="00BA3856"/>
    <w:rsid w:val="00BA3950"/>
    <w:rsid w:val="00BA3A18"/>
    <w:rsid w:val="00BA3ADA"/>
    <w:rsid w:val="00BA3B6D"/>
    <w:rsid w:val="00BA3F05"/>
    <w:rsid w:val="00BA3F0C"/>
    <w:rsid w:val="00BA438E"/>
    <w:rsid w:val="00BA5147"/>
    <w:rsid w:val="00BA5302"/>
    <w:rsid w:val="00BA566D"/>
    <w:rsid w:val="00BA5A71"/>
    <w:rsid w:val="00BA5A88"/>
    <w:rsid w:val="00BA5AD1"/>
    <w:rsid w:val="00BA5BFA"/>
    <w:rsid w:val="00BA5F1D"/>
    <w:rsid w:val="00BA6160"/>
    <w:rsid w:val="00BA62AF"/>
    <w:rsid w:val="00BA62CF"/>
    <w:rsid w:val="00BA6568"/>
    <w:rsid w:val="00BA6753"/>
    <w:rsid w:val="00BA6973"/>
    <w:rsid w:val="00BA709C"/>
    <w:rsid w:val="00BA71B9"/>
    <w:rsid w:val="00BA734C"/>
    <w:rsid w:val="00BA7575"/>
    <w:rsid w:val="00BA781E"/>
    <w:rsid w:val="00BA782D"/>
    <w:rsid w:val="00BA7C36"/>
    <w:rsid w:val="00BA7F88"/>
    <w:rsid w:val="00BB01F5"/>
    <w:rsid w:val="00BB09B9"/>
    <w:rsid w:val="00BB102C"/>
    <w:rsid w:val="00BB1184"/>
    <w:rsid w:val="00BB1299"/>
    <w:rsid w:val="00BB13B2"/>
    <w:rsid w:val="00BB15CA"/>
    <w:rsid w:val="00BB18F3"/>
    <w:rsid w:val="00BB1FA3"/>
    <w:rsid w:val="00BB24DA"/>
    <w:rsid w:val="00BB2648"/>
    <w:rsid w:val="00BB2A19"/>
    <w:rsid w:val="00BB2A4E"/>
    <w:rsid w:val="00BB2B73"/>
    <w:rsid w:val="00BB324E"/>
    <w:rsid w:val="00BB340C"/>
    <w:rsid w:val="00BB3A2B"/>
    <w:rsid w:val="00BB3DCE"/>
    <w:rsid w:val="00BB4150"/>
    <w:rsid w:val="00BB4152"/>
    <w:rsid w:val="00BB4293"/>
    <w:rsid w:val="00BB4545"/>
    <w:rsid w:val="00BB4730"/>
    <w:rsid w:val="00BB54CB"/>
    <w:rsid w:val="00BB5A41"/>
    <w:rsid w:val="00BB6563"/>
    <w:rsid w:val="00BB665C"/>
    <w:rsid w:val="00BB688F"/>
    <w:rsid w:val="00BB734D"/>
    <w:rsid w:val="00BB7774"/>
    <w:rsid w:val="00BB7796"/>
    <w:rsid w:val="00BB7799"/>
    <w:rsid w:val="00BB77BF"/>
    <w:rsid w:val="00BB7CC5"/>
    <w:rsid w:val="00BB7D5A"/>
    <w:rsid w:val="00BB7F36"/>
    <w:rsid w:val="00BC0136"/>
    <w:rsid w:val="00BC0BAD"/>
    <w:rsid w:val="00BC0DAB"/>
    <w:rsid w:val="00BC0DBA"/>
    <w:rsid w:val="00BC1521"/>
    <w:rsid w:val="00BC16C0"/>
    <w:rsid w:val="00BC1DF1"/>
    <w:rsid w:val="00BC1F0F"/>
    <w:rsid w:val="00BC2089"/>
    <w:rsid w:val="00BC20B6"/>
    <w:rsid w:val="00BC295A"/>
    <w:rsid w:val="00BC2A50"/>
    <w:rsid w:val="00BC2CC9"/>
    <w:rsid w:val="00BC2CFF"/>
    <w:rsid w:val="00BC2E44"/>
    <w:rsid w:val="00BC3177"/>
    <w:rsid w:val="00BC3418"/>
    <w:rsid w:val="00BC35BA"/>
    <w:rsid w:val="00BC38F0"/>
    <w:rsid w:val="00BC3B6E"/>
    <w:rsid w:val="00BC4701"/>
    <w:rsid w:val="00BC4C10"/>
    <w:rsid w:val="00BC4C81"/>
    <w:rsid w:val="00BC4CD7"/>
    <w:rsid w:val="00BC4D33"/>
    <w:rsid w:val="00BC4E1F"/>
    <w:rsid w:val="00BC4E26"/>
    <w:rsid w:val="00BC522C"/>
    <w:rsid w:val="00BC52C5"/>
    <w:rsid w:val="00BC5BF4"/>
    <w:rsid w:val="00BC5DA6"/>
    <w:rsid w:val="00BC5E9E"/>
    <w:rsid w:val="00BC66BF"/>
    <w:rsid w:val="00BC723E"/>
    <w:rsid w:val="00BC76BD"/>
    <w:rsid w:val="00BC7C3A"/>
    <w:rsid w:val="00BC7FB2"/>
    <w:rsid w:val="00BD0323"/>
    <w:rsid w:val="00BD0661"/>
    <w:rsid w:val="00BD08A0"/>
    <w:rsid w:val="00BD093B"/>
    <w:rsid w:val="00BD096D"/>
    <w:rsid w:val="00BD0A97"/>
    <w:rsid w:val="00BD0E45"/>
    <w:rsid w:val="00BD0EBB"/>
    <w:rsid w:val="00BD0FD2"/>
    <w:rsid w:val="00BD133C"/>
    <w:rsid w:val="00BD16F1"/>
    <w:rsid w:val="00BD17ED"/>
    <w:rsid w:val="00BD19D7"/>
    <w:rsid w:val="00BD1AB1"/>
    <w:rsid w:val="00BD1EA1"/>
    <w:rsid w:val="00BD1F8C"/>
    <w:rsid w:val="00BD2083"/>
    <w:rsid w:val="00BD209D"/>
    <w:rsid w:val="00BD270D"/>
    <w:rsid w:val="00BD2DA9"/>
    <w:rsid w:val="00BD2FBE"/>
    <w:rsid w:val="00BD3204"/>
    <w:rsid w:val="00BD32F6"/>
    <w:rsid w:val="00BD3707"/>
    <w:rsid w:val="00BD387D"/>
    <w:rsid w:val="00BD3956"/>
    <w:rsid w:val="00BD39A8"/>
    <w:rsid w:val="00BD3A21"/>
    <w:rsid w:val="00BD3F9D"/>
    <w:rsid w:val="00BD45A5"/>
    <w:rsid w:val="00BD4D02"/>
    <w:rsid w:val="00BD4E40"/>
    <w:rsid w:val="00BD540D"/>
    <w:rsid w:val="00BD59C9"/>
    <w:rsid w:val="00BD6127"/>
    <w:rsid w:val="00BD618F"/>
    <w:rsid w:val="00BD6395"/>
    <w:rsid w:val="00BD69AF"/>
    <w:rsid w:val="00BD69C4"/>
    <w:rsid w:val="00BD6F7E"/>
    <w:rsid w:val="00BD7034"/>
    <w:rsid w:val="00BD70B5"/>
    <w:rsid w:val="00BD7206"/>
    <w:rsid w:val="00BD7421"/>
    <w:rsid w:val="00BE0059"/>
    <w:rsid w:val="00BE0066"/>
    <w:rsid w:val="00BE0AE8"/>
    <w:rsid w:val="00BE0D66"/>
    <w:rsid w:val="00BE107C"/>
    <w:rsid w:val="00BE1547"/>
    <w:rsid w:val="00BE16AC"/>
    <w:rsid w:val="00BE1A34"/>
    <w:rsid w:val="00BE1B2C"/>
    <w:rsid w:val="00BE2552"/>
    <w:rsid w:val="00BE2964"/>
    <w:rsid w:val="00BE31A1"/>
    <w:rsid w:val="00BE325D"/>
    <w:rsid w:val="00BE36F7"/>
    <w:rsid w:val="00BE3701"/>
    <w:rsid w:val="00BE3832"/>
    <w:rsid w:val="00BE3D3F"/>
    <w:rsid w:val="00BE3FB9"/>
    <w:rsid w:val="00BE445B"/>
    <w:rsid w:val="00BE45B8"/>
    <w:rsid w:val="00BE46CC"/>
    <w:rsid w:val="00BE4B10"/>
    <w:rsid w:val="00BE4E0E"/>
    <w:rsid w:val="00BE4F2B"/>
    <w:rsid w:val="00BE500F"/>
    <w:rsid w:val="00BE51A6"/>
    <w:rsid w:val="00BE533A"/>
    <w:rsid w:val="00BE54C8"/>
    <w:rsid w:val="00BE5501"/>
    <w:rsid w:val="00BE551B"/>
    <w:rsid w:val="00BE5757"/>
    <w:rsid w:val="00BE5776"/>
    <w:rsid w:val="00BE5A4E"/>
    <w:rsid w:val="00BE63BA"/>
    <w:rsid w:val="00BE6BC6"/>
    <w:rsid w:val="00BE6C13"/>
    <w:rsid w:val="00BE6DCC"/>
    <w:rsid w:val="00BE6E92"/>
    <w:rsid w:val="00BE7162"/>
    <w:rsid w:val="00BE7505"/>
    <w:rsid w:val="00BE7C60"/>
    <w:rsid w:val="00BF00AD"/>
    <w:rsid w:val="00BF013C"/>
    <w:rsid w:val="00BF03A4"/>
    <w:rsid w:val="00BF0938"/>
    <w:rsid w:val="00BF0997"/>
    <w:rsid w:val="00BF0A43"/>
    <w:rsid w:val="00BF0DE3"/>
    <w:rsid w:val="00BF1436"/>
    <w:rsid w:val="00BF1529"/>
    <w:rsid w:val="00BF172A"/>
    <w:rsid w:val="00BF1B0C"/>
    <w:rsid w:val="00BF1C4E"/>
    <w:rsid w:val="00BF1FC5"/>
    <w:rsid w:val="00BF255E"/>
    <w:rsid w:val="00BF2676"/>
    <w:rsid w:val="00BF2F87"/>
    <w:rsid w:val="00BF32E0"/>
    <w:rsid w:val="00BF36D8"/>
    <w:rsid w:val="00BF37F7"/>
    <w:rsid w:val="00BF38B9"/>
    <w:rsid w:val="00BF38E4"/>
    <w:rsid w:val="00BF3D9E"/>
    <w:rsid w:val="00BF4242"/>
    <w:rsid w:val="00BF4322"/>
    <w:rsid w:val="00BF4494"/>
    <w:rsid w:val="00BF4957"/>
    <w:rsid w:val="00BF49A0"/>
    <w:rsid w:val="00BF4CF2"/>
    <w:rsid w:val="00BF4F01"/>
    <w:rsid w:val="00BF5D2D"/>
    <w:rsid w:val="00BF5EAD"/>
    <w:rsid w:val="00BF63D7"/>
    <w:rsid w:val="00BF63FA"/>
    <w:rsid w:val="00BF6C2F"/>
    <w:rsid w:val="00BF71EF"/>
    <w:rsid w:val="00BF753E"/>
    <w:rsid w:val="00BF7A73"/>
    <w:rsid w:val="00BF7D84"/>
    <w:rsid w:val="00C00086"/>
    <w:rsid w:val="00C002A7"/>
    <w:rsid w:val="00C00358"/>
    <w:rsid w:val="00C003E3"/>
    <w:rsid w:val="00C00504"/>
    <w:rsid w:val="00C00BA2"/>
    <w:rsid w:val="00C00D84"/>
    <w:rsid w:val="00C010C3"/>
    <w:rsid w:val="00C014D1"/>
    <w:rsid w:val="00C01741"/>
    <w:rsid w:val="00C01E78"/>
    <w:rsid w:val="00C02074"/>
    <w:rsid w:val="00C025CC"/>
    <w:rsid w:val="00C026CB"/>
    <w:rsid w:val="00C0296F"/>
    <w:rsid w:val="00C02AF3"/>
    <w:rsid w:val="00C02BD8"/>
    <w:rsid w:val="00C02D47"/>
    <w:rsid w:val="00C02F0C"/>
    <w:rsid w:val="00C03702"/>
    <w:rsid w:val="00C03BB5"/>
    <w:rsid w:val="00C03D1B"/>
    <w:rsid w:val="00C03E8B"/>
    <w:rsid w:val="00C03F04"/>
    <w:rsid w:val="00C0402C"/>
    <w:rsid w:val="00C0407D"/>
    <w:rsid w:val="00C04BD5"/>
    <w:rsid w:val="00C05363"/>
    <w:rsid w:val="00C055E5"/>
    <w:rsid w:val="00C059FD"/>
    <w:rsid w:val="00C05BB6"/>
    <w:rsid w:val="00C05BFE"/>
    <w:rsid w:val="00C060F9"/>
    <w:rsid w:val="00C06864"/>
    <w:rsid w:val="00C06ADB"/>
    <w:rsid w:val="00C06B21"/>
    <w:rsid w:val="00C06DD0"/>
    <w:rsid w:val="00C06F52"/>
    <w:rsid w:val="00C07361"/>
    <w:rsid w:val="00C07E22"/>
    <w:rsid w:val="00C10052"/>
    <w:rsid w:val="00C101DF"/>
    <w:rsid w:val="00C102B5"/>
    <w:rsid w:val="00C1035C"/>
    <w:rsid w:val="00C10841"/>
    <w:rsid w:val="00C10DB5"/>
    <w:rsid w:val="00C10E4D"/>
    <w:rsid w:val="00C10EA1"/>
    <w:rsid w:val="00C110F9"/>
    <w:rsid w:val="00C11232"/>
    <w:rsid w:val="00C11531"/>
    <w:rsid w:val="00C11939"/>
    <w:rsid w:val="00C11A6D"/>
    <w:rsid w:val="00C12133"/>
    <w:rsid w:val="00C12855"/>
    <w:rsid w:val="00C12FC0"/>
    <w:rsid w:val="00C13561"/>
    <w:rsid w:val="00C13A87"/>
    <w:rsid w:val="00C13C53"/>
    <w:rsid w:val="00C1462E"/>
    <w:rsid w:val="00C14CC0"/>
    <w:rsid w:val="00C14D2F"/>
    <w:rsid w:val="00C1533A"/>
    <w:rsid w:val="00C15416"/>
    <w:rsid w:val="00C1568F"/>
    <w:rsid w:val="00C156FA"/>
    <w:rsid w:val="00C15888"/>
    <w:rsid w:val="00C15E8C"/>
    <w:rsid w:val="00C15F94"/>
    <w:rsid w:val="00C164EE"/>
    <w:rsid w:val="00C1657E"/>
    <w:rsid w:val="00C169C3"/>
    <w:rsid w:val="00C16EE8"/>
    <w:rsid w:val="00C170A6"/>
    <w:rsid w:val="00C1726B"/>
    <w:rsid w:val="00C174DE"/>
    <w:rsid w:val="00C178AA"/>
    <w:rsid w:val="00C202E2"/>
    <w:rsid w:val="00C20327"/>
    <w:rsid w:val="00C211C9"/>
    <w:rsid w:val="00C217FD"/>
    <w:rsid w:val="00C21817"/>
    <w:rsid w:val="00C21B75"/>
    <w:rsid w:val="00C21E9B"/>
    <w:rsid w:val="00C21F1F"/>
    <w:rsid w:val="00C22718"/>
    <w:rsid w:val="00C22C1F"/>
    <w:rsid w:val="00C2308E"/>
    <w:rsid w:val="00C23964"/>
    <w:rsid w:val="00C23BFA"/>
    <w:rsid w:val="00C240A4"/>
    <w:rsid w:val="00C246B4"/>
    <w:rsid w:val="00C24894"/>
    <w:rsid w:val="00C24A60"/>
    <w:rsid w:val="00C24B88"/>
    <w:rsid w:val="00C24C87"/>
    <w:rsid w:val="00C24CD2"/>
    <w:rsid w:val="00C24D13"/>
    <w:rsid w:val="00C24EEC"/>
    <w:rsid w:val="00C252AB"/>
    <w:rsid w:val="00C2558F"/>
    <w:rsid w:val="00C259BD"/>
    <w:rsid w:val="00C25CC5"/>
    <w:rsid w:val="00C25D22"/>
    <w:rsid w:val="00C25F92"/>
    <w:rsid w:val="00C26144"/>
    <w:rsid w:val="00C261E6"/>
    <w:rsid w:val="00C262B9"/>
    <w:rsid w:val="00C264B5"/>
    <w:rsid w:val="00C26798"/>
    <w:rsid w:val="00C27638"/>
    <w:rsid w:val="00C27F96"/>
    <w:rsid w:val="00C30275"/>
    <w:rsid w:val="00C303D4"/>
    <w:rsid w:val="00C30805"/>
    <w:rsid w:val="00C309E3"/>
    <w:rsid w:val="00C30B4B"/>
    <w:rsid w:val="00C30E22"/>
    <w:rsid w:val="00C30E71"/>
    <w:rsid w:val="00C312DE"/>
    <w:rsid w:val="00C31559"/>
    <w:rsid w:val="00C316A5"/>
    <w:rsid w:val="00C317B2"/>
    <w:rsid w:val="00C31AE2"/>
    <w:rsid w:val="00C31D4D"/>
    <w:rsid w:val="00C31EA1"/>
    <w:rsid w:val="00C31F97"/>
    <w:rsid w:val="00C321D2"/>
    <w:rsid w:val="00C32B85"/>
    <w:rsid w:val="00C335BF"/>
    <w:rsid w:val="00C33FBE"/>
    <w:rsid w:val="00C3419A"/>
    <w:rsid w:val="00C34A3E"/>
    <w:rsid w:val="00C34AD1"/>
    <w:rsid w:val="00C34BFF"/>
    <w:rsid w:val="00C34E2F"/>
    <w:rsid w:val="00C3521F"/>
    <w:rsid w:val="00C35286"/>
    <w:rsid w:val="00C355AF"/>
    <w:rsid w:val="00C35733"/>
    <w:rsid w:val="00C357B0"/>
    <w:rsid w:val="00C357E7"/>
    <w:rsid w:val="00C35A3C"/>
    <w:rsid w:val="00C35E63"/>
    <w:rsid w:val="00C361F1"/>
    <w:rsid w:val="00C36212"/>
    <w:rsid w:val="00C36613"/>
    <w:rsid w:val="00C3682F"/>
    <w:rsid w:val="00C36EFD"/>
    <w:rsid w:val="00C36F18"/>
    <w:rsid w:val="00C37099"/>
    <w:rsid w:val="00C3739A"/>
    <w:rsid w:val="00C3794E"/>
    <w:rsid w:val="00C37AE5"/>
    <w:rsid w:val="00C40021"/>
    <w:rsid w:val="00C4030D"/>
    <w:rsid w:val="00C4067E"/>
    <w:rsid w:val="00C40989"/>
    <w:rsid w:val="00C40C43"/>
    <w:rsid w:val="00C414E0"/>
    <w:rsid w:val="00C415B9"/>
    <w:rsid w:val="00C418E3"/>
    <w:rsid w:val="00C41C20"/>
    <w:rsid w:val="00C41CA5"/>
    <w:rsid w:val="00C41E31"/>
    <w:rsid w:val="00C42006"/>
    <w:rsid w:val="00C42205"/>
    <w:rsid w:val="00C43025"/>
    <w:rsid w:val="00C431F7"/>
    <w:rsid w:val="00C43584"/>
    <w:rsid w:val="00C43589"/>
    <w:rsid w:val="00C437BA"/>
    <w:rsid w:val="00C43A44"/>
    <w:rsid w:val="00C43A6E"/>
    <w:rsid w:val="00C43E8B"/>
    <w:rsid w:val="00C43FB9"/>
    <w:rsid w:val="00C441B5"/>
    <w:rsid w:val="00C44291"/>
    <w:rsid w:val="00C4431A"/>
    <w:rsid w:val="00C44537"/>
    <w:rsid w:val="00C44A59"/>
    <w:rsid w:val="00C44F90"/>
    <w:rsid w:val="00C451E1"/>
    <w:rsid w:val="00C4522D"/>
    <w:rsid w:val="00C46260"/>
    <w:rsid w:val="00C46375"/>
    <w:rsid w:val="00C466D7"/>
    <w:rsid w:val="00C46A12"/>
    <w:rsid w:val="00C46B9C"/>
    <w:rsid w:val="00C4721F"/>
    <w:rsid w:val="00C4734E"/>
    <w:rsid w:val="00C47419"/>
    <w:rsid w:val="00C475DD"/>
    <w:rsid w:val="00C47776"/>
    <w:rsid w:val="00C4793C"/>
    <w:rsid w:val="00C47A92"/>
    <w:rsid w:val="00C47BC4"/>
    <w:rsid w:val="00C50312"/>
    <w:rsid w:val="00C5037A"/>
    <w:rsid w:val="00C50AE8"/>
    <w:rsid w:val="00C51040"/>
    <w:rsid w:val="00C515E4"/>
    <w:rsid w:val="00C51664"/>
    <w:rsid w:val="00C520EE"/>
    <w:rsid w:val="00C52190"/>
    <w:rsid w:val="00C5219E"/>
    <w:rsid w:val="00C52566"/>
    <w:rsid w:val="00C52578"/>
    <w:rsid w:val="00C5261A"/>
    <w:rsid w:val="00C527D0"/>
    <w:rsid w:val="00C52948"/>
    <w:rsid w:val="00C52965"/>
    <w:rsid w:val="00C5298B"/>
    <w:rsid w:val="00C529DE"/>
    <w:rsid w:val="00C52AD0"/>
    <w:rsid w:val="00C52BB5"/>
    <w:rsid w:val="00C52D22"/>
    <w:rsid w:val="00C52EBF"/>
    <w:rsid w:val="00C52ECB"/>
    <w:rsid w:val="00C53475"/>
    <w:rsid w:val="00C53EDC"/>
    <w:rsid w:val="00C53FE0"/>
    <w:rsid w:val="00C54C35"/>
    <w:rsid w:val="00C5527C"/>
    <w:rsid w:val="00C55682"/>
    <w:rsid w:val="00C55956"/>
    <w:rsid w:val="00C55A11"/>
    <w:rsid w:val="00C55DEC"/>
    <w:rsid w:val="00C56095"/>
    <w:rsid w:val="00C56358"/>
    <w:rsid w:val="00C56699"/>
    <w:rsid w:val="00C56743"/>
    <w:rsid w:val="00C56C6C"/>
    <w:rsid w:val="00C56C85"/>
    <w:rsid w:val="00C570FB"/>
    <w:rsid w:val="00C57A17"/>
    <w:rsid w:val="00C57E61"/>
    <w:rsid w:val="00C57E63"/>
    <w:rsid w:val="00C60382"/>
    <w:rsid w:val="00C60579"/>
    <w:rsid w:val="00C605D7"/>
    <w:rsid w:val="00C606F4"/>
    <w:rsid w:val="00C60A15"/>
    <w:rsid w:val="00C60AB3"/>
    <w:rsid w:val="00C60B4C"/>
    <w:rsid w:val="00C60BC4"/>
    <w:rsid w:val="00C612AA"/>
    <w:rsid w:val="00C61778"/>
    <w:rsid w:val="00C61FC2"/>
    <w:rsid w:val="00C620C1"/>
    <w:rsid w:val="00C62495"/>
    <w:rsid w:val="00C627A2"/>
    <w:rsid w:val="00C62AE0"/>
    <w:rsid w:val="00C62B8A"/>
    <w:rsid w:val="00C62CB2"/>
    <w:rsid w:val="00C62DBD"/>
    <w:rsid w:val="00C62DD0"/>
    <w:rsid w:val="00C6314B"/>
    <w:rsid w:val="00C63399"/>
    <w:rsid w:val="00C6392F"/>
    <w:rsid w:val="00C63E63"/>
    <w:rsid w:val="00C64799"/>
    <w:rsid w:val="00C647A8"/>
    <w:rsid w:val="00C647F1"/>
    <w:rsid w:val="00C649D2"/>
    <w:rsid w:val="00C64A4B"/>
    <w:rsid w:val="00C64CB3"/>
    <w:rsid w:val="00C64DFA"/>
    <w:rsid w:val="00C651EF"/>
    <w:rsid w:val="00C652EE"/>
    <w:rsid w:val="00C65322"/>
    <w:rsid w:val="00C65782"/>
    <w:rsid w:val="00C6580E"/>
    <w:rsid w:val="00C658B0"/>
    <w:rsid w:val="00C65AAD"/>
    <w:rsid w:val="00C6628A"/>
    <w:rsid w:val="00C662ED"/>
    <w:rsid w:val="00C66348"/>
    <w:rsid w:val="00C665A7"/>
    <w:rsid w:val="00C66B67"/>
    <w:rsid w:val="00C66DA1"/>
    <w:rsid w:val="00C66FBF"/>
    <w:rsid w:val="00C672AB"/>
    <w:rsid w:val="00C675C9"/>
    <w:rsid w:val="00C67659"/>
    <w:rsid w:val="00C67CAC"/>
    <w:rsid w:val="00C67D41"/>
    <w:rsid w:val="00C70213"/>
    <w:rsid w:val="00C7023F"/>
    <w:rsid w:val="00C706B3"/>
    <w:rsid w:val="00C709D5"/>
    <w:rsid w:val="00C70AFF"/>
    <w:rsid w:val="00C70E0C"/>
    <w:rsid w:val="00C70FBF"/>
    <w:rsid w:val="00C71779"/>
    <w:rsid w:val="00C71CB5"/>
    <w:rsid w:val="00C724B8"/>
    <w:rsid w:val="00C725B4"/>
    <w:rsid w:val="00C72838"/>
    <w:rsid w:val="00C73708"/>
    <w:rsid w:val="00C737ED"/>
    <w:rsid w:val="00C7395A"/>
    <w:rsid w:val="00C73AEA"/>
    <w:rsid w:val="00C73B64"/>
    <w:rsid w:val="00C73BED"/>
    <w:rsid w:val="00C73F85"/>
    <w:rsid w:val="00C741C6"/>
    <w:rsid w:val="00C743CD"/>
    <w:rsid w:val="00C74993"/>
    <w:rsid w:val="00C74C23"/>
    <w:rsid w:val="00C75152"/>
    <w:rsid w:val="00C751D8"/>
    <w:rsid w:val="00C7539A"/>
    <w:rsid w:val="00C756AE"/>
    <w:rsid w:val="00C759FA"/>
    <w:rsid w:val="00C75D86"/>
    <w:rsid w:val="00C75F8D"/>
    <w:rsid w:val="00C76218"/>
    <w:rsid w:val="00C764AD"/>
    <w:rsid w:val="00C76C3B"/>
    <w:rsid w:val="00C76C90"/>
    <w:rsid w:val="00C774F7"/>
    <w:rsid w:val="00C77696"/>
    <w:rsid w:val="00C77AEF"/>
    <w:rsid w:val="00C77B96"/>
    <w:rsid w:val="00C77CA3"/>
    <w:rsid w:val="00C77F35"/>
    <w:rsid w:val="00C80446"/>
    <w:rsid w:val="00C806A5"/>
    <w:rsid w:val="00C80D17"/>
    <w:rsid w:val="00C80F7C"/>
    <w:rsid w:val="00C8110D"/>
    <w:rsid w:val="00C817B0"/>
    <w:rsid w:val="00C81E41"/>
    <w:rsid w:val="00C81EBD"/>
    <w:rsid w:val="00C8205A"/>
    <w:rsid w:val="00C8259F"/>
    <w:rsid w:val="00C82976"/>
    <w:rsid w:val="00C82BF1"/>
    <w:rsid w:val="00C83398"/>
    <w:rsid w:val="00C83543"/>
    <w:rsid w:val="00C8357A"/>
    <w:rsid w:val="00C836AA"/>
    <w:rsid w:val="00C83EBF"/>
    <w:rsid w:val="00C841D6"/>
    <w:rsid w:val="00C84278"/>
    <w:rsid w:val="00C84E2D"/>
    <w:rsid w:val="00C84F6B"/>
    <w:rsid w:val="00C84FDF"/>
    <w:rsid w:val="00C85067"/>
    <w:rsid w:val="00C85516"/>
    <w:rsid w:val="00C856F5"/>
    <w:rsid w:val="00C85C6C"/>
    <w:rsid w:val="00C85CDB"/>
    <w:rsid w:val="00C85CE5"/>
    <w:rsid w:val="00C85F2F"/>
    <w:rsid w:val="00C860B8"/>
    <w:rsid w:val="00C86455"/>
    <w:rsid w:val="00C865D2"/>
    <w:rsid w:val="00C86726"/>
    <w:rsid w:val="00C86766"/>
    <w:rsid w:val="00C8678B"/>
    <w:rsid w:val="00C86B7F"/>
    <w:rsid w:val="00C872D7"/>
    <w:rsid w:val="00C87603"/>
    <w:rsid w:val="00C8764A"/>
    <w:rsid w:val="00C87891"/>
    <w:rsid w:val="00C8797A"/>
    <w:rsid w:val="00C87A86"/>
    <w:rsid w:val="00C87B77"/>
    <w:rsid w:val="00C87D07"/>
    <w:rsid w:val="00C87E5D"/>
    <w:rsid w:val="00C87E63"/>
    <w:rsid w:val="00C90181"/>
    <w:rsid w:val="00C90201"/>
    <w:rsid w:val="00C90593"/>
    <w:rsid w:val="00C905EA"/>
    <w:rsid w:val="00C906AC"/>
    <w:rsid w:val="00C90700"/>
    <w:rsid w:val="00C908F1"/>
    <w:rsid w:val="00C90947"/>
    <w:rsid w:val="00C90E57"/>
    <w:rsid w:val="00C90FE1"/>
    <w:rsid w:val="00C9105C"/>
    <w:rsid w:val="00C910D4"/>
    <w:rsid w:val="00C9116A"/>
    <w:rsid w:val="00C91286"/>
    <w:rsid w:val="00C912F2"/>
    <w:rsid w:val="00C91398"/>
    <w:rsid w:val="00C9164F"/>
    <w:rsid w:val="00C917DC"/>
    <w:rsid w:val="00C91897"/>
    <w:rsid w:val="00C91997"/>
    <w:rsid w:val="00C9210F"/>
    <w:rsid w:val="00C921F2"/>
    <w:rsid w:val="00C922EA"/>
    <w:rsid w:val="00C92752"/>
    <w:rsid w:val="00C92AC2"/>
    <w:rsid w:val="00C92B4F"/>
    <w:rsid w:val="00C92C31"/>
    <w:rsid w:val="00C92CF7"/>
    <w:rsid w:val="00C93084"/>
    <w:rsid w:val="00C934EA"/>
    <w:rsid w:val="00C935CD"/>
    <w:rsid w:val="00C93C44"/>
    <w:rsid w:val="00C93D36"/>
    <w:rsid w:val="00C941A3"/>
    <w:rsid w:val="00C944C6"/>
    <w:rsid w:val="00C945ED"/>
    <w:rsid w:val="00C946FC"/>
    <w:rsid w:val="00C94B98"/>
    <w:rsid w:val="00C94E8E"/>
    <w:rsid w:val="00C953D9"/>
    <w:rsid w:val="00C95495"/>
    <w:rsid w:val="00C954A1"/>
    <w:rsid w:val="00C959AE"/>
    <w:rsid w:val="00C96212"/>
    <w:rsid w:val="00C96240"/>
    <w:rsid w:val="00C965C7"/>
    <w:rsid w:val="00C965FE"/>
    <w:rsid w:val="00C9664E"/>
    <w:rsid w:val="00C966DC"/>
    <w:rsid w:val="00C969C5"/>
    <w:rsid w:val="00C96A88"/>
    <w:rsid w:val="00C97E3E"/>
    <w:rsid w:val="00C97F17"/>
    <w:rsid w:val="00CA042A"/>
    <w:rsid w:val="00CA0524"/>
    <w:rsid w:val="00CA0616"/>
    <w:rsid w:val="00CA069C"/>
    <w:rsid w:val="00CA0843"/>
    <w:rsid w:val="00CA0B7B"/>
    <w:rsid w:val="00CA1005"/>
    <w:rsid w:val="00CA100B"/>
    <w:rsid w:val="00CA10C0"/>
    <w:rsid w:val="00CA1127"/>
    <w:rsid w:val="00CA136E"/>
    <w:rsid w:val="00CA1815"/>
    <w:rsid w:val="00CA187E"/>
    <w:rsid w:val="00CA1CFC"/>
    <w:rsid w:val="00CA1F33"/>
    <w:rsid w:val="00CA2C2B"/>
    <w:rsid w:val="00CA2C47"/>
    <w:rsid w:val="00CA2E55"/>
    <w:rsid w:val="00CA313A"/>
    <w:rsid w:val="00CA3281"/>
    <w:rsid w:val="00CA3C93"/>
    <w:rsid w:val="00CA3F69"/>
    <w:rsid w:val="00CA40B4"/>
    <w:rsid w:val="00CA42D5"/>
    <w:rsid w:val="00CA46A1"/>
    <w:rsid w:val="00CA473E"/>
    <w:rsid w:val="00CA4BD0"/>
    <w:rsid w:val="00CA512B"/>
    <w:rsid w:val="00CA53D1"/>
    <w:rsid w:val="00CA53FD"/>
    <w:rsid w:val="00CA547A"/>
    <w:rsid w:val="00CA54D3"/>
    <w:rsid w:val="00CA5751"/>
    <w:rsid w:val="00CA57D1"/>
    <w:rsid w:val="00CA5C2E"/>
    <w:rsid w:val="00CA5E06"/>
    <w:rsid w:val="00CA5F9B"/>
    <w:rsid w:val="00CA60F6"/>
    <w:rsid w:val="00CA624D"/>
    <w:rsid w:val="00CA641B"/>
    <w:rsid w:val="00CA73E6"/>
    <w:rsid w:val="00CA7868"/>
    <w:rsid w:val="00CA7EFC"/>
    <w:rsid w:val="00CA7FC2"/>
    <w:rsid w:val="00CB07AB"/>
    <w:rsid w:val="00CB0856"/>
    <w:rsid w:val="00CB0C28"/>
    <w:rsid w:val="00CB1716"/>
    <w:rsid w:val="00CB172F"/>
    <w:rsid w:val="00CB1C5B"/>
    <w:rsid w:val="00CB22AF"/>
    <w:rsid w:val="00CB2301"/>
    <w:rsid w:val="00CB2579"/>
    <w:rsid w:val="00CB2706"/>
    <w:rsid w:val="00CB290C"/>
    <w:rsid w:val="00CB2B2A"/>
    <w:rsid w:val="00CB3330"/>
    <w:rsid w:val="00CB3340"/>
    <w:rsid w:val="00CB432C"/>
    <w:rsid w:val="00CB4445"/>
    <w:rsid w:val="00CB445D"/>
    <w:rsid w:val="00CB47C9"/>
    <w:rsid w:val="00CB48D8"/>
    <w:rsid w:val="00CB49AF"/>
    <w:rsid w:val="00CB4A3B"/>
    <w:rsid w:val="00CB4DDC"/>
    <w:rsid w:val="00CB6342"/>
    <w:rsid w:val="00CB6410"/>
    <w:rsid w:val="00CB66BD"/>
    <w:rsid w:val="00CB672C"/>
    <w:rsid w:val="00CB675D"/>
    <w:rsid w:val="00CB6976"/>
    <w:rsid w:val="00CB7074"/>
    <w:rsid w:val="00CB721E"/>
    <w:rsid w:val="00CB7562"/>
    <w:rsid w:val="00CB757D"/>
    <w:rsid w:val="00CB77B1"/>
    <w:rsid w:val="00CB7983"/>
    <w:rsid w:val="00CB7D83"/>
    <w:rsid w:val="00CB7E13"/>
    <w:rsid w:val="00CC01EC"/>
    <w:rsid w:val="00CC06F6"/>
    <w:rsid w:val="00CC0B5C"/>
    <w:rsid w:val="00CC1100"/>
    <w:rsid w:val="00CC147F"/>
    <w:rsid w:val="00CC149D"/>
    <w:rsid w:val="00CC15E3"/>
    <w:rsid w:val="00CC195D"/>
    <w:rsid w:val="00CC2AB1"/>
    <w:rsid w:val="00CC2BC4"/>
    <w:rsid w:val="00CC2E46"/>
    <w:rsid w:val="00CC37A7"/>
    <w:rsid w:val="00CC460F"/>
    <w:rsid w:val="00CC464C"/>
    <w:rsid w:val="00CC4AF4"/>
    <w:rsid w:val="00CC4BE7"/>
    <w:rsid w:val="00CC4F80"/>
    <w:rsid w:val="00CC51AE"/>
    <w:rsid w:val="00CC51E5"/>
    <w:rsid w:val="00CC5744"/>
    <w:rsid w:val="00CC58AC"/>
    <w:rsid w:val="00CC5C48"/>
    <w:rsid w:val="00CC61AE"/>
    <w:rsid w:val="00CC6866"/>
    <w:rsid w:val="00CC722B"/>
    <w:rsid w:val="00CC7930"/>
    <w:rsid w:val="00CC7B3E"/>
    <w:rsid w:val="00CC7CF7"/>
    <w:rsid w:val="00CD0010"/>
    <w:rsid w:val="00CD0A1C"/>
    <w:rsid w:val="00CD0C60"/>
    <w:rsid w:val="00CD0E61"/>
    <w:rsid w:val="00CD10FF"/>
    <w:rsid w:val="00CD121B"/>
    <w:rsid w:val="00CD1495"/>
    <w:rsid w:val="00CD1656"/>
    <w:rsid w:val="00CD17B1"/>
    <w:rsid w:val="00CD1F93"/>
    <w:rsid w:val="00CD1FDA"/>
    <w:rsid w:val="00CD20AD"/>
    <w:rsid w:val="00CD255E"/>
    <w:rsid w:val="00CD2B86"/>
    <w:rsid w:val="00CD2ED8"/>
    <w:rsid w:val="00CD3084"/>
    <w:rsid w:val="00CD32DF"/>
    <w:rsid w:val="00CD344A"/>
    <w:rsid w:val="00CD3C24"/>
    <w:rsid w:val="00CD4013"/>
    <w:rsid w:val="00CD4209"/>
    <w:rsid w:val="00CD420A"/>
    <w:rsid w:val="00CD42F1"/>
    <w:rsid w:val="00CD4309"/>
    <w:rsid w:val="00CD4324"/>
    <w:rsid w:val="00CD4389"/>
    <w:rsid w:val="00CD4513"/>
    <w:rsid w:val="00CD454D"/>
    <w:rsid w:val="00CD46A7"/>
    <w:rsid w:val="00CD48EA"/>
    <w:rsid w:val="00CD49CA"/>
    <w:rsid w:val="00CD4AB4"/>
    <w:rsid w:val="00CD4C27"/>
    <w:rsid w:val="00CD51A1"/>
    <w:rsid w:val="00CD533D"/>
    <w:rsid w:val="00CD58F6"/>
    <w:rsid w:val="00CD5A94"/>
    <w:rsid w:val="00CD5B25"/>
    <w:rsid w:val="00CD5BDD"/>
    <w:rsid w:val="00CD5F02"/>
    <w:rsid w:val="00CD5FDC"/>
    <w:rsid w:val="00CD6230"/>
    <w:rsid w:val="00CD6722"/>
    <w:rsid w:val="00CD681F"/>
    <w:rsid w:val="00CD6AD8"/>
    <w:rsid w:val="00CD6C32"/>
    <w:rsid w:val="00CD6D76"/>
    <w:rsid w:val="00CD7293"/>
    <w:rsid w:val="00CD7296"/>
    <w:rsid w:val="00CD7866"/>
    <w:rsid w:val="00CD7D97"/>
    <w:rsid w:val="00CE03ED"/>
    <w:rsid w:val="00CE07F0"/>
    <w:rsid w:val="00CE1125"/>
    <w:rsid w:val="00CE14D0"/>
    <w:rsid w:val="00CE1554"/>
    <w:rsid w:val="00CE165E"/>
    <w:rsid w:val="00CE16EC"/>
    <w:rsid w:val="00CE23F4"/>
    <w:rsid w:val="00CE245F"/>
    <w:rsid w:val="00CE2510"/>
    <w:rsid w:val="00CE266E"/>
    <w:rsid w:val="00CE29B3"/>
    <w:rsid w:val="00CE2B21"/>
    <w:rsid w:val="00CE2B32"/>
    <w:rsid w:val="00CE2CED"/>
    <w:rsid w:val="00CE2E35"/>
    <w:rsid w:val="00CE2F2B"/>
    <w:rsid w:val="00CE3261"/>
    <w:rsid w:val="00CE3891"/>
    <w:rsid w:val="00CE3FBB"/>
    <w:rsid w:val="00CE41C6"/>
    <w:rsid w:val="00CE4762"/>
    <w:rsid w:val="00CE483E"/>
    <w:rsid w:val="00CE49D5"/>
    <w:rsid w:val="00CE49E5"/>
    <w:rsid w:val="00CE4A6D"/>
    <w:rsid w:val="00CE4B53"/>
    <w:rsid w:val="00CE508C"/>
    <w:rsid w:val="00CE54CB"/>
    <w:rsid w:val="00CE565C"/>
    <w:rsid w:val="00CE57B8"/>
    <w:rsid w:val="00CE5829"/>
    <w:rsid w:val="00CE5F10"/>
    <w:rsid w:val="00CE6842"/>
    <w:rsid w:val="00CE6964"/>
    <w:rsid w:val="00CE6F7A"/>
    <w:rsid w:val="00CE7175"/>
    <w:rsid w:val="00CE7307"/>
    <w:rsid w:val="00CE73E7"/>
    <w:rsid w:val="00CE75B1"/>
    <w:rsid w:val="00CE79DB"/>
    <w:rsid w:val="00CE7A8B"/>
    <w:rsid w:val="00CE7C2D"/>
    <w:rsid w:val="00CE7CE2"/>
    <w:rsid w:val="00CE7DA8"/>
    <w:rsid w:val="00CF00B9"/>
    <w:rsid w:val="00CF02E3"/>
    <w:rsid w:val="00CF052C"/>
    <w:rsid w:val="00CF054C"/>
    <w:rsid w:val="00CF0822"/>
    <w:rsid w:val="00CF09C4"/>
    <w:rsid w:val="00CF0B46"/>
    <w:rsid w:val="00CF146A"/>
    <w:rsid w:val="00CF1843"/>
    <w:rsid w:val="00CF1FA5"/>
    <w:rsid w:val="00CF22F1"/>
    <w:rsid w:val="00CF2628"/>
    <w:rsid w:val="00CF2816"/>
    <w:rsid w:val="00CF2A0F"/>
    <w:rsid w:val="00CF39E0"/>
    <w:rsid w:val="00CF3C6F"/>
    <w:rsid w:val="00CF3E04"/>
    <w:rsid w:val="00CF3FCA"/>
    <w:rsid w:val="00CF4145"/>
    <w:rsid w:val="00CF44E7"/>
    <w:rsid w:val="00CF46E4"/>
    <w:rsid w:val="00CF472C"/>
    <w:rsid w:val="00CF47C2"/>
    <w:rsid w:val="00CF4CA3"/>
    <w:rsid w:val="00CF4D00"/>
    <w:rsid w:val="00CF4F0E"/>
    <w:rsid w:val="00CF4F88"/>
    <w:rsid w:val="00CF50A2"/>
    <w:rsid w:val="00CF5605"/>
    <w:rsid w:val="00CF5E71"/>
    <w:rsid w:val="00CF5F3A"/>
    <w:rsid w:val="00CF613C"/>
    <w:rsid w:val="00CF6335"/>
    <w:rsid w:val="00CF63A8"/>
    <w:rsid w:val="00CF67BE"/>
    <w:rsid w:val="00CF67C5"/>
    <w:rsid w:val="00CF6DE3"/>
    <w:rsid w:val="00CF718F"/>
    <w:rsid w:val="00CF75EE"/>
    <w:rsid w:val="00CF766C"/>
    <w:rsid w:val="00CF7AD7"/>
    <w:rsid w:val="00CF7F71"/>
    <w:rsid w:val="00CF7F96"/>
    <w:rsid w:val="00D001AF"/>
    <w:rsid w:val="00D00C54"/>
    <w:rsid w:val="00D01024"/>
    <w:rsid w:val="00D010EC"/>
    <w:rsid w:val="00D0121C"/>
    <w:rsid w:val="00D01450"/>
    <w:rsid w:val="00D0158C"/>
    <w:rsid w:val="00D01A01"/>
    <w:rsid w:val="00D01D74"/>
    <w:rsid w:val="00D01D76"/>
    <w:rsid w:val="00D01E66"/>
    <w:rsid w:val="00D02003"/>
    <w:rsid w:val="00D02284"/>
    <w:rsid w:val="00D022FB"/>
    <w:rsid w:val="00D02401"/>
    <w:rsid w:val="00D028B4"/>
    <w:rsid w:val="00D02A23"/>
    <w:rsid w:val="00D02E2D"/>
    <w:rsid w:val="00D02E34"/>
    <w:rsid w:val="00D02F24"/>
    <w:rsid w:val="00D0343A"/>
    <w:rsid w:val="00D03B32"/>
    <w:rsid w:val="00D03BC8"/>
    <w:rsid w:val="00D03D90"/>
    <w:rsid w:val="00D03DC6"/>
    <w:rsid w:val="00D03E71"/>
    <w:rsid w:val="00D044FE"/>
    <w:rsid w:val="00D04544"/>
    <w:rsid w:val="00D045B4"/>
    <w:rsid w:val="00D04905"/>
    <w:rsid w:val="00D05324"/>
    <w:rsid w:val="00D0545D"/>
    <w:rsid w:val="00D056C8"/>
    <w:rsid w:val="00D05CE7"/>
    <w:rsid w:val="00D05D80"/>
    <w:rsid w:val="00D0630C"/>
    <w:rsid w:val="00D06322"/>
    <w:rsid w:val="00D06560"/>
    <w:rsid w:val="00D066A6"/>
    <w:rsid w:val="00D06A81"/>
    <w:rsid w:val="00D06BAC"/>
    <w:rsid w:val="00D06CD7"/>
    <w:rsid w:val="00D07B07"/>
    <w:rsid w:val="00D07BD9"/>
    <w:rsid w:val="00D101CD"/>
    <w:rsid w:val="00D10402"/>
    <w:rsid w:val="00D108D2"/>
    <w:rsid w:val="00D11258"/>
    <w:rsid w:val="00D11536"/>
    <w:rsid w:val="00D116EF"/>
    <w:rsid w:val="00D11B55"/>
    <w:rsid w:val="00D11B7C"/>
    <w:rsid w:val="00D12385"/>
    <w:rsid w:val="00D12487"/>
    <w:rsid w:val="00D12577"/>
    <w:rsid w:val="00D125A2"/>
    <w:rsid w:val="00D1262B"/>
    <w:rsid w:val="00D128DD"/>
    <w:rsid w:val="00D12B03"/>
    <w:rsid w:val="00D12D9C"/>
    <w:rsid w:val="00D137D1"/>
    <w:rsid w:val="00D13CE6"/>
    <w:rsid w:val="00D14531"/>
    <w:rsid w:val="00D14AAD"/>
    <w:rsid w:val="00D14B6B"/>
    <w:rsid w:val="00D15213"/>
    <w:rsid w:val="00D15441"/>
    <w:rsid w:val="00D1571B"/>
    <w:rsid w:val="00D15EEB"/>
    <w:rsid w:val="00D16049"/>
    <w:rsid w:val="00D162BD"/>
    <w:rsid w:val="00D162E5"/>
    <w:rsid w:val="00D1632D"/>
    <w:rsid w:val="00D1645B"/>
    <w:rsid w:val="00D164A3"/>
    <w:rsid w:val="00D1655D"/>
    <w:rsid w:val="00D16DEF"/>
    <w:rsid w:val="00D16FE1"/>
    <w:rsid w:val="00D17A84"/>
    <w:rsid w:val="00D17D2F"/>
    <w:rsid w:val="00D20C05"/>
    <w:rsid w:val="00D20C76"/>
    <w:rsid w:val="00D20DED"/>
    <w:rsid w:val="00D20EC8"/>
    <w:rsid w:val="00D216C9"/>
    <w:rsid w:val="00D21804"/>
    <w:rsid w:val="00D21A49"/>
    <w:rsid w:val="00D21C55"/>
    <w:rsid w:val="00D220D5"/>
    <w:rsid w:val="00D22278"/>
    <w:rsid w:val="00D223DC"/>
    <w:rsid w:val="00D2251F"/>
    <w:rsid w:val="00D22717"/>
    <w:rsid w:val="00D22BA2"/>
    <w:rsid w:val="00D233EF"/>
    <w:rsid w:val="00D2377C"/>
    <w:rsid w:val="00D238BA"/>
    <w:rsid w:val="00D239D2"/>
    <w:rsid w:val="00D23BBA"/>
    <w:rsid w:val="00D23F17"/>
    <w:rsid w:val="00D23F4D"/>
    <w:rsid w:val="00D242F6"/>
    <w:rsid w:val="00D248F5"/>
    <w:rsid w:val="00D24AE5"/>
    <w:rsid w:val="00D24B35"/>
    <w:rsid w:val="00D25334"/>
    <w:rsid w:val="00D254B4"/>
    <w:rsid w:val="00D255C8"/>
    <w:rsid w:val="00D2569D"/>
    <w:rsid w:val="00D25759"/>
    <w:rsid w:val="00D2632C"/>
    <w:rsid w:val="00D265D7"/>
    <w:rsid w:val="00D26A4C"/>
    <w:rsid w:val="00D26C4A"/>
    <w:rsid w:val="00D26F41"/>
    <w:rsid w:val="00D27202"/>
    <w:rsid w:val="00D27219"/>
    <w:rsid w:val="00D27966"/>
    <w:rsid w:val="00D279BE"/>
    <w:rsid w:val="00D27CFC"/>
    <w:rsid w:val="00D27DD8"/>
    <w:rsid w:val="00D27EF4"/>
    <w:rsid w:val="00D301D9"/>
    <w:rsid w:val="00D30257"/>
    <w:rsid w:val="00D30511"/>
    <w:rsid w:val="00D30875"/>
    <w:rsid w:val="00D30EFE"/>
    <w:rsid w:val="00D311B8"/>
    <w:rsid w:val="00D31424"/>
    <w:rsid w:val="00D31495"/>
    <w:rsid w:val="00D314DA"/>
    <w:rsid w:val="00D315D1"/>
    <w:rsid w:val="00D316A6"/>
    <w:rsid w:val="00D31B75"/>
    <w:rsid w:val="00D31CFF"/>
    <w:rsid w:val="00D31EB6"/>
    <w:rsid w:val="00D32776"/>
    <w:rsid w:val="00D327D0"/>
    <w:rsid w:val="00D32814"/>
    <w:rsid w:val="00D328DE"/>
    <w:rsid w:val="00D32E77"/>
    <w:rsid w:val="00D33004"/>
    <w:rsid w:val="00D33108"/>
    <w:rsid w:val="00D3312F"/>
    <w:rsid w:val="00D33646"/>
    <w:rsid w:val="00D33A97"/>
    <w:rsid w:val="00D33B8A"/>
    <w:rsid w:val="00D33BB4"/>
    <w:rsid w:val="00D33D19"/>
    <w:rsid w:val="00D33D49"/>
    <w:rsid w:val="00D33FB5"/>
    <w:rsid w:val="00D342CB"/>
    <w:rsid w:val="00D35495"/>
    <w:rsid w:val="00D35672"/>
    <w:rsid w:val="00D356F8"/>
    <w:rsid w:val="00D357FF"/>
    <w:rsid w:val="00D35858"/>
    <w:rsid w:val="00D35CF9"/>
    <w:rsid w:val="00D35D11"/>
    <w:rsid w:val="00D36225"/>
    <w:rsid w:val="00D36358"/>
    <w:rsid w:val="00D363CA"/>
    <w:rsid w:val="00D36509"/>
    <w:rsid w:val="00D365E2"/>
    <w:rsid w:val="00D368D3"/>
    <w:rsid w:val="00D36FA4"/>
    <w:rsid w:val="00D370ED"/>
    <w:rsid w:val="00D376F7"/>
    <w:rsid w:val="00D37924"/>
    <w:rsid w:val="00D37E5B"/>
    <w:rsid w:val="00D37FFB"/>
    <w:rsid w:val="00D403D5"/>
    <w:rsid w:val="00D4042A"/>
    <w:rsid w:val="00D40635"/>
    <w:rsid w:val="00D4069C"/>
    <w:rsid w:val="00D4080E"/>
    <w:rsid w:val="00D40904"/>
    <w:rsid w:val="00D40AA6"/>
    <w:rsid w:val="00D4124A"/>
    <w:rsid w:val="00D413CC"/>
    <w:rsid w:val="00D41A05"/>
    <w:rsid w:val="00D41F4D"/>
    <w:rsid w:val="00D42106"/>
    <w:rsid w:val="00D4227A"/>
    <w:rsid w:val="00D425E3"/>
    <w:rsid w:val="00D427C4"/>
    <w:rsid w:val="00D42BCF"/>
    <w:rsid w:val="00D432E5"/>
    <w:rsid w:val="00D43845"/>
    <w:rsid w:val="00D43A63"/>
    <w:rsid w:val="00D43B5D"/>
    <w:rsid w:val="00D4408A"/>
    <w:rsid w:val="00D440C4"/>
    <w:rsid w:val="00D44B53"/>
    <w:rsid w:val="00D44E99"/>
    <w:rsid w:val="00D44EED"/>
    <w:rsid w:val="00D45353"/>
    <w:rsid w:val="00D459E3"/>
    <w:rsid w:val="00D45D2E"/>
    <w:rsid w:val="00D45D9C"/>
    <w:rsid w:val="00D45FE9"/>
    <w:rsid w:val="00D464BB"/>
    <w:rsid w:val="00D466F7"/>
    <w:rsid w:val="00D467A2"/>
    <w:rsid w:val="00D468F2"/>
    <w:rsid w:val="00D46FCA"/>
    <w:rsid w:val="00D475E7"/>
    <w:rsid w:val="00D4772B"/>
    <w:rsid w:val="00D47B89"/>
    <w:rsid w:val="00D47C78"/>
    <w:rsid w:val="00D47DDE"/>
    <w:rsid w:val="00D5000F"/>
    <w:rsid w:val="00D5014D"/>
    <w:rsid w:val="00D501B3"/>
    <w:rsid w:val="00D50333"/>
    <w:rsid w:val="00D505E9"/>
    <w:rsid w:val="00D506EA"/>
    <w:rsid w:val="00D50845"/>
    <w:rsid w:val="00D50A2F"/>
    <w:rsid w:val="00D50A86"/>
    <w:rsid w:val="00D50C65"/>
    <w:rsid w:val="00D50CE8"/>
    <w:rsid w:val="00D50DE4"/>
    <w:rsid w:val="00D50E9A"/>
    <w:rsid w:val="00D514D9"/>
    <w:rsid w:val="00D51558"/>
    <w:rsid w:val="00D51567"/>
    <w:rsid w:val="00D51ADC"/>
    <w:rsid w:val="00D51AF8"/>
    <w:rsid w:val="00D51B85"/>
    <w:rsid w:val="00D51C23"/>
    <w:rsid w:val="00D51E9A"/>
    <w:rsid w:val="00D52259"/>
    <w:rsid w:val="00D52343"/>
    <w:rsid w:val="00D52C56"/>
    <w:rsid w:val="00D52CB7"/>
    <w:rsid w:val="00D52D46"/>
    <w:rsid w:val="00D52EBA"/>
    <w:rsid w:val="00D53162"/>
    <w:rsid w:val="00D53211"/>
    <w:rsid w:val="00D5352C"/>
    <w:rsid w:val="00D536AB"/>
    <w:rsid w:val="00D53867"/>
    <w:rsid w:val="00D53CB1"/>
    <w:rsid w:val="00D54407"/>
    <w:rsid w:val="00D54669"/>
    <w:rsid w:val="00D547D3"/>
    <w:rsid w:val="00D549E2"/>
    <w:rsid w:val="00D549F8"/>
    <w:rsid w:val="00D54CFB"/>
    <w:rsid w:val="00D55342"/>
    <w:rsid w:val="00D5552C"/>
    <w:rsid w:val="00D5595E"/>
    <w:rsid w:val="00D5629C"/>
    <w:rsid w:val="00D564BD"/>
    <w:rsid w:val="00D564D9"/>
    <w:rsid w:val="00D56913"/>
    <w:rsid w:val="00D56A05"/>
    <w:rsid w:val="00D56AF5"/>
    <w:rsid w:val="00D56F83"/>
    <w:rsid w:val="00D5718B"/>
    <w:rsid w:val="00D571BA"/>
    <w:rsid w:val="00D57214"/>
    <w:rsid w:val="00D57263"/>
    <w:rsid w:val="00D57649"/>
    <w:rsid w:val="00D57C9E"/>
    <w:rsid w:val="00D57D4C"/>
    <w:rsid w:val="00D57E02"/>
    <w:rsid w:val="00D602D6"/>
    <w:rsid w:val="00D60317"/>
    <w:rsid w:val="00D603FD"/>
    <w:rsid w:val="00D60598"/>
    <w:rsid w:val="00D606BA"/>
    <w:rsid w:val="00D60717"/>
    <w:rsid w:val="00D608E1"/>
    <w:rsid w:val="00D60AB8"/>
    <w:rsid w:val="00D61013"/>
    <w:rsid w:val="00D61AD6"/>
    <w:rsid w:val="00D61C4B"/>
    <w:rsid w:val="00D61F7E"/>
    <w:rsid w:val="00D622C3"/>
    <w:rsid w:val="00D623F7"/>
    <w:rsid w:val="00D627CF"/>
    <w:rsid w:val="00D62891"/>
    <w:rsid w:val="00D629E0"/>
    <w:rsid w:val="00D62B5C"/>
    <w:rsid w:val="00D62D22"/>
    <w:rsid w:val="00D62E57"/>
    <w:rsid w:val="00D63295"/>
    <w:rsid w:val="00D63298"/>
    <w:rsid w:val="00D639CE"/>
    <w:rsid w:val="00D63BB2"/>
    <w:rsid w:val="00D6403A"/>
    <w:rsid w:val="00D640F8"/>
    <w:rsid w:val="00D64379"/>
    <w:rsid w:val="00D6502E"/>
    <w:rsid w:val="00D6545E"/>
    <w:rsid w:val="00D655B3"/>
    <w:rsid w:val="00D65703"/>
    <w:rsid w:val="00D65CA2"/>
    <w:rsid w:val="00D65D65"/>
    <w:rsid w:val="00D66025"/>
    <w:rsid w:val="00D6607D"/>
    <w:rsid w:val="00D668EC"/>
    <w:rsid w:val="00D66B93"/>
    <w:rsid w:val="00D66EA2"/>
    <w:rsid w:val="00D670BB"/>
    <w:rsid w:val="00D67355"/>
    <w:rsid w:val="00D67944"/>
    <w:rsid w:val="00D67AB1"/>
    <w:rsid w:val="00D67B16"/>
    <w:rsid w:val="00D67FDC"/>
    <w:rsid w:val="00D70233"/>
    <w:rsid w:val="00D70492"/>
    <w:rsid w:val="00D70550"/>
    <w:rsid w:val="00D70643"/>
    <w:rsid w:val="00D706A8"/>
    <w:rsid w:val="00D707F4"/>
    <w:rsid w:val="00D70864"/>
    <w:rsid w:val="00D70D8F"/>
    <w:rsid w:val="00D70F14"/>
    <w:rsid w:val="00D70F68"/>
    <w:rsid w:val="00D71057"/>
    <w:rsid w:val="00D71134"/>
    <w:rsid w:val="00D71580"/>
    <w:rsid w:val="00D7179F"/>
    <w:rsid w:val="00D7203A"/>
    <w:rsid w:val="00D72252"/>
    <w:rsid w:val="00D7245D"/>
    <w:rsid w:val="00D72590"/>
    <w:rsid w:val="00D72708"/>
    <w:rsid w:val="00D72AA7"/>
    <w:rsid w:val="00D7336E"/>
    <w:rsid w:val="00D73A05"/>
    <w:rsid w:val="00D73DC1"/>
    <w:rsid w:val="00D73E51"/>
    <w:rsid w:val="00D73F5E"/>
    <w:rsid w:val="00D74068"/>
    <w:rsid w:val="00D74323"/>
    <w:rsid w:val="00D74357"/>
    <w:rsid w:val="00D74483"/>
    <w:rsid w:val="00D74584"/>
    <w:rsid w:val="00D749F2"/>
    <w:rsid w:val="00D74B4D"/>
    <w:rsid w:val="00D74BD8"/>
    <w:rsid w:val="00D74E04"/>
    <w:rsid w:val="00D74ED4"/>
    <w:rsid w:val="00D75337"/>
    <w:rsid w:val="00D753CD"/>
    <w:rsid w:val="00D75556"/>
    <w:rsid w:val="00D758FD"/>
    <w:rsid w:val="00D75E28"/>
    <w:rsid w:val="00D762D9"/>
    <w:rsid w:val="00D7659D"/>
    <w:rsid w:val="00D766C8"/>
    <w:rsid w:val="00D76D07"/>
    <w:rsid w:val="00D76DCB"/>
    <w:rsid w:val="00D76EA0"/>
    <w:rsid w:val="00D77025"/>
    <w:rsid w:val="00D77064"/>
    <w:rsid w:val="00D771B7"/>
    <w:rsid w:val="00D77695"/>
    <w:rsid w:val="00D77AEF"/>
    <w:rsid w:val="00D77C8C"/>
    <w:rsid w:val="00D77E3D"/>
    <w:rsid w:val="00D80608"/>
    <w:rsid w:val="00D809B3"/>
    <w:rsid w:val="00D80D7A"/>
    <w:rsid w:val="00D81016"/>
    <w:rsid w:val="00D81135"/>
    <w:rsid w:val="00D8237B"/>
    <w:rsid w:val="00D82DC3"/>
    <w:rsid w:val="00D83AD9"/>
    <w:rsid w:val="00D83CE3"/>
    <w:rsid w:val="00D83D06"/>
    <w:rsid w:val="00D83D96"/>
    <w:rsid w:val="00D83F00"/>
    <w:rsid w:val="00D840EE"/>
    <w:rsid w:val="00D8412A"/>
    <w:rsid w:val="00D8441E"/>
    <w:rsid w:val="00D844E7"/>
    <w:rsid w:val="00D84884"/>
    <w:rsid w:val="00D848AC"/>
    <w:rsid w:val="00D848D5"/>
    <w:rsid w:val="00D84F7D"/>
    <w:rsid w:val="00D854F0"/>
    <w:rsid w:val="00D857CE"/>
    <w:rsid w:val="00D857F0"/>
    <w:rsid w:val="00D85829"/>
    <w:rsid w:val="00D85A4A"/>
    <w:rsid w:val="00D85D65"/>
    <w:rsid w:val="00D860CD"/>
    <w:rsid w:val="00D866A7"/>
    <w:rsid w:val="00D86EDA"/>
    <w:rsid w:val="00D87317"/>
    <w:rsid w:val="00D87466"/>
    <w:rsid w:val="00D87892"/>
    <w:rsid w:val="00D87A49"/>
    <w:rsid w:val="00D87A5F"/>
    <w:rsid w:val="00D87B5E"/>
    <w:rsid w:val="00D90183"/>
    <w:rsid w:val="00D901C5"/>
    <w:rsid w:val="00D90363"/>
    <w:rsid w:val="00D910EB"/>
    <w:rsid w:val="00D91B51"/>
    <w:rsid w:val="00D91D12"/>
    <w:rsid w:val="00D91F56"/>
    <w:rsid w:val="00D92465"/>
    <w:rsid w:val="00D9255D"/>
    <w:rsid w:val="00D92693"/>
    <w:rsid w:val="00D92848"/>
    <w:rsid w:val="00D93077"/>
    <w:rsid w:val="00D9312B"/>
    <w:rsid w:val="00D932FB"/>
    <w:rsid w:val="00D933BA"/>
    <w:rsid w:val="00D93451"/>
    <w:rsid w:val="00D9348F"/>
    <w:rsid w:val="00D9356F"/>
    <w:rsid w:val="00D936DB"/>
    <w:rsid w:val="00D93C31"/>
    <w:rsid w:val="00D941B7"/>
    <w:rsid w:val="00D94449"/>
    <w:rsid w:val="00D94658"/>
    <w:rsid w:val="00D94D92"/>
    <w:rsid w:val="00D94E03"/>
    <w:rsid w:val="00D95374"/>
    <w:rsid w:val="00D95392"/>
    <w:rsid w:val="00D95619"/>
    <w:rsid w:val="00D956C5"/>
    <w:rsid w:val="00D95C03"/>
    <w:rsid w:val="00D95D74"/>
    <w:rsid w:val="00D95E91"/>
    <w:rsid w:val="00D9611A"/>
    <w:rsid w:val="00D9631C"/>
    <w:rsid w:val="00D96394"/>
    <w:rsid w:val="00D96CCF"/>
    <w:rsid w:val="00D9707A"/>
    <w:rsid w:val="00D97503"/>
    <w:rsid w:val="00D976E3"/>
    <w:rsid w:val="00D97948"/>
    <w:rsid w:val="00D97C4E"/>
    <w:rsid w:val="00D97D67"/>
    <w:rsid w:val="00D97F81"/>
    <w:rsid w:val="00DA00D0"/>
    <w:rsid w:val="00DA0373"/>
    <w:rsid w:val="00DA064C"/>
    <w:rsid w:val="00DA08AB"/>
    <w:rsid w:val="00DA0DB2"/>
    <w:rsid w:val="00DA1070"/>
    <w:rsid w:val="00DA11FD"/>
    <w:rsid w:val="00DA1A95"/>
    <w:rsid w:val="00DA2296"/>
    <w:rsid w:val="00DA2582"/>
    <w:rsid w:val="00DA25B5"/>
    <w:rsid w:val="00DA2644"/>
    <w:rsid w:val="00DA28FC"/>
    <w:rsid w:val="00DA2983"/>
    <w:rsid w:val="00DA2A57"/>
    <w:rsid w:val="00DA2A59"/>
    <w:rsid w:val="00DA2C51"/>
    <w:rsid w:val="00DA312F"/>
    <w:rsid w:val="00DA320C"/>
    <w:rsid w:val="00DA3269"/>
    <w:rsid w:val="00DA32AA"/>
    <w:rsid w:val="00DA3A7A"/>
    <w:rsid w:val="00DA3FAE"/>
    <w:rsid w:val="00DA4095"/>
    <w:rsid w:val="00DA43F1"/>
    <w:rsid w:val="00DA4515"/>
    <w:rsid w:val="00DA452B"/>
    <w:rsid w:val="00DA4655"/>
    <w:rsid w:val="00DA46AC"/>
    <w:rsid w:val="00DA482A"/>
    <w:rsid w:val="00DA4D07"/>
    <w:rsid w:val="00DA506B"/>
    <w:rsid w:val="00DA5213"/>
    <w:rsid w:val="00DA5BDA"/>
    <w:rsid w:val="00DA651A"/>
    <w:rsid w:val="00DA6653"/>
    <w:rsid w:val="00DA6939"/>
    <w:rsid w:val="00DA6D2E"/>
    <w:rsid w:val="00DA6F5A"/>
    <w:rsid w:val="00DA7206"/>
    <w:rsid w:val="00DA725A"/>
    <w:rsid w:val="00DA745F"/>
    <w:rsid w:val="00DA748F"/>
    <w:rsid w:val="00DA75A5"/>
    <w:rsid w:val="00DA75B4"/>
    <w:rsid w:val="00DA7AA7"/>
    <w:rsid w:val="00DB0217"/>
    <w:rsid w:val="00DB07D9"/>
    <w:rsid w:val="00DB1378"/>
    <w:rsid w:val="00DB158B"/>
    <w:rsid w:val="00DB19F4"/>
    <w:rsid w:val="00DB208B"/>
    <w:rsid w:val="00DB2302"/>
    <w:rsid w:val="00DB2762"/>
    <w:rsid w:val="00DB291D"/>
    <w:rsid w:val="00DB29B6"/>
    <w:rsid w:val="00DB3151"/>
    <w:rsid w:val="00DB33AA"/>
    <w:rsid w:val="00DB3419"/>
    <w:rsid w:val="00DB3596"/>
    <w:rsid w:val="00DB35DF"/>
    <w:rsid w:val="00DB41E6"/>
    <w:rsid w:val="00DB4BCE"/>
    <w:rsid w:val="00DB4E0D"/>
    <w:rsid w:val="00DB508C"/>
    <w:rsid w:val="00DB586C"/>
    <w:rsid w:val="00DB5A99"/>
    <w:rsid w:val="00DB5AD1"/>
    <w:rsid w:val="00DB5DDE"/>
    <w:rsid w:val="00DB6174"/>
    <w:rsid w:val="00DB6C3C"/>
    <w:rsid w:val="00DB6CFA"/>
    <w:rsid w:val="00DB6D73"/>
    <w:rsid w:val="00DB79F6"/>
    <w:rsid w:val="00DC0154"/>
    <w:rsid w:val="00DC04DB"/>
    <w:rsid w:val="00DC04FA"/>
    <w:rsid w:val="00DC0854"/>
    <w:rsid w:val="00DC0962"/>
    <w:rsid w:val="00DC09A3"/>
    <w:rsid w:val="00DC0BE6"/>
    <w:rsid w:val="00DC0D53"/>
    <w:rsid w:val="00DC0F16"/>
    <w:rsid w:val="00DC113C"/>
    <w:rsid w:val="00DC15D1"/>
    <w:rsid w:val="00DC15EE"/>
    <w:rsid w:val="00DC16CC"/>
    <w:rsid w:val="00DC1A03"/>
    <w:rsid w:val="00DC1EE5"/>
    <w:rsid w:val="00DC1EF3"/>
    <w:rsid w:val="00DC1FA4"/>
    <w:rsid w:val="00DC222B"/>
    <w:rsid w:val="00DC245C"/>
    <w:rsid w:val="00DC26F2"/>
    <w:rsid w:val="00DC272C"/>
    <w:rsid w:val="00DC2764"/>
    <w:rsid w:val="00DC2BD7"/>
    <w:rsid w:val="00DC348A"/>
    <w:rsid w:val="00DC348F"/>
    <w:rsid w:val="00DC3896"/>
    <w:rsid w:val="00DC3928"/>
    <w:rsid w:val="00DC3B3C"/>
    <w:rsid w:val="00DC3C99"/>
    <w:rsid w:val="00DC3FEE"/>
    <w:rsid w:val="00DC4697"/>
    <w:rsid w:val="00DC4739"/>
    <w:rsid w:val="00DC49DB"/>
    <w:rsid w:val="00DC4DF0"/>
    <w:rsid w:val="00DC5641"/>
    <w:rsid w:val="00DC566B"/>
    <w:rsid w:val="00DC60FF"/>
    <w:rsid w:val="00DC65B1"/>
    <w:rsid w:val="00DC6AB9"/>
    <w:rsid w:val="00DC71BE"/>
    <w:rsid w:val="00DC7801"/>
    <w:rsid w:val="00DC7B59"/>
    <w:rsid w:val="00DC7BF6"/>
    <w:rsid w:val="00DC7CED"/>
    <w:rsid w:val="00DD0911"/>
    <w:rsid w:val="00DD0B01"/>
    <w:rsid w:val="00DD0B9A"/>
    <w:rsid w:val="00DD0CBB"/>
    <w:rsid w:val="00DD0D46"/>
    <w:rsid w:val="00DD0EB9"/>
    <w:rsid w:val="00DD190F"/>
    <w:rsid w:val="00DD1B50"/>
    <w:rsid w:val="00DD1BA8"/>
    <w:rsid w:val="00DD2C9C"/>
    <w:rsid w:val="00DD2F71"/>
    <w:rsid w:val="00DD3024"/>
    <w:rsid w:val="00DD3071"/>
    <w:rsid w:val="00DD341E"/>
    <w:rsid w:val="00DD3643"/>
    <w:rsid w:val="00DD3EA1"/>
    <w:rsid w:val="00DD3F47"/>
    <w:rsid w:val="00DD3FD7"/>
    <w:rsid w:val="00DD44DF"/>
    <w:rsid w:val="00DD462F"/>
    <w:rsid w:val="00DD4963"/>
    <w:rsid w:val="00DD4BE8"/>
    <w:rsid w:val="00DD500A"/>
    <w:rsid w:val="00DD5321"/>
    <w:rsid w:val="00DD5A5F"/>
    <w:rsid w:val="00DD5C2A"/>
    <w:rsid w:val="00DD5D32"/>
    <w:rsid w:val="00DD5FA0"/>
    <w:rsid w:val="00DD60B2"/>
    <w:rsid w:val="00DD60B9"/>
    <w:rsid w:val="00DD6335"/>
    <w:rsid w:val="00DD63FD"/>
    <w:rsid w:val="00DD647A"/>
    <w:rsid w:val="00DD6533"/>
    <w:rsid w:val="00DD6985"/>
    <w:rsid w:val="00DD719B"/>
    <w:rsid w:val="00DD7256"/>
    <w:rsid w:val="00DE04A8"/>
    <w:rsid w:val="00DE0BC3"/>
    <w:rsid w:val="00DE0E48"/>
    <w:rsid w:val="00DE0F01"/>
    <w:rsid w:val="00DE1315"/>
    <w:rsid w:val="00DE1428"/>
    <w:rsid w:val="00DE18F1"/>
    <w:rsid w:val="00DE1B47"/>
    <w:rsid w:val="00DE1BD9"/>
    <w:rsid w:val="00DE1D76"/>
    <w:rsid w:val="00DE1EA7"/>
    <w:rsid w:val="00DE2657"/>
    <w:rsid w:val="00DE2C91"/>
    <w:rsid w:val="00DE32FA"/>
    <w:rsid w:val="00DE3A9D"/>
    <w:rsid w:val="00DE3C80"/>
    <w:rsid w:val="00DE3D3A"/>
    <w:rsid w:val="00DE3EB1"/>
    <w:rsid w:val="00DE453B"/>
    <w:rsid w:val="00DE46F8"/>
    <w:rsid w:val="00DE4981"/>
    <w:rsid w:val="00DE4E3F"/>
    <w:rsid w:val="00DE5301"/>
    <w:rsid w:val="00DE5494"/>
    <w:rsid w:val="00DE55B8"/>
    <w:rsid w:val="00DE5D5E"/>
    <w:rsid w:val="00DE66A1"/>
    <w:rsid w:val="00DE6721"/>
    <w:rsid w:val="00DE6BED"/>
    <w:rsid w:val="00DE6C38"/>
    <w:rsid w:val="00DE6CB5"/>
    <w:rsid w:val="00DE70B1"/>
    <w:rsid w:val="00DE73B5"/>
    <w:rsid w:val="00DE7434"/>
    <w:rsid w:val="00DE7556"/>
    <w:rsid w:val="00DE75D7"/>
    <w:rsid w:val="00DE76FA"/>
    <w:rsid w:val="00DF03E3"/>
    <w:rsid w:val="00DF0889"/>
    <w:rsid w:val="00DF091A"/>
    <w:rsid w:val="00DF0A6B"/>
    <w:rsid w:val="00DF1095"/>
    <w:rsid w:val="00DF11D2"/>
    <w:rsid w:val="00DF12B5"/>
    <w:rsid w:val="00DF157F"/>
    <w:rsid w:val="00DF1C22"/>
    <w:rsid w:val="00DF1C24"/>
    <w:rsid w:val="00DF1CE1"/>
    <w:rsid w:val="00DF1F2F"/>
    <w:rsid w:val="00DF2197"/>
    <w:rsid w:val="00DF219A"/>
    <w:rsid w:val="00DF25CC"/>
    <w:rsid w:val="00DF2762"/>
    <w:rsid w:val="00DF2BA3"/>
    <w:rsid w:val="00DF2DFB"/>
    <w:rsid w:val="00DF30BF"/>
    <w:rsid w:val="00DF3225"/>
    <w:rsid w:val="00DF3C8F"/>
    <w:rsid w:val="00DF3CD0"/>
    <w:rsid w:val="00DF3DC4"/>
    <w:rsid w:val="00DF3E0A"/>
    <w:rsid w:val="00DF4049"/>
    <w:rsid w:val="00DF43A8"/>
    <w:rsid w:val="00DF49DA"/>
    <w:rsid w:val="00DF4A4E"/>
    <w:rsid w:val="00DF4BF6"/>
    <w:rsid w:val="00DF4C61"/>
    <w:rsid w:val="00DF53B4"/>
    <w:rsid w:val="00DF564A"/>
    <w:rsid w:val="00DF5BD6"/>
    <w:rsid w:val="00DF5E20"/>
    <w:rsid w:val="00DF63AB"/>
    <w:rsid w:val="00DF6605"/>
    <w:rsid w:val="00DF6851"/>
    <w:rsid w:val="00DF6A2C"/>
    <w:rsid w:val="00DF6B2A"/>
    <w:rsid w:val="00DF6D7D"/>
    <w:rsid w:val="00DF6E8C"/>
    <w:rsid w:val="00DF72F2"/>
    <w:rsid w:val="00DF7585"/>
    <w:rsid w:val="00DF7CE8"/>
    <w:rsid w:val="00DF7D37"/>
    <w:rsid w:val="00DF7FB1"/>
    <w:rsid w:val="00E00372"/>
    <w:rsid w:val="00E006FF"/>
    <w:rsid w:val="00E007B7"/>
    <w:rsid w:val="00E009E8"/>
    <w:rsid w:val="00E00A15"/>
    <w:rsid w:val="00E00B93"/>
    <w:rsid w:val="00E0116F"/>
    <w:rsid w:val="00E01684"/>
    <w:rsid w:val="00E01721"/>
    <w:rsid w:val="00E01813"/>
    <w:rsid w:val="00E01A7B"/>
    <w:rsid w:val="00E01B72"/>
    <w:rsid w:val="00E01F9A"/>
    <w:rsid w:val="00E01FF7"/>
    <w:rsid w:val="00E0216E"/>
    <w:rsid w:val="00E0243F"/>
    <w:rsid w:val="00E02D7B"/>
    <w:rsid w:val="00E033EC"/>
    <w:rsid w:val="00E03713"/>
    <w:rsid w:val="00E0391B"/>
    <w:rsid w:val="00E03AD7"/>
    <w:rsid w:val="00E03FAC"/>
    <w:rsid w:val="00E041EA"/>
    <w:rsid w:val="00E04887"/>
    <w:rsid w:val="00E04B5C"/>
    <w:rsid w:val="00E04C95"/>
    <w:rsid w:val="00E04EBB"/>
    <w:rsid w:val="00E0561D"/>
    <w:rsid w:val="00E0575A"/>
    <w:rsid w:val="00E060BD"/>
    <w:rsid w:val="00E069E1"/>
    <w:rsid w:val="00E06DF6"/>
    <w:rsid w:val="00E078FD"/>
    <w:rsid w:val="00E101A9"/>
    <w:rsid w:val="00E105F9"/>
    <w:rsid w:val="00E1086B"/>
    <w:rsid w:val="00E10892"/>
    <w:rsid w:val="00E109D5"/>
    <w:rsid w:val="00E10CBF"/>
    <w:rsid w:val="00E10EC2"/>
    <w:rsid w:val="00E10EF0"/>
    <w:rsid w:val="00E111EA"/>
    <w:rsid w:val="00E1120D"/>
    <w:rsid w:val="00E11410"/>
    <w:rsid w:val="00E114FF"/>
    <w:rsid w:val="00E12068"/>
    <w:rsid w:val="00E120D6"/>
    <w:rsid w:val="00E125A8"/>
    <w:rsid w:val="00E12717"/>
    <w:rsid w:val="00E12FBA"/>
    <w:rsid w:val="00E130C9"/>
    <w:rsid w:val="00E131DA"/>
    <w:rsid w:val="00E133AB"/>
    <w:rsid w:val="00E133CB"/>
    <w:rsid w:val="00E13841"/>
    <w:rsid w:val="00E13859"/>
    <w:rsid w:val="00E13C5E"/>
    <w:rsid w:val="00E14043"/>
    <w:rsid w:val="00E1417B"/>
    <w:rsid w:val="00E14247"/>
    <w:rsid w:val="00E14350"/>
    <w:rsid w:val="00E1437D"/>
    <w:rsid w:val="00E14608"/>
    <w:rsid w:val="00E149FC"/>
    <w:rsid w:val="00E14EEA"/>
    <w:rsid w:val="00E14FED"/>
    <w:rsid w:val="00E15223"/>
    <w:rsid w:val="00E153AA"/>
    <w:rsid w:val="00E157A0"/>
    <w:rsid w:val="00E15A98"/>
    <w:rsid w:val="00E15B90"/>
    <w:rsid w:val="00E15FD0"/>
    <w:rsid w:val="00E1621F"/>
    <w:rsid w:val="00E16360"/>
    <w:rsid w:val="00E16D48"/>
    <w:rsid w:val="00E17194"/>
    <w:rsid w:val="00E1738C"/>
    <w:rsid w:val="00E175C1"/>
    <w:rsid w:val="00E176AE"/>
    <w:rsid w:val="00E17A66"/>
    <w:rsid w:val="00E17EEA"/>
    <w:rsid w:val="00E200CF"/>
    <w:rsid w:val="00E205D6"/>
    <w:rsid w:val="00E20B69"/>
    <w:rsid w:val="00E20CF3"/>
    <w:rsid w:val="00E21114"/>
    <w:rsid w:val="00E21209"/>
    <w:rsid w:val="00E2141F"/>
    <w:rsid w:val="00E218DF"/>
    <w:rsid w:val="00E21B5A"/>
    <w:rsid w:val="00E2216B"/>
    <w:rsid w:val="00E22281"/>
    <w:rsid w:val="00E22673"/>
    <w:rsid w:val="00E22B15"/>
    <w:rsid w:val="00E22D25"/>
    <w:rsid w:val="00E22DEE"/>
    <w:rsid w:val="00E22F9C"/>
    <w:rsid w:val="00E2336D"/>
    <w:rsid w:val="00E2354A"/>
    <w:rsid w:val="00E2355C"/>
    <w:rsid w:val="00E2362B"/>
    <w:rsid w:val="00E23642"/>
    <w:rsid w:val="00E2380E"/>
    <w:rsid w:val="00E2390F"/>
    <w:rsid w:val="00E23AE0"/>
    <w:rsid w:val="00E23C12"/>
    <w:rsid w:val="00E23F18"/>
    <w:rsid w:val="00E2471D"/>
    <w:rsid w:val="00E24953"/>
    <w:rsid w:val="00E24EBD"/>
    <w:rsid w:val="00E24ED1"/>
    <w:rsid w:val="00E257DA"/>
    <w:rsid w:val="00E25B6E"/>
    <w:rsid w:val="00E25CC6"/>
    <w:rsid w:val="00E263FD"/>
    <w:rsid w:val="00E265A7"/>
    <w:rsid w:val="00E266A6"/>
    <w:rsid w:val="00E26F27"/>
    <w:rsid w:val="00E26F5F"/>
    <w:rsid w:val="00E26F6F"/>
    <w:rsid w:val="00E27890"/>
    <w:rsid w:val="00E27EB6"/>
    <w:rsid w:val="00E3001C"/>
    <w:rsid w:val="00E30123"/>
    <w:rsid w:val="00E3059B"/>
    <w:rsid w:val="00E308E5"/>
    <w:rsid w:val="00E30952"/>
    <w:rsid w:val="00E31057"/>
    <w:rsid w:val="00E3141A"/>
    <w:rsid w:val="00E316D5"/>
    <w:rsid w:val="00E31E03"/>
    <w:rsid w:val="00E321C8"/>
    <w:rsid w:val="00E32242"/>
    <w:rsid w:val="00E32426"/>
    <w:rsid w:val="00E3248E"/>
    <w:rsid w:val="00E327E5"/>
    <w:rsid w:val="00E32A88"/>
    <w:rsid w:val="00E330EE"/>
    <w:rsid w:val="00E331CF"/>
    <w:rsid w:val="00E332CA"/>
    <w:rsid w:val="00E3342A"/>
    <w:rsid w:val="00E33A75"/>
    <w:rsid w:val="00E33CB2"/>
    <w:rsid w:val="00E33DDC"/>
    <w:rsid w:val="00E33E3B"/>
    <w:rsid w:val="00E346EC"/>
    <w:rsid w:val="00E347DE"/>
    <w:rsid w:val="00E34A86"/>
    <w:rsid w:val="00E35DC7"/>
    <w:rsid w:val="00E35E82"/>
    <w:rsid w:val="00E36598"/>
    <w:rsid w:val="00E36700"/>
    <w:rsid w:val="00E367BA"/>
    <w:rsid w:val="00E36FF9"/>
    <w:rsid w:val="00E37018"/>
    <w:rsid w:val="00E3703F"/>
    <w:rsid w:val="00E372D7"/>
    <w:rsid w:val="00E37616"/>
    <w:rsid w:val="00E37F4C"/>
    <w:rsid w:val="00E401AB"/>
    <w:rsid w:val="00E40463"/>
    <w:rsid w:val="00E4099B"/>
    <w:rsid w:val="00E40ADE"/>
    <w:rsid w:val="00E40B85"/>
    <w:rsid w:val="00E40E93"/>
    <w:rsid w:val="00E411A7"/>
    <w:rsid w:val="00E41275"/>
    <w:rsid w:val="00E4161C"/>
    <w:rsid w:val="00E419E0"/>
    <w:rsid w:val="00E41EF7"/>
    <w:rsid w:val="00E41FA4"/>
    <w:rsid w:val="00E424A5"/>
    <w:rsid w:val="00E42589"/>
    <w:rsid w:val="00E42594"/>
    <w:rsid w:val="00E42817"/>
    <w:rsid w:val="00E42CDF"/>
    <w:rsid w:val="00E42EDB"/>
    <w:rsid w:val="00E430D3"/>
    <w:rsid w:val="00E441B6"/>
    <w:rsid w:val="00E44260"/>
    <w:rsid w:val="00E447C7"/>
    <w:rsid w:val="00E449C5"/>
    <w:rsid w:val="00E44B8C"/>
    <w:rsid w:val="00E45079"/>
    <w:rsid w:val="00E45186"/>
    <w:rsid w:val="00E45570"/>
    <w:rsid w:val="00E45AA9"/>
    <w:rsid w:val="00E462B4"/>
    <w:rsid w:val="00E466A7"/>
    <w:rsid w:val="00E467D0"/>
    <w:rsid w:val="00E46A79"/>
    <w:rsid w:val="00E470BD"/>
    <w:rsid w:val="00E47152"/>
    <w:rsid w:val="00E472CB"/>
    <w:rsid w:val="00E47CBA"/>
    <w:rsid w:val="00E47D3B"/>
    <w:rsid w:val="00E47E41"/>
    <w:rsid w:val="00E50051"/>
    <w:rsid w:val="00E50FEB"/>
    <w:rsid w:val="00E5110D"/>
    <w:rsid w:val="00E515EB"/>
    <w:rsid w:val="00E51669"/>
    <w:rsid w:val="00E51831"/>
    <w:rsid w:val="00E51C65"/>
    <w:rsid w:val="00E51DCC"/>
    <w:rsid w:val="00E51F20"/>
    <w:rsid w:val="00E52407"/>
    <w:rsid w:val="00E5245D"/>
    <w:rsid w:val="00E52A31"/>
    <w:rsid w:val="00E52C70"/>
    <w:rsid w:val="00E531D7"/>
    <w:rsid w:val="00E5329A"/>
    <w:rsid w:val="00E53600"/>
    <w:rsid w:val="00E53802"/>
    <w:rsid w:val="00E53E1F"/>
    <w:rsid w:val="00E544E7"/>
    <w:rsid w:val="00E54531"/>
    <w:rsid w:val="00E548AF"/>
    <w:rsid w:val="00E54D7D"/>
    <w:rsid w:val="00E553D4"/>
    <w:rsid w:val="00E55E39"/>
    <w:rsid w:val="00E55E8E"/>
    <w:rsid w:val="00E55ED4"/>
    <w:rsid w:val="00E5675B"/>
    <w:rsid w:val="00E57292"/>
    <w:rsid w:val="00E57B09"/>
    <w:rsid w:val="00E57F2E"/>
    <w:rsid w:val="00E6000C"/>
    <w:rsid w:val="00E601C9"/>
    <w:rsid w:val="00E6072B"/>
    <w:rsid w:val="00E609BA"/>
    <w:rsid w:val="00E61253"/>
    <w:rsid w:val="00E6134E"/>
    <w:rsid w:val="00E62023"/>
    <w:rsid w:val="00E62152"/>
    <w:rsid w:val="00E6215F"/>
    <w:rsid w:val="00E627BB"/>
    <w:rsid w:val="00E62930"/>
    <w:rsid w:val="00E6294E"/>
    <w:rsid w:val="00E629D7"/>
    <w:rsid w:val="00E62F2B"/>
    <w:rsid w:val="00E63064"/>
    <w:rsid w:val="00E632BB"/>
    <w:rsid w:val="00E63576"/>
    <w:rsid w:val="00E635C7"/>
    <w:rsid w:val="00E63769"/>
    <w:rsid w:val="00E63BBF"/>
    <w:rsid w:val="00E64075"/>
    <w:rsid w:val="00E64F2D"/>
    <w:rsid w:val="00E64FEE"/>
    <w:rsid w:val="00E6510A"/>
    <w:rsid w:val="00E65139"/>
    <w:rsid w:val="00E6540A"/>
    <w:rsid w:val="00E655FE"/>
    <w:rsid w:val="00E65951"/>
    <w:rsid w:val="00E65FAF"/>
    <w:rsid w:val="00E66088"/>
    <w:rsid w:val="00E660C5"/>
    <w:rsid w:val="00E6680E"/>
    <w:rsid w:val="00E66B8D"/>
    <w:rsid w:val="00E67FEF"/>
    <w:rsid w:val="00E7080F"/>
    <w:rsid w:val="00E708B3"/>
    <w:rsid w:val="00E708FE"/>
    <w:rsid w:val="00E70CDE"/>
    <w:rsid w:val="00E7117E"/>
    <w:rsid w:val="00E71478"/>
    <w:rsid w:val="00E717A8"/>
    <w:rsid w:val="00E71A8A"/>
    <w:rsid w:val="00E71C21"/>
    <w:rsid w:val="00E72279"/>
    <w:rsid w:val="00E72B07"/>
    <w:rsid w:val="00E72BEB"/>
    <w:rsid w:val="00E737E2"/>
    <w:rsid w:val="00E73EB4"/>
    <w:rsid w:val="00E73FA4"/>
    <w:rsid w:val="00E74243"/>
    <w:rsid w:val="00E74254"/>
    <w:rsid w:val="00E744BE"/>
    <w:rsid w:val="00E74A2E"/>
    <w:rsid w:val="00E74AC8"/>
    <w:rsid w:val="00E74FA3"/>
    <w:rsid w:val="00E755E6"/>
    <w:rsid w:val="00E7579C"/>
    <w:rsid w:val="00E75B72"/>
    <w:rsid w:val="00E7615D"/>
    <w:rsid w:val="00E7623A"/>
    <w:rsid w:val="00E7644D"/>
    <w:rsid w:val="00E76678"/>
    <w:rsid w:val="00E767D9"/>
    <w:rsid w:val="00E768BF"/>
    <w:rsid w:val="00E76CB2"/>
    <w:rsid w:val="00E770B7"/>
    <w:rsid w:val="00E77119"/>
    <w:rsid w:val="00E773BC"/>
    <w:rsid w:val="00E775EF"/>
    <w:rsid w:val="00E77E85"/>
    <w:rsid w:val="00E77F3B"/>
    <w:rsid w:val="00E8030C"/>
    <w:rsid w:val="00E8033F"/>
    <w:rsid w:val="00E80376"/>
    <w:rsid w:val="00E80747"/>
    <w:rsid w:val="00E80BAC"/>
    <w:rsid w:val="00E80C72"/>
    <w:rsid w:val="00E80DF5"/>
    <w:rsid w:val="00E80E9B"/>
    <w:rsid w:val="00E81739"/>
    <w:rsid w:val="00E8174A"/>
    <w:rsid w:val="00E81D2C"/>
    <w:rsid w:val="00E824F7"/>
    <w:rsid w:val="00E826D4"/>
    <w:rsid w:val="00E82781"/>
    <w:rsid w:val="00E82909"/>
    <w:rsid w:val="00E829F5"/>
    <w:rsid w:val="00E82B17"/>
    <w:rsid w:val="00E83005"/>
    <w:rsid w:val="00E830B2"/>
    <w:rsid w:val="00E832F8"/>
    <w:rsid w:val="00E833AE"/>
    <w:rsid w:val="00E83B29"/>
    <w:rsid w:val="00E84036"/>
    <w:rsid w:val="00E8424D"/>
    <w:rsid w:val="00E842BA"/>
    <w:rsid w:val="00E84410"/>
    <w:rsid w:val="00E84866"/>
    <w:rsid w:val="00E84989"/>
    <w:rsid w:val="00E84AE6"/>
    <w:rsid w:val="00E84CD2"/>
    <w:rsid w:val="00E84D12"/>
    <w:rsid w:val="00E85063"/>
    <w:rsid w:val="00E850ED"/>
    <w:rsid w:val="00E852C2"/>
    <w:rsid w:val="00E852F7"/>
    <w:rsid w:val="00E8565B"/>
    <w:rsid w:val="00E8569E"/>
    <w:rsid w:val="00E856DD"/>
    <w:rsid w:val="00E85983"/>
    <w:rsid w:val="00E859A9"/>
    <w:rsid w:val="00E85A69"/>
    <w:rsid w:val="00E85BA1"/>
    <w:rsid w:val="00E85F8F"/>
    <w:rsid w:val="00E860EA"/>
    <w:rsid w:val="00E86394"/>
    <w:rsid w:val="00E86604"/>
    <w:rsid w:val="00E86850"/>
    <w:rsid w:val="00E86A36"/>
    <w:rsid w:val="00E86B6C"/>
    <w:rsid w:val="00E86F8E"/>
    <w:rsid w:val="00E87020"/>
    <w:rsid w:val="00E870BF"/>
    <w:rsid w:val="00E875D1"/>
    <w:rsid w:val="00E87CFB"/>
    <w:rsid w:val="00E9010D"/>
    <w:rsid w:val="00E9012D"/>
    <w:rsid w:val="00E90221"/>
    <w:rsid w:val="00E90C2B"/>
    <w:rsid w:val="00E90F69"/>
    <w:rsid w:val="00E910A8"/>
    <w:rsid w:val="00E91197"/>
    <w:rsid w:val="00E913E0"/>
    <w:rsid w:val="00E91407"/>
    <w:rsid w:val="00E917C3"/>
    <w:rsid w:val="00E91B58"/>
    <w:rsid w:val="00E91C18"/>
    <w:rsid w:val="00E92112"/>
    <w:rsid w:val="00E927B1"/>
    <w:rsid w:val="00E927DF"/>
    <w:rsid w:val="00E932CD"/>
    <w:rsid w:val="00E932F0"/>
    <w:rsid w:val="00E9338E"/>
    <w:rsid w:val="00E934CE"/>
    <w:rsid w:val="00E93502"/>
    <w:rsid w:val="00E93891"/>
    <w:rsid w:val="00E940BA"/>
    <w:rsid w:val="00E9418F"/>
    <w:rsid w:val="00E941FD"/>
    <w:rsid w:val="00E94475"/>
    <w:rsid w:val="00E94AC7"/>
    <w:rsid w:val="00E94BB8"/>
    <w:rsid w:val="00E955B3"/>
    <w:rsid w:val="00E955F7"/>
    <w:rsid w:val="00E95632"/>
    <w:rsid w:val="00E95916"/>
    <w:rsid w:val="00E95983"/>
    <w:rsid w:val="00E95D67"/>
    <w:rsid w:val="00E95EA1"/>
    <w:rsid w:val="00E96036"/>
    <w:rsid w:val="00E960B6"/>
    <w:rsid w:val="00E968CF"/>
    <w:rsid w:val="00E96A73"/>
    <w:rsid w:val="00E96B62"/>
    <w:rsid w:val="00E96C30"/>
    <w:rsid w:val="00E9708E"/>
    <w:rsid w:val="00E9708F"/>
    <w:rsid w:val="00E9716E"/>
    <w:rsid w:val="00E97379"/>
    <w:rsid w:val="00E97506"/>
    <w:rsid w:val="00E976D6"/>
    <w:rsid w:val="00E9778C"/>
    <w:rsid w:val="00E97889"/>
    <w:rsid w:val="00EA0378"/>
    <w:rsid w:val="00EA0495"/>
    <w:rsid w:val="00EA05EC"/>
    <w:rsid w:val="00EA0908"/>
    <w:rsid w:val="00EA09C7"/>
    <w:rsid w:val="00EA0EF4"/>
    <w:rsid w:val="00EA2079"/>
    <w:rsid w:val="00EA2394"/>
    <w:rsid w:val="00EA24B5"/>
    <w:rsid w:val="00EA27DF"/>
    <w:rsid w:val="00EA2ABF"/>
    <w:rsid w:val="00EA2C26"/>
    <w:rsid w:val="00EA33C0"/>
    <w:rsid w:val="00EA34AD"/>
    <w:rsid w:val="00EA36AB"/>
    <w:rsid w:val="00EA3729"/>
    <w:rsid w:val="00EA3B4F"/>
    <w:rsid w:val="00EA3D90"/>
    <w:rsid w:val="00EA407B"/>
    <w:rsid w:val="00EA42B1"/>
    <w:rsid w:val="00EA45A1"/>
    <w:rsid w:val="00EA45E5"/>
    <w:rsid w:val="00EA4D57"/>
    <w:rsid w:val="00EA5CDD"/>
    <w:rsid w:val="00EA5D3A"/>
    <w:rsid w:val="00EA5DF9"/>
    <w:rsid w:val="00EA60CA"/>
    <w:rsid w:val="00EA667F"/>
    <w:rsid w:val="00EA672C"/>
    <w:rsid w:val="00EA6984"/>
    <w:rsid w:val="00EA6A60"/>
    <w:rsid w:val="00EA6B14"/>
    <w:rsid w:val="00EA719D"/>
    <w:rsid w:val="00EA74CE"/>
    <w:rsid w:val="00EA789E"/>
    <w:rsid w:val="00EA78FF"/>
    <w:rsid w:val="00EA7C10"/>
    <w:rsid w:val="00EA7C33"/>
    <w:rsid w:val="00EA7EAD"/>
    <w:rsid w:val="00EA7F1B"/>
    <w:rsid w:val="00EB0034"/>
    <w:rsid w:val="00EB034A"/>
    <w:rsid w:val="00EB040E"/>
    <w:rsid w:val="00EB085C"/>
    <w:rsid w:val="00EB0C28"/>
    <w:rsid w:val="00EB0C74"/>
    <w:rsid w:val="00EB0CD4"/>
    <w:rsid w:val="00EB0E7B"/>
    <w:rsid w:val="00EB153E"/>
    <w:rsid w:val="00EB1C19"/>
    <w:rsid w:val="00EB1E9D"/>
    <w:rsid w:val="00EB246A"/>
    <w:rsid w:val="00EB2B1E"/>
    <w:rsid w:val="00EB2FE9"/>
    <w:rsid w:val="00EB320B"/>
    <w:rsid w:val="00EB3688"/>
    <w:rsid w:val="00EB385F"/>
    <w:rsid w:val="00EB3BB9"/>
    <w:rsid w:val="00EB3E2E"/>
    <w:rsid w:val="00EB47B7"/>
    <w:rsid w:val="00EB48CF"/>
    <w:rsid w:val="00EB4D3A"/>
    <w:rsid w:val="00EB53CA"/>
    <w:rsid w:val="00EB55B7"/>
    <w:rsid w:val="00EB57AA"/>
    <w:rsid w:val="00EB5973"/>
    <w:rsid w:val="00EB5BEE"/>
    <w:rsid w:val="00EB6059"/>
    <w:rsid w:val="00EB6217"/>
    <w:rsid w:val="00EB6711"/>
    <w:rsid w:val="00EB6A63"/>
    <w:rsid w:val="00EB6C08"/>
    <w:rsid w:val="00EB6C37"/>
    <w:rsid w:val="00EB6D50"/>
    <w:rsid w:val="00EB766F"/>
    <w:rsid w:val="00EB7DBC"/>
    <w:rsid w:val="00EB7EB1"/>
    <w:rsid w:val="00EC007B"/>
    <w:rsid w:val="00EC0157"/>
    <w:rsid w:val="00EC0391"/>
    <w:rsid w:val="00EC0759"/>
    <w:rsid w:val="00EC08E7"/>
    <w:rsid w:val="00EC094A"/>
    <w:rsid w:val="00EC0CD1"/>
    <w:rsid w:val="00EC0CFD"/>
    <w:rsid w:val="00EC0DD5"/>
    <w:rsid w:val="00EC1AAE"/>
    <w:rsid w:val="00EC2330"/>
    <w:rsid w:val="00EC2623"/>
    <w:rsid w:val="00EC2A23"/>
    <w:rsid w:val="00EC2BC4"/>
    <w:rsid w:val="00EC2D14"/>
    <w:rsid w:val="00EC3039"/>
    <w:rsid w:val="00EC335C"/>
    <w:rsid w:val="00EC43FF"/>
    <w:rsid w:val="00EC45DE"/>
    <w:rsid w:val="00EC4605"/>
    <w:rsid w:val="00EC4757"/>
    <w:rsid w:val="00EC4B0B"/>
    <w:rsid w:val="00EC4D93"/>
    <w:rsid w:val="00EC4F0C"/>
    <w:rsid w:val="00EC50EB"/>
    <w:rsid w:val="00EC5165"/>
    <w:rsid w:val="00EC54D1"/>
    <w:rsid w:val="00EC55EA"/>
    <w:rsid w:val="00EC5B76"/>
    <w:rsid w:val="00EC5E4F"/>
    <w:rsid w:val="00EC681D"/>
    <w:rsid w:val="00EC6C80"/>
    <w:rsid w:val="00EC6E45"/>
    <w:rsid w:val="00EC7552"/>
    <w:rsid w:val="00EC7667"/>
    <w:rsid w:val="00EC77A0"/>
    <w:rsid w:val="00EC790F"/>
    <w:rsid w:val="00EC79D0"/>
    <w:rsid w:val="00EC7BEE"/>
    <w:rsid w:val="00EC7BFA"/>
    <w:rsid w:val="00EC7DB2"/>
    <w:rsid w:val="00EC7E03"/>
    <w:rsid w:val="00ED011B"/>
    <w:rsid w:val="00ED03A0"/>
    <w:rsid w:val="00ED03A6"/>
    <w:rsid w:val="00ED063D"/>
    <w:rsid w:val="00ED08A0"/>
    <w:rsid w:val="00ED0E7B"/>
    <w:rsid w:val="00ED134B"/>
    <w:rsid w:val="00ED15B6"/>
    <w:rsid w:val="00ED166C"/>
    <w:rsid w:val="00ED1A67"/>
    <w:rsid w:val="00ED1D07"/>
    <w:rsid w:val="00ED1EFA"/>
    <w:rsid w:val="00ED1F78"/>
    <w:rsid w:val="00ED22AA"/>
    <w:rsid w:val="00ED2746"/>
    <w:rsid w:val="00ED284E"/>
    <w:rsid w:val="00ED2AEC"/>
    <w:rsid w:val="00ED2C97"/>
    <w:rsid w:val="00ED391F"/>
    <w:rsid w:val="00ED39F3"/>
    <w:rsid w:val="00ED3AA5"/>
    <w:rsid w:val="00ED3B61"/>
    <w:rsid w:val="00ED3B72"/>
    <w:rsid w:val="00ED3E03"/>
    <w:rsid w:val="00ED3EF5"/>
    <w:rsid w:val="00ED441E"/>
    <w:rsid w:val="00ED45C3"/>
    <w:rsid w:val="00ED4713"/>
    <w:rsid w:val="00ED4D05"/>
    <w:rsid w:val="00ED5865"/>
    <w:rsid w:val="00ED58B1"/>
    <w:rsid w:val="00ED5A10"/>
    <w:rsid w:val="00ED5EF8"/>
    <w:rsid w:val="00ED5F71"/>
    <w:rsid w:val="00ED6058"/>
    <w:rsid w:val="00ED63EB"/>
    <w:rsid w:val="00ED6624"/>
    <w:rsid w:val="00ED6939"/>
    <w:rsid w:val="00ED6990"/>
    <w:rsid w:val="00ED7373"/>
    <w:rsid w:val="00ED73B0"/>
    <w:rsid w:val="00ED73BE"/>
    <w:rsid w:val="00ED752D"/>
    <w:rsid w:val="00ED7DB1"/>
    <w:rsid w:val="00ED7DD7"/>
    <w:rsid w:val="00EE00A6"/>
    <w:rsid w:val="00EE0152"/>
    <w:rsid w:val="00EE017C"/>
    <w:rsid w:val="00EE01F7"/>
    <w:rsid w:val="00EE0209"/>
    <w:rsid w:val="00EE0886"/>
    <w:rsid w:val="00EE0CB1"/>
    <w:rsid w:val="00EE0D64"/>
    <w:rsid w:val="00EE0FC4"/>
    <w:rsid w:val="00EE1004"/>
    <w:rsid w:val="00EE1118"/>
    <w:rsid w:val="00EE1155"/>
    <w:rsid w:val="00EE1446"/>
    <w:rsid w:val="00EE1BD5"/>
    <w:rsid w:val="00EE1C46"/>
    <w:rsid w:val="00EE21E5"/>
    <w:rsid w:val="00EE2314"/>
    <w:rsid w:val="00EE25CE"/>
    <w:rsid w:val="00EE25D5"/>
    <w:rsid w:val="00EE27D8"/>
    <w:rsid w:val="00EE2956"/>
    <w:rsid w:val="00EE3108"/>
    <w:rsid w:val="00EE3160"/>
    <w:rsid w:val="00EE31BE"/>
    <w:rsid w:val="00EE352B"/>
    <w:rsid w:val="00EE3664"/>
    <w:rsid w:val="00EE3A56"/>
    <w:rsid w:val="00EE46D0"/>
    <w:rsid w:val="00EE49DE"/>
    <w:rsid w:val="00EE4BD7"/>
    <w:rsid w:val="00EE4E9A"/>
    <w:rsid w:val="00EE4F7B"/>
    <w:rsid w:val="00EE5188"/>
    <w:rsid w:val="00EE51B8"/>
    <w:rsid w:val="00EE53B7"/>
    <w:rsid w:val="00EE5996"/>
    <w:rsid w:val="00EE5E3F"/>
    <w:rsid w:val="00EE61FF"/>
    <w:rsid w:val="00EE6203"/>
    <w:rsid w:val="00EE6215"/>
    <w:rsid w:val="00EE6223"/>
    <w:rsid w:val="00EE64FC"/>
    <w:rsid w:val="00EE67A0"/>
    <w:rsid w:val="00EE6A16"/>
    <w:rsid w:val="00EE6CF1"/>
    <w:rsid w:val="00EE6D7B"/>
    <w:rsid w:val="00EE716E"/>
    <w:rsid w:val="00EE72DB"/>
    <w:rsid w:val="00EE738D"/>
    <w:rsid w:val="00EE75A2"/>
    <w:rsid w:val="00EE75E5"/>
    <w:rsid w:val="00EE7BB2"/>
    <w:rsid w:val="00EE7CDE"/>
    <w:rsid w:val="00EF070E"/>
    <w:rsid w:val="00EF084C"/>
    <w:rsid w:val="00EF0C6D"/>
    <w:rsid w:val="00EF0D83"/>
    <w:rsid w:val="00EF0EF8"/>
    <w:rsid w:val="00EF0FFB"/>
    <w:rsid w:val="00EF1236"/>
    <w:rsid w:val="00EF134D"/>
    <w:rsid w:val="00EF14A7"/>
    <w:rsid w:val="00EF1535"/>
    <w:rsid w:val="00EF16B5"/>
    <w:rsid w:val="00EF1975"/>
    <w:rsid w:val="00EF1D1E"/>
    <w:rsid w:val="00EF207E"/>
    <w:rsid w:val="00EF2444"/>
    <w:rsid w:val="00EF26BA"/>
    <w:rsid w:val="00EF31F3"/>
    <w:rsid w:val="00EF3567"/>
    <w:rsid w:val="00EF35EF"/>
    <w:rsid w:val="00EF3D17"/>
    <w:rsid w:val="00EF3F53"/>
    <w:rsid w:val="00EF40AB"/>
    <w:rsid w:val="00EF43D4"/>
    <w:rsid w:val="00EF4596"/>
    <w:rsid w:val="00EF45CB"/>
    <w:rsid w:val="00EF4820"/>
    <w:rsid w:val="00EF4D11"/>
    <w:rsid w:val="00EF4DC4"/>
    <w:rsid w:val="00EF4EFF"/>
    <w:rsid w:val="00EF54CB"/>
    <w:rsid w:val="00EF56FD"/>
    <w:rsid w:val="00EF58F3"/>
    <w:rsid w:val="00EF5A2E"/>
    <w:rsid w:val="00EF5DB8"/>
    <w:rsid w:val="00EF5E53"/>
    <w:rsid w:val="00EF6248"/>
    <w:rsid w:val="00EF6350"/>
    <w:rsid w:val="00EF6BE8"/>
    <w:rsid w:val="00EF6CA4"/>
    <w:rsid w:val="00EF6D1D"/>
    <w:rsid w:val="00EF7018"/>
    <w:rsid w:val="00EF701C"/>
    <w:rsid w:val="00EF765E"/>
    <w:rsid w:val="00EF77F7"/>
    <w:rsid w:val="00EF7881"/>
    <w:rsid w:val="00EF7ECF"/>
    <w:rsid w:val="00F00921"/>
    <w:rsid w:val="00F00DC2"/>
    <w:rsid w:val="00F00DD8"/>
    <w:rsid w:val="00F00F1E"/>
    <w:rsid w:val="00F0127C"/>
    <w:rsid w:val="00F0159C"/>
    <w:rsid w:val="00F0162F"/>
    <w:rsid w:val="00F01848"/>
    <w:rsid w:val="00F01C59"/>
    <w:rsid w:val="00F01C5A"/>
    <w:rsid w:val="00F0217C"/>
    <w:rsid w:val="00F024AE"/>
    <w:rsid w:val="00F026CC"/>
    <w:rsid w:val="00F0299E"/>
    <w:rsid w:val="00F02BD3"/>
    <w:rsid w:val="00F0302D"/>
    <w:rsid w:val="00F03708"/>
    <w:rsid w:val="00F038C1"/>
    <w:rsid w:val="00F03B31"/>
    <w:rsid w:val="00F03B4E"/>
    <w:rsid w:val="00F03C97"/>
    <w:rsid w:val="00F03D6E"/>
    <w:rsid w:val="00F04043"/>
    <w:rsid w:val="00F042EF"/>
    <w:rsid w:val="00F04554"/>
    <w:rsid w:val="00F04718"/>
    <w:rsid w:val="00F0479F"/>
    <w:rsid w:val="00F050D4"/>
    <w:rsid w:val="00F0572E"/>
    <w:rsid w:val="00F05CC6"/>
    <w:rsid w:val="00F05FF4"/>
    <w:rsid w:val="00F0654E"/>
    <w:rsid w:val="00F06551"/>
    <w:rsid w:val="00F06CF4"/>
    <w:rsid w:val="00F06DBB"/>
    <w:rsid w:val="00F070B5"/>
    <w:rsid w:val="00F07330"/>
    <w:rsid w:val="00F07690"/>
    <w:rsid w:val="00F07A2C"/>
    <w:rsid w:val="00F101CA"/>
    <w:rsid w:val="00F102F3"/>
    <w:rsid w:val="00F10C1D"/>
    <w:rsid w:val="00F10D2F"/>
    <w:rsid w:val="00F10DA9"/>
    <w:rsid w:val="00F1103A"/>
    <w:rsid w:val="00F115BA"/>
    <w:rsid w:val="00F116B5"/>
    <w:rsid w:val="00F118F4"/>
    <w:rsid w:val="00F11E8A"/>
    <w:rsid w:val="00F11FE2"/>
    <w:rsid w:val="00F1210D"/>
    <w:rsid w:val="00F12213"/>
    <w:rsid w:val="00F12306"/>
    <w:rsid w:val="00F12597"/>
    <w:rsid w:val="00F12617"/>
    <w:rsid w:val="00F1299D"/>
    <w:rsid w:val="00F12A1B"/>
    <w:rsid w:val="00F12D4F"/>
    <w:rsid w:val="00F12DD6"/>
    <w:rsid w:val="00F12E06"/>
    <w:rsid w:val="00F12E1C"/>
    <w:rsid w:val="00F12E40"/>
    <w:rsid w:val="00F13620"/>
    <w:rsid w:val="00F13A3D"/>
    <w:rsid w:val="00F13D26"/>
    <w:rsid w:val="00F13D89"/>
    <w:rsid w:val="00F13F3F"/>
    <w:rsid w:val="00F143A3"/>
    <w:rsid w:val="00F14583"/>
    <w:rsid w:val="00F14D65"/>
    <w:rsid w:val="00F14E5A"/>
    <w:rsid w:val="00F15059"/>
    <w:rsid w:val="00F151B4"/>
    <w:rsid w:val="00F159B5"/>
    <w:rsid w:val="00F15B32"/>
    <w:rsid w:val="00F15EB5"/>
    <w:rsid w:val="00F163B9"/>
    <w:rsid w:val="00F163C6"/>
    <w:rsid w:val="00F168D9"/>
    <w:rsid w:val="00F16AC2"/>
    <w:rsid w:val="00F16B92"/>
    <w:rsid w:val="00F16BF2"/>
    <w:rsid w:val="00F16EF1"/>
    <w:rsid w:val="00F17003"/>
    <w:rsid w:val="00F170C6"/>
    <w:rsid w:val="00F17103"/>
    <w:rsid w:val="00F171A5"/>
    <w:rsid w:val="00F172E2"/>
    <w:rsid w:val="00F17369"/>
    <w:rsid w:val="00F17858"/>
    <w:rsid w:val="00F17D1C"/>
    <w:rsid w:val="00F20556"/>
    <w:rsid w:val="00F2088F"/>
    <w:rsid w:val="00F20A97"/>
    <w:rsid w:val="00F20E6E"/>
    <w:rsid w:val="00F21170"/>
    <w:rsid w:val="00F2124D"/>
    <w:rsid w:val="00F21317"/>
    <w:rsid w:val="00F218D8"/>
    <w:rsid w:val="00F21A10"/>
    <w:rsid w:val="00F21B50"/>
    <w:rsid w:val="00F21FAA"/>
    <w:rsid w:val="00F220C2"/>
    <w:rsid w:val="00F220F4"/>
    <w:rsid w:val="00F221D2"/>
    <w:rsid w:val="00F2224D"/>
    <w:rsid w:val="00F22559"/>
    <w:rsid w:val="00F22996"/>
    <w:rsid w:val="00F229A2"/>
    <w:rsid w:val="00F22C48"/>
    <w:rsid w:val="00F23011"/>
    <w:rsid w:val="00F23179"/>
    <w:rsid w:val="00F2321C"/>
    <w:rsid w:val="00F235AB"/>
    <w:rsid w:val="00F23D5B"/>
    <w:rsid w:val="00F23F59"/>
    <w:rsid w:val="00F23FC1"/>
    <w:rsid w:val="00F2457E"/>
    <w:rsid w:val="00F2463F"/>
    <w:rsid w:val="00F2483D"/>
    <w:rsid w:val="00F24846"/>
    <w:rsid w:val="00F24890"/>
    <w:rsid w:val="00F2502D"/>
    <w:rsid w:val="00F251E6"/>
    <w:rsid w:val="00F253FE"/>
    <w:rsid w:val="00F258EA"/>
    <w:rsid w:val="00F25E7B"/>
    <w:rsid w:val="00F25E95"/>
    <w:rsid w:val="00F26461"/>
    <w:rsid w:val="00F26CE2"/>
    <w:rsid w:val="00F270CB"/>
    <w:rsid w:val="00F2716D"/>
    <w:rsid w:val="00F272FF"/>
    <w:rsid w:val="00F27B7B"/>
    <w:rsid w:val="00F27BE3"/>
    <w:rsid w:val="00F27C5F"/>
    <w:rsid w:val="00F302EF"/>
    <w:rsid w:val="00F31269"/>
    <w:rsid w:val="00F3137C"/>
    <w:rsid w:val="00F313CE"/>
    <w:rsid w:val="00F31AF2"/>
    <w:rsid w:val="00F31CF2"/>
    <w:rsid w:val="00F32752"/>
    <w:rsid w:val="00F32AE1"/>
    <w:rsid w:val="00F32B72"/>
    <w:rsid w:val="00F32B8B"/>
    <w:rsid w:val="00F32C20"/>
    <w:rsid w:val="00F32D3E"/>
    <w:rsid w:val="00F33045"/>
    <w:rsid w:val="00F33221"/>
    <w:rsid w:val="00F333D4"/>
    <w:rsid w:val="00F33681"/>
    <w:rsid w:val="00F33E1C"/>
    <w:rsid w:val="00F34187"/>
    <w:rsid w:val="00F34207"/>
    <w:rsid w:val="00F34298"/>
    <w:rsid w:val="00F3484B"/>
    <w:rsid w:val="00F3485E"/>
    <w:rsid w:val="00F34A99"/>
    <w:rsid w:val="00F34B15"/>
    <w:rsid w:val="00F34CDC"/>
    <w:rsid w:val="00F35290"/>
    <w:rsid w:val="00F35375"/>
    <w:rsid w:val="00F3555B"/>
    <w:rsid w:val="00F35781"/>
    <w:rsid w:val="00F35BEC"/>
    <w:rsid w:val="00F35E2F"/>
    <w:rsid w:val="00F36217"/>
    <w:rsid w:val="00F36341"/>
    <w:rsid w:val="00F3651F"/>
    <w:rsid w:val="00F36A12"/>
    <w:rsid w:val="00F3703B"/>
    <w:rsid w:val="00F37149"/>
    <w:rsid w:val="00F372C1"/>
    <w:rsid w:val="00F37584"/>
    <w:rsid w:val="00F375A8"/>
    <w:rsid w:val="00F401D5"/>
    <w:rsid w:val="00F404AB"/>
    <w:rsid w:val="00F4148C"/>
    <w:rsid w:val="00F41628"/>
    <w:rsid w:val="00F41647"/>
    <w:rsid w:val="00F41681"/>
    <w:rsid w:val="00F41B56"/>
    <w:rsid w:val="00F41B6B"/>
    <w:rsid w:val="00F41DFB"/>
    <w:rsid w:val="00F42205"/>
    <w:rsid w:val="00F4236B"/>
    <w:rsid w:val="00F4290B"/>
    <w:rsid w:val="00F42937"/>
    <w:rsid w:val="00F42A5C"/>
    <w:rsid w:val="00F42C0B"/>
    <w:rsid w:val="00F42E95"/>
    <w:rsid w:val="00F43505"/>
    <w:rsid w:val="00F4351B"/>
    <w:rsid w:val="00F43781"/>
    <w:rsid w:val="00F43F70"/>
    <w:rsid w:val="00F44166"/>
    <w:rsid w:val="00F44426"/>
    <w:rsid w:val="00F4477F"/>
    <w:rsid w:val="00F447F3"/>
    <w:rsid w:val="00F4482E"/>
    <w:rsid w:val="00F4493B"/>
    <w:rsid w:val="00F44E68"/>
    <w:rsid w:val="00F45334"/>
    <w:rsid w:val="00F453C4"/>
    <w:rsid w:val="00F4557F"/>
    <w:rsid w:val="00F4569B"/>
    <w:rsid w:val="00F4579D"/>
    <w:rsid w:val="00F45A7D"/>
    <w:rsid w:val="00F45AA4"/>
    <w:rsid w:val="00F4618C"/>
    <w:rsid w:val="00F46392"/>
    <w:rsid w:val="00F46408"/>
    <w:rsid w:val="00F46455"/>
    <w:rsid w:val="00F46ABE"/>
    <w:rsid w:val="00F46DE4"/>
    <w:rsid w:val="00F47142"/>
    <w:rsid w:val="00F47299"/>
    <w:rsid w:val="00F47786"/>
    <w:rsid w:val="00F477C3"/>
    <w:rsid w:val="00F479CE"/>
    <w:rsid w:val="00F47FB8"/>
    <w:rsid w:val="00F500DD"/>
    <w:rsid w:val="00F50232"/>
    <w:rsid w:val="00F503CB"/>
    <w:rsid w:val="00F50700"/>
    <w:rsid w:val="00F508CF"/>
    <w:rsid w:val="00F50BD2"/>
    <w:rsid w:val="00F50CDC"/>
    <w:rsid w:val="00F50E19"/>
    <w:rsid w:val="00F50F99"/>
    <w:rsid w:val="00F5105C"/>
    <w:rsid w:val="00F511BC"/>
    <w:rsid w:val="00F513A1"/>
    <w:rsid w:val="00F5182A"/>
    <w:rsid w:val="00F519BD"/>
    <w:rsid w:val="00F51B97"/>
    <w:rsid w:val="00F51D94"/>
    <w:rsid w:val="00F52208"/>
    <w:rsid w:val="00F522FD"/>
    <w:rsid w:val="00F524A4"/>
    <w:rsid w:val="00F52629"/>
    <w:rsid w:val="00F5269C"/>
    <w:rsid w:val="00F52A06"/>
    <w:rsid w:val="00F52A79"/>
    <w:rsid w:val="00F52B06"/>
    <w:rsid w:val="00F52DF4"/>
    <w:rsid w:val="00F52FF9"/>
    <w:rsid w:val="00F53A18"/>
    <w:rsid w:val="00F53AF3"/>
    <w:rsid w:val="00F53C50"/>
    <w:rsid w:val="00F5401E"/>
    <w:rsid w:val="00F5413F"/>
    <w:rsid w:val="00F5436C"/>
    <w:rsid w:val="00F543E0"/>
    <w:rsid w:val="00F5456B"/>
    <w:rsid w:val="00F54738"/>
    <w:rsid w:val="00F549A1"/>
    <w:rsid w:val="00F54CD8"/>
    <w:rsid w:val="00F54E0C"/>
    <w:rsid w:val="00F55221"/>
    <w:rsid w:val="00F55CD4"/>
    <w:rsid w:val="00F55F17"/>
    <w:rsid w:val="00F56082"/>
    <w:rsid w:val="00F567AB"/>
    <w:rsid w:val="00F568DB"/>
    <w:rsid w:val="00F56E2F"/>
    <w:rsid w:val="00F57203"/>
    <w:rsid w:val="00F5744A"/>
    <w:rsid w:val="00F5752D"/>
    <w:rsid w:val="00F575EB"/>
    <w:rsid w:val="00F57A49"/>
    <w:rsid w:val="00F57A4C"/>
    <w:rsid w:val="00F57F17"/>
    <w:rsid w:val="00F600E4"/>
    <w:rsid w:val="00F6059F"/>
    <w:rsid w:val="00F60A64"/>
    <w:rsid w:val="00F60AAB"/>
    <w:rsid w:val="00F60F0E"/>
    <w:rsid w:val="00F612A5"/>
    <w:rsid w:val="00F61486"/>
    <w:rsid w:val="00F61598"/>
    <w:rsid w:val="00F620C0"/>
    <w:rsid w:val="00F620C6"/>
    <w:rsid w:val="00F6212F"/>
    <w:rsid w:val="00F62162"/>
    <w:rsid w:val="00F626EF"/>
    <w:rsid w:val="00F62C5E"/>
    <w:rsid w:val="00F62F65"/>
    <w:rsid w:val="00F63637"/>
    <w:rsid w:val="00F63667"/>
    <w:rsid w:val="00F63DFF"/>
    <w:rsid w:val="00F63E32"/>
    <w:rsid w:val="00F64123"/>
    <w:rsid w:val="00F64243"/>
    <w:rsid w:val="00F64A36"/>
    <w:rsid w:val="00F64AEF"/>
    <w:rsid w:val="00F64BA7"/>
    <w:rsid w:val="00F64DAD"/>
    <w:rsid w:val="00F6504A"/>
    <w:rsid w:val="00F6545E"/>
    <w:rsid w:val="00F65633"/>
    <w:rsid w:val="00F65BAD"/>
    <w:rsid w:val="00F65C2E"/>
    <w:rsid w:val="00F65C7D"/>
    <w:rsid w:val="00F65D3F"/>
    <w:rsid w:val="00F6608E"/>
    <w:rsid w:val="00F66250"/>
    <w:rsid w:val="00F6630C"/>
    <w:rsid w:val="00F6642D"/>
    <w:rsid w:val="00F66449"/>
    <w:rsid w:val="00F6688C"/>
    <w:rsid w:val="00F66D2D"/>
    <w:rsid w:val="00F66FCD"/>
    <w:rsid w:val="00F67049"/>
    <w:rsid w:val="00F67329"/>
    <w:rsid w:val="00F67BBC"/>
    <w:rsid w:val="00F67E6D"/>
    <w:rsid w:val="00F7063D"/>
    <w:rsid w:val="00F70A58"/>
    <w:rsid w:val="00F70B8B"/>
    <w:rsid w:val="00F70E6A"/>
    <w:rsid w:val="00F71248"/>
    <w:rsid w:val="00F71361"/>
    <w:rsid w:val="00F715C5"/>
    <w:rsid w:val="00F71E75"/>
    <w:rsid w:val="00F72573"/>
    <w:rsid w:val="00F72683"/>
    <w:rsid w:val="00F7292D"/>
    <w:rsid w:val="00F72C5B"/>
    <w:rsid w:val="00F72F36"/>
    <w:rsid w:val="00F72FA0"/>
    <w:rsid w:val="00F730D3"/>
    <w:rsid w:val="00F73136"/>
    <w:rsid w:val="00F736A4"/>
    <w:rsid w:val="00F73AD7"/>
    <w:rsid w:val="00F73C01"/>
    <w:rsid w:val="00F745DC"/>
    <w:rsid w:val="00F74B44"/>
    <w:rsid w:val="00F74C72"/>
    <w:rsid w:val="00F74CE3"/>
    <w:rsid w:val="00F75016"/>
    <w:rsid w:val="00F751F6"/>
    <w:rsid w:val="00F75200"/>
    <w:rsid w:val="00F757EC"/>
    <w:rsid w:val="00F75A17"/>
    <w:rsid w:val="00F75B68"/>
    <w:rsid w:val="00F75C87"/>
    <w:rsid w:val="00F75DB4"/>
    <w:rsid w:val="00F761B9"/>
    <w:rsid w:val="00F763D0"/>
    <w:rsid w:val="00F763E7"/>
    <w:rsid w:val="00F767C8"/>
    <w:rsid w:val="00F76E87"/>
    <w:rsid w:val="00F76F7A"/>
    <w:rsid w:val="00F773B2"/>
    <w:rsid w:val="00F776F9"/>
    <w:rsid w:val="00F7779E"/>
    <w:rsid w:val="00F77966"/>
    <w:rsid w:val="00F77E7B"/>
    <w:rsid w:val="00F8025E"/>
    <w:rsid w:val="00F80CDA"/>
    <w:rsid w:val="00F811C2"/>
    <w:rsid w:val="00F81792"/>
    <w:rsid w:val="00F8244B"/>
    <w:rsid w:val="00F82977"/>
    <w:rsid w:val="00F82984"/>
    <w:rsid w:val="00F829D9"/>
    <w:rsid w:val="00F82D85"/>
    <w:rsid w:val="00F8308B"/>
    <w:rsid w:val="00F831BF"/>
    <w:rsid w:val="00F83808"/>
    <w:rsid w:val="00F839F4"/>
    <w:rsid w:val="00F83B87"/>
    <w:rsid w:val="00F83D54"/>
    <w:rsid w:val="00F83DCB"/>
    <w:rsid w:val="00F83E44"/>
    <w:rsid w:val="00F84590"/>
    <w:rsid w:val="00F848B0"/>
    <w:rsid w:val="00F848ED"/>
    <w:rsid w:val="00F848FB"/>
    <w:rsid w:val="00F84FB8"/>
    <w:rsid w:val="00F854BB"/>
    <w:rsid w:val="00F854D8"/>
    <w:rsid w:val="00F85A0C"/>
    <w:rsid w:val="00F85F70"/>
    <w:rsid w:val="00F86158"/>
    <w:rsid w:val="00F8629F"/>
    <w:rsid w:val="00F866DD"/>
    <w:rsid w:val="00F875BA"/>
    <w:rsid w:val="00F878C7"/>
    <w:rsid w:val="00F903BC"/>
    <w:rsid w:val="00F904D0"/>
    <w:rsid w:val="00F9064A"/>
    <w:rsid w:val="00F9072B"/>
    <w:rsid w:val="00F90937"/>
    <w:rsid w:val="00F9100B"/>
    <w:rsid w:val="00F9162E"/>
    <w:rsid w:val="00F916BF"/>
    <w:rsid w:val="00F91732"/>
    <w:rsid w:val="00F919FD"/>
    <w:rsid w:val="00F91BFF"/>
    <w:rsid w:val="00F91D56"/>
    <w:rsid w:val="00F91E11"/>
    <w:rsid w:val="00F91FC7"/>
    <w:rsid w:val="00F92148"/>
    <w:rsid w:val="00F9233E"/>
    <w:rsid w:val="00F92480"/>
    <w:rsid w:val="00F9267C"/>
    <w:rsid w:val="00F926EA"/>
    <w:rsid w:val="00F927CD"/>
    <w:rsid w:val="00F92B78"/>
    <w:rsid w:val="00F92DCA"/>
    <w:rsid w:val="00F92F4A"/>
    <w:rsid w:val="00F93102"/>
    <w:rsid w:val="00F9376F"/>
    <w:rsid w:val="00F93C33"/>
    <w:rsid w:val="00F93CAA"/>
    <w:rsid w:val="00F9403A"/>
    <w:rsid w:val="00F9437B"/>
    <w:rsid w:val="00F943C1"/>
    <w:rsid w:val="00F94443"/>
    <w:rsid w:val="00F946E6"/>
    <w:rsid w:val="00F947F4"/>
    <w:rsid w:val="00F94834"/>
    <w:rsid w:val="00F94A08"/>
    <w:rsid w:val="00F94AA5"/>
    <w:rsid w:val="00F952A4"/>
    <w:rsid w:val="00F954D6"/>
    <w:rsid w:val="00F95DCA"/>
    <w:rsid w:val="00F964D6"/>
    <w:rsid w:val="00F968EA"/>
    <w:rsid w:val="00F96A5B"/>
    <w:rsid w:val="00F9745D"/>
    <w:rsid w:val="00F974C2"/>
    <w:rsid w:val="00F9761B"/>
    <w:rsid w:val="00F97812"/>
    <w:rsid w:val="00F97841"/>
    <w:rsid w:val="00F97AA1"/>
    <w:rsid w:val="00F97B10"/>
    <w:rsid w:val="00FA056A"/>
    <w:rsid w:val="00FA060C"/>
    <w:rsid w:val="00FA07EA"/>
    <w:rsid w:val="00FA0B03"/>
    <w:rsid w:val="00FA0FA6"/>
    <w:rsid w:val="00FA1300"/>
    <w:rsid w:val="00FA1D70"/>
    <w:rsid w:val="00FA1F85"/>
    <w:rsid w:val="00FA202D"/>
    <w:rsid w:val="00FA2157"/>
    <w:rsid w:val="00FA219B"/>
    <w:rsid w:val="00FA256B"/>
    <w:rsid w:val="00FA2584"/>
    <w:rsid w:val="00FA25B6"/>
    <w:rsid w:val="00FA2855"/>
    <w:rsid w:val="00FA28A0"/>
    <w:rsid w:val="00FA2C96"/>
    <w:rsid w:val="00FA2DDF"/>
    <w:rsid w:val="00FA34B9"/>
    <w:rsid w:val="00FA36B5"/>
    <w:rsid w:val="00FA3819"/>
    <w:rsid w:val="00FA3AB3"/>
    <w:rsid w:val="00FA42B0"/>
    <w:rsid w:val="00FA451E"/>
    <w:rsid w:val="00FA4700"/>
    <w:rsid w:val="00FA510A"/>
    <w:rsid w:val="00FA5124"/>
    <w:rsid w:val="00FA53F4"/>
    <w:rsid w:val="00FA54B0"/>
    <w:rsid w:val="00FA5C4B"/>
    <w:rsid w:val="00FA5C7B"/>
    <w:rsid w:val="00FA60E8"/>
    <w:rsid w:val="00FA6675"/>
    <w:rsid w:val="00FA6845"/>
    <w:rsid w:val="00FA74E4"/>
    <w:rsid w:val="00FA75F1"/>
    <w:rsid w:val="00FA78DB"/>
    <w:rsid w:val="00FA7B8A"/>
    <w:rsid w:val="00FA7C92"/>
    <w:rsid w:val="00FB007B"/>
    <w:rsid w:val="00FB0241"/>
    <w:rsid w:val="00FB0678"/>
    <w:rsid w:val="00FB0721"/>
    <w:rsid w:val="00FB08C3"/>
    <w:rsid w:val="00FB0ACE"/>
    <w:rsid w:val="00FB0B23"/>
    <w:rsid w:val="00FB0BBB"/>
    <w:rsid w:val="00FB0CE7"/>
    <w:rsid w:val="00FB0D27"/>
    <w:rsid w:val="00FB0DD4"/>
    <w:rsid w:val="00FB0DE4"/>
    <w:rsid w:val="00FB0E85"/>
    <w:rsid w:val="00FB0FDF"/>
    <w:rsid w:val="00FB13FC"/>
    <w:rsid w:val="00FB1818"/>
    <w:rsid w:val="00FB1CBE"/>
    <w:rsid w:val="00FB1F37"/>
    <w:rsid w:val="00FB22F6"/>
    <w:rsid w:val="00FB2610"/>
    <w:rsid w:val="00FB29C7"/>
    <w:rsid w:val="00FB2B09"/>
    <w:rsid w:val="00FB2BA8"/>
    <w:rsid w:val="00FB3054"/>
    <w:rsid w:val="00FB321F"/>
    <w:rsid w:val="00FB3261"/>
    <w:rsid w:val="00FB344F"/>
    <w:rsid w:val="00FB353B"/>
    <w:rsid w:val="00FB35A4"/>
    <w:rsid w:val="00FB3894"/>
    <w:rsid w:val="00FB3A9B"/>
    <w:rsid w:val="00FB3DC8"/>
    <w:rsid w:val="00FB422B"/>
    <w:rsid w:val="00FB433F"/>
    <w:rsid w:val="00FB4B3D"/>
    <w:rsid w:val="00FB4B58"/>
    <w:rsid w:val="00FB4F2F"/>
    <w:rsid w:val="00FB53EF"/>
    <w:rsid w:val="00FB55F6"/>
    <w:rsid w:val="00FB583C"/>
    <w:rsid w:val="00FB596C"/>
    <w:rsid w:val="00FB5CA6"/>
    <w:rsid w:val="00FB5E61"/>
    <w:rsid w:val="00FB6362"/>
    <w:rsid w:val="00FB6658"/>
    <w:rsid w:val="00FB68CF"/>
    <w:rsid w:val="00FB6B2F"/>
    <w:rsid w:val="00FB6CF5"/>
    <w:rsid w:val="00FB6DBC"/>
    <w:rsid w:val="00FB75A4"/>
    <w:rsid w:val="00FB7915"/>
    <w:rsid w:val="00FB7FE5"/>
    <w:rsid w:val="00FC0042"/>
    <w:rsid w:val="00FC011B"/>
    <w:rsid w:val="00FC01B2"/>
    <w:rsid w:val="00FC05E1"/>
    <w:rsid w:val="00FC0A2C"/>
    <w:rsid w:val="00FC0D97"/>
    <w:rsid w:val="00FC15DE"/>
    <w:rsid w:val="00FC1AE7"/>
    <w:rsid w:val="00FC24EA"/>
    <w:rsid w:val="00FC2BA7"/>
    <w:rsid w:val="00FC2E6D"/>
    <w:rsid w:val="00FC3098"/>
    <w:rsid w:val="00FC313F"/>
    <w:rsid w:val="00FC34DF"/>
    <w:rsid w:val="00FC36A9"/>
    <w:rsid w:val="00FC39B9"/>
    <w:rsid w:val="00FC4915"/>
    <w:rsid w:val="00FC4D10"/>
    <w:rsid w:val="00FC4F4E"/>
    <w:rsid w:val="00FC505C"/>
    <w:rsid w:val="00FC5439"/>
    <w:rsid w:val="00FC565E"/>
    <w:rsid w:val="00FC5ADF"/>
    <w:rsid w:val="00FC5C15"/>
    <w:rsid w:val="00FC5CF9"/>
    <w:rsid w:val="00FC5F99"/>
    <w:rsid w:val="00FC600D"/>
    <w:rsid w:val="00FC6260"/>
    <w:rsid w:val="00FC68CB"/>
    <w:rsid w:val="00FC6B33"/>
    <w:rsid w:val="00FC6B98"/>
    <w:rsid w:val="00FC70E4"/>
    <w:rsid w:val="00FC71B6"/>
    <w:rsid w:val="00FC7BE5"/>
    <w:rsid w:val="00FC7CD1"/>
    <w:rsid w:val="00FC7CDC"/>
    <w:rsid w:val="00FC7E0A"/>
    <w:rsid w:val="00FD02E8"/>
    <w:rsid w:val="00FD0317"/>
    <w:rsid w:val="00FD0756"/>
    <w:rsid w:val="00FD121E"/>
    <w:rsid w:val="00FD1669"/>
    <w:rsid w:val="00FD17AB"/>
    <w:rsid w:val="00FD1A94"/>
    <w:rsid w:val="00FD2409"/>
    <w:rsid w:val="00FD25A9"/>
    <w:rsid w:val="00FD2B9A"/>
    <w:rsid w:val="00FD2C8F"/>
    <w:rsid w:val="00FD2DD2"/>
    <w:rsid w:val="00FD320C"/>
    <w:rsid w:val="00FD3462"/>
    <w:rsid w:val="00FD3A6B"/>
    <w:rsid w:val="00FD3C91"/>
    <w:rsid w:val="00FD3E39"/>
    <w:rsid w:val="00FD43E9"/>
    <w:rsid w:val="00FD4840"/>
    <w:rsid w:val="00FD48D1"/>
    <w:rsid w:val="00FD4A7F"/>
    <w:rsid w:val="00FD4D8F"/>
    <w:rsid w:val="00FD4FB9"/>
    <w:rsid w:val="00FD5452"/>
    <w:rsid w:val="00FD5492"/>
    <w:rsid w:val="00FD57F8"/>
    <w:rsid w:val="00FD5EE3"/>
    <w:rsid w:val="00FD5F6C"/>
    <w:rsid w:val="00FD601F"/>
    <w:rsid w:val="00FD625D"/>
    <w:rsid w:val="00FD62E5"/>
    <w:rsid w:val="00FD66D0"/>
    <w:rsid w:val="00FD6BF0"/>
    <w:rsid w:val="00FD6FE9"/>
    <w:rsid w:val="00FD7383"/>
    <w:rsid w:val="00FD7573"/>
    <w:rsid w:val="00FD7919"/>
    <w:rsid w:val="00FD7A32"/>
    <w:rsid w:val="00FD7AF3"/>
    <w:rsid w:val="00FD7B33"/>
    <w:rsid w:val="00FD7B3D"/>
    <w:rsid w:val="00FE00AA"/>
    <w:rsid w:val="00FE018F"/>
    <w:rsid w:val="00FE01C7"/>
    <w:rsid w:val="00FE08A8"/>
    <w:rsid w:val="00FE08DD"/>
    <w:rsid w:val="00FE09F1"/>
    <w:rsid w:val="00FE0B40"/>
    <w:rsid w:val="00FE0C9B"/>
    <w:rsid w:val="00FE0D14"/>
    <w:rsid w:val="00FE0F14"/>
    <w:rsid w:val="00FE12D4"/>
    <w:rsid w:val="00FE168E"/>
    <w:rsid w:val="00FE1C9A"/>
    <w:rsid w:val="00FE1D36"/>
    <w:rsid w:val="00FE1E4C"/>
    <w:rsid w:val="00FE26FB"/>
    <w:rsid w:val="00FE2745"/>
    <w:rsid w:val="00FE28C0"/>
    <w:rsid w:val="00FE2937"/>
    <w:rsid w:val="00FE2985"/>
    <w:rsid w:val="00FE2E9D"/>
    <w:rsid w:val="00FE2F15"/>
    <w:rsid w:val="00FE2F27"/>
    <w:rsid w:val="00FE3009"/>
    <w:rsid w:val="00FE3127"/>
    <w:rsid w:val="00FE3177"/>
    <w:rsid w:val="00FE323B"/>
    <w:rsid w:val="00FE3697"/>
    <w:rsid w:val="00FE37B7"/>
    <w:rsid w:val="00FE3826"/>
    <w:rsid w:val="00FE3B5E"/>
    <w:rsid w:val="00FE3B94"/>
    <w:rsid w:val="00FE3BE7"/>
    <w:rsid w:val="00FE3CA0"/>
    <w:rsid w:val="00FE3CF9"/>
    <w:rsid w:val="00FE3DDB"/>
    <w:rsid w:val="00FE4097"/>
    <w:rsid w:val="00FE4242"/>
    <w:rsid w:val="00FE4292"/>
    <w:rsid w:val="00FE469F"/>
    <w:rsid w:val="00FE48D2"/>
    <w:rsid w:val="00FE4B50"/>
    <w:rsid w:val="00FE4BA3"/>
    <w:rsid w:val="00FE4BC2"/>
    <w:rsid w:val="00FE4FCE"/>
    <w:rsid w:val="00FE513E"/>
    <w:rsid w:val="00FE549C"/>
    <w:rsid w:val="00FE54F7"/>
    <w:rsid w:val="00FE550F"/>
    <w:rsid w:val="00FE58BF"/>
    <w:rsid w:val="00FE5968"/>
    <w:rsid w:val="00FE596B"/>
    <w:rsid w:val="00FE5A4D"/>
    <w:rsid w:val="00FE5D8F"/>
    <w:rsid w:val="00FE5DD3"/>
    <w:rsid w:val="00FE5ECE"/>
    <w:rsid w:val="00FE62CA"/>
    <w:rsid w:val="00FE639C"/>
    <w:rsid w:val="00FE6703"/>
    <w:rsid w:val="00FE6828"/>
    <w:rsid w:val="00FE6C7A"/>
    <w:rsid w:val="00FE6D3F"/>
    <w:rsid w:val="00FE6E72"/>
    <w:rsid w:val="00FE6E82"/>
    <w:rsid w:val="00FE6F8B"/>
    <w:rsid w:val="00FE70A9"/>
    <w:rsid w:val="00FE77EE"/>
    <w:rsid w:val="00FE7C15"/>
    <w:rsid w:val="00FE7D13"/>
    <w:rsid w:val="00FE7E24"/>
    <w:rsid w:val="00FE7F89"/>
    <w:rsid w:val="00FE7FAD"/>
    <w:rsid w:val="00FF0276"/>
    <w:rsid w:val="00FF039F"/>
    <w:rsid w:val="00FF03EE"/>
    <w:rsid w:val="00FF0891"/>
    <w:rsid w:val="00FF09F6"/>
    <w:rsid w:val="00FF0AE1"/>
    <w:rsid w:val="00FF0C03"/>
    <w:rsid w:val="00FF0F00"/>
    <w:rsid w:val="00FF103C"/>
    <w:rsid w:val="00FF1987"/>
    <w:rsid w:val="00FF1A16"/>
    <w:rsid w:val="00FF1B27"/>
    <w:rsid w:val="00FF1F94"/>
    <w:rsid w:val="00FF2012"/>
    <w:rsid w:val="00FF2341"/>
    <w:rsid w:val="00FF2999"/>
    <w:rsid w:val="00FF2AC0"/>
    <w:rsid w:val="00FF2B20"/>
    <w:rsid w:val="00FF3BDD"/>
    <w:rsid w:val="00FF3C4C"/>
    <w:rsid w:val="00FF4B98"/>
    <w:rsid w:val="00FF4C6D"/>
    <w:rsid w:val="00FF4F6E"/>
    <w:rsid w:val="00FF5133"/>
    <w:rsid w:val="00FF6060"/>
    <w:rsid w:val="00FF6805"/>
    <w:rsid w:val="00FF6ADF"/>
    <w:rsid w:val="00FF6F2A"/>
    <w:rsid w:val="00FF7028"/>
    <w:rsid w:val="00FF72BC"/>
    <w:rsid w:val="00FF74F4"/>
    <w:rsid w:val="00FF7824"/>
    <w:rsid w:val="00FF7BCF"/>
  </w:rsids>
  <m:mathPr>
    <m:mathFont m:val="Cambria Math"/>
    <m:brkBin m:val="before"/>
    <m:brkBinSub m:val="--"/>
    <m:smallFrac/>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EE5138"/>
  <w15:docId w15:val="{EF45778E-4038-4768-A5E1-C0464AF90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sz w:val="22"/>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A4B70"/>
    <w:pPr>
      <w:spacing w:line="300" w:lineRule="auto"/>
      <w:ind w:firstLineChars="200" w:firstLine="200"/>
      <w:jc w:val="both"/>
    </w:pPr>
    <w:rPr>
      <w:rFonts w:cs="Cordia New"/>
      <w:color w:val="404040"/>
      <w:sz w:val="21"/>
      <w:szCs w:val="20"/>
    </w:rPr>
  </w:style>
  <w:style w:type="paragraph" w:styleId="1">
    <w:name w:val="heading 1"/>
    <w:basedOn w:val="a1"/>
    <w:next w:val="a0"/>
    <w:link w:val="1Char"/>
    <w:uiPriority w:val="9"/>
    <w:qFormat/>
    <w:rsid w:val="00FD601F"/>
    <w:pPr>
      <w:adjustRightInd w:val="0"/>
      <w:snapToGrid w:val="0"/>
      <w:spacing w:afterLines="50"/>
      <w:outlineLvl w:val="0"/>
    </w:pPr>
    <w:rPr>
      <w:rFonts w:ascii="Heiti SC Medium" w:eastAsia="Heiti SC Medium"/>
      <w:b/>
      <w:bCs/>
      <w:sz w:val="28"/>
      <w:szCs w:val="24"/>
    </w:rPr>
  </w:style>
  <w:style w:type="paragraph" w:styleId="2">
    <w:name w:val="heading 2"/>
    <w:basedOn w:val="1"/>
    <w:next w:val="a0"/>
    <w:link w:val="2Char"/>
    <w:uiPriority w:val="9"/>
    <w:unhideWhenUsed/>
    <w:qFormat/>
    <w:rsid w:val="00B30942"/>
    <w:pPr>
      <w:adjustRightInd/>
      <w:snapToGrid/>
      <w:spacing w:beforeLines="100" w:afterLines="0" w:line="300" w:lineRule="auto"/>
      <w:outlineLvl w:val="1"/>
    </w:pPr>
    <w:rPr>
      <w:sz w:val="21"/>
      <w:szCs w:val="21"/>
    </w:rPr>
  </w:style>
  <w:style w:type="paragraph" w:styleId="3">
    <w:name w:val="heading 3"/>
    <w:basedOn w:val="a0"/>
    <w:next w:val="a0"/>
    <w:link w:val="3Char"/>
    <w:uiPriority w:val="9"/>
    <w:unhideWhenUsed/>
    <w:qFormat/>
    <w:rsid w:val="002309C5"/>
    <w:pPr>
      <w:keepNext/>
      <w:keepLines/>
      <w:spacing w:after="120"/>
      <w:outlineLvl w:val="2"/>
    </w:pPr>
    <w:rPr>
      <w:b/>
      <w:bCs/>
      <w:color w:val="auto"/>
      <w:sz w:val="28"/>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Char">
    <w:name w:val="标题 2 Char"/>
    <w:basedOn w:val="a2"/>
    <w:link w:val="2"/>
    <w:uiPriority w:val="9"/>
    <w:rsid w:val="00B30942"/>
    <w:rPr>
      <w:rFonts w:ascii="Heiti SC Medium" w:eastAsia="Heiti SC Medium" w:hAnsiTheme="minorHAnsi" w:cstheme="minorBidi"/>
      <w:b/>
      <w:bCs/>
      <w:sz w:val="21"/>
      <w:szCs w:val="21"/>
    </w:rPr>
  </w:style>
  <w:style w:type="character" w:customStyle="1" w:styleId="3Char">
    <w:name w:val="标题 3 Char"/>
    <w:basedOn w:val="a2"/>
    <w:link w:val="3"/>
    <w:uiPriority w:val="9"/>
    <w:rsid w:val="002309C5"/>
    <w:rPr>
      <w:rFonts w:cs="Cordia New"/>
      <w:b/>
      <w:bCs/>
      <w:sz w:val="28"/>
      <w:szCs w:val="32"/>
    </w:rPr>
  </w:style>
  <w:style w:type="paragraph" w:styleId="a5">
    <w:name w:val="footnote text"/>
    <w:basedOn w:val="a0"/>
    <w:link w:val="Char"/>
    <w:uiPriority w:val="99"/>
    <w:unhideWhenUsed/>
    <w:rsid w:val="002309C5"/>
    <w:pPr>
      <w:widowControl w:val="0"/>
      <w:snapToGrid w:val="0"/>
      <w:spacing w:line="240" w:lineRule="auto"/>
      <w:jc w:val="left"/>
    </w:pPr>
    <w:rPr>
      <w:rFonts w:asciiTheme="minorHAnsi" w:eastAsiaTheme="minorEastAsia" w:hAnsiTheme="minorHAnsi" w:cstheme="minorBidi"/>
      <w:color w:val="auto"/>
      <w:kern w:val="2"/>
      <w:sz w:val="18"/>
      <w:szCs w:val="18"/>
    </w:rPr>
  </w:style>
  <w:style w:type="character" w:customStyle="1" w:styleId="Char">
    <w:name w:val="脚注文本 Char"/>
    <w:basedOn w:val="a2"/>
    <w:link w:val="a5"/>
    <w:uiPriority w:val="99"/>
    <w:rsid w:val="002309C5"/>
    <w:rPr>
      <w:rFonts w:asciiTheme="minorHAnsi" w:eastAsiaTheme="minorEastAsia" w:hAnsiTheme="minorHAnsi" w:cstheme="minorBidi"/>
      <w:kern w:val="2"/>
      <w:sz w:val="18"/>
      <w:szCs w:val="18"/>
    </w:rPr>
  </w:style>
  <w:style w:type="character" w:styleId="a6">
    <w:name w:val="footnote reference"/>
    <w:basedOn w:val="a2"/>
    <w:uiPriority w:val="99"/>
    <w:unhideWhenUsed/>
    <w:rsid w:val="002309C5"/>
    <w:rPr>
      <w:vertAlign w:val="superscript"/>
    </w:rPr>
  </w:style>
  <w:style w:type="paragraph" w:styleId="a7">
    <w:name w:val="Normal (Web)"/>
    <w:basedOn w:val="a0"/>
    <w:uiPriority w:val="99"/>
    <w:unhideWhenUsed/>
    <w:rsid w:val="002309C5"/>
    <w:pPr>
      <w:spacing w:before="100" w:beforeAutospacing="1" w:after="100" w:afterAutospacing="1" w:line="240" w:lineRule="auto"/>
      <w:jc w:val="left"/>
    </w:pPr>
    <w:rPr>
      <w:rFonts w:ascii="宋体" w:hAnsi="宋体" w:cs="宋体"/>
      <w:color w:val="auto"/>
      <w:szCs w:val="24"/>
    </w:rPr>
  </w:style>
  <w:style w:type="paragraph" w:styleId="a8">
    <w:name w:val="header"/>
    <w:basedOn w:val="a0"/>
    <w:link w:val="Char0"/>
    <w:uiPriority w:val="99"/>
    <w:unhideWhenUsed/>
    <w:rsid w:val="002309C5"/>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2"/>
    <w:link w:val="a8"/>
    <w:uiPriority w:val="99"/>
    <w:rsid w:val="002309C5"/>
    <w:rPr>
      <w:rFonts w:ascii="Arial" w:hAnsi="Arial" w:cs="Cordia New"/>
      <w:color w:val="404040"/>
      <w:sz w:val="18"/>
      <w:szCs w:val="18"/>
    </w:rPr>
  </w:style>
  <w:style w:type="paragraph" w:styleId="a9">
    <w:name w:val="footer"/>
    <w:basedOn w:val="a0"/>
    <w:link w:val="Char1"/>
    <w:uiPriority w:val="99"/>
    <w:unhideWhenUsed/>
    <w:rsid w:val="002309C5"/>
    <w:pPr>
      <w:tabs>
        <w:tab w:val="center" w:pos="4153"/>
        <w:tab w:val="right" w:pos="8306"/>
      </w:tabs>
      <w:snapToGrid w:val="0"/>
      <w:spacing w:line="240" w:lineRule="auto"/>
      <w:jc w:val="left"/>
    </w:pPr>
    <w:rPr>
      <w:sz w:val="18"/>
      <w:szCs w:val="18"/>
    </w:rPr>
  </w:style>
  <w:style w:type="character" w:customStyle="1" w:styleId="Char1">
    <w:name w:val="页脚 Char"/>
    <w:basedOn w:val="a2"/>
    <w:link w:val="a9"/>
    <w:uiPriority w:val="99"/>
    <w:rsid w:val="002309C5"/>
    <w:rPr>
      <w:rFonts w:ascii="Arial" w:hAnsi="Arial" w:cs="Cordia New"/>
      <w:color w:val="404040"/>
      <w:sz w:val="18"/>
      <w:szCs w:val="18"/>
    </w:rPr>
  </w:style>
  <w:style w:type="character" w:customStyle="1" w:styleId="1Char">
    <w:name w:val="标题 1 Char"/>
    <w:basedOn w:val="a2"/>
    <w:link w:val="1"/>
    <w:uiPriority w:val="9"/>
    <w:rsid w:val="00FD601F"/>
    <w:rPr>
      <w:rFonts w:ascii="Heiti SC Medium" w:eastAsia="Heiti SC Medium" w:hAnsiTheme="minorHAnsi" w:cstheme="minorBidi"/>
      <w:b/>
      <w:bCs/>
      <w:sz w:val="28"/>
      <w:szCs w:val="24"/>
    </w:rPr>
  </w:style>
  <w:style w:type="paragraph" w:styleId="TOC">
    <w:name w:val="TOC Heading"/>
    <w:basedOn w:val="1"/>
    <w:next w:val="a0"/>
    <w:uiPriority w:val="39"/>
    <w:unhideWhenUsed/>
    <w:qFormat/>
    <w:rsid w:val="002309C5"/>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20">
    <w:name w:val="toc 2"/>
    <w:basedOn w:val="a0"/>
    <w:next w:val="a0"/>
    <w:autoRedefine/>
    <w:uiPriority w:val="39"/>
    <w:unhideWhenUsed/>
    <w:rsid w:val="00A320AB"/>
    <w:pPr>
      <w:tabs>
        <w:tab w:val="right" w:leader="dot" w:pos="8296"/>
      </w:tabs>
      <w:spacing w:line="420" w:lineRule="exact"/>
      <w:ind w:leftChars="200" w:left="480"/>
    </w:pPr>
  </w:style>
  <w:style w:type="paragraph" w:styleId="30">
    <w:name w:val="toc 3"/>
    <w:basedOn w:val="a0"/>
    <w:next w:val="a0"/>
    <w:autoRedefine/>
    <w:uiPriority w:val="39"/>
    <w:unhideWhenUsed/>
    <w:rsid w:val="002309C5"/>
    <w:pPr>
      <w:ind w:leftChars="400" w:left="840"/>
    </w:pPr>
  </w:style>
  <w:style w:type="character" w:styleId="aa">
    <w:name w:val="Hyperlink"/>
    <w:basedOn w:val="a2"/>
    <w:uiPriority w:val="99"/>
    <w:unhideWhenUsed/>
    <w:rsid w:val="002309C5"/>
    <w:rPr>
      <w:color w:val="0563C1" w:themeColor="hyperlink"/>
      <w:u w:val="single"/>
    </w:rPr>
  </w:style>
  <w:style w:type="paragraph" w:styleId="10">
    <w:name w:val="toc 1"/>
    <w:basedOn w:val="a0"/>
    <w:next w:val="a0"/>
    <w:autoRedefine/>
    <w:uiPriority w:val="39"/>
    <w:unhideWhenUsed/>
    <w:rsid w:val="00E62152"/>
    <w:pPr>
      <w:framePr w:w="6187" w:h="11181" w:hRule="exact" w:wrap="auto" w:vAnchor="page" w:hAnchor="page" w:x="5001" w:y="4781"/>
      <w:tabs>
        <w:tab w:val="right" w:pos="5862"/>
      </w:tabs>
    </w:pPr>
    <w:rPr>
      <w:b/>
      <w:color w:val="1F4E79" w:themeColor="accent1" w:themeShade="80"/>
      <w:szCs w:val="36"/>
    </w:rPr>
  </w:style>
  <w:style w:type="paragraph" w:styleId="4">
    <w:name w:val="toc 4"/>
    <w:basedOn w:val="a0"/>
    <w:next w:val="a0"/>
    <w:autoRedefine/>
    <w:uiPriority w:val="39"/>
    <w:unhideWhenUsed/>
    <w:rsid w:val="00A320AB"/>
    <w:pPr>
      <w:tabs>
        <w:tab w:val="right" w:leader="dot" w:pos="8296"/>
      </w:tabs>
      <w:spacing w:line="420" w:lineRule="exact"/>
      <w:jc w:val="left"/>
    </w:pPr>
  </w:style>
  <w:style w:type="character" w:styleId="ab">
    <w:name w:val="annotation reference"/>
    <w:basedOn w:val="a2"/>
    <w:uiPriority w:val="99"/>
    <w:semiHidden/>
    <w:unhideWhenUsed/>
    <w:rsid w:val="00E308E5"/>
    <w:rPr>
      <w:sz w:val="21"/>
      <w:szCs w:val="21"/>
    </w:rPr>
  </w:style>
  <w:style w:type="paragraph" w:styleId="ac">
    <w:name w:val="annotation text"/>
    <w:basedOn w:val="a0"/>
    <w:link w:val="Char2"/>
    <w:uiPriority w:val="99"/>
    <w:unhideWhenUsed/>
    <w:rsid w:val="00E308E5"/>
    <w:pPr>
      <w:jc w:val="left"/>
    </w:pPr>
  </w:style>
  <w:style w:type="character" w:customStyle="1" w:styleId="Char2">
    <w:name w:val="批注文字 Char"/>
    <w:basedOn w:val="a2"/>
    <w:link w:val="ac"/>
    <w:uiPriority w:val="99"/>
    <w:rsid w:val="00E308E5"/>
    <w:rPr>
      <w:rFonts w:ascii="Arial" w:hAnsi="Arial" w:cs="Cordia New"/>
      <w:color w:val="404040"/>
      <w:sz w:val="24"/>
      <w:szCs w:val="20"/>
    </w:rPr>
  </w:style>
  <w:style w:type="paragraph" w:styleId="ad">
    <w:name w:val="annotation subject"/>
    <w:basedOn w:val="ac"/>
    <w:next w:val="ac"/>
    <w:link w:val="Char3"/>
    <w:uiPriority w:val="99"/>
    <w:semiHidden/>
    <w:unhideWhenUsed/>
    <w:rsid w:val="00E308E5"/>
    <w:rPr>
      <w:b/>
      <w:bCs/>
    </w:rPr>
  </w:style>
  <w:style w:type="character" w:customStyle="1" w:styleId="Char3">
    <w:name w:val="批注主题 Char"/>
    <w:basedOn w:val="Char2"/>
    <w:link w:val="ad"/>
    <w:uiPriority w:val="99"/>
    <w:semiHidden/>
    <w:rsid w:val="00E308E5"/>
    <w:rPr>
      <w:rFonts w:ascii="Arial" w:hAnsi="Arial" w:cs="Cordia New"/>
      <w:b/>
      <w:bCs/>
      <w:color w:val="404040"/>
      <w:sz w:val="24"/>
      <w:szCs w:val="20"/>
    </w:rPr>
  </w:style>
  <w:style w:type="paragraph" w:styleId="ae">
    <w:name w:val="Balloon Text"/>
    <w:basedOn w:val="a0"/>
    <w:link w:val="Char4"/>
    <w:uiPriority w:val="99"/>
    <w:semiHidden/>
    <w:unhideWhenUsed/>
    <w:rsid w:val="00E308E5"/>
    <w:pPr>
      <w:spacing w:line="240" w:lineRule="auto"/>
    </w:pPr>
    <w:rPr>
      <w:sz w:val="18"/>
      <w:szCs w:val="18"/>
    </w:rPr>
  </w:style>
  <w:style w:type="character" w:customStyle="1" w:styleId="Char4">
    <w:name w:val="批注框文本 Char"/>
    <w:basedOn w:val="a2"/>
    <w:link w:val="ae"/>
    <w:uiPriority w:val="99"/>
    <w:semiHidden/>
    <w:rsid w:val="00E308E5"/>
    <w:rPr>
      <w:rFonts w:ascii="Arial" w:hAnsi="Arial" w:cs="Cordia New"/>
      <w:color w:val="404040"/>
      <w:sz w:val="18"/>
      <w:szCs w:val="18"/>
    </w:rPr>
  </w:style>
  <w:style w:type="paragraph" w:styleId="af">
    <w:name w:val="Revision"/>
    <w:hidden/>
    <w:uiPriority w:val="99"/>
    <w:semiHidden/>
    <w:rsid w:val="00FD66D0"/>
    <w:rPr>
      <w:rFonts w:ascii="Arial" w:hAnsi="Arial" w:cs="Cordia New"/>
      <w:color w:val="404040"/>
      <w:sz w:val="24"/>
      <w:szCs w:val="20"/>
    </w:rPr>
  </w:style>
  <w:style w:type="character" w:styleId="af0">
    <w:name w:val="FollowedHyperlink"/>
    <w:basedOn w:val="a2"/>
    <w:uiPriority w:val="99"/>
    <w:semiHidden/>
    <w:unhideWhenUsed/>
    <w:rsid w:val="00F81792"/>
    <w:rPr>
      <w:color w:val="954F72" w:themeColor="followedHyperlink"/>
      <w:u w:val="single"/>
    </w:rPr>
  </w:style>
  <w:style w:type="paragraph" w:styleId="af1">
    <w:name w:val="List Paragraph"/>
    <w:basedOn w:val="a0"/>
    <w:link w:val="Char5"/>
    <w:uiPriority w:val="34"/>
    <w:qFormat/>
    <w:rsid w:val="009E5291"/>
    <w:pPr>
      <w:widowControl w:val="0"/>
      <w:spacing w:line="240" w:lineRule="auto"/>
      <w:ind w:firstLine="420"/>
    </w:pPr>
    <w:rPr>
      <w:rFonts w:asciiTheme="minorHAnsi" w:eastAsiaTheme="minorEastAsia" w:hAnsiTheme="minorHAnsi" w:cstheme="minorBidi"/>
      <w:color w:val="auto"/>
      <w:kern w:val="2"/>
      <w:szCs w:val="22"/>
    </w:rPr>
  </w:style>
  <w:style w:type="character" w:styleId="af2">
    <w:name w:val="Strong"/>
    <w:basedOn w:val="a2"/>
    <w:uiPriority w:val="22"/>
    <w:qFormat/>
    <w:rsid w:val="00DE66A1"/>
    <w:rPr>
      <w:b/>
      <w:bCs/>
      <w:i w:val="0"/>
      <w:iCs w:val="0"/>
    </w:rPr>
  </w:style>
  <w:style w:type="paragraph" w:customStyle="1" w:styleId="Default">
    <w:name w:val="Default"/>
    <w:rsid w:val="00DA75B4"/>
    <w:pPr>
      <w:autoSpaceDE w:val="0"/>
      <w:autoSpaceDN w:val="0"/>
      <w:adjustRightInd w:val="0"/>
    </w:pPr>
    <w:rPr>
      <w:color w:val="000000"/>
      <w:sz w:val="24"/>
      <w:szCs w:val="24"/>
    </w:rPr>
  </w:style>
  <w:style w:type="paragraph" w:styleId="a1">
    <w:name w:val="No Spacing"/>
    <w:link w:val="Char6"/>
    <w:uiPriority w:val="1"/>
    <w:qFormat/>
    <w:rsid w:val="00E51C65"/>
    <w:rPr>
      <w:rFonts w:asciiTheme="minorHAnsi" w:eastAsiaTheme="minorEastAsia" w:hAnsiTheme="minorHAnsi" w:cstheme="minorBidi"/>
    </w:rPr>
  </w:style>
  <w:style w:type="character" w:customStyle="1" w:styleId="Char6">
    <w:name w:val="无间隔 Char"/>
    <w:basedOn w:val="a2"/>
    <w:link w:val="a1"/>
    <w:uiPriority w:val="1"/>
    <w:rsid w:val="00E51C65"/>
    <w:rPr>
      <w:rFonts w:asciiTheme="minorHAnsi" w:eastAsiaTheme="minorEastAsia" w:hAnsiTheme="minorHAnsi" w:cstheme="minorBidi"/>
    </w:rPr>
  </w:style>
  <w:style w:type="character" w:styleId="af3">
    <w:name w:val="page number"/>
    <w:basedOn w:val="a2"/>
    <w:uiPriority w:val="99"/>
    <w:unhideWhenUsed/>
    <w:rsid w:val="003D5541"/>
  </w:style>
  <w:style w:type="paragraph" w:customStyle="1" w:styleId="xiaobiaoti">
    <w:name w:val="xiaobiaoti"/>
    <w:basedOn w:val="af1"/>
    <w:link w:val="xiaobiaoti0"/>
    <w:qFormat/>
    <w:rsid w:val="00EC094A"/>
    <w:pPr>
      <w:numPr>
        <w:numId w:val="2"/>
      </w:numPr>
      <w:spacing w:beforeLines="50" w:afterLines="50"/>
      <w:ind w:firstLineChars="0" w:firstLine="0"/>
    </w:pPr>
    <w:rPr>
      <w:rFonts w:ascii="Times New Roman" w:eastAsia="黑体" w:hAnsi="Times New Roman" w:cs="宋体"/>
      <w:b/>
      <w:sz w:val="22"/>
      <w:szCs w:val="24"/>
    </w:rPr>
  </w:style>
  <w:style w:type="character" w:customStyle="1" w:styleId="Char5">
    <w:name w:val="列出段落 Char"/>
    <w:basedOn w:val="a2"/>
    <w:link w:val="af1"/>
    <w:uiPriority w:val="34"/>
    <w:rsid w:val="008C6FB4"/>
    <w:rPr>
      <w:rFonts w:asciiTheme="minorHAnsi" w:eastAsiaTheme="minorEastAsia" w:hAnsiTheme="minorHAnsi" w:cstheme="minorBidi"/>
      <w:kern w:val="2"/>
      <w:sz w:val="21"/>
    </w:rPr>
  </w:style>
  <w:style w:type="character" w:customStyle="1" w:styleId="xiaobiaoti0">
    <w:name w:val="xiaobiaoti 字符"/>
    <w:basedOn w:val="Char5"/>
    <w:link w:val="xiaobiaoti"/>
    <w:rsid w:val="00EC094A"/>
    <w:rPr>
      <w:rFonts w:asciiTheme="minorHAnsi" w:eastAsia="黑体" w:hAnsiTheme="minorHAnsi" w:cs="宋体"/>
      <w:b/>
      <w:kern w:val="2"/>
      <w:sz w:val="21"/>
      <w:szCs w:val="24"/>
    </w:rPr>
  </w:style>
  <w:style w:type="paragraph" w:customStyle="1" w:styleId="comments">
    <w:name w:val="comments"/>
    <w:basedOn w:val="a0"/>
    <w:link w:val="comments0"/>
    <w:qFormat/>
    <w:rsid w:val="00121345"/>
    <w:pPr>
      <w:spacing w:beforeLines="50" w:afterLines="50"/>
    </w:pPr>
    <w:rPr>
      <w:rFonts w:eastAsia="楷体" w:cs="Times New Roman"/>
      <w:color w:val="C45911" w:themeColor="accent2" w:themeShade="BF"/>
      <w:kern w:val="2"/>
      <w:szCs w:val="24"/>
    </w:rPr>
  </w:style>
  <w:style w:type="character" w:customStyle="1" w:styleId="comments0">
    <w:name w:val="comments 字符"/>
    <w:basedOn w:val="a2"/>
    <w:link w:val="comments"/>
    <w:rsid w:val="00121345"/>
    <w:rPr>
      <w:rFonts w:eastAsia="楷体"/>
      <w:color w:val="C45911" w:themeColor="accent2" w:themeShade="BF"/>
      <w:kern w:val="2"/>
      <w:szCs w:val="24"/>
    </w:rPr>
  </w:style>
  <w:style w:type="paragraph" w:customStyle="1" w:styleId="a">
    <w:name w:val="大标题"/>
    <w:basedOn w:val="af1"/>
    <w:link w:val="af4"/>
    <w:qFormat/>
    <w:rsid w:val="003760D4"/>
    <w:pPr>
      <w:numPr>
        <w:numId w:val="3"/>
      </w:numPr>
      <w:spacing w:beforeLines="100"/>
      <w:ind w:firstLineChars="0" w:firstLine="0"/>
      <w:jc w:val="left"/>
    </w:pPr>
    <w:rPr>
      <w:rFonts w:ascii="黑体" w:eastAsia="黑体" w:hAnsi="黑体" w:cs="Arial"/>
      <w:b/>
      <w:color w:val="C45911" w:themeColor="accent2" w:themeShade="BF"/>
      <w:sz w:val="32"/>
      <w:szCs w:val="21"/>
    </w:rPr>
  </w:style>
  <w:style w:type="character" w:customStyle="1" w:styleId="af4">
    <w:name w:val="大标题 字符"/>
    <w:basedOn w:val="Char5"/>
    <w:link w:val="a"/>
    <w:rsid w:val="003760D4"/>
    <w:rPr>
      <w:rFonts w:ascii="黑体" w:eastAsia="黑体" w:hAnsi="黑体" w:cs="Arial"/>
      <w:b/>
      <w:color w:val="C45911" w:themeColor="accent2" w:themeShade="BF"/>
      <w:kern w:val="2"/>
      <w:sz w:val="32"/>
      <w:szCs w:val="21"/>
    </w:rPr>
  </w:style>
  <w:style w:type="character" w:customStyle="1" w:styleId="bjh-p">
    <w:name w:val="bjh-p"/>
    <w:basedOn w:val="a2"/>
    <w:rsid w:val="00A744BE"/>
  </w:style>
  <w:style w:type="character" w:customStyle="1" w:styleId="bjh-strong">
    <w:name w:val="bjh-strong"/>
    <w:basedOn w:val="a2"/>
    <w:rsid w:val="00A744BE"/>
  </w:style>
  <w:style w:type="character" w:customStyle="1" w:styleId="apple-converted-space">
    <w:name w:val="apple-converted-space"/>
    <w:basedOn w:val="a2"/>
    <w:rsid w:val="001C45B1"/>
  </w:style>
  <w:style w:type="character" w:styleId="af5">
    <w:name w:val="Intense Emphasis"/>
    <w:basedOn w:val="a2"/>
    <w:uiPriority w:val="21"/>
    <w:qFormat/>
    <w:rsid w:val="00D162E5"/>
    <w:rPr>
      <w:i/>
      <w:iCs/>
      <w:color w:val="5B9BD5" w:themeColor="accent1"/>
    </w:rPr>
  </w:style>
  <w:style w:type="character" w:customStyle="1" w:styleId="11">
    <w:name w:val="未处理的提及1"/>
    <w:basedOn w:val="a2"/>
    <w:uiPriority w:val="99"/>
    <w:semiHidden/>
    <w:unhideWhenUsed/>
    <w:rsid w:val="007027CA"/>
    <w:rPr>
      <w:color w:val="605E5C"/>
      <w:shd w:val="clear" w:color="auto" w:fill="E1DFDD"/>
    </w:rPr>
  </w:style>
  <w:style w:type="character" w:customStyle="1" w:styleId="mdctabgray">
    <w:name w:val="mdctabgray"/>
    <w:basedOn w:val="a2"/>
    <w:rsid w:val="00544CEF"/>
  </w:style>
  <w:style w:type="character" w:customStyle="1" w:styleId="transsent">
    <w:name w:val="transsent"/>
    <w:basedOn w:val="a2"/>
    <w:rsid w:val="00F839F4"/>
  </w:style>
  <w:style w:type="character" w:customStyle="1" w:styleId="21">
    <w:name w:val="未处理的提及2"/>
    <w:basedOn w:val="a2"/>
    <w:uiPriority w:val="99"/>
    <w:semiHidden/>
    <w:unhideWhenUsed/>
    <w:rsid w:val="00C11531"/>
    <w:rPr>
      <w:color w:val="605E5C"/>
      <w:shd w:val="clear" w:color="auto" w:fill="E1DFDD"/>
    </w:rPr>
  </w:style>
  <w:style w:type="character" w:customStyle="1" w:styleId="31">
    <w:name w:val="未处理的提及3"/>
    <w:basedOn w:val="a2"/>
    <w:uiPriority w:val="99"/>
    <w:semiHidden/>
    <w:unhideWhenUsed/>
    <w:rsid w:val="00876687"/>
    <w:rPr>
      <w:color w:val="605E5C"/>
      <w:shd w:val="clear" w:color="auto" w:fill="E1DFDD"/>
    </w:rPr>
  </w:style>
  <w:style w:type="table" w:styleId="af6">
    <w:name w:val="Table Grid"/>
    <w:basedOn w:val="a3"/>
    <w:uiPriority w:val="39"/>
    <w:rsid w:val="00B607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未处理的提及4"/>
    <w:basedOn w:val="a2"/>
    <w:uiPriority w:val="99"/>
    <w:semiHidden/>
    <w:unhideWhenUsed/>
    <w:rsid w:val="004F100F"/>
    <w:rPr>
      <w:color w:val="605E5C"/>
      <w:shd w:val="clear" w:color="auto" w:fill="E1DFDD"/>
    </w:rPr>
  </w:style>
  <w:style w:type="character" w:customStyle="1" w:styleId="UnresolvedMention">
    <w:name w:val="Unresolved Mention"/>
    <w:basedOn w:val="a2"/>
    <w:uiPriority w:val="99"/>
    <w:semiHidden/>
    <w:unhideWhenUsed/>
    <w:rsid w:val="007D2D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5216">
      <w:bodyDiv w:val="1"/>
      <w:marLeft w:val="0"/>
      <w:marRight w:val="0"/>
      <w:marTop w:val="0"/>
      <w:marBottom w:val="0"/>
      <w:divBdr>
        <w:top w:val="none" w:sz="0" w:space="0" w:color="auto"/>
        <w:left w:val="none" w:sz="0" w:space="0" w:color="auto"/>
        <w:bottom w:val="none" w:sz="0" w:space="0" w:color="auto"/>
        <w:right w:val="none" w:sz="0" w:space="0" w:color="auto"/>
      </w:divBdr>
    </w:div>
    <w:div w:id="3096543">
      <w:bodyDiv w:val="1"/>
      <w:marLeft w:val="0"/>
      <w:marRight w:val="0"/>
      <w:marTop w:val="0"/>
      <w:marBottom w:val="0"/>
      <w:divBdr>
        <w:top w:val="none" w:sz="0" w:space="0" w:color="auto"/>
        <w:left w:val="none" w:sz="0" w:space="0" w:color="auto"/>
        <w:bottom w:val="none" w:sz="0" w:space="0" w:color="auto"/>
        <w:right w:val="none" w:sz="0" w:space="0" w:color="auto"/>
      </w:divBdr>
    </w:div>
    <w:div w:id="3555995">
      <w:bodyDiv w:val="1"/>
      <w:marLeft w:val="0"/>
      <w:marRight w:val="0"/>
      <w:marTop w:val="0"/>
      <w:marBottom w:val="0"/>
      <w:divBdr>
        <w:top w:val="none" w:sz="0" w:space="0" w:color="auto"/>
        <w:left w:val="none" w:sz="0" w:space="0" w:color="auto"/>
        <w:bottom w:val="none" w:sz="0" w:space="0" w:color="auto"/>
        <w:right w:val="none" w:sz="0" w:space="0" w:color="auto"/>
      </w:divBdr>
    </w:div>
    <w:div w:id="6255380">
      <w:bodyDiv w:val="1"/>
      <w:marLeft w:val="0"/>
      <w:marRight w:val="0"/>
      <w:marTop w:val="0"/>
      <w:marBottom w:val="0"/>
      <w:divBdr>
        <w:top w:val="none" w:sz="0" w:space="0" w:color="auto"/>
        <w:left w:val="none" w:sz="0" w:space="0" w:color="auto"/>
        <w:bottom w:val="none" w:sz="0" w:space="0" w:color="auto"/>
        <w:right w:val="none" w:sz="0" w:space="0" w:color="auto"/>
      </w:divBdr>
    </w:div>
    <w:div w:id="6951950">
      <w:bodyDiv w:val="1"/>
      <w:marLeft w:val="0"/>
      <w:marRight w:val="0"/>
      <w:marTop w:val="0"/>
      <w:marBottom w:val="0"/>
      <w:divBdr>
        <w:top w:val="none" w:sz="0" w:space="0" w:color="auto"/>
        <w:left w:val="none" w:sz="0" w:space="0" w:color="auto"/>
        <w:bottom w:val="none" w:sz="0" w:space="0" w:color="auto"/>
        <w:right w:val="none" w:sz="0" w:space="0" w:color="auto"/>
      </w:divBdr>
    </w:div>
    <w:div w:id="10452199">
      <w:bodyDiv w:val="1"/>
      <w:marLeft w:val="0"/>
      <w:marRight w:val="0"/>
      <w:marTop w:val="0"/>
      <w:marBottom w:val="0"/>
      <w:divBdr>
        <w:top w:val="none" w:sz="0" w:space="0" w:color="auto"/>
        <w:left w:val="none" w:sz="0" w:space="0" w:color="auto"/>
        <w:bottom w:val="none" w:sz="0" w:space="0" w:color="auto"/>
        <w:right w:val="none" w:sz="0" w:space="0" w:color="auto"/>
      </w:divBdr>
    </w:div>
    <w:div w:id="10953919">
      <w:bodyDiv w:val="1"/>
      <w:marLeft w:val="0"/>
      <w:marRight w:val="0"/>
      <w:marTop w:val="0"/>
      <w:marBottom w:val="0"/>
      <w:divBdr>
        <w:top w:val="none" w:sz="0" w:space="0" w:color="auto"/>
        <w:left w:val="none" w:sz="0" w:space="0" w:color="auto"/>
        <w:bottom w:val="none" w:sz="0" w:space="0" w:color="auto"/>
        <w:right w:val="none" w:sz="0" w:space="0" w:color="auto"/>
      </w:divBdr>
    </w:div>
    <w:div w:id="19282646">
      <w:bodyDiv w:val="1"/>
      <w:marLeft w:val="0"/>
      <w:marRight w:val="0"/>
      <w:marTop w:val="0"/>
      <w:marBottom w:val="0"/>
      <w:divBdr>
        <w:top w:val="none" w:sz="0" w:space="0" w:color="auto"/>
        <w:left w:val="none" w:sz="0" w:space="0" w:color="auto"/>
        <w:bottom w:val="none" w:sz="0" w:space="0" w:color="auto"/>
        <w:right w:val="none" w:sz="0" w:space="0" w:color="auto"/>
      </w:divBdr>
    </w:div>
    <w:div w:id="23068708">
      <w:bodyDiv w:val="1"/>
      <w:marLeft w:val="0"/>
      <w:marRight w:val="0"/>
      <w:marTop w:val="0"/>
      <w:marBottom w:val="0"/>
      <w:divBdr>
        <w:top w:val="none" w:sz="0" w:space="0" w:color="auto"/>
        <w:left w:val="none" w:sz="0" w:space="0" w:color="auto"/>
        <w:bottom w:val="none" w:sz="0" w:space="0" w:color="auto"/>
        <w:right w:val="none" w:sz="0" w:space="0" w:color="auto"/>
      </w:divBdr>
    </w:div>
    <w:div w:id="24911407">
      <w:bodyDiv w:val="1"/>
      <w:marLeft w:val="0"/>
      <w:marRight w:val="0"/>
      <w:marTop w:val="0"/>
      <w:marBottom w:val="0"/>
      <w:divBdr>
        <w:top w:val="none" w:sz="0" w:space="0" w:color="auto"/>
        <w:left w:val="none" w:sz="0" w:space="0" w:color="auto"/>
        <w:bottom w:val="none" w:sz="0" w:space="0" w:color="auto"/>
        <w:right w:val="none" w:sz="0" w:space="0" w:color="auto"/>
      </w:divBdr>
    </w:div>
    <w:div w:id="25641515">
      <w:bodyDiv w:val="1"/>
      <w:marLeft w:val="0"/>
      <w:marRight w:val="0"/>
      <w:marTop w:val="0"/>
      <w:marBottom w:val="0"/>
      <w:divBdr>
        <w:top w:val="none" w:sz="0" w:space="0" w:color="auto"/>
        <w:left w:val="none" w:sz="0" w:space="0" w:color="auto"/>
        <w:bottom w:val="none" w:sz="0" w:space="0" w:color="auto"/>
        <w:right w:val="none" w:sz="0" w:space="0" w:color="auto"/>
      </w:divBdr>
    </w:div>
    <w:div w:id="27072501">
      <w:bodyDiv w:val="1"/>
      <w:marLeft w:val="0"/>
      <w:marRight w:val="0"/>
      <w:marTop w:val="0"/>
      <w:marBottom w:val="0"/>
      <w:divBdr>
        <w:top w:val="none" w:sz="0" w:space="0" w:color="auto"/>
        <w:left w:val="none" w:sz="0" w:space="0" w:color="auto"/>
        <w:bottom w:val="none" w:sz="0" w:space="0" w:color="auto"/>
        <w:right w:val="none" w:sz="0" w:space="0" w:color="auto"/>
      </w:divBdr>
    </w:div>
    <w:div w:id="28797688">
      <w:bodyDiv w:val="1"/>
      <w:marLeft w:val="0"/>
      <w:marRight w:val="0"/>
      <w:marTop w:val="0"/>
      <w:marBottom w:val="0"/>
      <w:divBdr>
        <w:top w:val="none" w:sz="0" w:space="0" w:color="auto"/>
        <w:left w:val="none" w:sz="0" w:space="0" w:color="auto"/>
        <w:bottom w:val="none" w:sz="0" w:space="0" w:color="auto"/>
        <w:right w:val="none" w:sz="0" w:space="0" w:color="auto"/>
      </w:divBdr>
    </w:div>
    <w:div w:id="29840844">
      <w:bodyDiv w:val="1"/>
      <w:marLeft w:val="0"/>
      <w:marRight w:val="0"/>
      <w:marTop w:val="0"/>
      <w:marBottom w:val="0"/>
      <w:divBdr>
        <w:top w:val="none" w:sz="0" w:space="0" w:color="auto"/>
        <w:left w:val="none" w:sz="0" w:space="0" w:color="auto"/>
        <w:bottom w:val="none" w:sz="0" w:space="0" w:color="auto"/>
        <w:right w:val="none" w:sz="0" w:space="0" w:color="auto"/>
      </w:divBdr>
      <w:divsChild>
        <w:div w:id="243415254">
          <w:marLeft w:val="0"/>
          <w:marRight w:val="0"/>
          <w:marTop w:val="0"/>
          <w:marBottom w:val="0"/>
          <w:divBdr>
            <w:top w:val="none" w:sz="0" w:space="0" w:color="auto"/>
            <w:left w:val="none" w:sz="0" w:space="0" w:color="auto"/>
            <w:bottom w:val="none" w:sz="0" w:space="0" w:color="auto"/>
            <w:right w:val="none" w:sz="0" w:space="0" w:color="auto"/>
          </w:divBdr>
        </w:div>
        <w:div w:id="572085455">
          <w:marLeft w:val="0"/>
          <w:marRight w:val="0"/>
          <w:marTop w:val="0"/>
          <w:marBottom w:val="0"/>
          <w:divBdr>
            <w:top w:val="none" w:sz="0" w:space="0" w:color="auto"/>
            <w:left w:val="none" w:sz="0" w:space="0" w:color="auto"/>
            <w:bottom w:val="none" w:sz="0" w:space="0" w:color="auto"/>
            <w:right w:val="none" w:sz="0" w:space="0" w:color="auto"/>
          </w:divBdr>
          <w:divsChild>
            <w:div w:id="1555658494">
              <w:marLeft w:val="0"/>
              <w:marRight w:val="0"/>
              <w:marTop w:val="0"/>
              <w:marBottom w:val="0"/>
              <w:divBdr>
                <w:top w:val="none" w:sz="0" w:space="0" w:color="auto"/>
                <w:left w:val="none" w:sz="0" w:space="0" w:color="auto"/>
                <w:bottom w:val="none" w:sz="0" w:space="0" w:color="auto"/>
                <w:right w:val="none" w:sz="0" w:space="0" w:color="auto"/>
              </w:divBdr>
              <w:divsChild>
                <w:div w:id="31733423">
                  <w:marLeft w:val="0"/>
                  <w:marRight w:val="0"/>
                  <w:marTop w:val="0"/>
                  <w:marBottom w:val="0"/>
                  <w:divBdr>
                    <w:top w:val="none" w:sz="0" w:space="0" w:color="auto"/>
                    <w:left w:val="none" w:sz="0" w:space="0" w:color="auto"/>
                    <w:bottom w:val="none" w:sz="0" w:space="0" w:color="auto"/>
                    <w:right w:val="none" w:sz="0" w:space="0" w:color="auto"/>
                  </w:divBdr>
                </w:div>
              </w:divsChild>
            </w:div>
            <w:div w:id="2086949347">
              <w:marLeft w:val="0"/>
              <w:marRight w:val="0"/>
              <w:marTop w:val="0"/>
              <w:marBottom w:val="0"/>
              <w:divBdr>
                <w:top w:val="none" w:sz="0" w:space="0" w:color="auto"/>
                <w:left w:val="none" w:sz="0" w:space="0" w:color="auto"/>
                <w:bottom w:val="none" w:sz="0" w:space="0" w:color="auto"/>
                <w:right w:val="none" w:sz="0" w:space="0" w:color="auto"/>
              </w:divBdr>
              <w:divsChild>
                <w:div w:id="625477068">
                  <w:marLeft w:val="0"/>
                  <w:marRight w:val="0"/>
                  <w:marTop w:val="0"/>
                  <w:marBottom w:val="0"/>
                  <w:divBdr>
                    <w:top w:val="none" w:sz="0" w:space="0" w:color="auto"/>
                    <w:left w:val="none" w:sz="0" w:space="0" w:color="auto"/>
                    <w:bottom w:val="none" w:sz="0" w:space="0" w:color="auto"/>
                    <w:right w:val="none" w:sz="0" w:space="0" w:color="auto"/>
                  </w:divBdr>
                </w:div>
                <w:div w:id="152497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2607">
          <w:marLeft w:val="0"/>
          <w:marRight w:val="0"/>
          <w:marTop w:val="0"/>
          <w:marBottom w:val="0"/>
          <w:divBdr>
            <w:top w:val="none" w:sz="0" w:space="0" w:color="auto"/>
            <w:left w:val="none" w:sz="0" w:space="0" w:color="auto"/>
            <w:bottom w:val="none" w:sz="0" w:space="0" w:color="auto"/>
            <w:right w:val="none" w:sz="0" w:space="0" w:color="auto"/>
          </w:divBdr>
          <w:divsChild>
            <w:div w:id="1255866877">
              <w:marLeft w:val="0"/>
              <w:marRight w:val="0"/>
              <w:marTop w:val="0"/>
              <w:marBottom w:val="0"/>
              <w:divBdr>
                <w:top w:val="none" w:sz="0" w:space="0" w:color="auto"/>
                <w:left w:val="none" w:sz="0" w:space="0" w:color="auto"/>
                <w:bottom w:val="none" w:sz="0" w:space="0" w:color="auto"/>
                <w:right w:val="none" w:sz="0" w:space="0" w:color="auto"/>
              </w:divBdr>
              <w:divsChild>
                <w:div w:id="9337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13079">
      <w:bodyDiv w:val="1"/>
      <w:marLeft w:val="0"/>
      <w:marRight w:val="0"/>
      <w:marTop w:val="0"/>
      <w:marBottom w:val="0"/>
      <w:divBdr>
        <w:top w:val="none" w:sz="0" w:space="0" w:color="auto"/>
        <w:left w:val="none" w:sz="0" w:space="0" w:color="auto"/>
        <w:bottom w:val="none" w:sz="0" w:space="0" w:color="auto"/>
        <w:right w:val="none" w:sz="0" w:space="0" w:color="auto"/>
      </w:divBdr>
    </w:div>
    <w:div w:id="36055085">
      <w:bodyDiv w:val="1"/>
      <w:marLeft w:val="0"/>
      <w:marRight w:val="0"/>
      <w:marTop w:val="0"/>
      <w:marBottom w:val="0"/>
      <w:divBdr>
        <w:top w:val="none" w:sz="0" w:space="0" w:color="auto"/>
        <w:left w:val="none" w:sz="0" w:space="0" w:color="auto"/>
        <w:bottom w:val="none" w:sz="0" w:space="0" w:color="auto"/>
        <w:right w:val="none" w:sz="0" w:space="0" w:color="auto"/>
      </w:divBdr>
    </w:div>
    <w:div w:id="37511301">
      <w:bodyDiv w:val="1"/>
      <w:marLeft w:val="0"/>
      <w:marRight w:val="0"/>
      <w:marTop w:val="0"/>
      <w:marBottom w:val="0"/>
      <w:divBdr>
        <w:top w:val="none" w:sz="0" w:space="0" w:color="auto"/>
        <w:left w:val="none" w:sz="0" w:space="0" w:color="auto"/>
        <w:bottom w:val="none" w:sz="0" w:space="0" w:color="auto"/>
        <w:right w:val="none" w:sz="0" w:space="0" w:color="auto"/>
      </w:divBdr>
    </w:div>
    <w:div w:id="39138666">
      <w:bodyDiv w:val="1"/>
      <w:marLeft w:val="0"/>
      <w:marRight w:val="0"/>
      <w:marTop w:val="0"/>
      <w:marBottom w:val="0"/>
      <w:divBdr>
        <w:top w:val="none" w:sz="0" w:space="0" w:color="auto"/>
        <w:left w:val="none" w:sz="0" w:space="0" w:color="auto"/>
        <w:bottom w:val="none" w:sz="0" w:space="0" w:color="auto"/>
        <w:right w:val="none" w:sz="0" w:space="0" w:color="auto"/>
      </w:divBdr>
    </w:div>
    <w:div w:id="39408241">
      <w:bodyDiv w:val="1"/>
      <w:marLeft w:val="0"/>
      <w:marRight w:val="0"/>
      <w:marTop w:val="0"/>
      <w:marBottom w:val="0"/>
      <w:divBdr>
        <w:top w:val="none" w:sz="0" w:space="0" w:color="auto"/>
        <w:left w:val="none" w:sz="0" w:space="0" w:color="auto"/>
        <w:bottom w:val="none" w:sz="0" w:space="0" w:color="auto"/>
        <w:right w:val="none" w:sz="0" w:space="0" w:color="auto"/>
      </w:divBdr>
    </w:div>
    <w:div w:id="39476915">
      <w:bodyDiv w:val="1"/>
      <w:marLeft w:val="0"/>
      <w:marRight w:val="0"/>
      <w:marTop w:val="0"/>
      <w:marBottom w:val="0"/>
      <w:divBdr>
        <w:top w:val="none" w:sz="0" w:space="0" w:color="auto"/>
        <w:left w:val="none" w:sz="0" w:space="0" w:color="auto"/>
        <w:bottom w:val="none" w:sz="0" w:space="0" w:color="auto"/>
        <w:right w:val="none" w:sz="0" w:space="0" w:color="auto"/>
      </w:divBdr>
    </w:div>
    <w:div w:id="48304290">
      <w:bodyDiv w:val="1"/>
      <w:marLeft w:val="0"/>
      <w:marRight w:val="0"/>
      <w:marTop w:val="0"/>
      <w:marBottom w:val="0"/>
      <w:divBdr>
        <w:top w:val="none" w:sz="0" w:space="0" w:color="auto"/>
        <w:left w:val="none" w:sz="0" w:space="0" w:color="auto"/>
        <w:bottom w:val="none" w:sz="0" w:space="0" w:color="auto"/>
        <w:right w:val="none" w:sz="0" w:space="0" w:color="auto"/>
      </w:divBdr>
    </w:div>
    <w:div w:id="50737034">
      <w:bodyDiv w:val="1"/>
      <w:marLeft w:val="0"/>
      <w:marRight w:val="0"/>
      <w:marTop w:val="0"/>
      <w:marBottom w:val="0"/>
      <w:divBdr>
        <w:top w:val="none" w:sz="0" w:space="0" w:color="auto"/>
        <w:left w:val="none" w:sz="0" w:space="0" w:color="auto"/>
        <w:bottom w:val="none" w:sz="0" w:space="0" w:color="auto"/>
        <w:right w:val="none" w:sz="0" w:space="0" w:color="auto"/>
      </w:divBdr>
      <w:divsChild>
        <w:div w:id="1185290378">
          <w:marLeft w:val="0"/>
          <w:marRight w:val="0"/>
          <w:marTop w:val="0"/>
          <w:marBottom w:val="0"/>
          <w:divBdr>
            <w:top w:val="none" w:sz="0" w:space="0" w:color="auto"/>
            <w:left w:val="none" w:sz="0" w:space="0" w:color="auto"/>
            <w:bottom w:val="none" w:sz="0" w:space="0" w:color="auto"/>
            <w:right w:val="none" w:sz="0" w:space="0" w:color="auto"/>
          </w:divBdr>
          <w:divsChild>
            <w:div w:id="1782066531">
              <w:marLeft w:val="0"/>
              <w:marRight w:val="0"/>
              <w:marTop w:val="0"/>
              <w:marBottom w:val="0"/>
              <w:divBdr>
                <w:top w:val="none" w:sz="0" w:space="0" w:color="auto"/>
                <w:left w:val="none" w:sz="0" w:space="0" w:color="auto"/>
                <w:bottom w:val="none" w:sz="0" w:space="0" w:color="auto"/>
                <w:right w:val="none" w:sz="0" w:space="0" w:color="auto"/>
              </w:divBdr>
              <w:divsChild>
                <w:div w:id="880942078">
                  <w:marLeft w:val="0"/>
                  <w:marRight w:val="0"/>
                  <w:marTop w:val="0"/>
                  <w:marBottom w:val="0"/>
                  <w:divBdr>
                    <w:top w:val="none" w:sz="0" w:space="0" w:color="auto"/>
                    <w:left w:val="none" w:sz="0" w:space="0" w:color="auto"/>
                    <w:bottom w:val="none" w:sz="0" w:space="0" w:color="auto"/>
                    <w:right w:val="none" w:sz="0" w:space="0" w:color="auto"/>
                  </w:divBdr>
                  <w:divsChild>
                    <w:div w:id="1090737997">
                      <w:marLeft w:val="0"/>
                      <w:marRight w:val="0"/>
                      <w:marTop w:val="0"/>
                      <w:marBottom w:val="0"/>
                      <w:divBdr>
                        <w:top w:val="none" w:sz="0" w:space="0" w:color="auto"/>
                        <w:left w:val="none" w:sz="0" w:space="0" w:color="auto"/>
                        <w:bottom w:val="none" w:sz="0" w:space="0" w:color="auto"/>
                        <w:right w:val="none" w:sz="0" w:space="0" w:color="auto"/>
                      </w:divBdr>
                      <w:divsChild>
                        <w:div w:id="262610337">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sChild>
        </w:div>
      </w:divsChild>
    </w:div>
    <w:div w:id="55786442">
      <w:bodyDiv w:val="1"/>
      <w:marLeft w:val="0"/>
      <w:marRight w:val="0"/>
      <w:marTop w:val="0"/>
      <w:marBottom w:val="0"/>
      <w:divBdr>
        <w:top w:val="none" w:sz="0" w:space="0" w:color="auto"/>
        <w:left w:val="none" w:sz="0" w:space="0" w:color="auto"/>
        <w:bottom w:val="none" w:sz="0" w:space="0" w:color="auto"/>
        <w:right w:val="none" w:sz="0" w:space="0" w:color="auto"/>
      </w:divBdr>
    </w:div>
    <w:div w:id="57094460">
      <w:bodyDiv w:val="1"/>
      <w:marLeft w:val="0"/>
      <w:marRight w:val="0"/>
      <w:marTop w:val="0"/>
      <w:marBottom w:val="0"/>
      <w:divBdr>
        <w:top w:val="none" w:sz="0" w:space="0" w:color="auto"/>
        <w:left w:val="none" w:sz="0" w:space="0" w:color="auto"/>
        <w:bottom w:val="none" w:sz="0" w:space="0" w:color="auto"/>
        <w:right w:val="none" w:sz="0" w:space="0" w:color="auto"/>
      </w:divBdr>
    </w:div>
    <w:div w:id="58556362">
      <w:bodyDiv w:val="1"/>
      <w:marLeft w:val="0"/>
      <w:marRight w:val="0"/>
      <w:marTop w:val="0"/>
      <w:marBottom w:val="0"/>
      <w:divBdr>
        <w:top w:val="none" w:sz="0" w:space="0" w:color="auto"/>
        <w:left w:val="none" w:sz="0" w:space="0" w:color="auto"/>
        <w:bottom w:val="none" w:sz="0" w:space="0" w:color="auto"/>
        <w:right w:val="none" w:sz="0" w:space="0" w:color="auto"/>
      </w:divBdr>
    </w:div>
    <w:div w:id="63601201">
      <w:bodyDiv w:val="1"/>
      <w:marLeft w:val="0"/>
      <w:marRight w:val="0"/>
      <w:marTop w:val="0"/>
      <w:marBottom w:val="0"/>
      <w:divBdr>
        <w:top w:val="none" w:sz="0" w:space="0" w:color="auto"/>
        <w:left w:val="none" w:sz="0" w:space="0" w:color="auto"/>
        <w:bottom w:val="none" w:sz="0" w:space="0" w:color="auto"/>
        <w:right w:val="none" w:sz="0" w:space="0" w:color="auto"/>
      </w:divBdr>
    </w:div>
    <w:div w:id="64257100">
      <w:bodyDiv w:val="1"/>
      <w:marLeft w:val="0"/>
      <w:marRight w:val="0"/>
      <w:marTop w:val="0"/>
      <w:marBottom w:val="0"/>
      <w:divBdr>
        <w:top w:val="none" w:sz="0" w:space="0" w:color="auto"/>
        <w:left w:val="none" w:sz="0" w:space="0" w:color="auto"/>
        <w:bottom w:val="none" w:sz="0" w:space="0" w:color="auto"/>
        <w:right w:val="none" w:sz="0" w:space="0" w:color="auto"/>
      </w:divBdr>
    </w:div>
    <w:div w:id="64650121">
      <w:bodyDiv w:val="1"/>
      <w:marLeft w:val="0"/>
      <w:marRight w:val="0"/>
      <w:marTop w:val="0"/>
      <w:marBottom w:val="0"/>
      <w:divBdr>
        <w:top w:val="none" w:sz="0" w:space="0" w:color="auto"/>
        <w:left w:val="none" w:sz="0" w:space="0" w:color="auto"/>
        <w:bottom w:val="none" w:sz="0" w:space="0" w:color="auto"/>
        <w:right w:val="none" w:sz="0" w:space="0" w:color="auto"/>
      </w:divBdr>
      <w:divsChild>
        <w:div w:id="913390189">
          <w:marLeft w:val="0"/>
          <w:marRight w:val="0"/>
          <w:marTop w:val="0"/>
          <w:marBottom w:val="0"/>
          <w:divBdr>
            <w:top w:val="none" w:sz="0" w:space="0" w:color="auto"/>
            <w:left w:val="none" w:sz="0" w:space="0" w:color="auto"/>
            <w:bottom w:val="none" w:sz="0" w:space="0" w:color="auto"/>
            <w:right w:val="none" w:sz="0" w:space="0" w:color="auto"/>
          </w:divBdr>
          <w:divsChild>
            <w:div w:id="60182391">
              <w:marLeft w:val="-225"/>
              <w:marRight w:val="-225"/>
              <w:marTop w:val="0"/>
              <w:marBottom w:val="0"/>
              <w:divBdr>
                <w:top w:val="none" w:sz="0" w:space="0" w:color="auto"/>
                <w:left w:val="none" w:sz="0" w:space="0" w:color="auto"/>
                <w:bottom w:val="none" w:sz="0" w:space="0" w:color="auto"/>
                <w:right w:val="none" w:sz="0" w:space="0" w:color="auto"/>
              </w:divBdr>
              <w:divsChild>
                <w:div w:id="2026590430">
                  <w:marLeft w:val="0"/>
                  <w:marRight w:val="0"/>
                  <w:marTop w:val="0"/>
                  <w:marBottom w:val="0"/>
                  <w:divBdr>
                    <w:top w:val="none" w:sz="0" w:space="0" w:color="auto"/>
                    <w:left w:val="none" w:sz="0" w:space="0" w:color="auto"/>
                    <w:bottom w:val="none" w:sz="0" w:space="0" w:color="auto"/>
                    <w:right w:val="none" w:sz="0" w:space="0" w:color="auto"/>
                  </w:divBdr>
                  <w:divsChild>
                    <w:div w:id="443841478">
                      <w:marLeft w:val="0"/>
                      <w:marRight w:val="0"/>
                      <w:marTop w:val="0"/>
                      <w:marBottom w:val="0"/>
                      <w:divBdr>
                        <w:top w:val="none" w:sz="0" w:space="0" w:color="auto"/>
                        <w:left w:val="none" w:sz="0" w:space="0" w:color="auto"/>
                        <w:bottom w:val="none" w:sz="0" w:space="0" w:color="auto"/>
                        <w:right w:val="none" w:sz="0" w:space="0" w:color="auto"/>
                      </w:divBdr>
                      <w:divsChild>
                        <w:div w:id="848104082">
                          <w:marLeft w:val="0"/>
                          <w:marRight w:val="0"/>
                          <w:marTop w:val="0"/>
                          <w:marBottom w:val="0"/>
                          <w:divBdr>
                            <w:top w:val="none" w:sz="0" w:space="0" w:color="auto"/>
                            <w:left w:val="none" w:sz="0" w:space="0" w:color="auto"/>
                            <w:bottom w:val="none" w:sz="0" w:space="0" w:color="auto"/>
                            <w:right w:val="none" w:sz="0" w:space="0" w:color="auto"/>
                          </w:divBdr>
                          <w:divsChild>
                            <w:div w:id="1171531983">
                              <w:marLeft w:val="0"/>
                              <w:marRight w:val="0"/>
                              <w:marTop w:val="0"/>
                              <w:marBottom w:val="0"/>
                              <w:divBdr>
                                <w:top w:val="none" w:sz="0" w:space="0" w:color="auto"/>
                                <w:left w:val="none" w:sz="0" w:space="0" w:color="auto"/>
                                <w:bottom w:val="none" w:sz="0" w:space="0" w:color="auto"/>
                                <w:right w:val="none" w:sz="0" w:space="0" w:color="auto"/>
                              </w:divBdr>
                              <w:divsChild>
                                <w:div w:id="31025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93253">
      <w:bodyDiv w:val="1"/>
      <w:marLeft w:val="0"/>
      <w:marRight w:val="0"/>
      <w:marTop w:val="0"/>
      <w:marBottom w:val="0"/>
      <w:divBdr>
        <w:top w:val="none" w:sz="0" w:space="0" w:color="auto"/>
        <w:left w:val="none" w:sz="0" w:space="0" w:color="auto"/>
        <w:bottom w:val="none" w:sz="0" w:space="0" w:color="auto"/>
        <w:right w:val="none" w:sz="0" w:space="0" w:color="auto"/>
      </w:divBdr>
    </w:div>
    <w:div w:id="67466045">
      <w:bodyDiv w:val="1"/>
      <w:marLeft w:val="0"/>
      <w:marRight w:val="0"/>
      <w:marTop w:val="0"/>
      <w:marBottom w:val="0"/>
      <w:divBdr>
        <w:top w:val="none" w:sz="0" w:space="0" w:color="auto"/>
        <w:left w:val="none" w:sz="0" w:space="0" w:color="auto"/>
        <w:bottom w:val="none" w:sz="0" w:space="0" w:color="auto"/>
        <w:right w:val="none" w:sz="0" w:space="0" w:color="auto"/>
      </w:divBdr>
    </w:div>
    <w:div w:id="81730517">
      <w:bodyDiv w:val="1"/>
      <w:marLeft w:val="0"/>
      <w:marRight w:val="0"/>
      <w:marTop w:val="0"/>
      <w:marBottom w:val="0"/>
      <w:divBdr>
        <w:top w:val="none" w:sz="0" w:space="0" w:color="auto"/>
        <w:left w:val="none" w:sz="0" w:space="0" w:color="auto"/>
        <w:bottom w:val="none" w:sz="0" w:space="0" w:color="auto"/>
        <w:right w:val="none" w:sz="0" w:space="0" w:color="auto"/>
      </w:divBdr>
    </w:div>
    <w:div w:id="83038512">
      <w:bodyDiv w:val="1"/>
      <w:marLeft w:val="0"/>
      <w:marRight w:val="0"/>
      <w:marTop w:val="0"/>
      <w:marBottom w:val="0"/>
      <w:divBdr>
        <w:top w:val="none" w:sz="0" w:space="0" w:color="auto"/>
        <w:left w:val="none" w:sz="0" w:space="0" w:color="auto"/>
        <w:bottom w:val="none" w:sz="0" w:space="0" w:color="auto"/>
        <w:right w:val="none" w:sz="0" w:space="0" w:color="auto"/>
      </w:divBdr>
    </w:div>
    <w:div w:id="83578576">
      <w:bodyDiv w:val="1"/>
      <w:marLeft w:val="0"/>
      <w:marRight w:val="0"/>
      <w:marTop w:val="0"/>
      <w:marBottom w:val="0"/>
      <w:divBdr>
        <w:top w:val="none" w:sz="0" w:space="0" w:color="auto"/>
        <w:left w:val="none" w:sz="0" w:space="0" w:color="auto"/>
        <w:bottom w:val="none" w:sz="0" w:space="0" w:color="auto"/>
        <w:right w:val="none" w:sz="0" w:space="0" w:color="auto"/>
      </w:divBdr>
    </w:div>
    <w:div w:id="85002131">
      <w:bodyDiv w:val="1"/>
      <w:marLeft w:val="0"/>
      <w:marRight w:val="0"/>
      <w:marTop w:val="0"/>
      <w:marBottom w:val="0"/>
      <w:divBdr>
        <w:top w:val="none" w:sz="0" w:space="0" w:color="auto"/>
        <w:left w:val="none" w:sz="0" w:space="0" w:color="auto"/>
        <w:bottom w:val="none" w:sz="0" w:space="0" w:color="auto"/>
        <w:right w:val="none" w:sz="0" w:space="0" w:color="auto"/>
      </w:divBdr>
    </w:div>
    <w:div w:id="86273656">
      <w:bodyDiv w:val="1"/>
      <w:marLeft w:val="0"/>
      <w:marRight w:val="0"/>
      <w:marTop w:val="0"/>
      <w:marBottom w:val="0"/>
      <w:divBdr>
        <w:top w:val="none" w:sz="0" w:space="0" w:color="auto"/>
        <w:left w:val="none" w:sz="0" w:space="0" w:color="auto"/>
        <w:bottom w:val="none" w:sz="0" w:space="0" w:color="auto"/>
        <w:right w:val="none" w:sz="0" w:space="0" w:color="auto"/>
      </w:divBdr>
    </w:div>
    <w:div w:id="86655160">
      <w:bodyDiv w:val="1"/>
      <w:marLeft w:val="0"/>
      <w:marRight w:val="0"/>
      <w:marTop w:val="0"/>
      <w:marBottom w:val="0"/>
      <w:divBdr>
        <w:top w:val="none" w:sz="0" w:space="0" w:color="auto"/>
        <w:left w:val="none" w:sz="0" w:space="0" w:color="auto"/>
        <w:bottom w:val="none" w:sz="0" w:space="0" w:color="auto"/>
        <w:right w:val="none" w:sz="0" w:space="0" w:color="auto"/>
      </w:divBdr>
    </w:div>
    <w:div w:id="87386184">
      <w:bodyDiv w:val="1"/>
      <w:marLeft w:val="0"/>
      <w:marRight w:val="0"/>
      <w:marTop w:val="0"/>
      <w:marBottom w:val="0"/>
      <w:divBdr>
        <w:top w:val="none" w:sz="0" w:space="0" w:color="auto"/>
        <w:left w:val="none" w:sz="0" w:space="0" w:color="auto"/>
        <w:bottom w:val="none" w:sz="0" w:space="0" w:color="auto"/>
        <w:right w:val="none" w:sz="0" w:space="0" w:color="auto"/>
      </w:divBdr>
    </w:div>
    <w:div w:id="90005407">
      <w:bodyDiv w:val="1"/>
      <w:marLeft w:val="0"/>
      <w:marRight w:val="0"/>
      <w:marTop w:val="0"/>
      <w:marBottom w:val="0"/>
      <w:divBdr>
        <w:top w:val="none" w:sz="0" w:space="0" w:color="auto"/>
        <w:left w:val="none" w:sz="0" w:space="0" w:color="auto"/>
        <w:bottom w:val="none" w:sz="0" w:space="0" w:color="auto"/>
        <w:right w:val="none" w:sz="0" w:space="0" w:color="auto"/>
      </w:divBdr>
    </w:div>
    <w:div w:id="90011561">
      <w:bodyDiv w:val="1"/>
      <w:marLeft w:val="0"/>
      <w:marRight w:val="0"/>
      <w:marTop w:val="0"/>
      <w:marBottom w:val="0"/>
      <w:divBdr>
        <w:top w:val="none" w:sz="0" w:space="0" w:color="auto"/>
        <w:left w:val="none" w:sz="0" w:space="0" w:color="auto"/>
        <w:bottom w:val="none" w:sz="0" w:space="0" w:color="auto"/>
        <w:right w:val="none" w:sz="0" w:space="0" w:color="auto"/>
      </w:divBdr>
    </w:div>
    <w:div w:id="95444022">
      <w:bodyDiv w:val="1"/>
      <w:marLeft w:val="0"/>
      <w:marRight w:val="0"/>
      <w:marTop w:val="0"/>
      <w:marBottom w:val="0"/>
      <w:divBdr>
        <w:top w:val="none" w:sz="0" w:space="0" w:color="auto"/>
        <w:left w:val="none" w:sz="0" w:space="0" w:color="auto"/>
        <w:bottom w:val="none" w:sz="0" w:space="0" w:color="auto"/>
        <w:right w:val="none" w:sz="0" w:space="0" w:color="auto"/>
      </w:divBdr>
    </w:div>
    <w:div w:id="103811138">
      <w:bodyDiv w:val="1"/>
      <w:marLeft w:val="0"/>
      <w:marRight w:val="0"/>
      <w:marTop w:val="0"/>
      <w:marBottom w:val="0"/>
      <w:divBdr>
        <w:top w:val="none" w:sz="0" w:space="0" w:color="auto"/>
        <w:left w:val="none" w:sz="0" w:space="0" w:color="auto"/>
        <w:bottom w:val="none" w:sz="0" w:space="0" w:color="auto"/>
        <w:right w:val="none" w:sz="0" w:space="0" w:color="auto"/>
      </w:divBdr>
    </w:div>
    <w:div w:id="107697878">
      <w:bodyDiv w:val="1"/>
      <w:marLeft w:val="0"/>
      <w:marRight w:val="0"/>
      <w:marTop w:val="0"/>
      <w:marBottom w:val="0"/>
      <w:divBdr>
        <w:top w:val="none" w:sz="0" w:space="0" w:color="auto"/>
        <w:left w:val="none" w:sz="0" w:space="0" w:color="auto"/>
        <w:bottom w:val="none" w:sz="0" w:space="0" w:color="auto"/>
        <w:right w:val="none" w:sz="0" w:space="0" w:color="auto"/>
      </w:divBdr>
    </w:div>
    <w:div w:id="107966141">
      <w:bodyDiv w:val="1"/>
      <w:marLeft w:val="0"/>
      <w:marRight w:val="0"/>
      <w:marTop w:val="0"/>
      <w:marBottom w:val="0"/>
      <w:divBdr>
        <w:top w:val="none" w:sz="0" w:space="0" w:color="auto"/>
        <w:left w:val="none" w:sz="0" w:space="0" w:color="auto"/>
        <w:bottom w:val="none" w:sz="0" w:space="0" w:color="auto"/>
        <w:right w:val="none" w:sz="0" w:space="0" w:color="auto"/>
      </w:divBdr>
    </w:div>
    <w:div w:id="111018827">
      <w:bodyDiv w:val="1"/>
      <w:marLeft w:val="0"/>
      <w:marRight w:val="0"/>
      <w:marTop w:val="0"/>
      <w:marBottom w:val="0"/>
      <w:divBdr>
        <w:top w:val="none" w:sz="0" w:space="0" w:color="auto"/>
        <w:left w:val="none" w:sz="0" w:space="0" w:color="auto"/>
        <w:bottom w:val="none" w:sz="0" w:space="0" w:color="auto"/>
        <w:right w:val="none" w:sz="0" w:space="0" w:color="auto"/>
      </w:divBdr>
    </w:div>
    <w:div w:id="117646612">
      <w:bodyDiv w:val="1"/>
      <w:marLeft w:val="0"/>
      <w:marRight w:val="0"/>
      <w:marTop w:val="0"/>
      <w:marBottom w:val="0"/>
      <w:divBdr>
        <w:top w:val="none" w:sz="0" w:space="0" w:color="auto"/>
        <w:left w:val="none" w:sz="0" w:space="0" w:color="auto"/>
        <w:bottom w:val="none" w:sz="0" w:space="0" w:color="auto"/>
        <w:right w:val="none" w:sz="0" w:space="0" w:color="auto"/>
      </w:divBdr>
    </w:div>
    <w:div w:id="118304638">
      <w:bodyDiv w:val="1"/>
      <w:marLeft w:val="0"/>
      <w:marRight w:val="0"/>
      <w:marTop w:val="0"/>
      <w:marBottom w:val="0"/>
      <w:divBdr>
        <w:top w:val="none" w:sz="0" w:space="0" w:color="auto"/>
        <w:left w:val="none" w:sz="0" w:space="0" w:color="auto"/>
        <w:bottom w:val="none" w:sz="0" w:space="0" w:color="auto"/>
        <w:right w:val="none" w:sz="0" w:space="0" w:color="auto"/>
      </w:divBdr>
    </w:div>
    <w:div w:id="119153593">
      <w:bodyDiv w:val="1"/>
      <w:marLeft w:val="0"/>
      <w:marRight w:val="0"/>
      <w:marTop w:val="0"/>
      <w:marBottom w:val="0"/>
      <w:divBdr>
        <w:top w:val="none" w:sz="0" w:space="0" w:color="auto"/>
        <w:left w:val="none" w:sz="0" w:space="0" w:color="auto"/>
        <w:bottom w:val="none" w:sz="0" w:space="0" w:color="auto"/>
        <w:right w:val="none" w:sz="0" w:space="0" w:color="auto"/>
      </w:divBdr>
    </w:div>
    <w:div w:id="119224109">
      <w:bodyDiv w:val="1"/>
      <w:marLeft w:val="0"/>
      <w:marRight w:val="0"/>
      <w:marTop w:val="0"/>
      <w:marBottom w:val="0"/>
      <w:divBdr>
        <w:top w:val="none" w:sz="0" w:space="0" w:color="auto"/>
        <w:left w:val="none" w:sz="0" w:space="0" w:color="auto"/>
        <w:bottom w:val="none" w:sz="0" w:space="0" w:color="auto"/>
        <w:right w:val="none" w:sz="0" w:space="0" w:color="auto"/>
      </w:divBdr>
    </w:div>
    <w:div w:id="121506438">
      <w:bodyDiv w:val="1"/>
      <w:marLeft w:val="0"/>
      <w:marRight w:val="0"/>
      <w:marTop w:val="0"/>
      <w:marBottom w:val="0"/>
      <w:divBdr>
        <w:top w:val="none" w:sz="0" w:space="0" w:color="auto"/>
        <w:left w:val="none" w:sz="0" w:space="0" w:color="auto"/>
        <w:bottom w:val="none" w:sz="0" w:space="0" w:color="auto"/>
        <w:right w:val="none" w:sz="0" w:space="0" w:color="auto"/>
      </w:divBdr>
      <w:divsChild>
        <w:div w:id="1105346745">
          <w:marLeft w:val="0"/>
          <w:marRight w:val="0"/>
          <w:marTop w:val="0"/>
          <w:marBottom w:val="0"/>
          <w:divBdr>
            <w:top w:val="none" w:sz="0" w:space="0" w:color="auto"/>
            <w:left w:val="none" w:sz="0" w:space="0" w:color="auto"/>
            <w:bottom w:val="none" w:sz="0" w:space="0" w:color="auto"/>
            <w:right w:val="none" w:sz="0" w:space="0" w:color="auto"/>
          </w:divBdr>
          <w:divsChild>
            <w:div w:id="1431048111">
              <w:marLeft w:val="-225"/>
              <w:marRight w:val="-225"/>
              <w:marTop w:val="0"/>
              <w:marBottom w:val="0"/>
              <w:divBdr>
                <w:top w:val="none" w:sz="0" w:space="0" w:color="auto"/>
                <w:left w:val="none" w:sz="0" w:space="0" w:color="auto"/>
                <w:bottom w:val="none" w:sz="0" w:space="0" w:color="auto"/>
                <w:right w:val="none" w:sz="0" w:space="0" w:color="auto"/>
              </w:divBdr>
              <w:divsChild>
                <w:div w:id="370687493">
                  <w:marLeft w:val="0"/>
                  <w:marRight w:val="0"/>
                  <w:marTop w:val="0"/>
                  <w:marBottom w:val="0"/>
                  <w:divBdr>
                    <w:top w:val="none" w:sz="0" w:space="0" w:color="auto"/>
                    <w:left w:val="none" w:sz="0" w:space="0" w:color="auto"/>
                    <w:bottom w:val="none" w:sz="0" w:space="0" w:color="auto"/>
                    <w:right w:val="none" w:sz="0" w:space="0" w:color="auto"/>
                  </w:divBdr>
                  <w:divsChild>
                    <w:div w:id="447480285">
                      <w:marLeft w:val="0"/>
                      <w:marRight w:val="0"/>
                      <w:marTop w:val="0"/>
                      <w:marBottom w:val="0"/>
                      <w:divBdr>
                        <w:top w:val="none" w:sz="0" w:space="0" w:color="auto"/>
                        <w:left w:val="none" w:sz="0" w:space="0" w:color="auto"/>
                        <w:bottom w:val="none" w:sz="0" w:space="0" w:color="auto"/>
                        <w:right w:val="none" w:sz="0" w:space="0" w:color="auto"/>
                      </w:divBdr>
                      <w:divsChild>
                        <w:div w:id="884833076">
                          <w:marLeft w:val="0"/>
                          <w:marRight w:val="0"/>
                          <w:marTop w:val="0"/>
                          <w:marBottom w:val="0"/>
                          <w:divBdr>
                            <w:top w:val="none" w:sz="0" w:space="0" w:color="auto"/>
                            <w:left w:val="none" w:sz="0" w:space="0" w:color="auto"/>
                            <w:bottom w:val="none" w:sz="0" w:space="0" w:color="auto"/>
                            <w:right w:val="none" w:sz="0" w:space="0" w:color="auto"/>
                          </w:divBdr>
                          <w:divsChild>
                            <w:div w:id="468983982">
                              <w:marLeft w:val="0"/>
                              <w:marRight w:val="0"/>
                              <w:marTop w:val="0"/>
                              <w:marBottom w:val="0"/>
                              <w:divBdr>
                                <w:top w:val="none" w:sz="0" w:space="0" w:color="auto"/>
                                <w:left w:val="none" w:sz="0" w:space="0" w:color="auto"/>
                                <w:bottom w:val="none" w:sz="0" w:space="0" w:color="auto"/>
                                <w:right w:val="none" w:sz="0" w:space="0" w:color="auto"/>
                              </w:divBdr>
                              <w:divsChild>
                                <w:div w:id="207454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777839">
      <w:bodyDiv w:val="1"/>
      <w:marLeft w:val="0"/>
      <w:marRight w:val="0"/>
      <w:marTop w:val="0"/>
      <w:marBottom w:val="0"/>
      <w:divBdr>
        <w:top w:val="none" w:sz="0" w:space="0" w:color="auto"/>
        <w:left w:val="none" w:sz="0" w:space="0" w:color="auto"/>
        <w:bottom w:val="none" w:sz="0" w:space="0" w:color="auto"/>
        <w:right w:val="none" w:sz="0" w:space="0" w:color="auto"/>
      </w:divBdr>
    </w:div>
    <w:div w:id="124784553">
      <w:bodyDiv w:val="1"/>
      <w:marLeft w:val="0"/>
      <w:marRight w:val="0"/>
      <w:marTop w:val="0"/>
      <w:marBottom w:val="0"/>
      <w:divBdr>
        <w:top w:val="none" w:sz="0" w:space="0" w:color="auto"/>
        <w:left w:val="none" w:sz="0" w:space="0" w:color="auto"/>
        <w:bottom w:val="none" w:sz="0" w:space="0" w:color="auto"/>
        <w:right w:val="none" w:sz="0" w:space="0" w:color="auto"/>
      </w:divBdr>
    </w:div>
    <w:div w:id="125125653">
      <w:bodyDiv w:val="1"/>
      <w:marLeft w:val="0"/>
      <w:marRight w:val="0"/>
      <w:marTop w:val="0"/>
      <w:marBottom w:val="0"/>
      <w:divBdr>
        <w:top w:val="none" w:sz="0" w:space="0" w:color="auto"/>
        <w:left w:val="none" w:sz="0" w:space="0" w:color="auto"/>
        <w:bottom w:val="none" w:sz="0" w:space="0" w:color="auto"/>
        <w:right w:val="none" w:sz="0" w:space="0" w:color="auto"/>
      </w:divBdr>
    </w:div>
    <w:div w:id="127019605">
      <w:bodyDiv w:val="1"/>
      <w:marLeft w:val="0"/>
      <w:marRight w:val="0"/>
      <w:marTop w:val="0"/>
      <w:marBottom w:val="0"/>
      <w:divBdr>
        <w:top w:val="none" w:sz="0" w:space="0" w:color="auto"/>
        <w:left w:val="none" w:sz="0" w:space="0" w:color="auto"/>
        <w:bottom w:val="none" w:sz="0" w:space="0" w:color="auto"/>
        <w:right w:val="none" w:sz="0" w:space="0" w:color="auto"/>
      </w:divBdr>
    </w:div>
    <w:div w:id="128210834">
      <w:bodyDiv w:val="1"/>
      <w:marLeft w:val="0"/>
      <w:marRight w:val="0"/>
      <w:marTop w:val="0"/>
      <w:marBottom w:val="0"/>
      <w:divBdr>
        <w:top w:val="none" w:sz="0" w:space="0" w:color="auto"/>
        <w:left w:val="none" w:sz="0" w:space="0" w:color="auto"/>
        <w:bottom w:val="none" w:sz="0" w:space="0" w:color="auto"/>
        <w:right w:val="none" w:sz="0" w:space="0" w:color="auto"/>
      </w:divBdr>
    </w:div>
    <w:div w:id="130679920">
      <w:bodyDiv w:val="1"/>
      <w:marLeft w:val="0"/>
      <w:marRight w:val="0"/>
      <w:marTop w:val="0"/>
      <w:marBottom w:val="0"/>
      <w:divBdr>
        <w:top w:val="none" w:sz="0" w:space="0" w:color="auto"/>
        <w:left w:val="none" w:sz="0" w:space="0" w:color="auto"/>
        <w:bottom w:val="none" w:sz="0" w:space="0" w:color="auto"/>
        <w:right w:val="none" w:sz="0" w:space="0" w:color="auto"/>
      </w:divBdr>
    </w:div>
    <w:div w:id="130750313">
      <w:bodyDiv w:val="1"/>
      <w:marLeft w:val="0"/>
      <w:marRight w:val="0"/>
      <w:marTop w:val="0"/>
      <w:marBottom w:val="0"/>
      <w:divBdr>
        <w:top w:val="none" w:sz="0" w:space="0" w:color="auto"/>
        <w:left w:val="none" w:sz="0" w:space="0" w:color="auto"/>
        <w:bottom w:val="none" w:sz="0" w:space="0" w:color="auto"/>
        <w:right w:val="none" w:sz="0" w:space="0" w:color="auto"/>
      </w:divBdr>
    </w:div>
    <w:div w:id="131217279">
      <w:bodyDiv w:val="1"/>
      <w:marLeft w:val="0"/>
      <w:marRight w:val="0"/>
      <w:marTop w:val="0"/>
      <w:marBottom w:val="0"/>
      <w:divBdr>
        <w:top w:val="none" w:sz="0" w:space="0" w:color="auto"/>
        <w:left w:val="none" w:sz="0" w:space="0" w:color="auto"/>
        <w:bottom w:val="none" w:sz="0" w:space="0" w:color="auto"/>
        <w:right w:val="none" w:sz="0" w:space="0" w:color="auto"/>
      </w:divBdr>
    </w:div>
    <w:div w:id="131678271">
      <w:bodyDiv w:val="1"/>
      <w:marLeft w:val="0"/>
      <w:marRight w:val="0"/>
      <w:marTop w:val="0"/>
      <w:marBottom w:val="0"/>
      <w:divBdr>
        <w:top w:val="none" w:sz="0" w:space="0" w:color="auto"/>
        <w:left w:val="none" w:sz="0" w:space="0" w:color="auto"/>
        <w:bottom w:val="none" w:sz="0" w:space="0" w:color="auto"/>
        <w:right w:val="none" w:sz="0" w:space="0" w:color="auto"/>
      </w:divBdr>
    </w:div>
    <w:div w:id="136343219">
      <w:bodyDiv w:val="1"/>
      <w:marLeft w:val="0"/>
      <w:marRight w:val="0"/>
      <w:marTop w:val="0"/>
      <w:marBottom w:val="0"/>
      <w:divBdr>
        <w:top w:val="none" w:sz="0" w:space="0" w:color="auto"/>
        <w:left w:val="none" w:sz="0" w:space="0" w:color="auto"/>
        <w:bottom w:val="none" w:sz="0" w:space="0" w:color="auto"/>
        <w:right w:val="none" w:sz="0" w:space="0" w:color="auto"/>
      </w:divBdr>
    </w:div>
    <w:div w:id="137040458">
      <w:bodyDiv w:val="1"/>
      <w:marLeft w:val="0"/>
      <w:marRight w:val="0"/>
      <w:marTop w:val="0"/>
      <w:marBottom w:val="0"/>
      <w:divBdr>
        <w:top w:val="none" w:sz="0" w:space="0" w:color="auto"/>
        <w:left w:val="none" w:sz="0" w:space="0" w:color="auto"/>
        <w:bottom w:val="none" w:sz="0" w:space="0" w:color="auto"/>
        <w:right w:val="none" w:sz="0" w:space="0" w:color="auto"/>
      </w:divBdr>
    </w:div>
    <w:div w:id="138157344">
      <w:bodyDiv w:val="1"/>
      <w:marLeft w:val="0"/>
      <w:marRight w:val="0"/>
      <w:marTop w:val="0"/>
      <w:marBottom w:val="0"/>
      <w:divBdr>
        <w:top w:val="none" w:sz="0" w:space="0" w:color="auto"/>
        <w:left w:val="none" w:sz="0" w:space="0" w:color="auto"/>
        <w:bottom w:val="none" w:sz="0" w:space="0" w:color="auto"/>
        <w:right w:val="none" w:sz="0" w:space="0" w:color="auto"/>
      </w:divBdr>
    </w:div>
    <w:div w:id="143283718">
      <w:bodyDiv w:val="1"/>
      <w:marLeft w:val="0"/>
      <w:marRight w:val="0"/>
      <w:marTop w:val="0"/>
      <w:marBottom w:val="0"/>
      <w:divBdr>
        <w:top w:val="none" w:sz="0" w:space="0" w:color="auto"/>
        <w:left w:val="none" w:sz="0" w:space="0" w:color="auto"/>
        <w:bottom w:val="none" w:sz="0" w:space="0" w:color="auto"/>
        <w:right w:val="none" w:sz="0" w:space="0" w:color="auto"/>
      </w:divBdr>
    </w:div>
    <w:div w:id="149953034">
      <w:bodyDiv w:val="1"/>
      <w:marLeft w:val="0"/>
      <w:marRight w:val="0"/>
      <w:marTop w:val="0"/>
      <w:marBottom w:val="0"/>
      <w:divBdr>
        <w:top w:val="none" w:sz="0" w:space="0" w:color="auto"/>
        <w:left w:val="none" w:sz="0" w:space="0" w:color="auto"/>
        <w:bottom w:val="none" w:sz="0" w:space="0" w:color="auto"/>
        <w:right w:val="none" w:sz="0" w:space="0" w:color="auto"/>
      </w:divBdr>
    </w:div>
    <w:div w:id="151068360">
      <w:bodyDiv w:val="1"/>
      <w:marLeft w:val="0"/>
      <w:marRight w:val="0"/>
      <w:marTop w:val="0"/>
      <w:marBottom w:val="0"/>
      <w:divBdr>
        <w:top w:val="none" w:sz="0" w:space="0" w:color="auto"/>
        <w:left w:val="none" w:sz="0" w:space="0" w:color="auto"/>
        <w:bottom w:val="none" w:sz="0" w:space="0" w:color="auto"/>
        <w:right w:val="none" w:sz="0" w:space="0" w:color="auto"/>
      </w:divBdr>
    </w:div>
    <w:div w:id="156920557">
      <w:bodyDiv w:val="1"/>
      <w:marLeft w:val="0"/>
      <w:marRight w:val="0"/>
      <w:marTop w:val="0"/>
      <w:marBottom w:val="0"/>
      <w:divBdr>
        <w:top w:val="none" w:sz="0" w:space="0" w:color="auto"/>
        <w:left w:val="none" w:sz="0" w:space="0" w:color="auto"/>
        <w:bottom w:val="none" w:sz="0" w:space="0" w:color="auto"/>
        <w:right w:val="none" w:sz="0" w:space="0" w:color="auto"/>
      </w:divBdr>
    </w:div>
    <w:div w:id="166294427">
      <w:bodyDiv w:val="1"/>
      <w:marLeft w:val="0"/>
      <w:marRight w:val="0"/>
      <w:marTop w:val="0"/>
      <w:marBottom w:val="0"/>
      <w:divBdr>
        <w:top w:val="none" w:sz="0" w:space="0" w:color="auto"/>
        <w:left w:val="none" w:sz="0" w:space="0" w:color="auto"/>
        <w:bottom w:val="none" w:sz="0" w:space="0" w:color="auto"/>
        <w:right w:val="none" w:sz="0" w:space="0" w:color="auto"/>
      </w:divBdr>
    </w:div>
    <w:div w:id="166604975">
      <w:bodyDiv w:val="1"/>
      <w:marLeft w:val="0"/>
      <w:marRight w:val="0"/>
      <w:marTop w:val="0"/>
      <w:marBottom w:val="0"/>
      <w:divBdr>
        <w:top w:val="none" w:sz="0" w:space="0" w:color="auto"/>
        <w:left w:val="none" w:sz="0" w:space="0" w:color="auto"/>
        <w:bottom w:val="none" w:sz="0" w:space="0" w:color="auto"/>
        <w:right w:val="none" w:sz="0" w:space="0" w:color="auto"/>
      </w:divBdr>
    </w:div>
    <w:div w:id="167906835">
      <w:bodyDiv w:val="1"/>
      <w:marLeft w:val="0"/>
      <w:marRight w:val="0"/>
      <w:marTop w:val="0"/>
      <w:marBottom w:val="0"/>
      <w:divBdr>
        <w:top w:val="none" w:sz="0" w:space="0" w:color="auto"/>
        <w:left w:val="none" w:sz="0" w:space="0" w:color="auto"/>
        <w:bottom w:val="none" w:sz="0" w:space="0" w:color="auto"/>
        <w:right w:val="none" w:sz="0" w:space="0" w:color="auto"/>
      </w:divBdr>
    </w:div>
    <w:div w:id="170683859">
      <w:bodyDiv w:val="1"/>
      <w:marLeft w:val="0"/>
      <w:marRight w:val="0"/>
      <w:marTop w:val="0"/>
      <w:marBottom w:val="0"/>
      <w:divBdr>
        <w:top w:val="none" w:sz="0" w:space="0" w:color="auto"/>
        <w:left w:val="none" w:sz="0" w:space="0" w:color="auto"/>
        <w:bottom w:val="none" w:sz="0" w:space="0" w:color="auto"/>
        <w:right w:val="none" w:sz="0" w:space="0" w:color="auto"/>
      </w:divBdr>
    </w:div>
    <w:div w:id="170871671">
      <w:bodyDiv w:val="1"/>
      <w:marLeft w:val="0"/>
      <w:marRight w:val="0"/>
      <w:marTop w:val="0"/>
      <w:marBottom w:val="0"/>
      <w:divBdr>
        <w:top w:val="none" w:sz="0" w:space="0" w:color="auto"/>
        <w:left w:val="none" w:sz="0" w:space="0" w:color="auto"/>
        <w:bottom w:val="none" w:sz="0" w:space="0" w:color="auto"/>
        <w:right w:val="none" w:sz="0" w:space="0" w:color="auto"/>
      </w:divBdr>
    </w:div>
    <w:div w:id="175585041">
      <w:bodyDiv w:val="1"/>
      <w:marLeft w:val="0"/>
      <w:marRight w:val="0"/>
      <w:marTop w:val="0"/>
      <w:marBottom w:val="0"/>
      <w:divBdr>
        <w:top w:val="none" w:sz="0" w:space="0" w:color="auto"/>
        <w:left w:val="none" w:sz="0" w:space="0" w:color="auto"/>
        <w:bottom w:val="none" w:sz="0" w:space="0" w:color="auto"/>
        <w:right w:val="none" w:sz="0" w:space="0" w:color="auto"/>
      </w:divBdr>
    </w:div>
    <w:div w:id="184027426">
      <w:bodyDiv w:val="1"/>
      <w:marLeft w:val="0"/>
      <w:marRight w:val="0"/>
      <w:marTop w:val="0"/>
      <w:marBottom w:val="0"/>
      <w:divBdr>
        <w:top w:val="none" w:sz="0" w:space="0" w:color="auto"/>
        <w:left w:val="none" w:sz="0" w:space="0" w:color="auto"/>
        <w:bottom w:val="none" w:sz="0" w:space="0" w:color="auto"/>
        <w:right w:val="none" w:sz="0" w:space="0" w:color="auto"/>
      </w:divBdr>
    </w:div>
    <w:div w:id="185143628">
      <w:bodyDiv w:val="1"/>
      <w:marLeft w:val="0"/>
      <w:marRight w:val="0"/>
      <w:marTop w:val="0"/>
      <w:marBottom w:val="0"/>
      <w:divBdr>
        <w:top w:val="none" w:sz="0" w:space="0" w:color="auto"/>
        <w:left w:val="none" w:sz="0" w:space="0" w:color="auto"/>
        <w:bottom w:val="none" w:sz="0" w:space="0" w:color="auto"/>
        <w:right w:val="none" w:sz="0" w:space="0" w:color="auto"/>
      </w:divBdr>
    </w:div>
    <w:div w:id="186023333">
      <w:bodyDiv w:val="1"/>
      <w:marLeft w:val="0"/>
      <w:marRight w:val="0"/>
      <w:marTop w:val="0"/>
      <w:marBottom w:val="0"/>
      <w:divBdr>
        <w:top w:val="none" w:sz="0" w:space="0" w:color="auto"/>
        <w:left w:val="none" w:sz="0" w:space="0" w:color="auto"/>
        <w:bottom w:val="none" w:sz="0" w:space="0" w:color="auto"/>
        <w:right w:val="none" w:sz="0" w:space="0" w:color="auto"/>
      </w:divBdr>
    </w:div>
    <w:div w:id="188758346">
      <w:bodyDiv w:val="1"/>
      <w:marLeft w:val="0"/>
      <w:marRight w:val="0"/>
      <w:marTop w:val="0"/>
      <w:marBottom w:val="0"/>
      <w:divBdr>
        <w:top w:val="none" w:sz="0" w:space="0" w:color="auto"/>
        <w:left w:val="none" w:sz="0" w:space="0" w:color="auto"/>
        <w:bottom w:val="none" w:sz="0" w:space="0" w:color="auto"/>
        <w:right w:val="none" w:sz="0" w:space="0" w:color="auto"/>
      </w:divBdr>
    </w:div>
    <w:div w:id="190649998">
      <w:bodyDiv w:val="1"/>
      <w:marLeft w:val="0"/>
      <w:marRight w:val="0"/>
      <w:marTop w:val="0"/>
      <w:marBottom w:val="0"/>
      <w:divBdr>
        <w:top w:val="none" w:sz="0" w:space="0" w:color="auto"/>
        <w:left w:val="none" w:sz="0" w:space="0" w:color="auto"/>
        <w:bottom w:val="none" w:sz="0" w:space="0" w:color="auto"/>
        <w:right w:val="none" w:sz="0" w:space="0" w:color="auto"/>
      </w:divBdr>
    </w:div>
    <w:div w:id="191303944">
      <w:bodyDiv w:val="1"/>
      <w:marLeft w:val="0"/>
      <w:marRight w:val="0"/>
      <w:marTop w:val="0"/>
      <w:marBottom w:val="0"/>
      <w:divBdr>
        <w:top w:val="none" w:sz="0" w:space="0" w:color="auto"/>
        <w:left w:val="none" w:sz="0" w:space="0" w:color="auto"/>
        <w:bottom w:val="none" w:sz="0" w:space="0" w:color="auto"/>
        <w:right w:val="none" w:sz="0" w:space="0" w:color="auto"/>
      </w:divBdr>
    </w:div>
    <w:div w:id="193150997">
      <w:bodyDiv w:val="1"/>
      <w:marLeft w:val="0"/>
      <w:marRight w:val="0"/>
      <w:marTop w:val="0"/>
      <w:marBottom w:val="0"/>
      <w:divBdr>
        <w:top w:val="none" w:sz="0" w:space="0" w:color="auto"/>
        <w:left w:val="none" w:sz="0" w:space="0" w:color="auto"/>
        <w:bottom w:val="none" w:sz="0" w:space="0" w:color="auto"/>
        <w:right w:val="none" w:sz="0" w:space="0" w:color="auto"/>
      </w:divBdr>
    </w:div>
    <w:div w:id="193419744">
      <w:bodyDiv w:val="1"/>
      <w:marLeft w:val="0"/>
      <w:marRight w:val="0"/>
      <w:marTop w:val="0"/>
      <w:marBottom w:val="0"/>
      <w:divBdr>
        <w:top w:val="none" w:sz="0" w:space="0" w:color="auto"/>
        <w:left w:val="none" w:sz="0" w:space="0" w:color="auto"/>
        <w:bottom w:val="none" w:sz="0" w:space="0" w:color="auto"/>
        <w:right w:val="none" w:sz="0" w:space="0" w:color="auto"/>
      </w:divBdr>
    </w:div>
    <w:div w:id="194927846">
      <w:bodyDiv w:val="1"/>
      <w:marLeft w:val="0"/>
      <w:marRight w:val="0"/>
      <w:marTop w:val="0"/>
      <w:marBottom w:val="0"/>
      <w:divBdr>
        <w:top w:val="none" w:sz="0" w:space="0" w:color="auto"/>
        <w:left w:val="none" w:sz="0" w:space="0" w:color="auto"/>
        <w:bottom w:val="none" w:sz="0" w:space="0" w:color="auto"/>
        <w:right w:val="none" w:sz="0" w:space="0" w:color="auto"/>
      </w:divBdr>
      <w:divsChild>
        <w:div w:id="160239300">
          <w:marLeft w:val="0"/>
          <w:marRight w:val="0"/>
          <w:marTop w:val="0"/>
          <w:marBottom w:val="0"/>
          <w:divBdr>
            <w:top w:val="none" w:sz="0" w:space="0" w:color="auto"/>
            <w:left w:val="none" w:sz="0" w:space="0" w:color="auto"/>
            <w:bottom w:val="none" w:sz="0" w:space="0" w:color="auto"/>
            <w:right w:val="none" w:sz="0" w:space="0" w:color="auto"/>
          </w:divBdr>
        </w:div>
        <w:div w:id="1888762026">
          <w:marLeft w:val="0"/>
          <w:marRight w:val="0"/>
          <w:marTop w:val="0"/>
          <w:marBottom w:val="0"/>
          <w:divBdr>
            <w:top w:val="none" w:sz="0" w:space="0" w:color="auto"/>
            <w:left w:val="none" w:sz="0" w:space="0" w:color="auto"/>
            <w:bottom w:val="none" w:sz="0" w:space="0" w:color="auto"/>
            <w:right w:val="none" w:sz="0" w:space="0" w:color="auto"/>
          </w:divBdr>
          <w:divsChild>
            <w:div w:id="874194676">
              <w:marLeft w:val="0"/>
              <w:marRight w:val="0"/>
              <w:marTop w:val="0"/>
              <w:marBottom w:val="0"/>
              <w:divBdr>
                <w:top w:val="none" w:sz="0" w:space="0" w:color="auto"/>
                <w:left w:val="none" w:sz="0" w:space="0" w:color="auto"/>
                <w:bottom w:val="none" w:sz="0" w:space="0" w:color="auto"/>
                <w:right w:val="none" w:sz="0" w:space="0" w:color="auto"/>
              </w:divBdr>
              <w:divsChild>
                <w:div w:id="934443161">
                  <w:marLeft w:val="0"/>
                  <w:marRight w:val="0"/>
                  <w:marTop w:val="0"/>
                  <w:marBottom w:val="0"/>
                  <w:divBdr>
                    <w:top w:val="none" w:sz="0" w:space="0" w:color="auto"/>
                    <w:left w:val="none" w:sz="0" w:space="0" w:color="auto"/>
                    <w:bottom w:val="none" w:sz="0" w:space="0" w:color="auto"/>
                    <w:right w:val="none" w:sz="0" w:space="0" w:color="auto"/>
                  </w:divBdr>
                </w:div>
              </w:divsChild>
            </w:div>
            <w:div w:id="2131701584">
              <w:marLeft w:val="0"/>
              <w:marRight w:val="0"/>
              <w:marTop w:val="0"/>
              <w:marBottom w:val="0"/>
              <w:divBdr>
                <w:top w:val="none" w:sz="0" w:space="0" w:color="auto"/>
                <w:left w:val="none" w:sz="0" w:space="0" w:color="auto"/>
                <w:bottom w:val="none" w:sz="0" w:space="0" w:color="auto"/>
                <w:right w:val="none" w:sz="0" w:space="0" w:color="auto"/>
              </w:divBdr>
            </w:div>
          </w:divsChild>
        </w:div>
        <w:div w:id="1897743542">
          <w:marLeft w:val="0"/>
          <w:marRight w:val="0"/>
          <w:marTop w:val="0"/>
          <w:marBottom w:val="0"/>
          <w:divBdr>
            <w:top w:val="none" w:sz="0" w:space="0" w:color="auto"/>
            <w:left w:val="none" w:sz="0" w:space="0" w:color="auto"/>
            <w:bottom w:val="none" w:sz="0" w:space="0" w:color="auto"/>
            <w:right w:val="none" w:sz="0" w:space="0" w:color="auto"/>
          </w:divBdr>
        </w:div>
      </w:divsChild>
    </w:div>
    <w:div w:id="197086048">
      <w:bodyDiv w:val="1"/>
      <w:marLeft w:val="0"/>
      <w:marRight w:val="0"/>
      <w:marTop w:val="0"/>
      <w:marBottom w:val="0"/>
      <w:divBdr>
        <w:top w:val="none" w:sz="0" w:space="0" w:color="auto"/>
        <w:left w:val="none" w:sz="0" w:space="0" w:color="auto"/>
        <w:bottom w:val="none" w:sz="0" w:space="0" w:color="auto"/>
        <w:right w:val="none" w:sz="0" w:space="0" w:color="auto"/>
      </w:divBdr>
    </w:div>
    <w:div w:id="197401902">
      <w:bodyDiv w:val="1"/>
      <w:marLeft w:val="0"/>
      <w:marRight w:val="0"/>
      <w:marTop w:val="0"/>
      <w:marBottom w:val="0"/>
      <w:divBdr>
        <w:top w:val="none" w:sz="0" w:space="0" w:color="auto"/>
        <w:left w:val="none" w:sz="0" w:space="0" w:color="auto"/>
        <w:bottom w:val="none" w:sz="0" w:space="0" w:color="auto"/>
        <w:right w:val="none" w:sz="0" w:space="0" w:color="auto"/>
      </w:divBdr>
    </w:div>
    <w:div w:id="198402173">
      <w:bodyDiv w:val="1"/>
      <w:marLeft w:val="0"/>
      <w:marRight w:val="0"/>
      <w:marTop w:val="0"/>
      <w:marBottom w:val="0"/>
      <w:divBdr>
        <w:top w:val="none" w:sz="0" w:space="0" w:color="auto"/>
        <w:left w:val="none" w:sz="0" w:space="0" w:color="auto"/>
        <w:bottom w:val="none" w:sz="0" w:space="0" w:color="auto"/>
        <w:right w:val="none" w:sz="0" w:space="0" w:color="auto"/>
      </w:divBdr>
    </w:div>
    <w:div w:id="198520538">
      <w:bodyDiv w:val="1"/>
      <w:marLeft w:val="0"/>
      <w:marRight w:val="0"/>
      <w:marTop w:val="0"/>
      <w:marBottom w:val="0"/>
      <w:divBdr>
        <w:top w:val="none" w:sz="0" w:space="0" w:color="auto"/>
        <w:left w:val="none" w:sz="0" w:space="0" w:color="auto"/>
        <w:bottom w:val="none" w:sz="0" w:space="0" w:color="auto"/>
        <w:right w:val="none" w:sz="0" w:space="0" w:color="auto"/>
      </w:divBdr>
    </w:div>
    <w:div w:id="199322711">
      <w:bodyDiv w:val="1"/>
      <w:marLeft w:val="0"/>
      <w:marRight w:val="0"/>
      <w:marTop w:val="0"/>
      <w:marBottom w:val="0"/>
      <w:divBdr>
        <w:top w:val="none" w:sz="0" w:space="0" w:color="auto"/>
        <w:left w:val="none" w:sz="0" w:space="0" w:color="auto"/>
        <w:bottom w:val="none" w:sz="0" w:space="0" w:color="auto"/>
        <w:right w:val="none" w:sz="0" w:space="0" w:color="auto"/>
      </w:divBdr>
    </w:div>
    <w:div w:id="199897982">
      <w:bodyDiv w:val="1"/>
      <w:marLeft w:val="0"/>
      <w:marRight w:val="0"/>
      <w:marTop w:val="0"/>
      <w:marBottom w:val="0"/>
      <w:divBdr>
        <w:top w:val="none" w:sz="0" w:space="0" w:color="auto"/>
        <w:left w:val="none" w:sz="0" w:space="0" w:color="auto"/>
        <w:bottom w:val="none" w:sz="0" w:space="0" w:color="auto"/>
        <w:right w:val="none" w:sz="0" w:space="0" w:color="auto"/>
      </w:divBdr>
    </w:div>
    <w:div w:id="201292256">
      <w:bodyDiv w:val="1"/>
      <w:marLeft w:val="0"/>
      <w:marRight w:val="0"/>
      <w:marTop w:val="0"/>
      <w:marBottom w:val="0"/>
      <w:divBdr>
        <w:top w:val="none" w:sz="0" w:space="0" w:color="auto"/>
        <w:left w:val="none" w:sz="0" w:space="0" w:color="auto"/>
        <w:bottom w:val="none" w:sz="0" w:space="0" w:color="auto"/>
        <w:right w:val="none" w:sz="0" w:space="0" w:color="auto"/>
      </w:divBdr>
    </w:div>
    <w:div w:id="206600255">
      <w:bodyDiv w:val="1"/>
      <w:marLeft w:val="0"/>
      <w:marRight w:val="0"/>
      <w:marTop w:val="0"/>
      <w:marBottom w:val="0"/>
      <w:divBdr>
        <w:top w:val="none" w:sz="0" w:space="0" w:color="auto"/>
        <w:left w:val="none" w:sz="0" w:space="0" w:color="auto"/>
        <w:bottom w:val="none" w:sz="0" w:space="0" w:color="auto"/>
        <w:right w:val="none" w:sz="0" w:space="0" w:color="auto"/>
      </w:divBdr>
    </w:div>
    <w:div w:id="208495832">
      <w:bodyDiv w:val="1"/>
      <w:marLeft w:val="0"/>
      <w:marRight w:val="0"/>
      <w:marTop w:val="0"/>
      <w:marBottom w:val="0"/>
      <w:divBdr>
        <w:top w:val="none" w:sz="0" w:space="0" w:color="auto"/>
        <w:left w:val="none" w:sz="0" w:space="0" w:color="auto"/>
        <w:bottom w:val="none" w:sz="0" w:space="0" w:color="auto"/>
        <w:right w:val="none" w:sz="0" w:space="0" w:color="auto"/>
      </w:divBdr>
    </w:div>
    <w:div w:id="212078578">
      <w:bodyDiv w:val="1"/>
      <w:marLeft w:val="0"/>
      <w:marRight w:val="0"/>
      <w:marTop w:val="0"/>
      <w:marBottom w:val="0"/>
      <w:divBdr>
        <w:top w:val="none" w:sz="0" w:space="0" w:color="auto"/>
        <w:left w:val="none" w:sz="0" w:space="0" w:color="auto"/>
        <w:bottom w:val="none" w:sz="0" w:space="0" w:color="auto"/>
        <w:right w:val="none" w:sz="0" w:space="0" w:color="auto"/>
      </w:divBdr>
    </w:div>
    <w:div w:id="212615657">
      <w:bodyDiv w:val="1"/>
      <w:marLeft w:val="0"/>
      <w:marRight w:val="0"/>
      <w:marTop w:val="0"/>
      <w:marBottom w:val="0"/>
      <w:divBdr>
        <w:top w:val="none" w:sz="0" w:space="0" w:color="auto"/>
        <w:left w:val="none" w:sz="0" w:space="0" w:color="auto"/>
        <w:bottom w:val="none" w:sz="0" w:space="0" w:color="auto"/>
        <w:right w:val="none" w:sz="0" w:space="0" w:color="auto"/>
      </w:divBdr>
    </w:div>
    <w:div w:id="213276119">
      <w:bodyDiv w:val="1"/>
      <w:marLeft w:val="0"/>
      <w:marRight w:val="0"/>
      <w:marTop w:val="0"/>
      <w:marBottom w:val="0"/>
      <w:divBdr>
        <w:top w:val="none" w:sz="0" w:space="0" w:color="auto"/>
        <w:left w:val="none" w:sz="0" w:space="0" w:color="auto"/>
        <w:bottom w:val="none" w:sz="0" w:space="0" w:color="auto"/>
        <w:right w:val="none" w:sz="0" w:space="0" w:color="auto"/>
      </w:divBdr>
    </w:div>
    <w:div w:id="213397232">
      <w:bodyDiv w:val="1"/>
      <w:marLeft w:val="0"/>
      <w:marRight w:val="0"/>
      <w:marTop w:val="0"/>
      <w:marBottom w:val="0"/>
      <w:divBdr>
        <w:top w:val="none" w:sz="0" w:space="0" w:color="auto"/>
        <w:left w:val="none" w:sz="0" w:space="0" w:color="auto"/>
        <w:bottom w:val="none" w:sz="0" w:space="0" w:color="auto"/>
        <w:right w:val="none" w:sz="0" w:space="0" w:color="auto"/>
      </w:divBdr>
    </w:div>
    <w:div w:id="214436320">
      <w:bodyDiv w:val="1"/>
      <w:marLeft w:val="0"/>
      <w:marRight w:val="0"/>
      <w:marTop w:val="0"/>
      <w:marBottom w:val="0"/>
      <w:divBdr>
        <w:top w:val="none" w:sz="0" w:space="0" w:color="auto"/>
        <w:left w:val="none" w:sz="0" w:space="0" w:color="auto"/>
        <w:bottom w:val="none" w:sz="0" w:space="0" w:color="auto"/>
        <w:right w:val="none" w:sz="0" w:space="0" w:color="auto"/>
      </w:divBdr>
    </w:div>
    <w:div w:id="216278480">
      <w:bodyDiv w:val="1"/>
      <w:marLeft w:val="0"/>
      <w:marRight w:val="0"/>
      <w:marTop w:val="0"/>
      <w:marBottom w:val="0"/>
      <w:divBdr>
        <w:top w:val="none" w:sz="0" w:space="0" w:color="auto"/>
        <w:left w:val="none" w:sz="0" w:space="0" w:color="auto"/>
        <w:bottom w:val="none" w:sz="0" w:space="0" w:color="auto"/>
        <w:right w:val="none" w:sz="0" w:space="0" w:color="auto"/>
      </w:divBdr>
    </w:div>
    <w:div w:id="218713942">
      <w:bodyDiv w:val="1"/>
      <w:marLeft w:val="0"/>
      <w:marRight w:val="0"/>
      <w:marTop w:val="0"/>
      <w:marBottom w:val="0"/>
      <w:divBdr>
        <w:top w:val="none" w:sz="0" w:space="0" w:color="auto"/>
        <w:left w:val="none" w:sz="0" w:space="0" w:color="auto"/>
        <w:bottom w:val="none" w:sz="0" w:space="0" w:color="auto"/>
        <w:right w:val="none" w:sz="0" w:space="0" w:color="auto"/>
      </w:divBdr>
    </w:div>
    <w:div w:id="219171471">
      <w:bodyDiv w:val="1"/>
      <w:marLeft w:val="0"/>
      <w:marRight w:val="0"/>
      <w:marTop w:val="0"/>
      <w:marBottom w:val="0"/>
      <w:divBdr>
        <w:top w:val="none" w:sz="0" w:space="0" w:color="auto"/>
        <w:left w:val="none" w:sz="0" w:space="0" w:color="auto"/>
        <w:bottom w:val="none" w:sz="0" w:space="0" w:color="auto"/>
        <w:right w:val="none" w:sz="0" w:space="0" w:color="auto"/>
      </w:divBdr>
    </w:div>
    <w:div w:id="220287092">
      <w:bodyDiv w:val="1"/>
      <w:marLeft w:val="0"/>
      <w:marRight w:val="0"/>
      <w:marTop w:val="0"/>
      <w:marBottom w:val="0"/>
      <w:divBdr>
        <w:top w:val="none" w:sz="0" w:space="0" w:color="auto"/>
        <w:left w:val="none" w:sz="0" w:space="0" w:color="auto"/>
        <w:bottom w:val="none" w:sz="0" w:space="0" w:color="auto"/>
        <w:right w:val="none" w:sz="0" w:space="0" w:color="auto"/>
      </w:divBdr>
    </w:div>
    <w:div w:id="223373225">
      <w:bodyDiv w:val="1"/>
      <w:marLeft w:val="0"/>
      <w:marRight w:val="0"/>
      <w:marTop w:val="0"/>
      <w:marBottom w:val="0"/>
      <w:divBdr>
        <w:top w:val="none" w:sz="0" w:space="0" w:color="auto"/>
        <w:left w:val="none" w:sz="0" w:space="0" w:color="auto"/>
        <w:bottom w:val="none" w:sz="0" w:space="0" w:color="auto"/>
        <w:right w:val="none" w:sz="0" w:space="0" w:color="auto"/>
      </w:divBdr>
    </w:div>
    <w:div w:id="224534593">
      <w:bodyDiv w:val="1"/>
      <w:marLeft w:val="0"/>
      <w:marRight w:val="0"/>
      <w:marTop w:val="0"/>
      <w:marBottom w:val="0"/>
      <w:divBdr>
        <w:top w:val="none" w:sz="0" w:space="0" w:color="auto"/>
        <w:left w:val="none" w:sz="0" w:space="0" w:color="auto"/>
        <w:bottom w:val="none" w:sz="0" w:space="0" w:color="auto"/>
        <w:right w:val="none" w:sz="0" w:space="0" w:color="auto"/>
      </w:divBdr>
    </w:div>
    <w:div w:id="224801317">
      <w:bodyDiv w:val="1"/>
      <w:marLeft w:val="0"/>
      <w:marRight w:val="0"/>
      <w:marTop w:val="0"/>
      <w:marBottom w:val="0"/>
      <w:divBdr>
        <w:top w:val="none" w:sz="0" w:space="0" w:color="auto"/>
        <w:left w:val="none" w:sz="0" w:space="0" w:color="auto"/>
        <w:bottom w:val="none" w:sz="0" w:space="0" w:color="auto"/>
        <w:right w:val="none" w:sz="0" w:space="0" w:color="auto"/>
      </w:divBdr>
    </w:div>
    <w:div w:id="237250937">
      <w:bodyDiv w:val="1"/>
      <w:marLeft w:val="0"/>
      <w:marRight w:val="0"/>
      <w:marTop w:val="0"/>
      <w:marBottom w:val="0"/>
      <w:divBdr>
        <w:top w:val="none" w:sz="0" w:space="0" w:color="auto"/>
        <w:left w:val="none" w:sz="0" w:space="0" w:color="auto"/>
        <w:bottom w:val="none" w:sz="0" w:space="0" w:color="auto"/>
        <w:right w:val="none" w:sz="0" w:space="0" w:color="auto"/>
      </w:divBdr>
    </w:div>
    <w:div w:id="237710786">
      <w:bodyDiv w:val="1"/>
      <w:marLeft w:val="0"/>
      <w:marRight w:val="0"/>
      <w:marTop w:val="0"/>
      <w:marBottom w:val="0"/>
      <w:divBdr>
        <w:top w:val="none" w:sz="0" w:space="0" w:color="auto"/>
        <w:left w:val="none" w:sz="0" w:space="0" w:color="auto"/>
        <w:bottom w:val="none" w:sz="0" w:space="0" w:color="auto"/>
        <w:right w:val="none" w:sz="0" w:space="0" w:color="auto"/>
      </w:divBdr>
    </w:div>
    <w:div w:id="238565352">
      <w:bodyDiv w:val="1"/>
      <w:marLeft w:val="0"/>
      <w:marRight w:val="0"/>
      <w:marTop w:val="0"/>
      <w:marBottom w:val="0"/>
      <w:divBdr>
        <w:top w:val="none" w:sz="0" w:space="0" w:color="auto"/>
        <w:left w:val="none" w:sz="0" w:space="0" w:color="auto"/>
        <w:bottom w:val="none" w:sz="0" w:space="0" w:color="auto"/>
        <w:right w:val="none" w:sz="0" w:space="0" w:color="auto"/>
      </w:divBdr>
    </w:div>
    <w:div w:id="238907117">
      <w:bodyDiv w:val="1"/>
      <w:marLeft w:val="0"/>
      <w:marRight w:val="0"/>
      <w:marTop w:val="0"/>
      <w:marBottom w:val="0"/>
      <w:divBdr>
        <w:top w:val="none" w:sz="0" w:space="0" w:color="auto"/>
        <w:left w:val="none" w:sz="0" w:space="0" w:color="auto"/>
        <w:bottom w:val="none" w:sz="0" w:space="0" w:color="auto"/>
        <w:right w:val="none" w:sz="0" w:space="0" w:color="auto"/>
      </w:divBdr>
    </w:div>
    <w:div w:id="253437720">
      <w:bodyDiv w:val="1"/>
      <w:marLeft w:val="0"/>
      <w:marRight w:val="0"/>
      <w:marTop w:val="0"/>
      <w:marBottom w:val="0"/>
      <w:divBdr>
        <w:top w:val="none" w:sz="0" w:space="0" w:color="auto"/>
        <w:left w:val="none" w:sz="0" w:space="0" w:color="auto"/>
        <w:bottom w:val="none" w:sz="0" w:space="0" w:color="auto"/>
        <w:right w:val="none" w:sz="0" w:space="0" w:color="auto"/>
      </w:divBdr>
    </w:div>
    <w:div w:id="253783137">
      <w:bodyDiv w:val="1"/>
      <w:marLeft w:val="0"/>
      <w:marRight w:val="0"/>
      <w:marTop w:val="0"/>
      <w:marBottom w:val="0"/>
      <w:divBdr>
        <w:top w:val="none" w:sz="0" w:space="0" w:color="auto"/>
        <w:left w:val="none" w:sz="0" w:space="0" w:color="auto"/>
        <w:bottom w:val="none" w:sz="0" w:space="0" w:color="auto"/>
        <w:right w:val="none" w:sz="0" w:space="0" w:color="auto"/>
      </w:divBdr>
    </w:div>
    <w:div w:id="254094100">
      <w:bodyDiv w:val="1"/>
      <w:marLeft w:val="0"/>
      <w:marRight w:val="0"/>
      <w:marTop w:val="0"/>
      <w:marBottom w:val="0"/>
      <w:divBdr>
        <w:top w:val="none" w:sz="0" w:space="0" w:color="auto"/>
        <w:left w:val="none" w:sz="0" w:space="0" w:color="auto"/>
        <w:bottom w:val="none" w:sz="0" w:space="0" w:color="auto"/>
        <w:right w:val="none" w:sz="0" w:space="0" w:color="auto"/>
      </w:divBdr>
    </w:div>
    <w:div w:id="261568500">
      <w:bodyDiv w:val="1"/>
      <w:marLeft w:val="0"/>
      <w:marRight w:val="0"/>
      <w:marTop w:val="0"/>
      <w:marBottom w:val="0"/>
      <w:divBdr>
        <w:top w:val="none" w:sz="0" w:space="0" w:color="auto"/>
        <w:left w:val="none" w:sz="0" w:space="0" w:color="auto"/>
        <w:bottom w:val="none" w:sz="0" w:space="0" w:color="auto"/>
        <w:right w:val="none" w:sz="0" w:space="0" w:color="auto"/>
      </w:divBdr>
    </w:div>
    <w:div w:id="266500621">
      <w:bodyDiv w:val="1"/>
      <w:marLeft w:val="0"/>
      <w:marRight w:val="0"/>
      <w:marTop w:val="0"/>
      <w:marBottom w:val="0"/>
      <w:divBdr>
        <w:top w:val="none" w:sz="0" w:space="0" w:color="auto"/>
        <w:left w:val="none" w:sz="0" w:space="0" w:color="auto"/>
        <w:bottom w:val="none" w:sz="0" w:space="0" w:color="auto"/>
        <w:right w:val="none" w:sz="0" w:space="0" w:color="auto"/>
      </w:divBdr>
    </w:div>
    <w:div w:id="268703368">
      <w:bodyDiv w:val="1"/>
      <w:marLeft w:val="0"/>
      <w:marRight w:val="0"/>
      <w:marTop w:val="0"/>
      <w:marBottom w:val="0"/>
      <w:divBdr>
        <w:top w:val="none" w:sz="0" w:space="0" w:color="auto"/>
        <w:left w:val="none" w:sz="0" w:space="0" w:color="auto"/>
        <w:bottom w:val="none" w:sz="0" w:space="0" w:color="auto"/>
        <w:right w:val="none" w:sz="0" w:space="0" w:color="auto"/>
      </w:divBdr>
    </w:div>
    <w:div w:id="269431445">
      <w:bodyDiv w:val="1"/>
      <w:marLeft w:val="0"/>
      <w:marRight w:val="0"/>
      <w:marTop w:val="0"/>
      <w:marBottom w:val="0"/>
      <w:divBdr>
        <w:top w:val="none" w:sz="0" w:space="0" w:color="auto"/>
        <w:left w:val="none" w:sz="0" w:space="0" w:color="auto"/>
        <w:bottom w:val="none" w:sz="0" w:space="0" w:color="auto"/>
        <w:right w:val="none" w:sz="0" w:space="0" w:color="auto"/>
      </w:divBdr>
    </w:div>
    <w:div w:id="271715232">
      <w:bodyDiv w:val="1"/>
      <w:marLeft w:val="0"/>
      <w:marRight w:val="0"/>
      <w:marTop w:val="0"/>
      <w:marBottom w:val="0"/>
      <w:divBdr>
        <w:top w:val="none" w:sz="0" w:space="0" w:color="auto"/>
        <w:left w:val="none" w:sz="0" w:space="0" w:color="auto"/>
        <w:bottom w:val="none" w:sz="0" w:space="0" w:color="auto"/>
        <w:right w:val="none" w:sz="0" w:space="0" w:color="auto"/>
      </w:divBdr>
    </w:div>
    <w:div w:id="272203485">
      <w:bodyDiv w:val="1"/>
      <w:marLeft w:val="0"/>
      <w:marRight w:val="0"/>
      <w:marTop w:val="0"/>
      <w:marBottom w:val="0"/>
      <w:divBdr>
        <w:top w:val="none" w:sz="0" w:space="0" w:color="auto"/>
        <w:left w:val="none" w:sz="0" w:space="0" w:color="auto"/>
        <w:bottom w:val="none" w:sz="0" w:space="0" w:color="auto"/>
        <w:right w:val="none" w:sz="0" w:space="0" w:color="auto"/>
      </w:divBdr>
    </w:div>
    <w:div w:id="273635317">
      <w:bodyDiv w:val="1"/>
      <w:marLeft w:val="0"/>
      <w:marRight w:val="0"/>
      <w:marTop w:val="0"/>
      <w:marBottom w:val="0"/>
      <w:divBdr>
        <w:top w:val="none" w:sz="0" w:space="0" w:color="auto"/>
        <w:left w:val="none" w:sz="0" w:space="0" w:color="auto"/>
        <w:bottom w:val="none" w:sz="0" w:space="0" w:color="auto"/>
        <w:right w:val="none" w:sz="0" w:space="0" w:color="auto"/>
      </w:divBdr>
    </w:div>
    <w:div w:id="275721850">
      <w:bodyDiv w:val="1"/>
      <w:marLeft w:val="0"/>
      <w:marRight w:val="0"/>
      <w:marTop w:val="0"/>
      <w:marBottom w:val="0"/>
      <w:divBdr>
        <w:top w:val="none" w:sz="0" w:space="0" w:color="auto"/>
        <w:left w:val="none" w:sz="0" w:space="0" w:color="auto"/>
        <w:bottom w:val="none" w:sz="0" w:space="0" w:color="auto"/>
        <w:right w:val="none" w:sz="0" w:space="0" w:color="auto"/>
      </w:divBdr>
    </w:div>
    <w:div w:id="278923456">
      <w:bodyDiv w:val="1"/>
      <w:marLeft w:val="0"/>
      <w:marRight w:val="0"/>
      <w:marTop w:val="0"/>
      <w:marBottom w:val="0"/>
      <w:divBdr>
        <w:top w:val="none" w:sz="0" w:space="0" w:color="auto"/>
        <w:left w:val="none" w:sz="0" w:space="0" w:color="auto"/>
        <w:bottom w:val="none" w:sz="0" w:space="0" w:color="auto"/>
        <w:right w:val="none" w:sz="0" w:space="0" w:color="auto"/>
      </w:divBdr>
    </w:div>
    <w:div w:id="280847918">
      <w:bodyDiv w:val="1"/>
      <w:marLeft w:val="0"/>
      <w:marRight w:val="0"/>
      <w:marTop w:val="0"/>
      <w:marBottom w:val="0"/>
      <w:divBdr>
        <w:top w:val="none" w:sz="0" w:space="0" w:color="auto"/>
        <w:left w:val="none" w:sz="0" w:space="0" w:color="auto"/>
        <w:bottom w:val="none" w:sz="0" w:space="0" w:color="auto"/>
        <w:right w:val="none" w:sz="0" w:space="0" w:color="auto"/>
      </w:divBdr>
    </w:div>
    <w:div w:id="287248680">
      <w:bodyDiv w:val="1"/>
      <w:marLeft w:val="0"/>
      <w:marRight w:val="0"/>
      <w:marTop w:val="0"/>
      <w:marBottom w:val="0"/>
      <w:divBdr>
        <w:top w:val="none" w:sz="0" w:space="0" w:color="auto"/>
        <w:left w:val="none" w:sz="0" w:space="0" w:color="auto"/>
        <w:bottom w:val="none" w:sz="0" w:space="0" w:color="auto"/>
        <w:right w:val="none" w:sz="0" w:space="0" w:color="auto"/>
      </w:divBdr>
    </w:div>
    <w:div w:id="287785521">
      <w:bodyDiv w:val="1"/>
      <w:marLeft w:val="0"/>
      <w:marRight w:val="0"/>
      <w:marTop w:val="0"/>
      <w:marBottom w:val="0"/>
      <w:divBdr>
        <w:top w:val="none" w:sz="0" w:space="0" w:color="auto"/>
        <w:left w:val="none" w:sz="0" w:space="0" w:color="auto"/>
        <w:bottom w:val="none" w:sz="0" w:space="0" w:color="auto"/>
        <w:right w:val="none" w:sz="0" w:space="0" w:color="auto"/>
      </w:divBdr>
    </w:div>
    <w:div w:id="292634490">
      <w:bodyDiv w:val="1"/>
      <w:marLeft w:val="0"/>
      <w:marRight w:val="0"/>
      <w:marTop w:val="0"/>
      <w:marBottom w:val="0"/>
      <w:divBdr>
        <w:top w:val="none" w:sz="0" w:space="0" w:color="auto"/>
        <w:left w:val="none" w:sz="0" w:space="0" w:color="auto"/>
        <w:bottom w:val="none" w:sz="0" w:space="0" w:color="auto"/>
        <w:right w:val="none" w:sz="0" w:space="0" w:color="auto"/>
      </w:divBdr>
    </w:div>
    <w:div w:id="293219273">
      <w:bodyDiv w:val="1"/>
      <w:marLeft w:val="0"/>
      <w:marRight w:val="0"/>
      <w:marTop w:val="0"/>
      <w:marBottom w:val="0"/>
      <w:divBdr>
        <w:top w:val="none" w:sz="0" w:space="0" w:color="auto"/>
        <w:left w:val="none" w:sz="0" w:space="0" w:color="auto"/>
        <w:bottom w:val="none" w:sz="0" w:space="0" w:color="auto"/>
        <w:right w:val="none" w:sz="0" w:space="0" w:color="auto"/>
      </w:divBdr>
    </w:div>
    <w:div w:id="293413710">
      <w:bodyDiv w:val="1"/>
      <w:marLeft w:val="0"/>
      <w:marRight w:val="0"/>
      <w:marTop w:val="0"/>
      <w:marBottom w:val="0"/>
      <w:divBdr>
        <w:top w:val="none" w:sz="0" w:space="0" w:color="auto"/>
        <w:left w:val="none" w:sz="0" w:space="0" w:color="auto"/>
        <w:bottom w:val="none" w:sz="0" w:space="0" w:color="auto"/>
        <w:right w:val="none" w:sz="0" w:space="0" w:color="auto"/>
      </w:divBdr>
    </w:div>
    <w:div w:id="294677220">
      <w:bodyDiv w:val="1"/>
      <w:marLeft w:val="0"/>
      <w:marRight w:val="0"/>
      <w:marTop w:val="0"/>
      <w:marBottom w:val="0"/>
      <w:divBdr>
        <w:top w:val="none" w:sz="0" w:space="0" w:color="auto"/>
        <w:left w:val="none" w:sz="0" w:space="0" w:color="auto"/>
        <w:bottom w:val="none" w:sz="0" w:space="0" w:color="auto"/>
        <w:right w:val="none" w:sz="0" w:space="0" w:color="auto"/>
      </w:divBdr>
    </w:div>
    <w:div w:id="295986322">
      <w:bodyDiv w:val="1"/>
      <w:marLeft w:val="0"/>
      <w:marRight w:val="0"/>
      <w:marTop w:val="0"/>
      <w:marBottom w:val="0"/>
      <w:divBdr>
        <w:top w:val="none" w:sz="0" w:space="0" w:color="auto"/>
        <w:left w:val="none" w:sz="0" w:space="0" w:color="auto"/>
        <w:bottom w:val="none" w:sz="0" w:space="0" w:color="auto"/>
        <w:right w:val="none" w:sz="0" w:space="0" w:color="auto"/>
      </w:divBdr>
    </w:div>
    <w:div w:id="296834722">
      <w:bodyDiv w:val="1"/>
      <w:marLeft w:val="0"/>
      <w:marRight w:val="0"/>
      <w:marTop w:val="0"/>
      <w:marBottom w:val="0"/>
      <w:divBdr>
        <w:top w:val="none" w:sz="0" w:space="0" w:color="auto"/>
        <w:left w:val="none" w:sz="0" w:space="0" w:color="auto"/>
        <w:bottom w:val="none" w:sz="0" w:space="0" w:color="auto"/>
        <w:right w:val="none" w:sz="0" w:space="0" w:color="auto"/>
      </w:divBdr>
    </w:div>
    <w:div w:id="296834790">
      <w:bodyDiv w:val="1"/>
      <w:marLeft w:val="0"/>
      <w:marRight w:val="0"/>
      <w:marTop w:val="0"/>
      <w:marBottom w:val="0"/>
      <w:divBdr>
        <w:top w:val="none" w:sz="0" w:space="0" w:color="auto"/>
        <w:left w:val="none" w:sz="0" w:space="0" w:color="auto"/>
        <w:bottom w:val="none" w:sz="0" w:space="0" w:color="auto"/>
        <w:right w:val="none" w:sz="0" w:space="0" w:color="auto"/>
      </w:divBdr>
    </w:div>
    <w:div w:id="297686506">
      <w:bodyDiv w:val="1"/>
      <w:marLeft w:val="0"/>
      <w:marRight w:val="0"/>
      <w:marTop w:val="0"/>
      <w:marBottom w:val="0"/>
      <w:divBdr>
        <w:top w:val="none" w:sz="0" w:space="0" w:color="auto"/>
        <w:left w:val="none" w:sz="0" w:space="0" w:color="auto"/>
        <w:bottom w:val="none" w:sz="0" w:space="0" w:color="auto"/>
        <w:right w:val="none" w:sz="0" w:space="0" w:color="auto"/>
      </w:divBdr>
    </w:div>
    <w:div w:id="299505466">
      <w:bodyDiv w:val="1"/>
      <w:marLeft w:val="0"/>
      <w:marRight w:val="0"/>
      <w:marTop w:val="0"/>
      <w:marBottom w:val="0"/>
      <w:divBdr>
        <w:top w:val="none" w:sz="0" w:space="0" w:color="auto"/>
        <w:left w:val="none" w:sz="0" w:space="0" w:color="auto"/>
        <w:bottom w:val="none" w:sz="0" w:space="0" w:color="auto"/>
        <w:right w:val="none" w:sz="0" w:space="0" w:color="auto"/>
      </w:divBdr>
    </w:div>
    <w:div w:id="300309965">
      <w:bodyDiv w:val="1"/>
      <w:marLeft w:val="0"/>
      <w:marRight w:val="0"/>
      <w:marTop w:val="0"/>
      <w:marBottom w:val="0"/>
      <w:divBdr>
        <w:top w:val="none" w:sz="0" w:space="0" w:color="auto"/>
        <w:left w:val="none" w:sz="0" w:space="0" w:color="auto"/>
        <w:bottom w:val="none" w:sz="0" w:space="0" w:color="auto"/>
        <w:right w:val="none" w:sz="0" w:space="0" w:color="auto"/>
      </w:divBdr>
    </w:div>
    <w:div w:id="300693232">
      <w:bodyDiv w:val="1"/>
      <w:marLeft w:val="0"/>
      <w:marRight w:val="0"/>
      <w:marTop w:val="0"/>
      <w:marBottom w:val="0"/>
      <w:divBdr>
        <w:top w:val="none" w:sz="0" w:space="0" w:color="auto"/>
        <w:left w:val="none" w:sz="0" w:space="0" w:color="auto"/>
        <w:bottom w:val="none" w:sz="0" w:space="0" w:color="auto"/>
        <w:right w:val="none" w:sz="0" w:space="0" w:color="auto"/>
      </w:divBdr>
    </w:div>
    <w:div w:id="302081392">
      <w:bodyDiv w:val="1"/>
      <w:marLeft w:val="0"/>
      <w:marRight w:val="0"/>
      <w:marTop w:val="0"/>
      <w:marBottom w:val="0"/>
      <w:divBdr>
        <w:top w:val="none" w:sz="0" w:space="0" w:color="auto"/>
        <w:left w:val="none" w:sz="0" w:space="0" w:color="auto"/>
        <w:bottom w:val="none" w:sz="0" w:space="0" w:color="auto"/>
        <w:right w:val="none" w:sz="0" w:space="0" w:color="auto"/>
      </w:divBdr>
    </w:div>
    <w:div w:id="307520017">
      <w:bodyDiv w:val="1"/>
      <w:marLeft w:val="0"/>
      <w:marRight w:val="0"/>
      <w:marTop w:val="0"/>
      <w:marBottom w:val="0"/>
      <w:divBdr>
        <w:top w:val="none" w:sz="0" w:space="0" w:color="auto"/>
        <w:left w:val="none" w:sz="0" w:space="0" w:color="auto"/>
        <w:bottom w:val="none" w:sz="0" w:space="0" w:color="auto"/>
        <w:right w:val="none" w:sz="0" w:space="0" w:color="auto"/>
      </w:divBdr>
    </w:div>
    <w:div w:id="314724140">
      <w:bodyDiv w:val="1"/>
      <w:marLeft w:val="0"/>
      <w:marRight w:val="0"/>
      <w:marTop w:val="0"/>
      <w:marBottom w:val="0"/>
      <w:divBdr>
        <w:top w:val="none" w:sz="0" w:space="0" w:color="auto"/>
        <w:left w:val="none" w:sz="0" w:space="0" w:color="auto"/>
        <w:bottom w:val="none" w:sz="0" w:space="0" w:color="auto"/>
        <w:right w:val="none" w:sz="0" w:space="0" w:color="auto"/>
      </w:divBdr>
    </w:div>
    <w:div w:id="316346109">
      <w:bodyDiv w:val="1"/>
      <w:marLeft w:val="0"/>
      <w:marRight w:val="0"/>
      <w:marTop w:val="0"/>
      <w:marBottom w:val="0"/>
      <w:divBdr>
        <w:top w:val="none" w:sz="0" w:space="0" w:color="auto"/>
        <w:left w:val="none" w:sz="0" w:space="0" w:color="auto"/>
        <w:bottom w:val="none" w:sz="0" w:space="0" w:color="auto"/>
        <w:right w:val="none" w:sz="0" w:space="0" w:color="auto"/>
      </w:divBdr>
    </w:div>
    <w:div w:id="318116124">
      <w:bodyDiv w:val="1"/>
      <w:marLeft w:val="0"/>
      <w:marRight w:val="0"/>
      <w:marTop w:val="0"/>
      <w:marBottom w:val="0"/>
      <w:divBdr>
        <w:top w:val="none" w:sz="0" w:space="0" w:color="auto"/>
        <w:left w:val="none" w:sz="0" w:space="0" w:color="auto"/>
        <w:bottom w:val="none" w:sz="0" w:space="0" w:color="auto"/>
        <w:right w:val="none" w:sz="0" w:space="0" w:color="auto"/>
      </w:divBdr>
    </w:div>
    <w:div w:id="323094620">
      <w:bodyDiv w:val="1"/>
      <w:marLeft w:val="0"/>
      <w:marRight w:val="0"/>
      <w:marTop w:val="0"/>
      <w:marBottom w:val="0"/>
      <w:divBdr>
        <w:top w:val="none" w:sz="0" w:space="0" w:color="auto"/>
        <w:left w:val="none" w:sz="0" w:space="0" w:color="auto"/>
        <w:bottom w:val="none" w:sz="0" w:space="0" w:color="auto"/>
        <w:right w:val="none" w:sz="0" w:space="0" w:color="auto"/>
      </w:divBdr>
    </w:div>
    <w:div w:id="327173026">
      <w:bodyDiv w:val="1"/>
      <w:marLeft w:val="0"/>
      <w:marRight w:val="0"/>
      <w:marTop w:val="0"/>
      <w:marBottom w:val="0"/>
      <w:divBdr>
        <w:top w:val="none" w:sz="0" w:space="0" w:color="auto"/>
        <w:left w:val="none" w:sz="0" w:space="0" w:color="auto"/>
        <w:bottom w:val="none" w:sz="0" w:space="0" w:color="auto"/>
        <w:right w:val="none" w:sz="0" w:space="0" w:color="auto"/>
      </w:divBdr>
    </w:div>
    <w:div w:id="327249767">
      <w:bodyDiv w:val="1"/>
      <w:marLeft w:val="0"/>
      <w:marRight w:val="0"/>
      <w:marTop w:val="0"/>
      <w:marBottom w:val="0"/>
      <w:divBdr>
        <w:top w:val="none" w:sz="0" w:space="0" w:color="auto"/>
        <w:left w:val="none" w:sz="0" w:space="0" w:color="auto"/>
        <w:bottom w:val="none" w:sz="0" w:space="0" w:color="auto"/>
        <w:right w:val="none" w:sz="0" w:space="0" w:color="auto"/>
      </w:divBdr>
    </w:div>
    <w:div w:id="327562146">
      <w:bodyDiv w:val="1"/>
      <w:marLeft w:val="0"/>
      <w:marRight w:val="0"/>
      <w:marTop w:val="0"/>
      <w:marBottom w:val="0"/>
      <w:divBdr>
        <w:top w:val="none" w:sz="0" w:space="0" w:color="auto"/>
        <w:left w:val="none" w:sz="0" w:space="0" w:color="auto"/>
        <w:bottom w:val="none" w:sz="0" w:space="0" w:color="auto"/>
        <w:right w:val="none" w:sz="0" w:space="0" w:color="auto"/>
      </w:divBdr>
    </w:div>
    <w:div w:id="329719600">
      <w:bodyDiv w:val="1"/>
      <w:marLeft w:val="0"/>
      <w:marRight w:val="0"/>
      <w:marTop w:val="0"/>
      <w:marBottom w:val="0"/>
      <w:divBdr>
        <w:top w:val="none" w:sz="0" w:space="0" w:color="auto"/>
        <w:left w:val="none" w:sz="0" w:space="0" w:color="auto"/>
        <w:bottom w:val="none" w:sz="0" w:space="0" w:color="auto"/>
        <w:right w:val="none" w:sz="0" w:space="0" w:color="auto"/>
      </w:divBdr>
    </w:div>
    <w:div w:id="330987768">
      <w:bodyDiv w:val="1"/>
      <w:marLeft w:val="0"/>
      <w:marRight w:val="0"/>
      <w:marTop w:val="0"/>
      <w:marBottom w:val="0"/>
      <w:divBdr>
        <w:top w:val="none" w:sz="0" w:space="0" w:color="auto"/>
        <w:left w:val="none" w:sz="0" w:space="0" w:color="auto"/>
        <w:bottom w:val="none" w:sz="0" w:space="0" w:color="auto"/>
        <w:right w:val="none" w:sz="0" w:space="0" w:color="auto"/>
      </w:divBdr>
    </w:div>
    <w:div w:id="337655643">
      <w:bodyDiv w:val="1"/>
      <w:marLeft w:val="0"/>
      <w:marRight w:val="0"/>
      <w:marTop w:val="0"/>
      <w:marBottom w:val="0"/>
      <w:divBdr>
        <w:top w:val="none" w:sz="0" w:space="0" w:color="auto"/>
        <w:left w:val="none" w:sz="0" w:space="0" w:color="auto"/>
        <w:bottom w:val="none" w:sz="0" w:space="0" w:color="auto"/>
        <w:right w:val="none" w:sz="0" w:space="0" w:color="auto"/>
      </w:divBdr>
    </w:div>
    <w:div w:id="345596465">
      <w:bodyDiv w:val="1"/>
      <w:marLeft w:val="0"/>
      <w:marRight w:val="0"/>
      <w:marTop w:val="0"/>
      <w:marBottom w:val="0"/>
      <w:divBdr>
        <w:top w:val="none" w:sz="0" w:space="0" w:color="auto"/>
        <w:left w:val="none" w:sz="0" w:space="0" w:color="auto"/>
        <w:bottom w:val="none" w:sz="0" w:space="0" w:color="auto"/>
        <w:right w:val="none" w:sz="0" w:space="0" w:color="auto"/>
      </w:divBdr>
    </w:div>
    <w:div w:id="349842518">
      <w:bodyDiv w:val="1"/>
      <w:marLeft w:val="0"/>
      <w:marRight w:val="0"/>
      <w:marTop w:val="0"/>
      <w:marBottom w:val="0"/>
      <w:divBdr>
        <w:top w:val="none" w:sz="0" w:space="0" w:color="auto"/>
        <w:left w:val="none" w:sz="0" w:space="0" w:color="auto"/>
        <w:bottom w:val="none" w:sz="0" w:space="0" w:color="auto"/>
        <w:right w:val="none" w:sz="0" w:space="0" w:color="auto"/>
      </w:divBdr>
    </w:div>
    <w:div w:id="358775653">
      <w:bodyDiv w:val="1"/>
      <w:marLeft w:val="0"/>
      <w:marRight w:val="0"/>
      <w:marTop w:val="0"/>
      <w:marBottom w:val="0"/>
      <w:divBdr>
        <w:top w:val="none" w:sz="0" w:space="0" w:color="auto"/>
        <w:left w:val="none" w:sz="0" w:space="0" w:color="auto"/>
        <w:bottom w:val="none" w:sz="0" w:space="0" w:color="auto"/>
        <w:right w:val="none" w:sz="0" w:space="0" w:color="auto"/>
      </w:divBdr>
    </w:div>
    <w:div w:id="366952502">
      <w:bodyDiv w:val="1"/>
      <w:marLeft w:val="0"/>
      <w:marRight w:val="0"/>
      <w:marTop w:val="0"/>
      <w:marBottom w:val="0"/>
      <w:divBdr>
        <w:top w:val="none" w:sz="0" w:space="0" w:color="auto"/>
        <w:left w:val="none" w:sz="0" w:space="0" w:color="auto"/>
        <w:bottom w:val="none" w:sz="0" w:space="0" w:color="auto"/>
        <w:right w:val="none" w:sz="0" w:space="0" w:color="auto"/>
      </w:divBdr>
    </w:div>
    <w:div w:id="372468342">
      <w:bodyDiv w:val="1"/>
      <w:marLeft w:val="0"/>
      <w:marRight w:val="0"/>
      <w:marTop w:val="0"/>
      <w:marBottom w:val="0"/>
      <w:divBdr>
        <w:top w:val="none" w:sz="0" w:space="0" w:color="auto"/>
        <w:left w:val="none" w:sz="0" w:space="0" w:color="auto"/>
        <w:bottom w:val="none" w:sz="0" w:space="0" w:color="auto"/>
        <w:right w:val="none" w:sz="0" w:space="0" w:color="auto"/>
      </w:divBdr>
    </w:div>
    <w:div w:id="379137148">
      <w:bodyDiv w:val="1"/>
      <w:marLeft w:val="0"/>
      <w:marRight w:val="0"/>
      <w:marTop w:val="0"/>
      <w:marBottom w:val="0"/>
      <w:divBdr>
        <w:top w:val="none" w:sz="0" w:space="0" w:color="auto"/>
        <w:left w:val="none" w:sz="0" w:space="0" w:color="auto"/>
        <w:bottom w:val="none" w:sz="0" w:space="0" w:color="auto"/>
        <w:right w:val="none" w:sz="0" w:space="0" w:color="auto"/>
      </w:divBdr>
    </w:div>
    <w:div w:id="381830354">
      <w:bodyDiv w:val="1"/>
      <w:marLeft w:val="0"/>
      <w:marRight w:val="0"/>
      <w:marTop w:val="0"/>
      <w:marBottom w:val="0"/>
      <w:divBdr>
        <w:top w:val="none" w:sz="0" w:space="0" w:color="auto"/>
        <w:left w:val="none" w:sz="0" w:space="0" w:color="auto"/>
        <w:bottom w:val="none" w:sz="0" w:space="0" w:color="auto"/>
        <w:right w:val="none" w:sz="0" w:space="0" w:color="auto"/>
      </w:divBdr>
    </w:div>
    <w:div w:id="382869972">
      <w:bodyDiv w:val="1"/>
      <w:marLeft w:val="0"/>
      <w:marRight w:val="0"/>
      <w:marTop w:val="0"/>
      <w:marBottom w:val="0"/>
      <w:divBdr>
        <w:top w:val="none" w:sz="0" w:space="0" w:color="auto"/>
        <w:left w:val="none" w:sz="0" w:space="0" w:color="auto"/>
        <w:bottom w:val="none" w:sz="0" w:space="0" w:color="auto"/>
        <w:right w:val="none" w:sz="0" w:space="0" w:color="auto"/>
      </w:divBdr>
    </w:div>
    <w:div w:id="383023230">
      <w:bodyDiv w:val="1"/>
      <w:marLeft w:val="0"/>
      <w:marRight w:val="0"/>
      <w:marTop w:val="0"/>
      <w:marBottom w:val="0"/>
      <w:divBdr>
        <w:top w:val="none" w:sz="0" w:space="0" w:color="auto"/>
        <w:left w:val="none" w:sz="0" w:space="0" w:color="auto"/>
        <w:bottom w:val="none" w:sz="0" w:space="0" w:color="auto"/>
        <w:right w:val="none" w:sz="0" w:space="0" w:color="auto"/>
      </w:divBdr>
    </w:div>
    <w:div w:id="383717551">
      <w:bodyDiv w:val="1"/>
      <w:marLeft w:val="0"/>
      <w:marRight w:val="0"/>
      <w:marTop w:val="0"/>
      <w:marBottom w:val="0"/>
      <w:divBdr>
        <w:top w:val="none" w:sz="0" w:space="0" w:color="auto"/>
        <w:left w:val="none" w:sz="0" w:space="0" w:color="auto"/>
        <w:bottom w:val="none" w:sz="0" w:space="0" w:color="auto"/>
        <w:right w:val="none" w:sz="0" w:space="0" w:color="auto"/>
      </w:divBdr>
    </w:div>
    <w:div w:id="384187094">
      <w:bodyDiv w:val="1"/>
      <w:marLeft w:val="0"/>
      <w:marRight w:val="0"/>
      <w:marTop w:val="0"/>
      <w:marBottom w:val="0"/>
      <w:divBdr>
        <w:top w:val="none" w:sz="0" w:space="0" w:color="auto"/>
        <w:left w:val="none" w:sz="0" w:space="0" w:color="auto"/>
        <w:bottom w:val="none" w:sz="0" w:space="0" w:color="auto"/>
        <w:right w:val="none" w:sz="0" w:space="0" w:color="auto"/>
      </w:divBdr>
    </w:div>
    <w:div w:id="384568311">
      <w:bodyDiv w:val="1"/>
      <w:marLeft w:val="0"/>
      <w:marRight w:val="0"/>
      <w:marTop w:val="0"/>
      <w:marBottom w:val="0"/>
      <w:divBdr>
        <w:top w:val="none" w:sz="0" w:space="0" w:color="auto"/>
        <w:left w:val="none" w:sz="0" w:space="0" w:color="auto"/>
        <w:bottom w:val="none" w:sz="0" w:space="0" w:color="auto"/>
        <w:right w:val="none" w:sz="0" w:space="0" w:color="auto"/>
      </w:divBdr>
    </w:div>
    <w:div w:id="389351928">
      <w:bodyDiv w:val="1"/>
      <w:marLeft w:val="0"/>
      <w:marRight w:val="0"/>
      <w:marTop w:val="0"/>
      <w:marBottom w:val="0"/>
      <w:divBdr>
        <w:top w:val="none" w:sz="0" w:space="0" w:color="auto"/>
        <w:left w:val="none" w:sz="0" w:space="0" w:color="auto"/>
        <w:bottom w:val="none" w:sz="0" w:space="0" w:color="auto"/>
        <w:right w:val="none" w:sz="0" w:space="0" w:color="auto"/>
      </w:divBdr>
    </w:div>
    <w:div w:id="390543232">
      <w:bodyDiv w:val="1"/>
      <w:marLeft w:val="0"/>
      <w:marRight w:val="0"/>
      <w:marTop w:val="0"/>
      <w:marBottom w:val="0"/>
      <w:divBdr>
        <w:top w:val="none" w:sz="0" w:space="0" w:color="auto"/>
        <w:left w:val="none" w:sz="0" w:space="0" w:color="auto"/>
        <w:bottom w:val="none" w:sz="0" w:space="0" w:color="auto"/>
        <w:right w:val="none" w:sz="0" w:space="0" w:color="auto"/>
      </w:divBdr>
    </w:div>
    <w:div w:id="394865210">
      <w:bodyDiv w:val="1"/>
      <w:marLeft w:val="0"/>
      <w:marRight w:val="0"/>
      <w:marTop w:val="0"/>
      <w:marBottom w:val="0"/>
      <w:divBdr>
        <w:top w:val="none" w:sz="0" w:space="0" w:color="auto"/>
        <w:left w:val="none" w:sz="0" w:space="0" w:color="auto"/>
        <w:bottom w:val="none" w:sz="0" w:space="0" w:color="auto"/>
        <w:right w:val="none" w:sz="0" w:space="0" w:color="auto"/>
      </w:divBdr>
    </w:div>
    <w:div w:id="395973746">
      <w:bodyDiv w:val="1"/>
      <w:marLeft w:val="0"/>
      <w:marRight w:val="0"/>
      <w:marTop w:val="0"/>
      <w:marBottom w:val="0"/>
      <w:divBdr>
        <w:top w:val="none" w:sz="0" w:space="0" w:color="auto"/>
        <w:left w:val="none" w:sz="0" w:space="0" w:color="auto"/>
        <w:bottom w:val="none" w:sz="0" w:space="0" w:color="auto"/>
        <w:right w:val="none" w:sz="0" w:space="0" w:color="auto"/>
      </w:divBdr>
    </w:div>
    <w:div w:id="398098059">
      <w:bodyDiv w:val="1"/>
      <w:marLeft w:val="0"/>
      <w:marRight w:val="0"/>
      <w:marTop w:val="0"/>
      <w:marBottom w:val="0"/>
      <w:divBdr>
        <w:top w:val="none" w:sz="0" w:space="0" w:color="auto"/>
        <w:left w:val="none" w:sz="0" w:space="0" w:color="auto"/>
        <w:bottom w:val="none" w:sz="0" w:space="0" w:color="auto"/>
        <w:right w:val="none" w:sz="0" w:space="0" w:color="auto"/>
      </w:divBdr>
    </w:div>
    <w:div w:id="398285052">
      <w:bodyDiv w:val="1"/>
      <w:marLeft w:val="0"/>
      <w:marRight w:val="0"/>
      <w:marTop w:val="0"/>
      <w:marBottom w:val="0"/>
      <w:divBdr>
        <w:top w:val="none" w:sz="0" w:space="0" w:color="auto"/>
        <w:left w:val="none" w:sz="0" w:space="0" w:color="auto"/>
        <w:bottom w:val="none" w:sz="0" w:space="0" w:color="auto"/>
        <w:right w:val="none" w:sz="0" w:space="0" w:color="auto"/>
      </w:divBdr>
    </w:div>
    <w:div w:id="398670938">
      <w:bodyDiv w:val="1"/>
      <w:marLeft w:val="0"/>
      <w:marRight w:val="0"/>
      <w:marTop w:val="0"/>
      <w:marBottom w:val="0"/>
      <w:divBdr>
        <w:top w:val="none" w:sz="0" w:space="0" w:color="auto"/>
        <w:left w:val="none" w:sz="0" w:space="0" w:color="auto"/>
        <w:bottom w:val="none" w:sz="0" w:space="0" w:color="auto"/>
        <w:right w:val="none" w:sz="0" w:space="0" w:color="auto"/>
      </w:divBdr>
    </w:div>
    <w:div w:id="401563850">
      <w:bodyDiv w:val="1"/>
      <w:marLeft w:val="0"/>
      <w:marRight w:val="0"/>
      <w:marTop w:val="0"/>
      <w:marBottom w:val="0"/>
      <w:divBdr>
        <w:top w:val="none" w:sz="0" w:space="0" w:color="auto"/>
        <w:left w:val="none" w:sz="0" w:space="0" w:color="auto"/>
        <w:bottom w:val="none" w:sz="0" w:space="0" w:color="auto"/>
        <w:right w:val="none" w:sz="0" w:space="0" w:color="auto"/>
      </w:divBdr>
    </w:div>
    <w:div w:id="405349542">
      <w:bodyDiv w:val="1"/>
      <w:marLeft w:val="0"/>
      <w:marRight w:val="0"/>
      <w:marTop w:val="0"/>
      <w:marBottom w:val="0"/>
      <w:divBdr>
        <w:top w:val="none" w:sz="0" w:space="0" w:color="auto"/>
        <w:left w:val="none" w:sz="0" w:space="0" w:color="auto"/>
        <w:bottom w:val="none" w:sz="0" w:space="0" w:color="auto"/>
        <w:right w:val="none" w:sz="0" w:space="0" w:color="auto"/>
      </w:divBdr>
    </w:div>
    <w:div w:id="405687871">
      <w:bodyDiv w:val="1"/>
      <w:marLeft w:val="0"/>
      <w:marRight w:val="0"/>
      <w:marTop w:val="0"/>
      <w:marBottom w:val="0"/>
      <w:divBdr>
        <w:top w:val="none" w:sz="0" w:space="0" w:color="auto"/>
        <w:left w:val="none" w:sz="0" w:space="0" w:color="auto"/>
        <w:bottom w:val="none" w:sz="0" w:space="0" w:color="auto"/>
        <w:right w:val="none" w:sz="0" w:space="0" w:color="auto"/>
      </w:divBdr>
    </w:div>
    <w:div w:id="405995533">
      <w:bodyDiv w:val="1"/>
      <w:marLeft w:val="0"/>
      <w:marRight w:val="0"/>
      <w:marTop w:val="0"/>
      <w:marBottom w:val="0"/>
      <w:divBdr>
        <w:top w:val="none" w:sz="0" w:space="0" w:color="auto"/>
        <w:left w:val="none" w:sz="0" w:space="0" w:color="auto"/>
        <w:bottom w:val="none" w:sz="0" w:space="0" w:color="auto"/>
        <w:right w:val="none" w:sz="0" w:space="0" w:color="auto"/>
      </w:divBdr>
    </w:div>
    <w:div w:id="417213648">
      <w:bodyDiv w:val="1"/>
      <w:marLeft w:val="0"/>
      <w:marRight w:val="0"/>
      <w:marTop w:val="0"/>
      <w:marBottom w:val="0"/>
      <w:divBdr>
        <w:top w:val="none" w:sz="0" w:space="0" w:color="auto"/>
        <w:left w:val="none" w:sz="0" w:space="0" w:color="auto"/>
        <w:bottom w:val="none" w:sz="0" w:space="0" w:color="auto"/>
        <w:right w:val="none" w:sz="0" w:space="0" w:color="auto"/>
      </w:divBdr>
    </w:div>
    <w:div w:id="417675291">
      <w:bodyDiv w:val="1"/>
      <w:marLeft w:val="0"/>
      <w:marRight w:val="0"/>
      <w:marTop w:val="0"/>
      <w:marBottom w:val="0"/>
      <w:divBdr>
        <w:top w:val="none" w:sz="0" w:space="0" w:color="auto"/>
        <w:left w:val="none" w:sz="0" w:space="0" w:color="auto"/>
        <w:bottom w:val="none" w:sz="0" w:space="0" w:color="auto"/>
        <w:right w:val="none" w:sz="0" w:space="0" w:color="auto"/>
      </w:divBdr>
    </w:div>
    <w:div w:id="423457267">
      <w:bodyDiv w:val="1"/>
      <w:marLeft w:val="0"/>
      <w:marRight w:val="0"/>
      <w:marTop w:val="0"/>
      <w:marBottom w:val="0"/>
      <w:divBdr>
        <w:top w:val="none" w:sz="0" w:space="0" w:color="auto"/>
        <w:left w:val="none" w:sz="0" w:space="0" w:color="auto"/>
        <w:bottom w:val="none" w:sz="0" w:space="0" w:color="auto"/>
        <w:right w:val="none" w:sz="0" w:space="0" w:color="auto"/>
      </w:divBdr>
    </w:div>
    <w:div w:id="425270516">
      <w:bodyDiv w:val="1"/>
      <w:marLeft w:val="0"/>
      <w:marRight w:val="0"/>
      <w:marTop w:val="0"/>
      <w:marBottom w:val="0"/>
      <w:divBdr>
        <w:top w:val="none" w:sz="0" w:space="0" w:color="auto"/>
        <w:left w:val="none" w:sz="0" w:space="0" w:color="auto"/>
        <w:bottom w:val="none" w:sz="0" w:space="0" w:color="auto"/>
        <w:right w:val="none" w:sz="0" w:space="0" w:color="auto"/>
      </w:divBdr>
    </w:div>
    <w:div w:id="425462894">
      <w:bodyDiv w:val="1"/>
      <w:marLeft w:val="0"/>
      <w:marRight w:val="0"/>
      <w:marTop w:val="0"/>
      <w:marBottom w:val="0"/>
      <w:divBdr>
        <w:top w:val="none" w:sz="0" w:space="0" w:color="auto"/>
        <w:left w:val="none" w:sz="0" w:space="0" w:color="auto"/>
        <w:bottom w:val="none" w:sz="0" w:space="0" w:color="auto"/>
        <w:right w:val="none" w:sz="0" w:space="0" w:color="auto"/>
      </w:divBdr>
    </w:div>
    <w:div w:id="426463887">
      <w:bodyDiv w:val="1"/>
      <w:marLeft w:val="0"/>
      <w:marRight w:val="0"/>
      <w:marTop w:val="0"/>
      <w:marBottom w:val="0"/>
      <w:divBdr>
        <w:top w:val="none" w:sz="0" w:space="0" w:color="auto"/>
        <w:left w:val="none" w:sz="0" w:space="0" w:color="auto"/>
        <w:bottom w:val="none" w:sz="0" w:space="0" w:color="auto"/>
        <w:right w:val="none" w:sz="0" w:space="0" w:color="auto"/>
      </w:divBdr>
    </w:div>
    <w:div w:id="427193944">
      <w:bodyDiv w:val="1"/>
      <w:marLeft w:val="0"/>
      <w:marRight w:val="0"/>
      <w:marTop w:val="0"/>
      <w:marBottom w:val="0"/>
      <w:divBdr>
        <w:top w:val="none" w:sz="0" w:space="0" w:color="auto"/>
        <w:left w:val="none" w:sz="0" w:space="0" w:color="auto"/>
        <w:bottom w:val="none" w:sz="0" w:space="0" w:color="auto"/>
        <w:right w:val="none" w:sz="0" w:space="0" w:color="auto"/>
      </w:divBdr>
    </w:div>
    <w:div w:id="427771593">
      <w:bodyDiv w:val="1"/>
      <w:marLeft w:val="0"/>
      <w:marRight w:val="0"/>
      <w:marTop w:val="0"/>
      <w:marBottom w:val="0"/>
      <w:divBdr>
        <w:top w:val="none" w:sz="0" w:space="0" w:color="auto"/>
        <w:left w:val="none" w:sz="0" w:space="0" w:color="auto"/>
        <w:bottom w:val="none" w:sz="0" w:space="0" w:color="auto"/>
        <w:right w:val="none" w:sz="0" w:space="0" w:color="auto"/>
      </w:divBdr>
    </w:div>
    <w:div w:id="428090081">
      <w:bodyDiv w:val="1"/>
      <w:marLeft w:val="0"/>
      <w:marRight w:val="0"/>
      <w:marTop w:val="0"/>
      <w:marBottom w:val="0"/>
      <w:divBdr>
        <w:top w:val="none" w:sz="0" w:space="0" w:color="auto"/>
        <w:left w:val="none" w:sz="0" w:space="0" w:color="auto"/>
        <w:bottom w:val="none" w:sz="0" w:space="0" w:color="auto"/>
        <w:right w:val="none" w:sz="0" w:space="0" w:color="auto"/>
      </w:divBdr>
      <w:divsChild>
        <w:div w:id="1117212628">
          <w:marLeft w:val="0"/>
          <w:marRight w:val="0"/>
          <w:marTop w:val="150"/>
          <w:marBottom w:val="0"/>
          <w:divBdr>
            <w:top w:val="none" w:sz="0" w:space="0" w:color="auto"/>
            <w:left w:val="none" w:sz="0" w:space="0" w:color="auto"/>
            <w:bottom w:val="none" w:sz="0" w:space="0" w:color="auto"/>
            <w:right w:val="none" w:sz="0" w:space="0" w:color="auto"/>
          </w:divBdr>
          <w:divsChild>
            <w:div w:id="280503854">
              <w:marLeft w:val="0"/>
              <w:marRight w:val="0"/>
              <w:marTop w:val="0"/>
              <w:marBottom w:val="0"/>
              <w:divBdr>
                <w:top w:val="none" w:sz="0" w:space="0" w:color="auto"/>
                <w:left w:val="none" w:sz="0" w:space="0" w:color="auto"/>
                <w:bottom w:val="none" w:sz="0" w:space="0" w:color="auto"/>
                <w:right w:val="none" w:sz="0" w:space="0" w:color="auto"/>
              </w:divBdr>
              <w:divsChild>
                <w:div w:id="854156372">
                  <w:marLeft w:val="0"/>
                  <w:marRight w:val="0"/>
                  <w:marTop w:val="0"/>
                  <w:marBottom w:val="0"/>
                  <w:divBdr>
                    <w:top w:val="none" w:sz="0" w:space="0" w:color="auto"/>
                    <w:left w:val="none" w:sz="0" w:space="0" w:color="auto"/>
                    <w:bottom w:val="none" w:sz="0" w:space="0" w:color="auto"/>
                    <w:right w:val="none" w:sz="0" w:space="0" w:color="auto"/>
                  </w:divBdr>
                  <w:divsChild>
                    <w:div w:id="78619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516805">
      <w:bodyDiv w:val="1"/>
      <w:marLeft w:val="0"/>
      <w:marRight w:val="0"/>
      <w:marTop w:val="0"/>
      <w:marBottom w:val="0"/>
      <w:divBdr>
        <w:top w:val="none" w:sz="0" w:space="0" w:color="auto"/>
        <w:left w:val="none" w:sz="0" w:space="0" w:color="auto"/>
        <w:bottom w:val="none" w:sz="0" w:space="0" w:color="auto"/>
        <w:right w:val="none" w:sz="0" w:space="0" w:color="auto"/>
      </w:divBdr>
    </w:div>
    <w:div w:id="432240324">
      <w:bodyDiv w:val="1"/>
      <w:marLeft w:val="0"/>
      <w:marRight w:val="0"/>
      <w:marTop w:val="0"/>
      <w:marBottom w:val="0"/>
      <w:divBdr>
        <w:top w:val="none" w:sz="0" w:space="0" w:color="auto"/>
        <w:left w:val="none" w:sz="0" w:space="0" w:color="auto"/>
        <w:bottom w:val="none" w:sz="0" w:space="0" w:color="auto"/>
        <w:right w:val="none" w:sz="0" w:space="0" w:color="auto"/>
      </w:divBdr>
    </w:div>
    <w:div w:id="438111279">
      <w:bodyDiv w:val="1"/>
      <w:marLeft w:val="0"/>
      <w:marRight w:val="0"/>
      <w:marTop w:val="0"/>
      <w:marBottom w:val="0"/>
      <w:divBdr>
        <w:top w:val="none" w:sz="0" w:space="0" w:color="auto"/>
        <w:left w:val="none" w:sz="0" w:space="0" w:color="auto"/>
        <w:bottom w:val="none" w:sz="0" w:space="0" w:color="auto"/>
        <w:right w:val="none" w:sz="0" w:space="0" w:color="auto"/>
      </w:divBdr>
    </w:div>
    <w:div w:id="438642234">
      <w:bodyDiv w:val="1"/>
      <w:marLeft w:val="0"/>
      <w:marRight w:val="0"/>
      <w:marTop w:val="0"/>
      <w:marBottom w:val="0"/>
      <w:divBdr>
        <w:top w:val="none" w:sz="0" w:space="0" w:color="auto"/>
        <w:left w:val="none" w:sz="0" w:space="0" w:color="auto"/>
        <w:bottom w:val="none" w:sz="0" w:space="0" w:color="auto"/>
        <w:right w:val="none" w:sz="0" w:space="0" w:color="auto"/>
      </w:divBdr>
    </w:div>
    <w:div w:id="438991324">
      <w:bodyDiv w:val="1"/>
      <w:marLeft w:val="0"/>
      <w:marRight w:val="0"/>
      <w:marTop w:val="0"/>
      <w:marBottom w:val="0"/>
      <w:divBdr>
        <w:top w:val="none" w:sz="0" w:space="0" w:color="auto"/>
        <w:left w:val="none" w:sz="0" w:space="0" w:color="auto"/>
        <w:bottom w:val="none" w:sz="0" w:space="0" w:color="auto"/>
        <w:right w:val="none" w:sz="0" w:space="0" w:color="auto"/>
      </w:divBdr>
      <w:divsChild>
        <w:div w:id="444427355">
          <w:marLeft w:val="0"/>
          <w:marRight w:val="0"/>
          <w:marTop w:val="0"/>
          <w:marBottom w:val="0"/>
          <w:divBdr>
            <w:top w:val="none" w:sz="0" w:space="0" w:color="auto"/>
            <w:left w:val="none" w:sz="0" w:space="0" w:color="auto"/>
            <w:bottom w:val="none" w:sz="0" w:space="0" w:color="auto"/>
            <w:right w:val="none" w:sz="0" w:space="0" w:color="auto"/>
          </w:divBdr>
          <w:divsChild>
            <w:div w:id="1622414078">
              <w:marLeft w:val="0"/>
              <w:marRight w:val="0"/>
              <w:marTop w:val="0"/>
              <w:marBottom w:val="0"/>
              <w:divBdr>
                <w:top w:val="none" w:sz="0" w:space="0" w:color="auto"/>
                <w:left w:val="none" w:sz="0" w:space="0" w:color="auto"/>
                <w:bottom w:val="none" w:sz="0" w:space="0" w:color="auto"/>
                <w:right w:val="none" w:sz="0" w:space="0" w:color="auto"/>
              </w:divBdr>
              <w:divsChild>
                <w:div w:id="872228005">
                  <w:marLeft w:val="0"/>
                  <w:marRight w:val="0"/>
                  <w:marTop w:val="0"/>
                  <w:marBottom w:val="0"/>
                  <w:divBdr>
                    <w:top w:val="none" w:sz="0" w:space="0" w:color="auto"/>
                    <w:left w:val="none" w:sz="0" w:space="0" w:color="auto"/>
                    <w:bottom w:val="none" w:sz="0" w:space="0" w:color="auto"/>
                    <w:right w:val="none" w:sz="0" w:space="0" w:color="auto"/>
                  </w:divBdr>
                  <w:divsChild>
                    <w:div w:id="1361010129">
                      <w:marLeft w:val="0"/>
                      <w:marRight w:val="0"/>
                      <w:marTop w:val="525"/>
                      <w:marBottom w:val="0"/>
                      <w:divBdr>
                        <w:top w:val="none" w:sz="0" w:space="0" w:color="auto"/>
                        <w:left w:val="none" w:sz="0" w:space="0" w:color="auto"/>
                        <w:bottom w:val="none" w:sz="0" w:space="0" w:color="auto"/>
                        <w:right w:val="none" w:sz="0" w:space="0" w:color="auto"/>
                      </w:divBdr>
                      <w:divsChild>
                        <w:div w:id="747843075">
                          <w:marLeft w:val="0"/>
                          <w:marRight w:val="0"/>
                          <w:marTop w:val="0"/>
                          <w:marBottom w:val="0"/>
                          <w:divBdr>
                            <w:top w:val="single" w:sz="6" w:space="0" w:color="DDDDDD"/>
                            <w:left w:val="none" w:sz="0" w:space="0" w:color="auto"/>
                            <w:bottom w:val="none" w:sz="0" w:space="0" w:color="auto"/>
                            <w:right w:val="none" w:sz="0" w:space="0" w:color="auto"/>
                          </w:divBdr>
                        </w:div>
                      </w:divsChild>
                    </w:div>
                  </w:divsChild>
                </w:div>
              </w:divsChild>
            </w:div>
          </w:divsChild>
        </w:div>
      </w:divsChild>
    </w:div>
    <w:div w:id="440613879">
      <w:bodyDiv w:val="1"/>
      <w:marLeft w:val="0"/>
      <w:marRight w:val="0"/>
      <w:marTop w:val="0"/>
      <w:marBottom w:val="0"/>
      <w:divBdr>
        <w:top w:val="none" w:sz="0" w:space="0" w:color="auto"/>
        <w:left w:val="none" w:sz="0" w:space="0" w:color="auto"/>
        <w:bottom w:val="none" w:sz="0" w:space="0" w:color="auto"/>
        <w:right w:val="none" w:sz="0" w:space="0" w:color="auto"/>
      </w:divBdr>
    </w:div>
    <w:div w:id="440884743">
      <w:bodyDiv w:val="1"/>
      <w:marLeft w:val="0"/>
      <w:marRight w:val="0"/>
      <w:marTop w:val="0"/>
      <w:marBottom w:val="0"/>
      <w:divBdr>
        <w:top w:val="none" w:sz="0" w:space="0" w:color="auto"/>
        <w:left w:val="none" w:sz="0" w:space="0" w:color="auto"/>
        <w:bottom w:val="none" w:sz="0" w:space="0" w:color="auto"/>
        <w:right w:val="none" w:sz="0" w:space="0" w:color="auto"/>
      </w:divBdr>
    </w:div>
    <w:div w:id="442192615">
      <w:bodyDiv w:val="1"/>
      <w:marLeft w:val="0"/>
      <w:marRight w:val="0"/>
      <w:marTop w:val="0"/>
      <w:marBottom w:val="0"/>
      <w:divBdr>
        <w:top w:val="none" w:sz="0" w:space="0" w:color="auto"/>
        <w:left w:val="none" w:sz="0" w:space="0" w:color="auto"/>
        <w:bottom w:val="none" w:sz="0" w:space="0" w:color="auto"/>
        <w:right w:val="none" w:sz="0" w:space="0" w:color="auto"/>
      </w:divBdr>
    </w:div>
    <w:div w:id="442267687">
      <w:bodyDiv w:val="1"/>
      <w:marLeft w:val="0"/>
      <w:marRight w:val="0"/>
      <w:marTop w:val="0"/>
      <w:marBottom w:val="0"/>
      <w:divBdr>
        <w:top w:val="none" w:sz="0" w:space="0" w:color="auto"/>
        <w:left w:val="none" w:sz="0" w:space="0" w:color="auto"/>
        <w:bottom w:val="none" w:sz="0" w:space="0" w:color="auto"/>
        <w:right w:val="none" w:sz="0" w:space="0" w:color="auto"/>
      </w:divBdr>
    </w:div>
    <w:div w:id="444468656">
      <w:bodyDiv w:val="1"/>
      <w:marLeft w:val="0"/>
      <w:marRight w:val="0"/>
      <w:marTop w:val="0"/>
      <w:marBottom w:val="0"/>
      <w:divBdr>
        <w:top w:val="none" w:sz="0" w:space="0" w:color="auto"/>
        <w:left w:val="none" w:sz="0" w:space="0" w:color="auto"/>
        <w:bottom w:val="none" w:sz="0" w:space="0" w:color="auto"/>
        <w:right w:val="none" w:sz="0" w:space="0" w:color="auto"/>
      </w:divBdr>
    </w:div>
    <w:div w:id="445735522">
      <w:bodyDiv w:val="1"/>
      <w:marLeft w:val="0"/>
      <w:marRight w:val="0"/>
      <w:marTop w:val="0"/>
      <w:marBottom w:val="0"/>
      <w:divBdr>
        <w:top w:val="none" w:sz="0" w:space="0" w:color="auto"/>
        <w:left w:val="none" w:sz="0" w:space="0" w:color="auto"/>
        <w:bottom w:val="none" w:sz="0" w:space="0" w:color="auto"/>
        <w:right w:val="none" w:sz="0" w:space="0" w:color="auto"/>
      </w:divBdr>
    </w:div>
    <w:div w:id="446124399">
      <w:bodyDiv w:val="1"/>
      <w:marLeft w:val="0"/>
      <w:marRight w:val="0"/>
      <w:marTop w:val="0"/>
      <w:marBottom w:val="0"/>
      <w:divBdr>
        <w:top w:val="none" w:sz="0" w:space="0" w:color="auto"/>
        <w:left w:val="none" w:sz="0" w:space="0" w:color="auto"/>
        <w:bottom w:val="none" w:sz="0" w:space="0" w:color="auto"/>
        <w:right w:val="none" w:sz="0" w:space="0" w:color="auto"/>
      </w:divBdr>
    </w:div>
    <w:div w:id="456263234">
      <w:bodyDiv w:val="1"/>
      <w:marLeft w:val="0"/>
      <w:marRight w:val="0"/>
      <w:marTop w:val="0"/>
      <w:marBottom w:val="0"/>
      <w:divBdr>
        <w:top w:val="none" w:sz="0" w:space="0" w:color="auto"/>
        <w:left w:val="none" w:sz="0" w:space="0" w:color="auto"/>
        <w:bottom w:val="none" w:sz="0" w:space="0" w:color="auto"/>
        <w:right w:val="none" w:sz="0" w:space="0" w:color="auto"/>
      </w:divBdr>
    </w:div>
    <w:div w:id="457794821">
      <w:bodyDiv w:val="1"/>
      <w:marLeft w:val="0"/>
      <w:marRight w:val="0"/>
      <w:marTop w:val="0"/>
      <w:marBottom w:val="0"/>
      <w:divBdr>
        <w:top w:val="none" w:sz="0" w:space="0" w:color="auto"/>
        <w:left w:val="none" w:sz="0" w:space="0" w:color="auto"/>
        <w:bottom w:val="none" w:sz="0" w:space="0" w:color="auto"/>
        <w:right w:val="none" w:sz="0" w:space="0" w:color="auto"/>
      </w:divBdr>
    </w:div>
    <w:div w:id="467355800">
      <w:bodyDiv w:val="1"/>
      <w:marLeft w:val="0"/>
      <w:marRight w:val="0"/>
      <w:marTop w:val="0"/>
      <w:marBottom w:val="0"/>
      <w:divBdr>
        <w:top w:val="none" w:sz="0" w:space="0" w:color="auto"/>
        <w:left w:val="none" w:sz="0" w:space="0" w:color="auto"/>
        <w:bottom w:val="none" w:sz="0" w:space="0" w:color="auto"/>
        <w:right w:val="none" w:sz="0" w:space="0" w:color="auto"/>
      </w:divBdr>
    </w:div>
    <w:div w:id="468326023">
      <w:bodyDiv w:val="1"/>
      <w:marLeft w:val="0"/>
      <w:marRight w:val="0"/>
      <w:marTop w:val="0"/>
      <w:marBottom w:val="0"/>
      <w:divBdr>
        <w:top w:val="none" w:sz="0" w:space="0" w:color="auto"/>
        <w:left w:val="none" w:sz="0" w:space="0" w:color="auto"/>
        <w:bottom w:val="none" w:sz="0" w:space="0" w:color="auto"/>
        <w:right w:val="none" w:sz="0" w:space="0" w:color="auto"/>
      </w:divBdr>
    </w:div>
    <w:div w:id="473107715">
      <w:bodyDiv w:val="1"/>
      <w:marLeft w:val="0"/>
      <w:marRight w:val="0"/>
      <w:marTop w:val="0"/>
      <w:marBottom w:val="0"/>
      <w:divBdr>
        <w:top w:val="none" w:sz="0" w:space="0" w:color="auto"/>
        <w:left w:val="none" w:sz="0" w:space="0" w:color="auto"/>
        <w:bottom w:val="none" w:sz="0" w:space="0" w:color="auto"/>
        <w:right w:val="none" w:sz="0" w:space="0" w:color="auto"/>
      </w:divBdr>
    </w:div>
    <w:div w:id="474838849">
      <w:bodyDiv w:val="1"/>
      <w:marLeft w:val="0"/>
      <w:marRight w:val="0"/>
      <w:marTop w:val="0"/>
      <w:marBottom w:val="0"/>
      <w:divBdr>
        <w:top w:val="none" w:sz="0" w:space="0" w:color="auto"/>
        <w:left w:val="none" w:sz="0" w:space="0" w:color="auto"/>
        <w:bottom w:val="none" w:sz="0" w:space="0" w:color="auto"/>
        <w:right w:val="none" w:sz="0" w:space="0" w:color="auto"/>
      </w:divBdr>
    </w:div>
    <w:div w:id="474874023">
      <w:bodyDiv w:val="1"/>
      <w:marLeft w:val="0"/>
      <w:marRight w:val="0"/>
      <w:marTop w:val="0"/>
      <w:marBottom w:val="0"/>
      <w:divBdr>
        <w:top w:val="none" w:sz="0" w:space="0" w:color="auto"/>
        <w:left w:val="none" w:sz="0" w:space="0" w:color="auto"/>
        <w:bottom w:val="none" w:sz="0" w:space="0" w:color="auto"/>
        <w:right w:val="none" w:sz="0" w:space="0" w:color="auto"/>
      </w:divBdr>
    </w:div>
    <w:div w:id="476797726">
      <w:bodyDiv w:val="1"/>
      <w:marLeft w:val="0"/>
      <w:marRight w:val="0"/>
      <w:marTop w:val="0"/>
      <w:marBottom w:val="0"/>
      <w:divBdr>
        <w:top w:val="none" w:sz="0" w:space="0" w:color="auto"/>
        <w:left w:val="none" w:sz="0" w:space="0" w:color="auto"/>
        <w:bottom w:val="none" w:sz="0" w:space="0" w:color="auto"/>
        <w:right w:val="none" w:sz="0" w:space="0" w:color="auto"/>
      </w:divBdr>
    </w:div>
    <w:div w:id="477962754">
      <w:bodyDiv w:val="1"/>
      <w:marLeft w:val="0"/>
      <w:marRight w:val="0"/>
      <w:marTop w:val="0"/>
      <w:marBottom w:val="0"/>
      <w:divBdr>
        <w:top w:val="none" w:sz="0" w:space="0" w:color="auto"/>
        <w:left w:val="none" w:sz="0" w:space="0" w:color="auto"/>
        <w:bottom w:val="none" w:sz="0" w:space="0" w:color="auto"/>
        <w:right w:val="none" w:sz="0" w:space="0" w:color="auto"/>
      </w:divBdr>
    </w:div>
    <w:div w:id="478615764">
      <w:bodyDiv w:val="1"/>
      <w:marLeft w:val="0"/>
      <w:marRight w:val="0"/>
      <w:marTop w:val="0"/>
      <w:marBottom w:val="0"/>
      <w:divBdr>
        <w:top w:val="none" w:sz="0" w:space="0" w:color="auto"/>
        <w:left w:val="none" w:sz="0" w:space="0" w:color="auto"/>
        <w:bottom w:val="none" w:sz="0" w:space="0" w:color="auto"/>
        <w:right w:val="none" w:sz="0" w:space="0" w:color="auto"/>
      </w:divBdr>
    </w:div>
    <w:div w:id="478767345">
      <w:bodyDiv w:val="1"/>
      <w:marLeft w:val="0"/>
      <w:marRight w:val="0"/>
      <w:marTop w:val="0"/>
      <w:marBottom w:val="0"/>
      <w:divBdr>
        <w:top w:val="none" w:sz="0" w:space="0" w:color="auto"/>
        <w:left w:val="none" w:sz="0" w:space="0" w:color="auto"/>
        <w:bottom w:val="none" w:sz="0" w:space="0" w:color="auto"/>
        <w:right w:val="none" w:sz="0" w:space="0" w:color="auto"/>
      </w:divBdr>
    </w:div>
    <w:div w:id="482626556">
      <w:bodyDiv w:val="1"/>
      <w:marLeft w:val="0"/>
      <w:marRight w:val="0"/>
      <w:marTop w:val="0"/>
      <w:marBottom w:val="0"/>
      <w:divBdr>
        <w:top w:val="none" w:sz="0" w:space="0" w:color="auto"/>
        <w:left w:val="none" w:sz="0" w:space="0" w:color="auto"/>
        <w:bottom w:val="none" w:sz="0" w:space="0" w:color="auto"/>
        <w:right w:val="none" w:sz="0" w:space="0" w:color="auto"/>
      </w:divBdr>
    </w:div>
    <w:div w:id="484205017">
      <w:bodyDiv w:val="1"/>
      <w:marLeft w:val="0"/>
      <w:marRight w:val="0"/>
      <w:marTop w:val="0"/>
      <w:marBottom w:val="0"/>
      <w:divBdr>
        <w:top w:val="none" w:sz="0" w:space="0" w:color="auto"/>
        <w:left w:val="none" w:sz="0" w:space="0" w:color="auto"/>
        <w:bottom w:val="none" w:sz="0" w:space="0" w:color="auto"/>
        <w:right w:val="none" w:sz="0" w:space="0" w:color="auto"/>
      </w:divBdr>
    </w:div>
    <w:div w:id="487791715">
      <w:bodyDiv w:val="1"/>
      <w:marLeft w:val="0"/>
      <w:marRight w:val="0"/>
      <w:marTop w:val="0"/>
      <w:marBottom w:val="0"/>
      <w:divBdr>
        <w:top w:val="none" w:sz="0" w:space="0" w:color="auto"/>
        <w:left w:val="none" w:sz="0" w:space="0" w:color="auto"/>
        <w:bottom w:val="none" w:sz="0" w:space="0" w:color="auto"/>
        <w:right w:val="none" w:sz="0" w:space="0" w:color="auto"/>
      </w:divBdr>
    </w:div>
    <w:div w:id="488793236">
      <w:bodyDiv w:val="1"/>
      <w:marLeft w:val="0"/>
      <w:marRight w:val="0"/>
      <w:marTop w:val="0"/>
      <w:marBottom w:val="0"/>
      <w:divBdr>
        <w:top w:val="none" w:sz="0" w:space="0" w:color="auto"/>
        <w:left w:val="none" w:sz="0" w:space="0" w:color="auto"/>
        <w:bottom w:val="none" w:sz="0" w:space="0" w:color="auto"/>
        <w:right w:val="none" w:sz="0" w:space="0" w:color="auto"/>
      </w:divBdr>
    </w:div>
    <w:div w:id="490023422">
      <w:bodyDiv w:val="1"/>
      <w:marLeft w:val="0"/>
      <w:marRight w:val="0"/>
      <w:marTop w:val="0"/>
      <w:marBottom w:val="0"/>
      <w:divBdr>
        <w:top w:val="none" w:sz="0" w:space="0" w:color="auto"/>
        <w:left w:val="none" w:sz="0" w:space="0" w:color="auto"/>
        <w:bottom w:val="none" w:sz="0" w:space="0" w:color="auto"/>
        <w:right w:val="none" w:sz="0" w:space="0" w:color="auto"/>
      </w:divBdr>
    </w:div>
    <w:div w:id="491527375">
      <w:bodyDiv w:val="1"/>
      <w:marLeft w:val="0"/>
      <w:marRight w:val="0"/>
      <w:marTop w:val="0"/>
      <w:marBottom w:val="0"/>
      <w:divBdr>
        <w:top w:val="none" w:sz="0" w:space="0" w:color="auto"/>
        <w:left w:val="none" w:sz="0" w:space="0" w:color="auto"/>
        <w:bottom w:val="none" w:sz="0" w:space="0" w:color="auto"/>
        <w:right w:val="none" w:sz="0" w:space="0" w:color="auto"/>
      </w:divBdr>
    </w:div>
    <w:div w:id="495921045">
      <w:bodyDiv w:val="1"/>
      <w:marLeft w:val="0"/>
      <w:marRight w:val="0"/>
      <w:marTop w:val="0"/>
      <w:marBottom w:val="0"/>
      <w:divBdr>
        <w:top w:val="none" w:sz="0" w:space="0" w:color="auto"/>
        <w:left w:val="none" w:sz="0" w:space="0" w:color="auto"/>
        <w:bottom w:val="none" w:sz="0" w:space="0" w:color="auto"/>
        <w:right w:val="none" w:sz="0" w:space="0" w:color="auto"/>
      </w:divBdr>
    </w:div>
    <w:div w:id="498157342">
      <w:bodyDiv w:val="1"/>
      <w:marLeft w:val="0"/>
      <w:marRight w:val="0"/>
      <w:marTop w:val="0"/>
      <w:marBottom w:val="0"/>
      <w:divBdr>
        <w:top w:val="none" w:sz="0" w:space="0" w:color="auto"/>
        <w:left w:val="none" w:sz="0" w:space="0" w:color="auto"/>
        <w:bottom w:val="none" w:sz="0" w:space="0" w:color="auto"/>
        <w:right w:val="none" w:sz="0" w:space="0" w:color="auto"/>
      </w:divBdr>
    </w:div>
    <w:div w:id="500317645">
      <w:bodyDiv w:val="1"/>
      <w:marLeft w:val="0"/>
      <w:marRight w:val="0"/>
      <w:marTop w:val="0"/>
      <w:marBottom w:val="0"/>
      <w:divBdr>
        <w:top w:val="none" w:sz="0" w:space="0" w:color="auto"/>
        <w:left w:val="none" w:sz="0" w:space="0" w:color="auto"/>
        <w:bottom w:val="none" w:sz="0" w:space="0" w:color="auto"/>
        <w:right w:val="none" w:sz="0" w:space="0" w:color="auto"/>
      </w:divBdr>
    </w:div>
    <w:div w:id="507257458">
      <w:bodyDiv w:val="1"/>
      <w:marLeft w:val="0"/>
      <w:marRight w:val="0"/>
      <w:marTop w:val="0"/>
      <w:marBottom w:val="0"/>
      <w:divBdr>
        <w:top w:val="none" w:sz="0" w:space="0" w:color="auto"/>
        <w:left w:val="none" w:sz="0" w:space="0" w:color="auto"/>
        <w:bottom w:val="none" w:sz="0" w:space="0" w:color="auto"/>
        <w:right w:val="none" w:sz="0" w:space="0" w:color="auto"/>
      </w:divBdr>
    </w:div>
    <w:div w:id="509216574">
      <w:bodyDiv w:val="1"/>
      <w:marLeft w:val="0"/>
      <w:marRight w:val="0"/>
      <w:marTop w:val="0"/>
      <w:marBottom w:val="0"/>
      <w:divBdr>
        <w:top w:val="none" w:sz="0" w:space="0" w:color="auto"/>
        <w:left w:val="none" w:sz="0" w:space="0" w:color="auto"/>
        <w:bottom w:val="none" w:sz="0" w:space="0" w:color="auto"/>
        <w:right w:val="none" w:sz="0" w:space="0" w:color="auto"/>
      </w:divBdr>
    </w:div>
    <w:div w:id="509954429">
      <w:bodyDiv w:val="1"/>
      <w:marLeft w:val="0"/>
      <w:marRight w:val="0"/>
      <w:marTop w:val="0"/>
      <w:marBottom w:val="0"/>
      <w:divBdr>
        <w:top w:val="none" w:sz="0" w:space="0" w:color="auto"/>
        <w:left w:val="none" w:sz="0" w:space="0" w:color="auto"/>
        <w:bottom w:val="none" w:sz="0" w:space="0" w:color="auto"/>
        <w:right w:val="none" w:sz="0" w:space="0" w:color="auto"/>
      </w:divBdr>
      <w:divsChild>
        <w:div w:id="1066226848">
          <w:marLeft w:val="0"/>
          <w:marRight w:val="0"/>
          <w:marTop w:val="0"/>
          <w:marBottom w:val="0"/>
          <w:divBdr>
            <w:top w:val="none" w:sz="0" w:space="0" w:color="auto"/>
            <w:left w:val="none" w:sz="0" w:space="0" w:color="auto"/>
            <w:bottom w:val="none" w:sz="0" w:space="0" w:color="auto"/>
            <w:right w:val="none" w:sz="0" w:space="0" w:color="auto"/>
          </w:divBdr>
        </w:div>
        <w:div w:id="1108818490">
          <w:marLeft w:val="0"/>
          <w:marRight w:val="0"/>
          <w:marTop w:val="0"/>
          <w:marBottom w:val="0"/>
          <w:divBdr>
            <w:top w:val="none" w:sz="0" w:space="0" w:color="auto"/>
            <w:left w:val="none" w:sz="0" w:space="0" w:color="auto"/>
            <w:bottom w:val="none" w:sz="0" w:space="0" w:color="auto"/>
            <w:right w:val="none" w:sz="0" w:space="0" w:color="auto"/>
          </w:divBdr>
          <w:divsChild>
            <w:div w:id="718016488">
              <w:marLeft w:val="0"/>
              <w:marRight w:val="0"/>
              <w:marTop w:val="0"/>
              <w:marBottom w:val="0"/>
              <w:divBdr>
                <w:top w:val="none" w:sz="0" w:space="0" w:color="auto"/>
                <w:left w:val="none" w:sz="0" w:space="0" w:color="auto"/>
                <w:bottom w:val="none" w:sz="0" w:space="0" w:color="auto"/>
                <w:right w:val="none" w:sz="0" w:space="0" w:color="auto"/>
              </w:divBdr>
            </w:div>
          </w:divsChild>
        </w:div>
        <w:div w:id="1347362783">
          <w:marLeft w:val="0"/>
          <w:marRight w:val="0"/>
          <w:marTop w:val="0"/>
          <w:marBottom w:val="0"/>
          <w:divBdr>
            <w:top w:val="none" w:sz="0" w:space="0" w:color="auto"/>
            <w:left w:val="none" w:sz="0" w:space="0" w:color="auto"/>
            <w:bottom w:val="none" w:sz="0" w:space="0" w:color="auto"/>
            <w:right w:val="none" w:sz="0" w:space="0" w:color="auto"/>
          </w:divBdr>
        </w:div>
      </w:divsChild>
    </w:div>
    <w:div w:id="519970346">
      <w:bodyDiv w:val="1"/>
      <w:marLeft w:val="0"/>
      <w:marRight w:val="0"/>
      <w:marTop w:val="0"/>
      <w:marBottom w:val="0"/>
      <w:divBdr>
        <w:top w:val="none" w:sz="0" w:space="0" w:color="auto"/>
        <w:left w:val="none" w:sz="0" w:space="0" w:color="auto"/>
        <w:bottom w:val="none" w:sz="0" w:space="0" w:color="auto"/>
        <w:right w:val="none" w:sz="0" w:space="0" w:color="auto"/>
      </w:divBdr>
    </w:div>
    <w:div w:id="523322756">
      <w:bodyDiv w:val="1"/>
      <w:marLeft w:val="0"/>
      <w:marRight w:val="0"/>
      <w:marTop w:val="0"/>
      <w:marBottom w:val="0"/>
      <w:divBdr>
        <w:top w:val="none" w:sz="0" w:space="0" w:color="auto"/>
        <w:left w:val="none" w:sz="0" w:space="0" w:color="auto"/>
        <w:bottom w:val="none" w:sz="0" w:space="0" w:color="auto"/>
        <w:right w:val="none" w:sz="0" w:space="0" w:color="auto"/>
      </w:divBdr>
    </w:div>
    <w:div w:id="528303937">
      <w:bodyDiv w:val="1"/>
      <w:marLeft w:val="0"/>
      <w:marRight w:val="0"/>
      <w:marTop w:val="0"/>
      <w:marBottom w:val="0"/>
      <w:divBdr>
        <w:top w:val="none" w:sz="0" w:space="0" w:color="auto"/>
        <w:left w:val="none" w:sz="0" w:space="0" w:color="auto"/>
        <w:bottom w:val="none" w:sz="0" w:space="0" w:color="auto"/>
        <w:right w:val="none" w:sz="0" w:space="0" w:color="auto"/>
      </w:divBdr>
      <w:divsChild>
        <w:div w:id="644168255">
          <w:marLeft w:val="0"/>
          <w:marRight w:val="0"/>
          <w:marTop w:val="150"/>
          <w:marBottom w:val="0"/>
          <w:divBdr>
            <w:top w:val="none" w:sz="0" w:space="0" w:color="auto"/>
            <w:left w:val="none" w:sz="0" w:space="0" w:color="auto"/>
            <w:bottom w:val="none" w:sz="0" w:space="0" w:color="auto"/>
            <w:right w:val="none" w:sz="0" w:space="0" w:color="auto"/>
          </w:divBdr>
          <w:divsChild>
            <w:div w:id="1988166504">
              <w:marLeft w:val="0"/>
              <w:marRight w:val="0"/>
              <w:marTop w:val="0"/>
              <w:marBottom w:val="0"/>
              <w:divBdr>
                <w:top w:val="none" w:sz="0" w:space="0" w:color="auto"/>
                <w:left w:val="none" w:sz="0" w:space="0" w:color="auto"/>
                <w:bottom w:val="none" w:sz="0" w:space="0" w:color="auto"/>
                <w:right w:val="none" w:sz="0" w:space="0" w:color="auto"/>
              </w:divBdr>
              <w:divsChild>
                <w:div w:id="2058504036">
                  <w:marLeft w:val="0"/>
                  <w:marRight w:val="0"/>
                  <w:marTop w:val="0"/>
                  <w:marBottom w:val="0"/>
                  <w:divBdr>
                    <w:top w:val="none" w:sz="0" w:space="0" w:color="auto"/>
                    <w:left w:val="none" w:sz="0" w:space="0" w:color="auto"/>
                    <w:bottom w:val="none" w:sz="0" w:space="0" w:color="auto"/>
                    <w:right w:val="none" w:sz="0" w:space="0" w:color="auto"/>
                  </w:divBdr>
                  <w:divsChild>
                    <w:div w:id="786780929">
                      <w:marLeft w:val="0"/>
                      <w:marRight w:val="0"/>
                      <w:marTop w:val="0"/>
                      <w:marBottom w:val="0"/>
                      <w:divBdr>
                        <w:top w:val="none" w:sz="0" w:space="0" w:color="auto"/>
                        <w:left w:val="none" w:sz="0" w:space="0" w:color="auto"/>
                        <w:bottom w:val="none" w:sz="0" w:space="0" w:color="auto"/>
                        <w:right w:val="none" w:sz="0" w:space="0" w:color="auto"/>
                      </w:divBdr>
                      <w:divsChild>
                        <w:div w:id="78797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807605">
      <w:bodyDiv w:val="1"/>
      <w:marLeft w:val="0"/>
      <w:marRight w:val="0"/>
      <w:marTop w:val="0"/>
      <w:marBottom w:val="0"/>
      <w:divBdr>
        <w:top w:val="none" w:sz="0" w:space="0" w:color="auto"/>
        <w:left w:val="none" w:sz="0" w:space="0" w:color="auto"/>
        <w:bottom w:val="none" w:sz="0" w:space="0" w:color="auto"/>
        <w:right w:val="none" w:sz="0" w:space="0" w:color="auto"/>
      </w:divBdr>
    </w:div>
    <w:div w:id="531115507">
      <w:bodyDiv w:val="1"/>
      <w:marLeft w:val="0"/>
      <w:marRight w:val="0"/>
      <w:marTop w:val="0"/>
      <w:marBottom w:val="0"/>
      <w:divBdr>
        <w:top w:val="none" w:sz="0" w:space="0" w:color="auto"/>
        <w:left w:val="none" w:sz="0" w:space="0" w:color="auto"/>
        <w:bottom w:val="none" w:sz="0" w:space="0" w:color="auto"/>
        <w:right w:val="none" w:sz="0" w:space="0" w:color="auto"/>
      </w:divBdr>
    </w:div>
    <w:div w:id="531261827">
      <w:bodyDiv w:val="1"/>
      <w:marLeft w:val="0"/>
      <w:marRight w:val="0"/>
      <w:marTop w:val="0"/>
      <w:marBottom w:val="0"/>
      <w:divBdr>
        <w:top w:val="none" w:sz="0" w:space="0" w:color="auto"/>
        <w:left w:val="none" w:sz="0" w:space="0" w:color="auto"/>
        <w:bottom w:val="none" w:sz="0" w:space="0" w:color="auto"/>
        <w:right w:val="none" w:sz="0" w:space="0" w:color="auto"/>
      </w:divBdr>
    </w:div>
    <w:div w:id="531840886">
      <w:bodyDiv w:val="1"/>
      <w:marLeft w:val="0"/>
      <w:marRight w:val="0"/>
      <w:marTop w:val="0"/>
      <w:marBottom w:val="0"/>
      <w:divBdr>
        <w:top w:val="none" w:sz="0" w:space="0" w:color="auto"/>
        <w:left w:val="none" w:sz="0" w:space="0" w:color="auto"/>
        <w:bottom w:val="none" w:sz="0" w:space="0" w:color="auto"/>
        <w:right w:val="none" w:sz="0" w:space="0" w:color="auto"/>
      </w:divBdr>
    </w:div>
    <w:div w:id="532545940">
      <w:bodyDiv w:val="1"/>
      <w:marLeft w:val="0"/>
      <w:marRight w:val="0"/>
      <w:marTop w:val="0"/>
      <w:marBottom w:val="0"/>
      <w:divBdr>
        <w:top w:val="none" w:sz="0" w:space="0" w:color="auto"/>
        <w:left w:val="none" w:sz="0" w:space="0" w:color="auto"/>
        <w:bottom w:val="none" w:sz="0" w:space="0" w:color="auto"/>
        <w:right w:val="none" w:sz="0" w:space="0" w:color="auto"/>
      </w:divBdr>
    </w:div>
    <w:div w:id="532965256">
      <w:bodyDiv w:val="1"/>
      <w:marLeft w:val="0"/>
      <w:marRight w:val="0"/>
      <w:marTop w:val="0"/>
      <w:marBottom w:val="0"/>
      <w:divBdr>
        <w:top w:val="none" w:sz="0" w:space="0" w:color="auto"/>
        <w:left w:val="none" w:sz="0" w:space="0" w:color="auto"/>
        <w:bottom w:val="none" w:sz="0" w:space="0" w:color="auto"/>
        <w:right w:val="none" w:sz="0" w:space="0" w:color="auto"/>
      </w:divBdr>
    </w:div>
    <w:div w:id="535198692">
      <w:bodyDiv w:val="1"/>
      <w:marLeft w:val="0"/>
      <w:marRight w:val="0"/>
      <w:marTop w:val="0"/>
      <w:marBottom w:val="0"/>
      <w:divBdr>
        <w:top w:val="none" w:sz="0" w:space="0" w:color="auto"/>
        <w:left w:val="none" w:sz="0" w:space="0" w:color="auto"/>
        <w:bottom w:val="none" w:sz="0" w:space="0" w:color="auto"/>
        <w:right w:val="none" w:sz="0" w:space="0" w:color="auto"/>
      </w:divBdr>
    </w:div>
    <w:div w:id="536744676">
      <w:bodyDiv w:val="1"/>
      <w:marLeft w:val="0"/>
      <w:marRight w:val="0"/>
      <w:marTop w:val="0"/>
      <w:marBottom w:val="0"/>
      <w:divBdr>
        <w:top w:val="none" w:sz="0" w:space="0" w:color="auto"/>
        <w:left w:val="none" w:sz="0" w:space="0" w:color="auto"/>
        <w:bottom w:val="none" w:sz="0" w:space="0" w:color="auto"/>
        <w:right w:val="none" w:sz="0" w:space="0" w:color="auto"/>
      </w:divBdr>
    </w:div>
    <w:div w:id="549388742">
      <w:bodyDiv w:val="1"/>
      <w:marLeft w:val="0"/>
      <w:marRight w:val="0"/>
      <w:marTop w:val="0"/>
      <w:marBottom w:val="0"/>
      <w:divBdr>
        <w:top w:val="none" w:sz="0" w:space="0" w:color="auto"/>
        <w:left w:val="none" w:sz="0" w:space="0" w:color="auto"/>
        <w:bottom w:val="none" w:sz="0" w:space="0" w:color="auto"/>
        <w:right w:val="none" w:sz="0" w:space="0" w:color="auto"/>
      </w:divBdr>
    </w:div>
    <w:div w:id="549808615">
      <w:bodyDiv w:val="1"/>
      <w:marLeft w:val="0"/>
      <w:marRight w:val="0"/>
      <w:marTop w:val="0"/>
      <w:marBottom w:val="0"/>
      <w:divBdr>
        <w:top w:val="none" w:sz="0" w:space="0" w:color="auto"/>
        <w:left w:val="none" w:sz="0" w:space="0" w:color="auto"/>
        <w:bottom w:val="none" w:sz="0" w:space="0" w:color="auto"/>
        <w:right w:val="none" w:sz="0" w:space="0" w:color="auto"/>
      </w:divBdr>
    </w:div>
    <w:div w:id="557668432">
      <w:bodyDiv w:val="1"/>
      <w:marLeft w:val="0"/>
      <w:marRight w:val="0"/>
      <w:marTop w:val="0"/>
      <w:marBottom w:val="0"/>
      <w:divBdr>
        <w:top w:val="none" w:sz="0" w:space="0" w:color="auto"/>
        <w:left w:val="none" w:sz="0" w:space="0" w:color="auto"/>
        <w:bottom w:val="none" w:sz="0" w:space="0" w:color="auto"/>
        <w:right w:val="none" w:sz="0" w:space="0" w:color="auto"/>
      </w:divBdr>
    </w:div>
    <w:div w:id="560019804">
      <w:bodyDiv w:val="1"/>
      <w:marLeft w:val="0"/>
      <w:marRight w:val="0"/>
      <w:marTop w:val="0"/>
      <w:marBottom w:val="0"/>
      <w:divBdr>
        <w:top w:val="none" w:sz="0" w:space="0" w:color="auto"/>
        <w:left w:val="none" w:sz="0" w:space="0" w:color="auto"/>
        <w:bottom w:val="none" w:sz="0" w:space="0" w:color="auto"/>
        <w:right w:val="none" w:sz="0" w:space="0" w:color="auto"/>
      </w:divBdr>
    </w:div>
    <w:div w:id="560335297">
      <w:bodyDiv w:val="1"/>
      <w:marLeft w:val="0"/>
      <w:marRight w:val="0"/>
      <w:marTop w:val="0"/>
      <w:marBottom w:val="0"/>
      <w:divBdr>
        <w:top w:val="none" w:sz="0" w:space="0" w:color="auto"/>
        <w:left w:val="none" w:sz="0" w:space="0" w:color="auto"/>
        <w:bottom w:val="none" w:sz="0" w:space="0" w:color="auto"/>
        <w:right w:val="none" w:sz="0" w:space="0" w:color="auto"/>
      </w:divBdr>
    </w:div>
    <w:div w:id="560556744">
      <w:bodyDiv w:val="1"/>
      <w:marLeft w:val="0"/>
      <w:marRight w:val="0"/>
      <w:marTop w:val="0"/>
      <w:marBottom w:val="0"/>
      <w:divBdr>
        <w:top w:val="none" w:sz="0" w:space="0" w:color="auto"/>
        <w:left w:val="none" w:sz="0" w:space="0" w:color="auto"/>
        <w:bottom w:val="none" w:sz="0" w:space="0" w:color="auto"/>
        <w:right w:val="none" w:sz="0" w:space="0" w:color="auto"/>
      </w:divBdr>
    </w:div>
    <w:div w:id="561794008">
      <w:bodyDiv w:val="1"/>
      <w:marLeft w:val="0"/>
      <w:marRight w:val="0"/>
      <w:marTop w:val="0"/>
      <w:marBottom w:val="0"/>
      <w:divBdr>
        <w:top w:val="none" w:sz="0" w:space="0" w:color="auto"/>
        <w:left w:val="none" w:sz="0" w:space="0" w:color="auto"/>
        <w:bottom w:val="none" w:sz="0" w:space="0" w:color="auto"/>
        <w:right w:val="none" w:sz="0" w:space="0" w:color="auto"/>
      </w:divBdr>
    </w:div>
    <w:div w:id="563640756">
      <w:bodyDiv w:val="1"/>
      <w:marLeft w:val="0"/>
      <w:marRight w:val="0"/>
      <w:marTop w:val="0"/>
      <w:marBottom w:val="0"/>
      <w:divBdr>
        <w:top w:val="none" w:sz="0" w:space="0" w:color="auto"/>
        <w:left w:val="none" w:sz="0" w:space="0" w:color="auto"/>
        <w:bottom w:val="none" w:sz="0" w:space="0" w:color="auto"/>
        <w:right w:val="none" w:sz="0" w:space="0" w:color="auto"/>
      </w:divBdr>
    </w:div>
    <w:div w:id="567767907">
      <w:bodyDiv w:val="1"/>
      <w:marLeft w:val="0"/>
      <w:marRight w:val="0"/>
      <w:marTop w:val="0"/>
      <w:marBottom w:val="0"/>
      <w:divBdr>
        <w:top w:val="none" w:sz="0" w:space="0" w:color="auto"/>
        <w:left w:val="none" w:sz="0" w:space="0" w:color="auto"/>
        <w:bottom w:val="none" w:sz="0" w:space="0" w:color="auto"/>
        <w:right w:val="none" w:sz="0" w:space="0" w:color="auto"/>
      </w:divBdr>
    </w:div>
    <w:div w:id="568617058">
      <w:bodyDiv w:val="1"/>
      <w:marLeft w:val="0"/>
      <w:marRight w:val="0"/>
      <w:marTop w:val="0"/>
      <w:marBottom w:val="0"/>
      <w:divBdr>
        <w:top w:val="none" w:sz="0" w:space="0" w:color="auto"/>
        <w:left w:val="none" w:sz="0" w:space="0" w:color="auto"/>
        <w:bottom w:val="none" w:sz="0" w:space="0" w:color="auto"/>
        <w:right w:val="none" w:sz="0" w:space="0" w:color="auto"/>
      </w:divBdr>
    </w:div>
    <w:div w:id="568852807">
      <w:bodyDiv w:val="1"/>
      <w:marLeft w:val="0"/>
      <w:marRight w:val="0"/>
      <w:marTop w:val="0"/>
      <w:marBottom w:val="0"/>
      <w:divBdr>
        <w:top w:val="none" w:sz="0" w:space="0" w:color="auto"/>
        <w:left w:val="none" w:sz="0" w:space="0" w:color="auto"/>
        <w:bottom w:val="none" w:sz="0" w:space="0" w:color="auto"/>
        <w:right w:val="none" w:sz="0" w:space="0" w:color="auto"/>
      </w:divBdr>
    </w:div>
    <w:div w:id="569001663">
      <w:bodyDiv w:val="1"/>
      <w:marLeft w:val="0"/>
      <w:marRight w:val="0"/>
      <w:marTop w:val="0"/>
      <w:marBottom w:val="0"/>
      <w:divBdr>
        <w:top w:val="none" w:sz="0" w:space="0" w:color="auto"/>
        <w:left w:val="none" w:sz="0" w:space="0" w:color="auto"/>
        <w:bottom w:val="none" w:sz="0" w:space="0" w:color="auto"/>
        <w:right w:val="none" w:sz="0" w:space="0" w:color="auto"/>
      </w:divBdr>
    </w:div>
    <w:div w:id="570892614">
      <w:bodyDiv w:val="1"/>
      <w:marLeft w:val="0"/>
      <w:marRight w:val="0"/>
      <w:marTop w:val="0"/>
      <w:marBottom w:val="0"/>
      <w:divBdr>
        <w:top w:val="none" w:sz="0" w:space="0" w:color="auto"/>
        <w:left w:val="none" w:sz="0" w:space="0" w:color="auto"/>
        <w:bottom w:val="none" w:sz="0" w:space="0" w:color="auto"/>
        <w:right w:val="none" w:sz="0" w:space="0" w:color="auto"/>
      </w:divBdr>
    </w:div>
    <w:div w:id="571282284">
      <w:bodyDiv w:val="1"/>
      <w:marLeft w:val="0"/>
      <w:marRight w:val="0"/>
      <w:marTop w:val="0"/>
      <w:marBottom w:val="0"/>
      <w:divBdr>
        <w:top w:val="none" w:sz="0" w:space="0" w:color="auto"/>
        <w:left w:val="none" w:sz="0" w:space="0" w:color="auto"/>
        <w:bottom w:val="none" w:sz="0" w:space="0" w:color="auto"/>
        <w:right w:val="none" w:sz="0" w:space="0" w:color="auto"/>
      </w:divBdr>
    </w:div>
    <w:div w:id="572158340">
      <w:bodyDiv w:val="1"/>
      <w:marLeft w:val="0"/>
      <w:marRight w:val="0"/>
      <w:marTop w:val="0"/>
      <w:marBottom w:val="0"/>
      <w:divBdr>
        <w:top w:val="none" w:sz="0" w:space="0" w:color="auto"/>
        <w:left w:val="none" w:sz="0" w:space="0" w:color="auto"/>
        <w:bottom w:val="none" w:sz="0" w:space="0" w:color="auto"/>
        <w:right w:val="none" w:sz="0" w:space="0" w:color="auto"/>
      </w:divBdr>
    </w:div>
    <w:div w:id="573734306">
      <w:bodyDiv w:val="1"/>
      <w:marLeft w:val="0"/>
      <w:marRight w:val="0"/>
      <w:marTop w:val="0"/>
      <w:marBottom w:val="0"/>
      <w:divBdr>
        <w:top w:val="none" w:sz="0" w:space="0" w:color="auto"/>
        <w:left w:val="none" w:sz="0" w:space="0" w:color="auto"/>
        <w:bottom w:val="none" w:sz="0" w:space="0" w:color="auto"/>
        <w:right w:val="none" w:sz="0" w:space="0" w:color="auto"/>
      </w:divBdr>
    </w:div>
    <w:div w:id="576332083">
      <w:bodyDiv w:val="1"/>
      <w:marLeft w:val="0"/>
      <w:marRight w:val="0"/>
      <w:marTop w:val="0"/>
      <w:marBottom w:val="0"/>
      <w:divBdr>
        <w:top w:val="none" w:sz="0" w:space="0" w:color="auto"/>
        <w:left w:val="none" w:sz="0" w:space="0" w:color="auto"/>
        <w:bottom w:val="none" w:sz="0" w:space="0" w:color="auto"/>
        <w:right w:val="none" w:sz="0" w:space="0" w:color="auto"/>
      </w:divBdr>
    </w:div>
    <w:div w:id="577709356">
      <w:bodyDiv w:val="1"/>
      <w:marLeft w:val="0"/>
      <w:marRight w:val="0"/>
      <w:marTop w:val="0"/>
      <w:marBottom w:val="0"/>
      <w:divBdr>
        <w:top w:val="none" w:sz="0" w:space="0" w:color="auto"/>
        <w:left w:val="none" w:sz="0" w:space="0" w:color="auto"/>
        <w:bottom w:val="none" w:sz="0" w:space="0" w:color="auto"/>
        <w:right w:val="none" w:sz="0" w:space="0" w:color="auto"/>
      </w:divBdr>
    </w:div>
    <w:div w:id="580144808">
      <w:bodyDiv w:val="1"/>
      <w:marLeft w:val="0"/>
      <w:marRight w:val="0"/>
      <w:marTop w:val="0"/>
      <w:marBottom w:val="0"/>
      <w:divBdr>
        <w:top w:val="none" w:sz="0" w:space="0" w:color="auto"/>
        <w:left w:val="none" w:sz="0" w:space="0" w:color="auto"/>
        <w:bottom w:val="none" w:sz="0" w:space="0" w:color="auto"/>
        <w:right w:val="none" w:sz="0" w:space="0" w:color="auto"/>
      </w:divBdr>
    </w:div>
    <w:div w:id="580260900">
      <w:bodyDiv w:val="1"/>
      <w:marLeft w:val="0"/>
      <w:marRight w:val="0"/>
      <w:marTop w:val="0"/>
      <w:marBottom w:val="0"/>
      <w:divBdr>
        <w:top w:val="none" w:sz="0" w:space="0" w:color="auto"/>
        <w:left w:val="none" w:sz="0" w:space="0" w:color="auto"/>
        <w:bottom w:val="none" w:sz="0" w:space="0" w:color="auto"/>
        <w:right w:val="none" w:sz="0" w:space="0" w:color="auto"/>
      </w:divBdr>
    </w:div>
    <w:div w:id="583953327">
      <w:bodyDiv w:val="1"/>
      <w:marLeft w:val="0"/>
      <w:marRight w:val="0"/>
      <w:marTop w:val="0"/>
      <w:marBottom w:val="0"/>
      <w:divBdr>
        <w:top w:val="none" w:sz="0" w:space="0" w:color="auto"/>
        <w:left w:val="none" w:sz="0" w:space="0" w:color="auto"/>
        <w:bottom w:val="none" w:sz="0" w:space="0" w:color="auto"/>
        <w:right w:val="none" w:sz="0" w:space="0" w:color="auto"/>
      </w:divBdr>
    </w:div>
    <w:div w:id="588929693">
      <w:bodyDiv w:val="1"/>
      <w:marLeft w:val="0"/>
      <w:marRight w:val="0"/>
      <w:marTop w:val="0"/>
      <w:marBottom w:val="0"/>
      <w:divBdr>
        <w:top w:val="none" w:sz="0" w:space="0" w:color="auto"/>
        <w:left w:val="none" w:sz="0" w:space="0" w:color="auto"/>
        <w:bottom w:val="none" w:sz="0" w:space="0" w:color="auto"/>
        <w:right w:val="none" w:sz="0" w:space="0" w:color="auto"/>
      </w:divBdr>
    </w:div>
    <w:div w:id="589892061">
      <w:bodyDiv w:val="1"/>
      <w:marLeft w:val="0"/>
      <w:marRight w:val="0"/>
      <w:marTop w:val="0"/>
      <w:marBottom w:val="0"/>
      <w:divBdr>
        <w:top w:val="none" w:sz="0" w:space="0" w:color="auto"/>
        <w:left w:val="none" w:sz="0" w:space="0" w:color="auto"/>
        <w:bottom w:val="none" w:sz="0" w:space="0" w:color="auto"/>
        <w:right w:val="none" w:sz="0" w:space="0" w:color="auto"/>
      </w:divBdr>
    </w:div>
    <w:div w:id="594172396">
      <w:bodyDiv w:val="1"/>
      <w:marLeft w:val="0"/>
      <w:marRight w:val="0"/>
      <w:marTop w:val="0"/>
      <w:marBottom w:val="0"/>
      <w:divBdr>
        <w:top w:val="none" w:sz="0" w:space="0" w:color="auto"/>
        <w:left w:val="none" w:sz="0" w:space="0" w:color="auto"/>
        <w:bottom w:val="none" w:sz="0" w:space="0" w:color="auto"/>
        <w:right w:val="none" w:sz="0" w:space="0" w:color="auto"/>
      </w:divBdr>
    </w:div>
    <w:div w:id="594942577">
      <w:bodyDiv w:val="1"/>
      <w:marLeft w:val="0"/>
      <w:marRight w:val="0"/>
      <w:marTop w:val="0"/>
      <w:marBottom w:val="0"/>
      <w:divBdr>
        <w:top w:val="none" w:sz="0" w:space="0" w:color="auto"/>
        <w:left w:val="none" w:sz="0" w:space="0" w:color="auto"/>
        <w:bottom w:val="none" w:sz="0" w:space="0" w:color="auto"/>
        <w:right w:val="none" w:sz="0" w:space="0" w:color="auto"/>
      </w:divBdr>
    </w:div>
    <w:div w:id="595401174">
      <w:bodyDiv w:val="1"/>
      <w:marLeft w:val="0"/>
      <w:marRight w:val="0"/>
      <w:marTop w:val="0"/>
      <w:marBottom w:val="0"/>
      <w:divBdr>
        <w:top w:val="none" w:sz="0" w:space="0" w:color="auto"/>
        <w:left w:val="none" w:sz="0" w:space="0" w:color="auto"/>
        <w:bottom w:val="none" w:sz="0" w:space="0" w:color="auto"/>
        <w:right w:val="none" w:sz="0" w:space="0" w:color="auto"/>
      </w:divBdr>
    </w:div>
    <w:div w:id="596063482">
      <w:bodyDiv w:val="1"/>
      <w:marLeft w:val="0"/>
      <w:marRight w:val="0"/>
      <w:marTop w:val="0"/>
      <w:marBottom w:val="0"/>
      <w:divBdr>
        <w:top w:val="none" w:sz="0" w:space="0" w:color="auto"/>
        <w:left w:val="none" w:sz="0" w:space="0" w:color="auto"/>
        <w:bottom w:val="none" w:sz="0" w:space="0" w:color="auto"/>
        <w:right w:val="none" w:sz="0" w:space="0" w:color="auto"/>
      </w:divBdr>
    </w:div>
    <w:div w:id="596792240">
      <w:bodyDiv w:val="1"/>
      <w:marLeft w:val="0"/>
      <w:marRight w:val="0"/>
      <w:marTop w:val="0"/>
      <w:marBottom w:val="0"/>
      <w:divBdr>
        <w:top w:val="none" w:sz="0" w:space="0" w:color="auto"/>
        <w:left w:val="none" w:sz="0" w:space="0" w:color="auto"/>
        <w:bottom w:val="none" w:sz="0" w:space="0" w:color="auto"/>
        <w:right w:val="none" w:sz="0" w:space="0" w:color="auto"/>
      </w:divBdr>
    </w:div>
    <w:div w:id="597834484">
      <w:bodyDiv w:val="1"/>
      <w:marLeft w:val="0"/>
      <w:marRight w:val="0"/>
      <w:marTop w:val="0"/>
      <w:marBottom w:val="0"/>
      <w:divBdr>
        <w:top w:val="none" w:sz="0" w:space="0" w:color="auto"/>
        <w:left w:val="none" w:sz="0" w:space="0" w:color="auto"/>
        <w:bottom w:val="none" w:sz="0" w:space="0" w:color="auto"/>
        <w:right w:val="none" w:sz="0" w:space="0" w:color="auto"/>
      </w:divBdr>
    </w:div>
    <w:div w:id="599610297">
      <w:bodyDiv w:val="1"/>
      <w:marLeft w:val="0"/>
      <w:marRight w:val="0"/>
      <w:marTop w:val="0"/>
      <w:marBottom w:val="0"/>
      <w:divBdr>
        <w:top w:val="none" w:sz="0" w:space="0" w:color="auto"/>
        <w:left w:val="none" w:sz="0" w:space="0" w:color="auto"/>
        <w:bottom w:val="none" w:sz="0" w:space="0" w:color="auto"/>
        <w:right w:val="none" w:sz="0" w:space="0" w:color="auto"/>
      </w:divBdr>
    </w:div>
    <w:div w:id="601375411">
      <w:bodyDiv w:val="1"/>
      <w:marLeft w:val="0"/>
      <w:marRight w:val="0"/>
      <w:marTop w:val="0"/>
      <w:marBottom w:val="0"/>
      <w:divBdr>
        <w:top w:val="none" w:sz="0" w:space="0" w:color="auto"/>
        <w:left w:val="none" w:sz="0" w:space="0" w:color="auto"/>
        <w:bottom w:val="none" w:sz="0" w:space="0" w:color="auto"/>
        <w:right w:val="none" w:sz="0" w:space="0" w:color="auto"/>
      </w:divBdr>
    </w:div>
    <w:div w:id="601954367">
      <w:bodyDiv w:val="1"/>
      <w:marLeft w:val="0"/>
      <w:marRight w:val="0"/>
      <w:marTop w:val="0"/>
      <w:marBottom w:val="0"/>
      <w:divBdr>
        <w:top w:val="none" w:sz="0" w:space="0" w:color="auto"/>
        <w:left w:val="none" w:sz="0" w:space="0" w:color="auto"/>
        <w:bottom w:val="none" w:sz="0" w:space="0" w:color="auto"/>
        <w:right w:val="none" w:sz="0" w:space="0" w:color="auto"/>
      </w:divBdr>
    </w:div>
    <w:div w:id="603538775">
      <w:bodyDiv w:val="1"/>
      <w:marLeft w:val="0"/>
      <w:marRight w:val="0"/>
      <w:marTop w:val="0"/>
      <w:marBottom w:val="0"/>
      <w:divBdr>
        <w:top w:val="none" w:sz="0" w:space="0" w:color="auto"/>
        <w:left w:val="none" w:sz="0" w:space="0" w:color="auto"/>
        <w:bottom w:val="none" w:sz="0" w:space="0" w:color="auto"/>
        <w:right w:val="none" w:sz="0" w:space="0" w:color="auto"/>
      </w:divBdr>
    </w:div>
    <w:div w:id="606699236">
      <w:bodyDiv w:val="1"/>
      <w:marLeft w:val="0"/>
      <w:marRight w:val="0"/>
      <w:marTop w:val="0"/>
      <w:marBottom w:val="0"/>
      <w:divBdr>
        <w:top w:val="none" w:sz="0" w:space="0" w:color="auto"/>
        <w:left w:val="none" w:sz="0" w:space="0" w:color="auto"/>
        <w:bottom w:val="none" w:sz="0" w:space="0" w:color="auto"/>
        <w:right w:val="none" w:sz="0" w:space="0" w:color="auto"/>
      </w:divBdr>
    </w:div>
    <w:div w:id="607812277">
      <w:bodyDiv w:val="1"/>
      <w:marLeft w:val="0"/>
      <w:marRight w:val="0"/>
      <w:marTop w:val="0"/>
      <w:marBottom w:val="0"/>
      <w:divBdr>
        <w:top w:val="none" w:sz="0" w:space="0" w:color="auto"/>
        <w:left w:val="none" w:sz="0" w:space="0" w:color="auto"/>
        <w:bottom w:val="none" w:sz="0" w:space="0" w:color="auto"/>
        <w:right w:val="none" w:sz="0" w:space="0" w:color="auto"/>
      </w:divBdr>
    </w:div>
    <w:div w:id="609506820">
      <w:bodyDiv w:val="1"/>
      <w:marLeft w:val="0"/>
      <w:marRight w:val="0"/>
      <w:marTop w:val="0"/>
      <w:marBottom w:val="0"/>
      <w:divBdr>
        <w:top w:val="none" w:sz="0" w:space="0" w:color="auto"/>
        <w:left w:val="none" w:sz="0" w:space="0" w:color="auto"/>
        <w:bottom w:val="none" w:sz="0" w:space="0" w:color="auto"/>
        <w:right w:val="none" w:sz="0" w:space="0" w:color="auto"/>
      </w:divBdr>
      <w:divsChild>
        <w:div w:id="452476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4561260">
      <w:bodyDiv w:val="1"/>
      <w:marLeft w:val="0"/>
      <w:marRight w:val="0"/>
      <w:marTop w:val="0"/>
      <w:marBottom w:val="0"/>
      <w:divBdr>
        <w:top w:val="none" w:sz="0" w:space="0" w:color="auto"/>
        <w:left w:val="none" w:sz="0" w:space="0" w:color="auto"/>
        <w:bottom w:val="none" w:sz="0" w:space="0" w:color="auto"/>
        <w:right w:val="none" w:sz="0" w:space="0" w:color="auto"/>
      </w:divBdr>
    </w:div>
    <w:div w:id="616104693">
      <w:bodyDiv w:val="1"/>
      <w:marLeft w:val="0"/>
      <w:marRight w:val="0"/>
      <w:marTop w:val="0"/>
      <w:marBottom w:val="0"/>
      <w:divBdr>
        <w:top w:val="none" w:sz="0" w:space="0" w:color="auto"/>
        <w:left w:val="none" w:sz="0" w:space="0" w:color="auto"/>
        <w:bottom w:val="none" w:sz="0" w:space="0" w:color="auto"/>
        <w:right w:val="none" w:sz="0" w:space="0" w:color="auto"/>
      </w:divBdr>
    </w:div>
    <w:div w:id="617181774">
      <w:bodyDiv w:val="1"/>
      <w:marLeft w:val="0"/>
      <w:marRight w:val="0"/>
      <w:marTop w:val="0"/>
      <w:marBottom w:val="0"/>
      <w:divBdr>
        <w:top w:val="none" w:sz="0" w:space="0" w:color="auto"/>
        <w:left w:val="none" w:sz="0" w:space="0" w:color="auto"/>
        <w:bottom w:val="none" w:sz="0" w:space="0" w:color="auto"/>
        <w:right w:val="none" w:sz="0" w:space="0" w:color="auto"/>
      </w:divBdr>
    </w:div>
    <w:div w:id="617302983">
      <w:bodyDiv w:val="1"/>
      <w:marLeft w:val="0"/>
      <w:marRight w:val="0"/>
      <w:marTop w:val="0"/>
      <w:marBottom w:val="0"/>
      <w:divBdr>
        <w:top w:val="none" w:sz="0" w:space="0" w:color="auto"/>
        <w:left w:val="none" w:sz="0" w:space="0" w:color="auto"/>
        <w:bottom w:val="none" w:sz="0" w:space="0" w:color="auto"/>
        <w:right w:val="none" w:sz="0" w:space="0" w:color="auto"/>
      </w:divBdr>
    </w:div>
    <w:div w:id="621692504">
      <w:bodyDiv w:val="1"/>
      <w:marLeft w:val="0"/>
      <w:marRight w:val="0"/>
      <w:marTop w:val="0"/>
      <w:marBottom w:val="0"/>
      <w:divBdr>
        <w:top w:val="none" w:sz="0" w:space="0" w:color="auto"/>
        <w:left w:val="none" w:sz="0" w:space="0" w:color="auto"/>
        <w:bottom w:val="none" w:sz="0" w:space="0" w:color="auto"/>
        <w:right w:val="none" w:sz="0" w:space="0" w:color="auto"/>
      </w:divBdr>
    </w:div>
    <w:div w:id="623117616">
      <w:bodyDiv w:val="1"/>
      <w:marLeft w:val="0"/>
      <w:marRight w:val="0"/>
      <w:marTop w:val="0"/>
      <w:marBottom w:val="0"/>
      <w:divBdr>
        <w:top w:val="none" w:sz="0" w:space="0" w:color="auto"/>
        <w:left w:val="none" w:sz="0" w:space="0" w:color="auto"/>
        <w:bottom w:val="none" w:sz="0" w:space="0" w:color="auto"/>
        <w:right w:val="none" w:sz="0" w:space="0" w:color="auto"/>
      </w:divBdr>
    </w:div>
    <w:div w:id="624968331">
      <w:bodyDiv w:val="1"/>
      <w:marLeft w:val="0"/>
      <w:marRight w:val="0"/>
      <w:marTop w:val="0"/>
      <w:marBottom w:val="0"/>
      <w:divBdr>
        <w:top w:val="none" w:sz="0" w:space="0" w:color="auto"/>
        <w:left w:val="none" w:sz="0" w:space="0" w:color="auto"/>
        <w:bottom w:val="none" w:sz="0" w:space="0" w:color="auto"/>
        <w:right w:val="none" w:sz="0" w:space="0" w:color="auto"/>
      </w:divBdr>
    </w:div>
    <w:div w:id="627931281">
      <w:bodyDiv w:val="1"/>
      <w:marLeft w:val="0"/>
      <w:marRight w:val="0"/>
      <w:marTop w:val="0"/>
      <w:marBottom w:val="0"/>
      <w:divBdr>
        <w:top w:val="none" w:sz="0" w:space="0" w:color="auto"/>
        <w:left w:val="none" w:sz="0" w:space="0" w:color="auto"/>
        <w:bottom w:val="none" w:sz="0" w:space="0" w:color="auto"/>
        <w:right w:val="none" w:sz="0" w:space="0" w:color="auto"/>
      </w:divBdr>
    </w:div>
    <w:div w:id="628974071">
      <w:bodyDiv w:val="1"/>
      <w:marLeft w:val="0"/>
      <w:marRight w:val="0"/>
      <w:marTop w:val="0"/>
      <w:marBottom w:val="0"/>
      <w:divBdr>
        <w:top w:val="none" w:sz="0" w:space="0" w:color="auto"/>
        <w:left w:val="none" w:sz="0" w:space="0" w:color="auto"/>
        <w:bottom w:val="none" w:sz="0" w:space="0" w:color="auto"/>
        <w:right w:val="none" w:sz="0" w:space="0" w:color="auto"/>
      </w:divBdr>
    </w:div>
    <w:div w:id="632253771">
      <w:bodyDiv w:val="1"/>
      <w:marLeft w:val="0"/>
      <w:marRight w:val="0"/>
      <w:marTop w:val="0"/>
      <w:marBottom w:val="0"/>
      <w:divBdr>
        <w:top w:val="none" w:sz="0" w:space="0" w:color="auto"/>
        <w:left w:val="none" w:sz="0" w:space="0" w:color="auto"/>
        <w:bottom w:val="none" w:sz="0" w:space="0" w:color="auto"/>
        <w:right w:val="none" w:sz="0" w:space="0" w:color="auto"/>
      </w:divBdr>
    </w:div>
    <w:div w:id="632372021">
      <w:bodyDiv w:val="1"/>
      <w:marLeft w:val="0"/>
      <w:marRight w:val="0"/>
      <w:marTop w:val="0"/>
      <w:marBottom w:val="0"/>
      <w:divBdr>
        <w:top w:val="none" w:sz="0" w:space="0" w:color="auto"/>
        <w:left w:val="none" w:sz="0" w:space="0" w:color="auto"/>
        <w:bottom w:val="none" w:sz="0" w:space="0" w:color="auto"/>
        <w:right w:val="none" w:sz="0" w:space="0" w:color="auto"/>
      </w:divBdr>
    </w:div>
    <w:div w:id="635188085">
      <w:bodyDiv w:val="1"/>
      <w:marLeft w:val="0"/>
      <w:marRight w:val="0"/>
      <w:marTop w:val="0"/>
      <w:marBottom w:val="0"/>
      <w:divBdr>
        <w:top w:val="none" w:sz="0" w:space="0" w:color="auto"/>
        <w:left w:val="none" w:sz="0" w:space="0" w:color="auto"/>
        <w:bottom w:val="none" w:sz="0" w:space="0" w:color="auto"/>
        <w:right w:val="none" w:sz="0" w:space="0" w:color="auto"/>
      </w:divBdr>
    </w:div>
    <w:div w:id="642079301">
      <w:bodyDiv w:val="1"/>
      <w:marLeft w:val="0"/>
      <w:marRight w:val="0"/>
      <w:marTop w:val="0"/>
      <w:marBottom w:val="0"/>
      <w:divBdr>
        <w:top w:val="none" w:sz="0" w:space="0" w:color="auto"/>
        <w:left w:val="none" w:sz="0" w:space="0" w:color="auto"/>
        <w:bottom w:val="none" w:sz="0" w:space="0" w:color="auto"/>
        <w:right w:val="none" w:sz="0" w:space="0" w:color="auto"/>
      </w:divBdr>
    </w:div>
    <w:div w:id="642152176">
      <w:bodyDiv w:val="1"/>
      <w:marLeft w:val="0"/>
      <w:marRight w:val="0"/>
      <w:marTop w:val="0"/>
      <w:marBottom w:val="0"/>
      <w:divBdr>
        <w:top w:val="none" w:sz="0" w:space="0" w:color="auto"/>
        <w:left w:val="none" w:sz="0" w:space="0" w:color="auto"/>
        <w:bottom w:val="none" w:sz="0" w:space="0" w:color="auto"/>
        <w:right w:val="none" w:sz="0" w:space="0" w:color="auto"/>
      </w:divBdr>
    </w:div>
    <w:div w:id="643892311">
      <w:bodyDiv w:val="1"/>
      <w:marLeft w:val="0"/>
      <w:marRight w:val="0"/>
      <w:marTop w:val="0"/>
      <w:marBottom w:val="0"/>
      <w:divBdr>
        <w:top w:val="none" w:sz="0" w:space="0" w:color="auto"/>
        <w:left w:val="none" w:sz="0" w:space="0" w:color="auto"/>
        <w:bottom w:val="none" w:sz="0" w:space="0" w:color="auto"/>
        <w:right w:val="none" w:sz="0" w:space="0" w:color="auto"/>
      </w:divBdr>
    </w:div>
    <w:div w:id="647325017">
      <w:bodyDiv w:val="1"/>
      <w:marLeft w:val="0"/>
      <w:marRight w:val="0"/>
      <w:marTop w:val="0"/>
      <w:marBottom w:val="0"/>
      <w:divBdr>
        <w:top w:val="none" w:sz="0" w:space="0" w:color="auto"/>
        <w:left w:val="none" w:sz="0" w:space="0" w:color="auto"/>
        <w:bottom w:val="none" w:sz="0" w:space="0" w:color="auto"/>
        <w:right w:val="none" w:sz="0" w:space="0" w:color="auto"/>
      </w:divBdr>
    </w:div>
    <w:div w:id="647444398">
      <w:bodyDiv w:val="1"/>
      <w:marLeft w:val="0"/>
      <w:marRight w:val="0"/>
      <w:marTop w:val="0"/>
      <w:marBottom w:val="0"/>
      <w:divBdr>
        <w:top w:val="none" w:sz="0" w:space="0" w:color="auto"/>
        <w:left w:val="none" w:sz="0" w:space="0" w:color="auto"/>
        <w:bottom w:val="none" w:sz="0" w:space="0" w:color="auto"/>
        <w:right w:val="none" w:sz="0" w:space="0" w:color="auto"/>
      </w:divBdr>
    </w:div>
    <w:div w:id="649987503">
      <w:bodyDiv w:val="1"/>
      <w:marLeft w:val="0"/>
      <w:marRight w:val="0"/>
      <w:marTop w:val="0"/>
      <w:marBottom w:val="0"/>
      <w:divBdr>
        <w:top w:val="none" w:sz="0" w:space="0" w:color="auto"/>
        <w:left w:val="none" w:sz="0" w:space="0" w:color="auto"/>
        <w:bottom w:val="none" w:sz="0" w:space="0" w:color="auto"/>
        <w:right w:val="none" w:sz="0" w:space="0" w:color="auto"/>
      </w:divBdr>
      <w:divsChild>
        <w:div w:id="166285557">
          <w:marLeft w:val="0"/>
          <w:marRight w:val="0"/>
          <w:marTop w:val="600"/>
          <w:marBottom w:val="0"/>
          <w:divBdr>
            <w:top w:val="none" w:sz="0" w:space="0" w:color="auto"/>
            <w:left w:val="none" w:sz="0" w:space="0" w:color="auto"/>
            <w:bottom w:val="none" w:sz="0" w:space="0" w:color="auto"/>
            <w:right w:val="none" w:sz="0" w:space="0" w:color="auto"/>
          </w:divBdr>
        </w:div>
        <w:div w:id="1526402347">
          <w:marLeft w:val="0"/>
          <w:marRight w:val="0"/>
          <w:marTop w:val="600"/>
          <w:marBottom w:val="0"/>
          <w:divBdr>
            <w:top w:val="none" w:sz="0" w:space="0" w:color="auto"/>
            <w:left w:val="none" w:sz="0" w:space="0" w:color="auto"/>
            <w:bottom w:val="none" w:sz="0" w:space="0" w:color="auto"/>
            <w:right w:val="none" w:sz="0" w:space="0" w:color="auto"/>
          </w:divBdr>
        </w:div>
      </w:divsChild>
    </w:div>
    <w:div w:id="650596400">
      <w:bodyDiv w:val="1"/>
      <w:marLeft w:val="0"/>
      <w:marRight w:val="0"/>
      <w:marTop w:val="0"/>
      <w:marBottom w:val="0"/>
      <w:divBdr>
        <w:top w:val="none" w:sz="0" w:space="0" w:color="auto"/>
        <w:left w:val="none" w:sz="0" w:space="0" w:color="auto"/>
        <w:bottom w:val="none" w:sz="0" w:space="0" w:color="auto"/>
        <w:right w:val="none" w:sz="0" w:space="0" w:color="auto"/>
      </w:divBdr>
    </w:div>
    <w:div w:id="652173278">
      <w:bodyDiv w:val="1"/>
      <w:marLeft w:val="0"/>
      <w:marRight w:val="0"/>
      <w:marTop w:val="0"/>
      <w:marBottom w:val="0"/>
      <w:divBdr>
        <w:top w:val="none" w:sz="0" w:space="0" w:color="auto"/>
        <w:left w:val="none" w:sz="0" w:space="0" w:color="auto"/>
        <w:bottom w:val="none" w:sz="0" w:space="0" w:color="auto"/>
        <w:right w:val="none" w:sz="0" w:space="0" w:color="auto"/>
      </w:divBdr>
    </w:div>
    <w:div w:id="652291492">
      <w:bodyDiv w:val="1"/>
      <w:marLeft w:val="0"/>
      <w:marRight w:val="0"/>
      <w:marTop w:val="0"/>
      <w:marBottom w:val="0"/>
      <w:divBdr>
        <w:top w:val="none" w:sz="0" w:space="0" w:color="auto"/>
        <w:left w:val="none" w:sz="0" w:space="0" w:color="auto"/>
        <w:bottom w:val="none" w:sz="0" w:space="0" w:color="auto"/>
        <w:right w:val="none" w:sz="0" w:space="0" w:color="auto"/>
      </w:divBdr>
    </w:div>
    <w:div w:id="652680685">
      <w:bodyDiv w:val="1"/>
      <w:marLeft w:val="0"/>
      <w:marRight w:val="0"/>
      <w:marTop w:val="0"/>
      <w:marBottom w:val="0"/>
      <w:divBdr>
        <w:top w:val="none" w:sz="0" w:space="0" w:color="auto"/>
        <w:left w:val="none" w:sz="0" w:space="0" w:color="auto"/>
        <w:bottom w:val="none" w:sz="0" w:space="0" w:color="auto"/>
        <w:right w:val="none" w:sz="0" w:space="0" w:color="auto"/>
      </w:divBdr>
    </w:div>
    <w:div w:id="653022100">
      <w:bodyDiv w:val="1"/>
      <w:marLeft w:val="0"/>
      <w:marRight w:val="0"/>
      <w:marTop w:val="0"/>
      <w:marBottom w:val="0"/>
      <w:divBdr>
        <w:top w:val="none" w:sz="0" w:space="0" w:color="auto"/>
        <w:left w:val="none" w:sz="0" w:space="0" w:color="auto"/>
        <w:bottom w:val="none" w:sz="0" w:space="0" w:color="auto"/>
        <w:right w:val="none" w:sz="0" w:space="0" w:color="auto"/>
      </w:divBdr>
    </w:div>
    <w:div w:id="654720449">
      <w:bodyDiv w:val="1"/>
      <w:marLeft w:val="0"/>
      <w:marRight w:val="0"/>
      <w:marTop w:val="0"/>
      <w:marBottom w:val="0"/>
      <w:divBdr>
        <w:top w:val="none" w:sz="0" w:space="0" w:color="auto"/>
        <w:left w:val="none" w:sz="0" w:space="0" w:color="auto"/>
        <w:bottom w:val="none" w:sz="0" w:space="0" w:color="auto"/>
        <w:right w:val="none" w:sz="0" w:space="0" w:color="auto"/>
      </w:divBdr>
    </w:div>
    <w:div w:id="654989873">
      <w:bodyDiv w:val="1"/>
      <w:marLeft w:val="0"/>
      <w:marRight w:val="0"/>
      <w:marTop w:val="0"/>
      <w:marBottom w:val="0"/>
      <w:divBdr>
        <w:top w:val="none" w:sz="0" w:space="0" w:color="auto"/>
        <w:left w:val="none" w:sz="0" w:space="0" w:color="auto"/>
        <w:bottom w:val="none" w:sz="0" w:space="0" w:color="auto"/>
        <w:right w:val="none" w:sz="0" w:space="0" w:color="auto"/>
      </w:divBdr>
    </w:div>
    <w:div w:id="655306371">
      <w:bodyDiv w:val="1"/>
      <w:marLeft w:val="0"/>
      <w:marRight w:val="0"/>
      <w:marTop w:val="0"/>
      <w:marBottom w:val="0"/>
      <w:divBdr>
        <w:top w:val="none" w:sz="0" w:space="0" w:color="auto"/>
        <w:left w:val="none" w:sz="0" w:space="0" w:color="auto"/>
        <w:bottom w:val="none" w:sz="0" w:space="0" w:color="auto"/>
        <w:right w:val="none" w:sz="0" w:space="0" w:color="auto"/>
      </w:divBdr>
    </w:div>
    <w:div w:id="655958396">
      <w:bodyDiv w:val="1"/>
      <w:marLeft w:val="0"/>
      <w:marRight w:val="0"/>
      <w:marTop w:val="0"/>
      <w:marBottom w:val="0"/>
      <w:divBdr>
        <w:top w:val="none" w:sz="0" w:space="0" w:color="auto"/>
        <w:left w:val="none" w:sz="0" w:space="0" w:color="auto"/>
        <w:bottom w:val="none" w:sz="0" w:space="0" w:color="auto"/>
        <w:right w:val="none" w:sz="0" w:space="0" w:color="auto"/>
      </w:divBdr>
    </w:div>
    <w:div w:id="665282089">
      <w:bodyDiv w:val="1"/>
      <w:marLeft w:val="0"/>
      <w:marRight w:val="0"/>
      <w:marTop w:val="0"/>
      <w:marBottom w:val="0"/>
      <w:divBdr>
        <w:top w:val="none" w:sz="0" w:space="0" w:color="auto"/>
        <w:left w:val="none" w:sz="0" w:space="0" w:color="auto"/>
        <w:bottom w:val="none" w:sz="0" w:space="0" w:color="auto"/>
        <w:right w:val="none" w:sz="0" w:space="0" w:color="auto"/>
      </w:divBdr>
    </w:div>
    <w:div w:id="668945145">
      <w:bodyDiv w:val="1"/>
      <w:marLeft w:val="0"/>
      <w:marRight w:val="0"/>
      <w:marTop w:val="0"/>
      <w:marBottom w:val="0"/>
      <w:divBdr>
        <w:top w:val="none" w:sz="0" w:space="0" w:color="auto"/>
        <w:left w:val="none" w:sz="0" w:space="0" w:color="auto"/>
        <w:bottom w:val="none" w:sz="0" w:space="0" w:color="auto"/>
        <w:right w:val="none" w:sz="0" w:space="0" w:color="auto"/>
      </w:divBdr>
    </w:div>
    <w:div w:id="670791602">
      <w:bodyDiv w:val="1"/>
      <w:marLeft w:val="0"/>
      <w:marRight w:val="0"/>
      <w:marTop w:val="0"/>
      <w:marBottom w:val="0"/>
      <w:divBdr>
        <w:top w:val="none" w:sz="0" w:space="0" w:color="auto"/>
        <w:left w:val="none" w:sz="0" w:space="0" w:color="auto"/>
        <w:bottom w:val="none" w:sz="0" w:space="0" w:color="auto"/>
        <w:right w:val="none" w:sz="0" w:space="0" w:color="auto"/>
      </w:divBdr>
    </w:div>
    <w:div w:id="675888596">
      <w:bodyDiv w:val="1"/>
      <w:marLeft w:val="0"/>
      <w:marRight w:val="0"/>
      <w:marTop w:val="0"/>
      <w:marBottom w:val="0"/>
      <w:divBdr>
        <w:top w:val="none" w:sz="0" w:space="0" w:color="auto"/>
        <w:left w:val="none" w:sz="0" w:space="0" w:color="auto"/>
        <w:bottom w:val="none" w:sz="0" w:space="0" w:color="auto"/>
        <w:right w:val="none" w:sz="0" w:space="0" w:color="auto"/>
      </w:divBdr>
      <w:divsChild>
        <w:div w:id="865678154">
          <w:marLeft w:val="0"/>
          <w:marRight w:val="0"/>
          <w:marTop w:val="0"/>
          <w:marBottom w:val="0"/>
          <w:divBdr>
            <w:top w:val="none" w:sz="0" w:space="0" w:color="auto"/>
            <w:left w:val="none" w:sz="0" w:space="0" w:color="auto"/>
            <w:bottom w:val="none" w:sz="0" w:space="0" w:color="auto"/>
            <w:right w:val="none" w:sz="0" w:space="0" w:color="auto"/>
          </w:divBdr>
          <w:divsChild>
            <w:div w:id="1847670118">
              <w:marLeft w:val="0"/>
              <w:marRight w:val="0"/>
              <w:marTop w:val="0"/>
              <w:marBottom w:val="0"/>
              <w:divBdr>
                <w:top w:val="none" w:sz="0" w:space="0" w:color="auto"/>
                <w:left w:val="none" w:sz="0" w:space="0" w:color="auto"/>
                <w:bottom w:val="none" w:sz="0" w:space="0" w:color="auto"/>
                <w:right w:val="none" w:sz="0" w:space="0" w:color="auto"/>
              </w:divBdr>
              <w:divsChild>
                <w:div w:id="1283536873">
                  <w:marLeft w:val="0"/>
                  <w:marRight w:val="0"/>
                  <w:marTop w:val="0"/>
                  <w:marBottom w:val="0"/>
                  <w:divBdr>
                    <w:top w:val="none" w:sz="0" w:space="0" w:color="auto"/>
                    <w:left w:val="none" w:sz="0" w:space="0" w:color="auto"/>
                    <w:bottom w:val="none" w:sz="0" w:space="0" w:color="auto"/>
                    <w:right w:val="none" w:sz="0" w:space="0" w:color="auto"/>
                  </w:divBdr>
                  <w:divsChild>
                    <w:div w:id="1725983917">
                      <w:marLeft w:val="0"/>
                      <w:marRight w:val="0"/>
                      <w:marTop w:val="0"/>
                      <w:marBottom w:val="0"/>
                      <w:divBdr>
                        <w:top w:val="none" w:sz="0" w:space="0" w:color="auto"/>
                        <w:left w:val="none" w:sz="0" w:space="0" w:color="auto"/>
                        <w:bottom w:val="none" w:sz="0" w:space="0" w:color="auto"/>
                        <w:right w:val="none" w:sz="0" w:space="0" w:color="auto"/>
                      </w:divBdr>
                      <w:divsChild>
                        <w:div w:id="2045133775">
                          <w:marLeft w:val="0"/>
                          <w:marRight w:val="0"/>
                          <w:marTop w:val="0"/>
                          <w:marBottom w:val="0"/>
                          <w:divBdr>
                            <w:top w:val="none" w:sz="0" w:space="0" w:color="auto"/>
                            <w:left w:val="none" w:sz="0" w:space="0" w:color="auto"/>
                            <w:bottom w:val="none" w:sz="0" w:space="0" w:color="auto"/>
                            <w:right w:val="none" w:sz="0" w:space="0" w:color="auto"/>
                          </w:divBdr>
                          <w:divsChild>
                            <w:div w:id="87392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964019">
      <w:bodyDiv w:val="1"/>
      <w:marLeft w:val="0"/>
      <w:marRight w:val="0"/>
      <w:marTop w:val="0"/>
      <w:marBottom w:val="0"/>
      <w:divBdr>
        <w:top w:val="none" w:sz="0" w:space="0" w:color="auto"/>
        <w:left w:val="none" w:sz="0" w:space="0" w:color="auto"/>
        <w:bottom w:val="none" w:sz="0" w:space="0" w:color="auto"/>
        <w:right w:val="none" w:sz="0" w:space="0" w:color="auto"/>
      </w:divBdr>
    </w:div>
    <w:div w:id="680742753">
      <w:bodyDiv w:val="1"/>
      <w:marLeft w:val="0"/>
      <w:marRight w:val="0"/>
      <w:marTop w:val="0"/>
      <w:marBottom w:val="0"/>
      <w:divBdr>
        <w:top w:val="none" w:sz="0" w:space="0" w:color="auto"/>
        <w:left w:val="none" w:sz="0" w:space="0" w:color="auto"/>
        <w:bottom w:val="none" w:sz="0" w:space="0" w:color="auto"/>
        <w:right w:val="none" w:sz="0" w:space="0" w:color="auto"/>
      </w:divBdr>
    </w:div>
    <w:div w:id="681781069">
      <w:bodyDiv w:val="1"/>
      <w:marLeft w:val="0"/>
      <w:marRight w:val="0"/>
      <w:marTop w:val="0"/>
      <w:marBottom w:val="0"/>
      <w:divBdr>
        <w:top w:val="none" w:sz="0" w:space="0" w:color="auto"/>
        <w:left w:val="none" w:sz="0" w:space="0" w:color="auto"/>
        <w:bottom w:val="none" w:sz="0" w:space="0" w:color="auto"/>
        <w:right w:val="none" w:sz="0" w:space="0" w:color="auto"/>
      </w:divBdr>
      <w:divsChild>
        <w:div w:id="450586949">
          <w:marLeft w:val="0"/>
          <w:marRight w:val="0"/>
          <w:marTop w:val="0"/>
          <w:marBottom w:val="0"/>
          <w:divBdr>
            <w:top w:val="none" w:sz="0" w:space="0" w:color="auto"/>
            <w:left w:val="none" w:sz="0" w:space="0" w:color="auto"/>
            <w:bottom w:val="none" w:sz="0" w:space="0" w:color="auto"/>
            <w:right w:val="none" w:sz="0" w:space="0" w:color="auto"/>
          </w:divBdr>
          <w:divsChild>
            <w:div w:id="1755929260">
              <w:marLeft w:val="0"/>
              <w:marRight w:val="0"/>
              <w:marTop w:val="0"/>
              <w:marBottom w:val="0"/>
              <w:divBdr>
                <w:top w:val="none" w:sz="0" w:space="0" w:color="auto"/>
                <w:left w:val="none" w:sz="0" w:space="0" w:color="auto"/>
                <w:bottom w:val="none" w:sz="0" w:space="0" w:color="auto"/>
                <w:right w:val="none" w:sz="0" w:space="0" w:color="auto"/>
              </w:divBdr>
              <w:divsChild>
                <w:div w:id="781917492">
                  <w:marLeft w:val="0"/>
                  <w:marRight w:val="0"/>
                  <w:marTop w:val="0"/>
                  <w:marBottom w:val="0"/>
                  <w:divBdr>
                    <w:top w:val="none" w:sz="0" w:space="0" w:color="auto"/>
                    <w:left w:val="none" w:sz="0" w:space="0" w:color="auto"/>
                    <w:bottom w:val="none" w:sz="0" w:space="0" w:color="auto"/>
                    <w:right w:val="none" w:sz="0" w:space="0" w:color="auto"/>
                  </w:divBdr>
                </w:div>
                <w:div w:id="822821111">
                  <w:marLeft w:val="0"/>
                  <w:marRight w:val="0"/>
                  <w:marTop w:val="0"/>
                  <w:marBottom w:val="0"/>
                  <w:divBdr>
                    <w:top w:val="none" w:sz="0" w:space="0" w:color="auto"/>
                    <w:left w:val="none" w:sz="0" w:space="0" w:color="auto"/>
                    <w:bottom w:val="none" w:sz="0" w:space="0" w:color="auto"/>
                    <w:right w:val="none" w:sz="0" w:space="0" w:color="auto"/>
                  </w:divBdr>
                  <w:divsChild>
                    <w:div w:id="1398433846">
                      <w:marLeft w:val="0"/>
                      <w:marRight w:val="0"/>
                      <w:marTop w:val="0"/>
                      <w:marBottom w:val="0"/>
                      <w:divBdr>
                        <w:top w:val="none" w:sz="0" w:space="0" w:color="auto"/>
                        <w:left w:val="none" w:sz="0" w:space="0" w:color="auto"/>
                        <w:bottom w:val="none" w:sz="0" w:space="0" w:color="auto"/>
                        <w:right w:val="none" w:sz="0" w:space="0" w:color="auto"/>
                      </w:divBdr>
                      <w:divsChild>
                        <w:div w:id="2005929987">
                          <w:marLeft w:val="0"/>
                          <w:marRight w:val="0"/>
                          <w:marTop w:val="0"/>
                          <w:marBottom w:val="0"/>
                          <w:divBdr>
                            <w:top w:val="none" w:sz="0" w:space="0" w:color="auto"/>
                            <w:left w:val="none" w:sz="0" w:space="0" w:color="auto"/>
                            <w:bottom w:val="none" w:sz="0" w:space="0" w:color="auto"/>
                            <w:right w:val="none" w:sz="0" w:space="0" w:color="auto"/>
                          </w:divBdr>
                          <w:divsChild>
                            <w:div w:id="186489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4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548775">
          <w:marLeft w:val="0"/>
          <w:marRight w:val="0"/>
          <w:marTop w:val="0"/>
          <w:marBottom w:val="0"/>
          <w:divBdr>
            <w:top w:val="none" w:sz="0" w:space="0" w:color="auto"/>
            <w:left w:val="none" w:sz="0" w:space="0" w:color="auto"/>
            <w:bottom w:val="none" w:sz="0" w:space="0" w:color="auto"/>
            <w:right w:val="none" w:sz="0" w:space="0" w:color="auto"/>
          </w:divBdr>
          <w:divsChild>
            <w:div w:id="65425648">
              <w:marLeft w:val="0"/>
              <w:marRight w:val="0"/>
              <w:marTop w:val="0"/>
              <w:marBottom w:val="0"/>
              <w:divBdr>
                <w:top w:val="none" w:sz="0" w:space="0" w:color="auto"/>
                <w:left w:val="none" w:sz="0" w:space="0" w:color="auto"/>
                <w:bottom w:val="none" w:sz="0" w:space="0" w:color="auto"/>
                <w:right w:val="none" w:sz="0" w:space="0" w:color="auto"/>
              </w:divBdr>
              <w:divsChild>
                <w:div w:id="78554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210416">
      <w:bodyDiv w:val="1"/>
      <w:marLeft w:val="0"/>
      <w:marRight w:val="0"/>
      <w:marTop w:val="0"/>
      <w:marBottom w:val="0"/>
      <w:divBdr>
        <w:top w:val="none" w:sz="0" w:space="0" w:color="auto"/>
        <w:left w:val="none" w:sz="0" w:space="0" w:color="auto"/>
        <w:bottom w:val="none" w:sz="0" w:space="0" w:color="auto"/>
        <w:right w:val="none" w:sz="0" w:space="0" w:color="auto"/>
      </w:divBdr>
    </w:div>
    <w:div w:id="684984452">
      <w:bodyDiv w:val="1"/>
      <w:marLeft w:val="0"/>
      <w:marRight w:val="0"/>
      <w:marTop w:val="0"/>
      <w:marBottom w:val="0"/>
      <w:divBdr>
        <w:top w:val="none" w:sz="0" w:space="0" w:color="auto"/>
        <w:left w:val="none" w:sz="0" w:space="0" w:color="auto"/>
        <w:bottom w:val="none" w:sz="0" w:space="0" w:color="auto"/>
        <w:right w:val="none" w:sz="0" w:space="0" w:color="auto"/>
      </w:divBdr>
    </w:div>
    <w:div w:id="686102760">
      <w:bodyDiv w:val="1"/>
      <w:marLeft w:val="0"/>
      <w:marRight w:val="0"/>
      <w:marTop w:val="0"/>
      <w:marBottom w:val="0"/>
      <w:divBdr>
        <w:top w:val="none" w:sz="0" w:space="0" w:color="auto"/>
        <w:left w:val="none" w:sz="0" w:space="0" w:color="auto"/>
        <w:bottom w:val="none" w:sz="0" w:space="0" w:color="auto"/>
        <w:right w:val="none" w:sz="0" w:space="0" w:color="auto"/>
      </w:divBdr>
    </w:div>
    <w:div w:id="688918896">
      <w:bodyDiv w:val="1"/>
      <w:marLeft w:val="0"/>
      <w:marRight w:val="0"/>
      <w:marTop w:val="0"/>
      <w:marBottom w:val="0"/>
      <w:divBdr>
        <w:top w:val="none" w:sz="0" w:space="0" w:color="auto"/>
        <w:left w:val="none" w:sz="0" w:space="0" w:color="auto"/>
        <w:bottom w:val="none" w:sz="0" w:space="0" w:color="auto"/>
        <w:right w:val="none" w:sz="0" w:space="0" w:color="auto"/>
      </w:divBdr>
    </w:div>
    <w:div w:id="689456785">
      <w:bodyDiv w:val="1"/>
      <w:marLeft w:val="0"/>
      <w:marRight w:val="0"/>
      <w:marTop w:val="0"/>
      <w:marBottom w:val="0"/>
      <w:divBdr>
        <w:top w:val="none" w:sz="0" w:space="0" w:color="auto"/>
        <w:left w:val="none" w:sz="0" w:space="0" w:color="auto"/>
        <w:bottom w:val="none" w:sz="0" w:space="0" w:color="auto"/>
        <w:right w:val="none" w:sz="0" w:space="0" w:color="auto"/>
      </w:divBdr>
    </w:div>
    <w:div w:id="691150273">
      <w:bodyDiv w:val="1"/>
      <w:marLeft w:val="0"/>
      <w:marRight w:val="0"/>
      <w:marTop w:val="0"/>
      <w:marBottom w:val="0"/>
      <w:divBdr>
        <w:top w:val="none" w:sz="0" w:space="0" w:color="auto"/>
        <w:left w:val="none" w:sz="0" w:space="0" w:color="auto"/>
        <w:bottom w:val="none" w:sz="0" w:space="0" w:color="auto"/>
        <w:right w:val="none" w:sz="0" w:space="0" w:color="auto"/>
      </w:divBdr>
    </w:div>
    <w:div w:id="694041555">
      <w:bodyDiv w:val="1"/>
      <w:marLeft w:val="0"/>
      <w:marRight w:val="0"/>
      <w:marTop w:val="0"/>
      <w:marBottom w:val="0"/>
      <w:divBdr>
        <w:top w:val="none" w:sz="0" w:space="0" w:color="auto"/>
        <w:left w:val="none" w:sz="0" w:space="0" w:color="auto"/>
        <w:bottom w:val="none" w:sz="0" w:space="0" w:color="auto"/>
        <w:right w:val="none" w:sz="0" w:space="0" w:color="auto"/>
      </w:divBdr>
    </w:div>
    <w:div w:id="696852163">
      <w:bodyDiv w:val="1"/>
      <w:marLeft w:val="0"/>
      <w:marRight w:val="0"/>
      <w:marTop w:val="0"/>
      <w:marBottom w:val="0"/>
      <w:divBdr>
        <w:top w:val="none" w:sz="0" w:space="0" w:color="auto"/>
        <w:left w:val="none" w:sz="0" w:space="0" w:color="auto"/>
        <w:bottom w:val="none" w:sz="0" w:space="0" w:color="auto"/>
        <w:right w:val="none" w:sz="0" w:space="0" w:color="auto"/>
      </w:divBdr>
    </w:div>
    <w:div w:id="697435887">
      <w:bodyDiv w:val="1"/>
      <w:marLeft w:val="0"/>
      <w:marRight w:val="0"/>
      <w:marTop w:val="0"/>
      <w:marBottom w:val="0"/>
      <w:divBdr>
        <w:top w:val="none" w:sz="0" w:space="0" w:color="auto"/>
        <w:left w:val="none" w:sz="0" w:space="0" w:color="auto"/>
        <w:bottom w:val="none" w:sz="0" w:space="0" w:color="auto"/>
        <w:right w:val="none" w:sz="0" w:space="0" w:color="auto"/>
      </w:divBdr>
    </w:div>
    <w:div w:id="699741104">
      <w:bodyDiv w:val="1"/>
      <w:marLeft w:val="0"/>
      <w:marRight w:val="0"/>
      <w:marTop w:val="0"/>
      <w:marBottom w:val="0"/>
      <w:divBdr>
        <w:top w:val="none" w:sz="0" w:space="0" w:color="auto"/>
        <w:left w:val="none" w:sz="0" w:space="0" w:color="auto"/>
        <w:bottom w:val="none" w:sz="0" w:space="0" w:color="auto"/>
        <w:right w:val="none" w:sz="0" w:space="0" w:color="auto"/>
      </w:divBdr>
      <w:divsChild>
        <w:div w:id="1938057745">
          <w:marLeft w:val="0"/>
          <w:marRight w:val="0"/>
          <w:marTop w:val="0"/>
          <w:marBottom w:val="0"/>
          <w:divBdr>
            <w:top w:val="none" w:sz="0" w:space="0" w:color="auto"/>
            <w:left w:val="none" w:sz="0" w:space="0" w:color="auto"/>
            <w:bottom w:val="none" w:sz="0" w:space="0" w:color="auto"/>
            <w:right w:val="none" w:sz="0" w:space="0" w:color="auto"/>
          </w:divBdr>
          <w:divsChild>
            <w:div w:id="638078220">
              <w:marLeft w:val="0"/>
              <w:marRight w:val="0"/>
              <w:marTop w:val="0"/>
              <w:marBottom w:val="0"/>
              <w:divBdr>
                <w:top w:val="none" w:sz="0" w:space="0" w:color="auto"/>
                <w:left w:val="none" w:sz="0" w:space="0" w:color="auto"/>
                <w:bottom w:val="none" w:sz="0" w:space="0" w:color="auto"/>
                <w:right w:val="none" w:sz="0" w:space="0" w:color="auto"/>
              </w:divBdr>
              <w:divsChild>
                <w:div w:id="220211050">
                  <w:marLeft w:val="0"/>
                  <w:marRight w:val="0"/>
                  <w:marTop w:val="0"/>
                  <w:marBottom w:val="0"/>
                  <w:divBdr>
                    <w:top w:val="none" w:sz="0" w:space="0" w:color="auto"/>
                    <w:left w:val="none" w:sz="0" w:space="0" w:color="auto"/>
                    <w:bottom w:val="none" w:sz="0" w:space="0" w:color="auto"/>
                    <w:right w:val="none" w:sz="0" w:space="0" w:color="auto"/>
                  </w:divBdr>
                  <w:divsChild>
                    <w:div w:id="1165172892">
                      <w:marLeft w:val="0"/>
                      <w:marRight w:val="0"/>
                      <w:marTop w:val="0"/>
                      <w:marBottom w:val="0"/>
                      <w:divBdr>
                        <w:top w:val="none" w:sz="0" w:space="0" w:color="auto"/>
                        <w:left w:val="none" w:sz="0" w:space="0" w:color="auto"/>
                        <w:bottom w:val="none" w:sz="0" w:space="0" w:color="auto"/>
                        <w:right w:val="none" w:sz="0" w:space="0" w:color="auto"/>
                      </w:divBdr>
                      <w:divsChild>
                        <w:div w:id="872621254">
                          <w:marLeft w:val="0"/>
                          <w:marRight w:val="0"/>
                          <w:marTop w:val="0"/>
                          <w:marBottom w:val="0"/>
                          <w:divBdr>
                            <w:top w:val="none" w:sz="0" w:space="0" w:color="auto"/>
                            <w:left w:val="none" w:sz="0" w:space="0" w:color="auto"/>
                            <w:bottom w:val="none" w:sz="0" w:space="0" w:color="auto"/>
                            <w:right w:val="none" w:sz="0" w:space="0" w:color="auto"/>
                          </w:divBdr>
                          <w:divsChild>
                            <w:div w:id="123273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169490">
      <w:bodyDiv w:val="1"/>
      <w:marLeft w:val="0"/>
      <w:marRight w:val="0"/>
      <w:marTop w:val="0"/>
      <w:marBottom w:val="0"/>
      <w:divBdr>
        <w:top w:val="none" w:sz="0" w:space="0" w:color="auto"/>
        <w:left w:val="none" w:sz="0" w:space="0" w:color="auto"/>
        <w:bottom w:val="none" w:sz="0" w:space="0" w:color="auto"/>
        <w:right w:val="none" w:sz="0" w:space="0" w:color="auto"/>
      </w:divBdr>
      <w:divsChild>
        <w:div w:id="406460999">
          <w:marLeft w:val="0"/>
          <w:marRight w:val="0"/>
          <w:marTop w:val="0"/>
          <w:marBottom w:val="0"/>
          <w:divBdr>
            <w:top w:val="none" w:sz="0" w:space="0" w:color="auto"/>
            <w:left w:val="none" w:sz="0" w:space="0" w:color="auto"/>
            <w:bottom w:val="none" w:sz="0" w:space="0" w:color="auto"/>
            <w:right w:val="none" w:sz="0" w:space="0" w:color="auto"/>
          </w:divBdr>
          <w:divsChild>
            <w:div w:id="1440829059">
              <w:marLeft w:val="0"/>
              <w:marRight w:val="0"/>
              <w:marTop w:val="0"/>
              <w:marBottom w:val="0"/>
              <w:divBdr>
                <w:top w:val="none" w:sz="0" w:space="0" w:color="auto"/>
                <w:left w:val="none" w:sz="0" w:space="0" w:color="auto"/>
                <w:bottom w:val="none" w:sz="0" w:space="0" w:color="auto"/>
                <w:right w:val="none" w:sz="0" w:space="0" w:color="auto"/>
              </w:divBdr>
              <w:divsChild>
                <w:div w:id="1267884091">
                  <w:marLeft w:val="0"/>
                  <w:marRight w:val="0"/>
                  <w:marTop w:val="0"/>
                  <w:marBottom w:val="0"/>
                  <w:divBdr>
                    <w:top w:val="none" w:sz="0" w:space="0" w:color="auto"/>
                    <w:left w:val="none" w:sz="0" w:space="0" w:color="auto"/>
                    <w:bottom w:val="none" w:sz="0" w:space="0" w:color="auto"/>
                    <w:right w:val="none" w:sz="0" w:space="0" w:color="auto"/>
                  </w:divBdr>
                  <w:divsChild>
                    <w:div w:id="366833544">
                      <w:marLeft w:val="0"/>
                      <w:marRight w:val="0"/>
                      <w:marTop w:val="525"/>
                      <w:marBottom w:val="0"/>
                      <w:divBdr>
                        <w:top w:val="none" w:sz="0" w:space="0" w:color="auto"/>
                        <w:left w:val="none" w:sz="0" w:space="0" w:color="auto"/>
                        <w:bottom w:val="none" w:sz="0" w:space="0" w:color="auto"/>
                        <w:right w:val="none" w:sz="0" w:space="0" w:color="auto"/>
                      </w:divBdr>
                      <w:divsChild>
                        <w:div w:id="1115750454">
                          <w:marLeft w:val="0"/>
                          <w:marRight w:val="0"/>
                          <w:marTop w:val="0"/>
                          <w:marBottom w:val="0"/>
                          <w:divBdr>
                            <w:top w:val="single" w:sz="6" w:space="0" w:color="DDDDDD"/>
                            <w:left w:val="none" w:sz="0" w:space="0" w:color="auto"/>
                            <w:bottom w:val="none" w:sz="0" w:space="0" w:color="auto"/>
                            <w:right w:val="none" w:sz="0" w:space="0" w:color="auto"/>
                          </w:divBdr>
                        </w:div>
                      </w:divsChild>
                    </w:div>
                  </w:divsChild>
                </w:div>
              </w:divsChild>
            </w:div>
          </w:divsChild>
        </w:div>
      </w:divsChild>
    </w:div>
    <w:div w:id="704670928">
      <w:bodyDiv w:val="1"/>
      <w:marLeft w:val="0"/>
      <w:marRight w:val="0"/>
      <w:marTop w:val="0"/>
      <w:marBottom w:val="0"/>
      <w:divBdr>
        <w:top w:val="none" w:sz="0" w:space="0" w:color="auto"/>
        <w:left w:val="none" w:sz="0" w:space="0" w:color="auto"/>
        <w:bottom w:val="none" w:sz="0" w:space="0" w:color="auto"/>
        <w:right w:val="none" w:sz="0" w:space="0" w:color="auto"/>
      </w:divBdr>
    </w:div>
    <w:div w:id="705183231">
      <w:bodyDiv w:val="1"/>
      <w:marLeft w:val="0"/>
      <w:marRight w:val="0"/>
      <w:marTop w:val="0"/>
      <w:marBottom w:val="0"/>
      <w:divBdr>
        <w:top w:val="none" w:sz="0" w:space="0" w:color="auto"/>
        <w:left w:val="none" w:sz="0" w:space="0" w:color="auto"/>
        <w:bottom w:val="none" w:sz="0" w:space="0" w:color="auto"/>
        <w:right w:val="none" w:sz="0" w:space="0" w:color="auto"/>
      </w:divBdr>
    </w:div>
    <w:div w:id="707264995">
      <w:bodyDiv w:val="1"/>
      <w:marLeft w:val="0"/>
      <w:marRight w:val="0"/>
      <w:marTop w:val="0"/>
      <w:marBottom w:val="0"/>
      <w:divBdr>
        <w:top w:val="none" w:sz="0" w:space="0" w:color="auto"/>
        <w:left w:val="none" w:sz="0" w:space="0" w:color="auto"/>
        <w:bottom w:val="none" w:sz="0" w:space="0" w:color="auto"/>
        <w:right w:val="none" w:sz="0" w:space="0" w:color="auto"/>
      </w:divBdr>
    </w:div>
    <w:div w:id="708073586">
      <w:bodyDiv w:val="1"/>
      <w:marLeft w:val="0"/>
      <w:marRight w:val="0"/>
      <w:marTop w:val="0"/>
      <w:marBottom w:val="0"/>
      <w:divBdr>
        <w:top w:val="none" w:sz="0" w:space="0" w:color="auto"/>
        <w:left w:val="none" w:sz="0" w:space="0" w:color="auto"/>
        <w:bottom w:val="none" w:sz="0" w:space="0" w:color="auto"/>
        <w:right w:val="none" w:sz="0" w:space="0" w:color="auto"/>
      </w:divBdr>
    </w:div>
    <w:div w:id="708993699">
      <w:bodyDiv w:val="1"/>
      <w:marLeft w:val="0"/>
      <w:marRight w:val="0"/>
      <w:marTop w:val="0"/>
      <w:marBottom w:val="0"/>
      <w:divBdr>
        <w:top w:val="none" w:sz="0" w:space="0" w:color="auto"/>
        <w:left w:val="none" w:sz="0" w:space="0" w:color="auto"/>
        <w:bottom w:val="none" w:sz="0" w:space="0" w:color="auto"/>
        <w:right w:val="none" w:sz="0" w:space="0" w:color="auto"/>
      </w:divBdr>
    </w:div>
    <w:div w:id="709382819">
      <w:bodyDiv w:val="1"/>
      <w:marLeft w:val="0"/>
      <w:marRight w:val="0"/>
      <w:marTop w:val="0"/>
      <w:marBottom w:val="0"/>
      <w:divBdr>
        <w:top w:val="none" w:sz="0" w:space="0" w:color="auto"/>
        <w:left w:val="none" w:sz="0" w:space="0" w:color="auto"/>
        <w:bottom w:val="none" w:sz="0" w:space="0" w:color="auto"/>
        <w:right w:val="none" w:sz="0" w:space="0" w:color="auto"/>
      </w:divBdr>
    </w:div>
    <w:div w:id="711534474">
      <w:bodyDiv w:val="1"/>
      <w:marLeft w:val="0"/>
      <w:marRight w:val="0"/>
      <w:marTop w:val="0"/>
      <w:marBottom w:val="0"/>
      <w:divBdr>
        <w:top w:val="none" w:sz="0" w:space="0" w:color="auto"/>
        <w:left w:val="none" w:sz="0" w:space="0" w:color="auto"/>
        <w:bottom w:val="none" w:sz="0" w:space="0" w:color="auto"/>
        <w:right w:val="none" w:sz="0" w:space="0" w:color="auto"/>
      </w:divBdr>
    </w:div>
    <w:div w:id="715350932">
      <w:bodyDiv w:val="1"/>
      <w:marLeft w:val="0"/>
      <w:marRight w:val="0"/>
      <w:marTop w:val="0"/>
      <w:marBottom w:val="0"/>
      <w:divBdr>
        <w:top w:val="none" w:sz="0" w:space="0" w:color="auto"/>
        <w:left w:val="none" w:sz="0" w:space="0" w:color="auto"/>
        <w:bottom w:val="none" w:sz="0" w:space="0" w:color="auto"/>
        <w:right w:val="none" w:sz="0" w:space="0" w:color="auto"/>
      </w:divBdr>
    </w:div>
    <w:div w:id="726076032">
      <w:bodyDiv w:val="1"/>
      <w:marLeft w:val="0"/>
      <w:marRight w:val="0"/>
      <w:marTop w:val="0"/>
      <w:marBottom w:val="0"/>
      <w:divBdr>
        <w:top w:val="none" w:sz="0" w:space="0" w:color="auto"/>
        <w:left w:val="none" w:sz="0" w:space="0" w:color="auto"/>
        <w:bottom w:val="none" w:sz="0" w:space="0" w:color="auto"/>
        <w:right w:val="none" w:sz="0" w:space="0" w:color="auto"/>
      </w:divBdr>
    </w:div>
    <w:div w:id="726300921">
      <w:bodyDiv w:val="1"/>
      <w:marLeft w:val="0"/>
      <w:marRight w:val="0"/>
      <w:marTop w:val="0"/>
      <w:marBottom w:val="0"/>
      <w:divBdr>
        <w:top w:val="none" w:sz="0" w:space="0" w:color="auto"/>
        <w:left w:val="none" w:sz="0" w:space="0" w:color="auto"/>
        <w:bottom w:val="none" w:sz="0" w:space="0" w:color="auto"/>
        <w:right w:val="none" w:sz="0" w:space="0" w:color="auto"/>
      </w:divBdr>
    </w:div>
    <w:div w:id="730034414">
      <w:bodyDiv w:val="1"/>
      <w:marLeft w:val="0"/>
      <w:marRight w:val="0"/>
      <w:marTop w:val="0"/>
      <w:marBottom w:val="0"/>
      <w:divBdr>
        <w:top w:val="none" w:sz="0" w:space="0" w:color="auto"/>
        <w:left w:val="none" w:sz="0" w:space="0" w:color="auto"/>
        <w:bottom w:val="none" w:sz="0" w:space="0" w:color="auto"/>
        <w:right w:val="none" w:sz="0" w:space="0" w:color="auto"/>
      </w:divBdr>
      <w:divsChild>
        <w:div w:id="991637358">
          <w:marLeft w:val="0"/>
          <w:marRight w:val="0"/>
          <w:marTop w:val="0"/>
          <w:marBottom w:val="0"/>
          <w:divBdr>
            <w:top w:val="none" w:sz="0" w:space="0" w:color="auto"/>
            <w:left w:val="none" w:sz="0" w:space="0" w:color="auto"/>
            <w:bottom w:val="none" w:sz="0" w:space="0" w:color="auto"/>
            <w:right w:val="none" w:sz="0" w:space="0" w:color="auto"/>
          </w:divBdr>
          <w:divsChild>
            <w:div w:id="170877366">
              <w:marLeft w:val="0"/>
              <w:marRight w:val="0"/>
              <w:marTop w:val="0"/>
              <w:marBottom w:val="0"/>
              <w:divBdr>
                <w:top w:val="none" w:sz="0" w:space="0" w:color="auto"/>
                <w:left w:val="none" w:sz="0" w:space="0" w:color="auto"/>
                <w:bottom w:val="none" w:sz="0" w:space="0" w:color="auto"/>
                <w:right w:val="none" w:sz="0" w:space="0" w:color="auto"/>
              </w:divBdr>
              <w:divsChild>
                <w:div w:id="594750771">
                  <w:marLeft w:val="0"/>
                  <w:marRight w:val="0"/>
                  <w:marTop w:val="300"/>
                  <w:marBottom w:val="0"/>
                  <w:divBdr>
                    <w:top w:val="single" w:sz="6" w:space="0" w:color="D0D0D0"/>
                    <w:left w:val="none" w:sz="0" w:space="0" w:color="auto"/>
                    <w:bottom w:val="none" w:sz="0" w:space="0" w:color="auto"/>
                    <w:right w:val="none" w:sz="0" w:space="0" w:color="auto"/>
                  </w:divBdr>
                  <w:divsChild>
                    <w:div w:id="421924752">
                      <w:marLeft w:val="0"/>
                      <w:marRight w:val="0"/>
                      <w:marTop w:val="0"/>
                      <w:marBottom w:val="0"/>
                      <w:divBdr>
                        <w:top w:val="none" w:sz="0" w:space="0" w:color="auto"/>
                        <w:left w:val="none" w:sz="0" w:space="0" w:color="auto"/>
                        <w:bottom w:val="none" w:sz="0" w:space="0" w:color="auto"/>
                        <w:right w:val="none" w:sz="0" w:space="0" w:color="auto"/>
                      </w:divBdr>
                      <w:divsChild>
                        <w:div w:id="1834947379">
                          <w:marLeft w:val="0"/>
                          <w:marRight w:val="0"/>
                          <w:marTop w:val="0"/>
                          <w:marBottom w:val="0"/>
                          <w:divBdr>
                            <w:top w:val="none" w:sz="0" w:space="0" w:color="auto"/>
                            <w:left w:val="none" w:sz="0" w:space="0" w:color="auto"/>
                            <w:bottom w:val="none" w:sz="0" w:space="0" w:color="auto"/>
                            <w:right w:val="none" w:sz="0" w:space="0" w:color="auto"/>
                          </w:divBdr>
                          <w:divsChild>
                            <w:div w:id="81835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627407">
      <w:bodyDiv w:val="1"/>
      <w:marLeft w:val="0"/>
      <w:marRight w:val="0"/>
      <w:marTop w:val="0"/>
      <w:marBottom w:val="0"/>
      <w:divBdr>
        <w:top w:val="none" w:sz="0" w:space="0" w:color="auto"/>
        <w:left w:val="none" w:sz="0" w:space="0" w:color="auto"/>
        <w:bottom w:val="none" w:sz="0" w:space="0" w:color="auto"/>
        <w:right w:val="none" w:sz="0" w:space="0" w:color="auto"/>
      </w:divBdr>
    </w:div>
    <w:div w:id="733813899">
      <w:bodyDiv w:val="1"/>
      <w:marLeft w:val="0"/>
      <w:marRight w:val="0"/>
      <w:marTop w:val="0"/>
      <w:marBottom w:val="0"/>
      <w:divBdr>
        <w:top w:val="none" w:sz="0" w:space="0" w:color="auto"/>
        <w:left w:val="none" w:sz="0" w:space="0" w:color="auto"/>
        <w:bottom w:val="none" w:sz="0" w:space="0" w:color="auto"/>
        <w:right w:val="none" w:sz="0" w:space="0" w:color="auto"/>
      </w:divBdr>
    </w:div>
    <w:div w:id="744686226">
      <w:bodyDiv w:val="1"/>
      <w:marLeft w:val="0"/>
      <w:marRight w:val="0"/>
      <w:marTop w:val="0"/>
      <w:marBottom w:val="0"/>
      <w:divBdr>
        <w:top w:val="none" w:sz="0" w:space="0" w:color="auto"/>
        <w:left w:val="none" w:sz="0" w:space="0" w:color="auto"/>
        <w:bottom w:val="none" w:sz="0" w:space="0" w:color="auto"/>
        <w:right w:val="none" w:sz="0" w:space="0" w:color="auto"/>
      </w:divBdr>
    </w:div>
    <w:div w:id="745300740">
      <w:bodyDiv w:val="1"/>
      <w:marLeft w:val="0"/>
      <w:marRight w:val="0"/>
      <w:marTop w:val="0"/>
      <w:marBottom w:val="0"/>
      <w:divBdr>
        <w:top w:val="none" w:sz="0" w:space="0" w:color="auto"/>
        <w:left w:val="none" w:sz="0" w:space="0" w:color="auto"/>
        <w:bottom w:val="none" w:sz="0" w:space="0" w:color="auto"/>
        <w:right w:val="none" w:sz="0" w:space="0" w:color="auto"/>
      </w:divBdr>
    </w:div>
    <w:div w:id="745421306">
      <w:bodyDiv w:val="1"/>
      <w:marLeft w:val="0"/>
      <w:marRight w:val="0"/>
      <w:marTop w:val="0"/>
      <w:marBottom w:val="0"/>
      <w:divBdr>
        <w:top w:val="none" w:sz="0" w:space="0" w:color="auto"/>
        <w:left w:val="none" w:sz="0" w:space="0" w:color="auto"/>
        <w:bottom w:val="none" w:sz="0" w:space="0" w:color="auto"/>
        <w:right w:val="none" w:sz="0" w:space="0" w:color="auto"/>
      </w:divBdr>
    </w:div>
    <w:div w:id="746465056">
      <w:bodyDiv w:val="1"/>
      <w:marLeft w:val="0"/>
      <w:marRight w:val="0"/>
      <w:marTop w:val="0"/>
      <w:marBottom w:val="0"/>
      <w:divBdr>
        <w:top w:val="none" w:sz="0" w:space="0" w:color="auto"/>
        <w:left w:val="none" w:sz="0" w:space="0" w:color="auto"/>
        <w:bottom w:val="none" w:sz="0" w:space="0" w:color="auto"/>
        <w:right w:val="none" w:sz="0" w:space="0" w:color="auto"/>
      </w:divBdr>
    </w:div>
    <w:div w:id="749814601">
      <w:bodyDiv w:val="1"/>
      <w:marLeft w:val="0"/>
      <w:marRight w:val="0"/>
      <w:marTop w:val="0"/>
      <w:marBottom w:val="0"/>
      <w:divBdr>
        <w:top w:val="none" w:sz="0" w:space="0" w:color="auto"/>
        <w:left w:val="none" w:sz="0" w:space="0" w:color="auto"/>
        <w:bottom w:val="none" w:sz="0" w:space="0" w:color="auto"/>
        <w:right w:val="none" w:sz="0" w:space="0" w:color="auto"/>
      </w:divBdr>
    </w:div>
    <w:div w:id="751702584">
      <w:bodyDiv w:val="1"/>
      <w:marLeft w:val="0"/>
      <w:marRight w:val="0"/>
      <w:marTop w:val="0"/>
      <w:marBottom w:val="0"/>
      <w:divBdr>
        <w:top w:val="none" w:sz="0" w:space="0" w:color="auto"/>
        <w:left w:val="none" w:sz="0" w:space="0" w:color="auto"/>
        <w:bottom w:val="none" w:sz="0" w:space="0" w:color="auto"/>
        <w:right w:val="none" w:sz="0" w:space="0" w:color="auto"/>
      </w:divBdr>
    </w:div>
    <w:div w:id="752093820">
      <w:bodyDiv w:val="1"/>
      <w:marLeft w:val="0"/>
      <w:marRight w:val="0"/>
      <w:marTop w:val="0"/>
      <w:marBottom w:val="0"/>
      <w:divBdr>
        <w:top w:val="none" w:sz="0" w:space="0" w:color="auto"/>
        <w:left w:val="none" w:sz="0" w:space="0" w:color="auto"/>
        <w:bottom w:val="none" w:sz="0" w:space="0" w:color="auto"/>
        <w:right w:val="none" w:sz="0" w:space="0" w:color="auto"/>
      </w:divBdr>
    </w:div>
    <w:div w:id="761416067">
      <w:bodyDiv w:val="1"/>
      <w:marLeft w:val="0"/>
      <w:marRight w:val="0"/>
      <w:marTop w:val="0"/>
      <w:marBottom w:val="0"/>
      <w:divBdr>
        <w:top w:val="none" w:sz="0" w:space="0" w:color="auto"/>
        <w:left w:val="none" w:sz="0" w:space="0" w:color="auto"/>
        <w:bottom w:val="none" w:sz="0" w:space="0" w:color="auto"/>
        <w:right w:val="none" w:sz="0" w:space="0" w:color="auto"/>
      </w:divBdr>
    </w:div>
    <w:div w:id="763300625">
      <w:bodyDiv w:val="1"/>
      <w:marLeft w:val="0"/>
      <w:marRight w:val="0"/>
      <w:marTop w:val="0"/>
      <w:marBottom w:val="0"/>
      <w:divBdr>
        <w:top w:val="none" w:sz="0" w:space="0" w:color="auto"/>
        <w:left w:val="none" w:sz="0" w:space="0" w:color="auto"/>
        <w:bottom w:val="none" w:sz="0" w:space="0" w:color="auto"/>
        <w:right w:val="none" w:sz="0" w:space="0" w:color="auto"/>
      </w:divBdr>
    </w:div>
    <w:div w:id="764150025">
      <w:bodyDiv w:val="1"/>
      <w:marLeft w:val="0"/>
      <w:marRight w:val="0"/>
      <w:marTop w:val="0"/>
      <w:marBottom w:val="0"/>
      <w:divBdr>
        <w:top w:val="none" w:sz="0" w:space="0" w:color="auto"/>
        <w:left w:val="none" w:sz="0" w:space="0" w:color="auto"/>
        <w:bottom w:val="none" w:sz="0" w:space="0" w:color="auto"/>
        <w:right w:val="none" w:sz="0" w:space="0" w:color="auto"/>
      </w:divBdr>
    </w:div>
    <w:div w:id="764496246">
      <w:bodyDiv w:val="1"/>
      <w:marLeft w:val="0"/>
      <w:marRight w:val="0"/>
      <w:marTop w:val="0"/>
      <w:marBottom w:val="0"/>
      <w:divBdr>
        <w:top w:val="none" w:sz="0" w:space="0" w:color="auto"/>
        <w:left w:val="none" w:sz="0" w:space="0" w:color="auto"/>
        <w:bottom w:val="none" w:sz="0" w:space="0" w:color="auto"/>
        <w:right w:val="none" w:sz="0" w:space="0" w:color="auto"/>
      </w:divBdr>
    </w:div>
    <w:div w:id="764958328">
      <w:bodyDiv w:val="1"/>
      <w:marLeft w:val="0"/>
      <w:marRight w:val="0"/>
      <w:marTop w:val="0"/>
      <w:marBottom w:val="0"/>
      <w:divBdr>
        <w:top w:val="none" w:sz="0" w:space="0" w:color="auto"/>
        <w:left w:val="none" w:sz="0" w:space="0" w:color="auto"/>
        <w:bottom w:val="none" w:sz="0" w:space="0" w:color="auto"/>
        <w:right w:val="none" w:sz="0" w:space="0" w:color="auto"/>
      </w:divBdr>
    </w:div>
    <w:div w:id="766465650">
      <w:bodyDiv w:val="1"/>
      <w:marLeft w:val="0"/>
      <w:marRight w:val="0"/>
      <w:marTop w:val="0"/>
      <w:marBottom w:val="0"/>
      <w:divBdr>
        <w:top w:val="none" w:sz="0" w:space="0" w:color="auto"/>
        <w:left w:val="none" w:sz="0" w:space="0" w:color="auto"/>
        <w:bottom w:val="none" w:sz="0" w:space="0" w:color="auto"/>
        <w:right w:val="none" w:sz="0" w:space="0" w:color="auto"/>
      </w:divBdr>
    </w:div>
    <w:div w:id="770004981">
      <w:bodyDiv w:val="1"/>
      <w:marLeft w:val="0"/>
      <w:marRight w:val="0"/>
      <w:marTop w:val="0"/>
      <w:marBottom w:val="0"/>
      <w:divBdr>
        <w:top w:val="none" w:sz="0" w:space="0" w:color="auto"/>
        <w:left w:val="none" w:sz="0" w:space="0" w:color="auto"/>
        <w:bottom w:val="none" w:sz="0" w:space="0" w:color="auto"/>
        <w:right w:val="none" w:sz="0" w:space="0" w:color="auto"/>
      </w:divBdr>
    </w:div>
    <w:div w:id="772549490">
      <w:bodyDiv w:val="1"/>
      <w:marLeft w:val="0"/>
      <w:marRight w:val="0"/>
      <w:marTop w:val="0"/>
      <w:marBottom w:val="0"/>
      <w:divBdr>
        <w:top w:val="none" w:sz="0" w:space="0" w:color="auto"/>
        <w:left w:val="none" w:sz="0" w:space="0" w:color="auto"/>
        <w:bottom w:val="none" w:sz="0" w:space="0" w:color="auto"/>
        <w:right w:val="none" w:sz="0" w:space="0" w:color="auto"/>
      </w:divBdr>
    </w:div>
    <w:div w:id="774864290">
      <w:bodyDiv w:val="1"/>
      <w:marLeft w:val="0"/>
      <w:marRight w:val="0"/>
      <w:marTop w:val="0"/>
      <w:marBottom w:val="0"/>
      <w:divBdr>
        <w:top w:val="none" w:sz="0" w:space="0" w:color="auto"/>
        <w:left w:val="none" w:sz="0" w:space="0" w:color="auto"/>
        <w:bottom w:val="none" w:sz="0" w:space="0" w:color="auto"/>
        <w:right w:val="none" w:sz="0" w:space="0" w:color="auto"/>
      </w:divBdr>
    </w:div>
    <w:div w:id="775171183">
      <w:bodyDiv w:val="1"/>
      <w:marLeft w:val="0"/>
      <w:marRight w:val="0"/>
      <w:marTop w:val="0"/>
      <w:marBottom w:val="0"/>
      <w:divBdr>
        <w:top w:val="none" w:sz="0" w:space="0" w:color="auto"/>
        <w:left w:val="none" w:sz="0" w:space="0" w:color="auto"/>
        <w:bottom w:val="none" w:sz="0" w:space="0" w:color="auto"/>
        <w:right w:val="none" w:sz="0" w:space="0" w:color="auto"/>
      </w:divBdr>
    </w:div>
    <w:div w:id="777141408">
      <w:bodyDiv w:val="1"/>
      <w:marLeft w:val="0"/>
      <w:marRight w:val="0"/>
      <w:marTop w:val="0"/>
      <w:marBottom w:val="0"/>
      <w:divBdr>
        <w:top w:val="none" w:sz="0" w:space="0" w:color="auto"/>
        <w:left w:val="none" w:sz="0" w:space="0" w:color="auto"/>
        <w:bottom w:val="none" w:sz="0" w:space="0" w:color="auto"/>
        <w:right w:val="none" w:sz="0" w:space="0" w:color="auto"/>
      </w:divBdr>
    </w:div>
    <w:div w:id="777869944">
      <w:bodyDiv w:val="1"/>
      <w:marLeft w:val="0"/>
      <w:marRight w:val="0"/>
      <w:marTop w:val="0"/>
      <w:marBottom w:val="0"/>
      <w:divBdr>
        <w:top w:val="none" w:sz="0" w:space="0" w:color="auto"/>
        <w:left w:val="none" w:sz="0" w:space="0" w:color="auto"/>
        <w:bottom w:val="none" w:sz="0" w:space="0" w:color="auto"/>
        <w:right w:val="none" w:sz="0" w:space="0" w:color="auto"/>
      </w:divBdr>
    </w:div>
    <w:div w:id="778911826">
      <w:bodyDiv w:val="1"/>
      <w:marLeft w:val="0"/>
      <w:marRight w:val="0"/>
      <w:marTop w:val="0"/>
      <w:marBottom w:val="0"/>
      <w:divBdr>
        <w:top w:val="none" w:sz="0" w:space="0" w:color="auto"/>
        <w:left w:val="none" w:sz="0" w:space="0" w:color="auto"/>
        <w:bottom w:val="none" w:sz="0" w:space="0" w:color="auto"/>
        <w:right w:val="none" w:sz="0" w:space="0" w:color="auto"/>
      </w:divBdr>
      <w:divsChild>
        <w:div w:id="1378117914">
          <w:marLeft w:val="0"/>
          <w:marRight w:val="0"/>
          <w:marTop w:val="0"/>
          <w:marBottom w:val="0"/>
          <w:divBdr>
            <w:top w:val="none" w:sz="0" w:space="0" w:color="auto"/>
            <w:left w:val="none" w:sz="0" w:space="0" w:color="auto"/>
            <w:bottom w:val="none" w:sz="0" w:space="0" w:color="auto"/>
            <w:right w:val="none" w:sz="0" w:space="0" w:color="auto"/>
          </w:divBdr>
        </w:div>
      </w:divsChild>
    </w:div>
    <w:div w:id="782071719">
      <w:bodyDiv w:val="1"/>
      <w:marLeft w:val="0"/>
      <w:marRight w:val="0"/>
      <w:marTop w:val="0"/>
      <w:marBottom w:val="0"/>
      <w:divBdr>
        <w:top w:val="none" w:sz="0" w:space="0" w:color="auto"/>
        <w:left w:val="none" w:sz="0" w:space="0" w:color="auto"/>
        <w:bottom w:val="none" w:sz="0" w:space="0" w:color="auto"/>
        <w:right w:val="none" w:sz="0" w:space="0" w:color="auto"/>
      </w:divBdr>
    </w:div>
    <w:div w:id="783964561">
      <w:bodyDiv w:val="1"/>
      <w:marLeft w:val="0"/>
      <w:marRight w:val="0"/>
      <w:marTop w:val="0"/>
      <w:marBottom w:val="0"/>
      <w:divBdr>
        <w:top w:val="none" w:sz="0" w:space="0" w:color="auto"/>
        <w:left w:val="none" w:sz="0" w:space="0" w:color="auto"/>
        <w:bottom w:val="none" w:sz="0" w:space="0" w:color="auto"/>
        <w:right w:val="none" w:sz="0" w:space="0" w:color="auto"/>
      </w:divBdr>
    </w:div>
    <w:div w:id="787286388">
      <w:bodyDiv w:val="1"/>
      <w:marLeft w:val="0"/>
      <w:marRight w:val="0"/>
      <w:marTop w:val="0"/>
      <w:marBottom w:val="0"/>
      <w:divBdr>
        <w:top w:val="none" w:sz="0" w:space="0" w:color="auto"/>
        <w:left w:val="none" w:sz="0" w:space="0" w:color="auto"/>
        <w:bottom w:val="none" w:sz="0" w:space="0" w:color="auto"/>
        <w:right w:val="none" w:sz="0" w:space="0" w:color="auto"/>
      </w:divBdr>
    </w:div>
    <w:div w:id="787747845">
      <w:bodyDiv w:val="1"/>
      <w:marLeft w:val="0"/>
      <w:marRight w:val="0"/>
      <w:marTop w:val="0"/>
      <w:marBottom w:val="0"/>
      <w:divBdr>
        <w:top w:val="none" w:sz="0" w:space="0" w:color="auto"/>
        <w:left w:val="none" w:sz="0" w:space="0" w:color="auto"/>
        <w:bottom w:val="none" w:sz="0" w:space="0" w:color="auto"/>
        <w:right w:val="none" w:sz="0" w:space="0" w:color="auto"/>
      </w:divBdr>
    </w:div>
    <w:div w:id="793210665">
      <w:bodyDiv w:val="1"/>
      <w:marLeft w:val="0"/>
      <w:marRight w:val="0"/>
      <w:marTop w:val="0"/>
      <w:marBottom w:val="0"/>
      <w:divBdr>
        <w:top w:val="none" w:sz="0" w:space="0" w:color="auto"/>
        <w:left w:val="none" w:sz="0" w:space="0" w:color="auto"/>
        <w:bottom w:val="none" w:sz="0" w:space="0" w:color="auto"/>
        <w:right w:val="none" w:sz="0" w:space="0" w:color="auto"/>
      </w:divBdr>
    </w:div>
    <w:div w:id="793406414">
      <w:bodyDiv w:val="1"/>
      <w:marLeft w:val="0"/>
      <w:marRight w:val="0"/>
      <w:marTop w:val="0"/>
      <w:marBottom w:val="0"/>
      <w:divBdr>
        <w:top w:val="none" w:sz="0" w:space="0" w:color="auto"/>
        <w:left w:val="none" w:sz="0" w:space="0" w:color="auto"/>
        <w:bottom w:val="none" w:sz="0" w:space="0" w:color="auto"/>
        <w:right w:val="none" w:sz="0" w:space="0" w:color="auto"/>
      </w:divBdr>
    </w:div>
    <w:div w:id="794715973">
      <w:bodyDiv w:val="1"/>
      <w:marLeft w:val="0"/>
      <w:marRight w:val="0"/>
      <w:marTop w:val="0"/>
      <w:marBottom w:val="0"/>
      <w:divBdr>
        <w:top w:val="none" w:sz="0" w:space="0" w:color="auto"/>
        <w:left w:val="none" w:sz="0" w:space="0" w:color="auto"/>
        <w:bottom w:val="none" w:sz="0" w:space="0" w:color="auto"/>
        <w:right w:val="none" w:sz="0" w:space="0" w:color="auto"/>
      </w:divBdr>
    </w:div>
    <w:div w:id="797336274">
      <w:bodyDiv w:val="1"/>
      <w:marLeft w:val="0"/>
      <w:marRight w:val="0"/>
      <w:marTop w:val="0"/>
      <w:marBottom w:val="0"/>
      <w:divBdr>
        <w:top w:val="none" w:sz="0" w:space="0" w:color="auto"/>
        <w:left w:val="none" w:sz="0" w:space="0" w:color="auto"/>
        <w:bottom w:val="none" w:sz="0" w:space="0" w:color="auto"/>
        <w:right w:val="none" w:sz="0" w:space="0" w:color="auto"/>
      </w:divBdr>
      <w:divsChild>
        <w:div w:id="272565016">
          <w:marLeft w:val="0"/>
          <w:marRight w:val="0"/>
          <w:marTop w:val="0"/>
          <w:marBottom w:val="0"/>
          <w:divBdr>
            <w:top w:val="none" w:sz="0" w:space="0" w:color="auto"/>
            <w:left w:val="none" w:sz="0" w:space="0" w:color="auto"/>
            <w:bottom w:val="none" w:sz="0" w:space="0" w:color="auto"/>
            <w:right w:val="none" w:sz="0" w:space="0" w:color="auto"/>
          </w:divBdr>
        </w:div>
      </w:divsChild>
    </w:div>
    <w:div w:id="799035447">
      <w:bodyDiv w:val="1"/>
      <w:marLeft w:val="0"/>
      <w:marRight w:val="0"/>
      <w:marTop w:val="0"/>
      <w:marBottom w:val="0"/>
      <w:divBdr>
        <w:top w:val="none" w:sz="0" w:space="0" w:color="auto"/>
        <w:left w:val="none" w:sz="0" w:space="0" w:color="auto"/>
        <w:bottom w:val="none" w:sz="0" w:space="0" w:color="auto"/>
        <w:right w:val="none" w:sz="0" w:space="0" w:color="auto"/>
      </w:divBdr>
    </w:div>
    <w:div w:id="807011467">
      <w:bodyDiv w:val="1"/>
      <w:marLeft w:val="0"/>
      <w:marRight w:val="0"/>
      <w:marTop w:val="0"/>
      <w:marBottom w:val="0"/>
      <w:divBdr>
        <w:top w:val="none" w:sz="0" w:space="0" w:color="auto"/>
        <w:left w:val="none" w:sz="0" w:space="0" w:color="auto"/>
        <w:bottom w:val="none" w:sz="0" w:space="0" w:color="auto"/>
        <w:right w:val="none" w:sz="0" w:space="0" w:color="auto"/>
      </w:divBdr>
    </w:div>
    <w:div w:id="810319421">
      <w:bodyDiv w:val="1"/>
      <w:marLeft w:val="0"/>
      <w:marRight w:val="0"/>
      <w:marTop w:val="0"/>
      <w:marBottom w:val="0"/>
      <w:divBdr>
        <w:top w:val="none" w:sz="0" w:space="0" w:color="auto"/>
        <w:left w:val="none" w:sz="0" w:space="0" w:color="auto"/>
        <w:bottom w:val="none" w:sz="0" w:space="0" w:color="auto"/>
        <w:right w:val="none" w:sz="0" w:space="0" w:color="auto"/>
      </w:divBdr>
    </w:div>
    <w:div w:id="814638532">
      <w:bodyDiv w:val="1"/>
      <w:marLeft w:val="0"/>
      <w:marRight w:val="0"/>
      <w:marTop w:val="0"/>
      <w:marBottom w:val="0"/>
      <w:divBdr>
        <w:top w:val="none" w:sz="0" w:space="0" w:color="auto"/>
        <w:left w:val="none" w:sz="0" w:space="0" w:color="auto"/>
        <w:bottom w:val="none" w:sz="0" w:space="0" w:color="auto"/>
        <w:right w:val="none" w:sz="0" w:space="0" w:color="auto"/>
      </w:divBdr>
    </w:div>
    <w:div w:id="817578648">
      <w:bodyDiv w:val="1"/>
      <w:marLeft w:val="0"/>
      <w:marRight w:val="0"/>
      <w:marTop w:val="0"/>
      <w:marBottom w:val="0"/>
      <w:divBdr>
        <w:top w:val="none" w:sz="0" w:space="0" w:color="auto"/>
        <w:left w:val="none" w:sz="0" w:space="0" w:color="auto"/>
        <w:bottom w:val="none" w:sz="0" w:space="0" w:color="auto"/>
        <w:right w:val="none" w:sz="0" w:space="0" w:color="auto"/>
      </w:divBdr>
    </w:div>
    <w:div w:id="819158451">
      <w:bodyDiv w:val="1"/>
      <w:marLeft w:val="0"/>
      <w:marRight w:val="0"/>
      <w:marTop w:val="0"/>
      <w:marBottom w:val="0"/>
      <w:divBdr>
        <w:top w:val="none" w:sz="0" w:space="0" w:color="auto"/>
        <w:left w:val="none" w:sz="0" w:space="0" w:color="auto"/>
        <w:bottom w:val="none" w:sz="0" w:space="0" w:color="auto"/>
        <w:right w:val="none" w:sz="0" w:space="0" w:color="auto"/>
      </w:divBdr>
    </w:div>
    <w:div w:id="819227740">
      <w:bodyDiv w:val="1"/>
      <w:marLeft w:val="0"/>
      <w:marRight w:val="0"/>
      <w:marTop w:val="0"/>
      <w:marBottom w:val="0"/>
      <w:divBdr>
        <w:top w:val="none" w:sz="0" w:space="0" w:color="auto"/>
        <w:left w:val="none" w:sz="0" w:space="0" w:color="auto"/>
        <w:bottom w:val="none" w:sz="0" w:space="0" w:color="auto"/>
        <w:right w:val="none" w:sz="0" w:space="0" w:color="auto"/>
      </w:divBdr>
    </w:div>
    <w:div w:id="820076679">
      <w:bodyDiv w:val="1"/>
      <w:marLeft w:val="0"/>
      <w:marRight w:val="0"/>
      <w:marTop w:val="0"/>
      <w:marBottom w:val="0"/>
      <w:divBdr>
        <w:top w:val="none" w:sz="0" w:space="0" w:color="auto"/>
        <w:left w:val="none" w:sz="0" w:space="0" w:color="auto"/>
        <w:bottom w:val="none" w:sz="0" w:space="0" w:color="auto"/>
        <w:right w:val="none" w:sz="0" w:space="0" w:color="auto"/>
      </w:divBdr>
    </w:div>
    <w:div w:id="820659565">
      <w:bodyDiv w:val="1"/>
      <w:marLeft w:val="0"/>
      <w:marRight w:val="0"/>
      <w:marTop w:val="0"/>
      <w:marBottom w:val="0"/>
      <w:divBdr>
        <w:top w:val="none" w:sz="0" w:space="0" w:color="auto"/>
        <w:left w:val="none" w:sz="0" w:space="0" w:color="auto"/>
        <w:bottom w:val="none" w:sz="0" w:space="0" w:color="auto"/>
        <w:right w:val="none" w:sz="0" w:space="0" w:color="auto"/>
      </w:divBdr>
    </w:div>
    <w:div w:id="822307829">
      <w:bodyDiv w:val="1"/>
      <w:marLeft w:val="0"/>
      <w:marRight w:val="0"/>
      <w:marTop w:val="0"/>
      <w:marBottom w:val="0"/>
      <w:divBdr>
        <w:top w:val="none" w:sz="0" w:space="0" w:color="auto"/>
        <w:left w:val="none" w:sz="0" w:space="0" w:color="auto"/>
        <w:bottom w:val="none" w:sz="0" w:space="0" w:color="auto"/>
        <w:right w:val="none" w:sz="0" w:space="0" w:color="auto"/>
      </w:divBdr>
    </w:div>
    <w:div w:id="823394440">
      <w:bodyDiv w:val="1"/>
      <w:marLeft w:val="0"/>
      <w:marRight w:val="0"/>
      <w:marTop w:val="0"/>
      <w:marBottom w:val="0"/>
      <w:divBdr>
        <w:top w:val="none" w:sz="0" w:space="0" w:color="auto"/>
        <w:left w:val="none" w:sz="0" w:space="0" w:color="auto"/>
        <w:bottom w:val="none" w:sz="0" w:space="0" w:color="auto"/>
        <w:right w:val="none" w:sz="0" w:space="0" w:color="auto"/>
      </w:divBdr>
    </w:div>
    <w:div w:id="824398875">
      <w:bodyDiv w:val="1"/>
      <w:marLeft w:val="0"/>
      <w:marRight w:val="0"/>
      <w:marTop w:val="0"/>
      <w:marBottom w:val="0"/>
      <w:divBdr>
        <w:top w:val="none" w:sz="0" w:space="0" w:color="auto"/>
        <w:left w:val="none" w:sz="0" w:space="0" w:color="auto"/>
        <w:bottom w:val="none" w:sz="0" w:space="0" w:color="auto"/>
        <w:right w:val="none" w:sz="0" w:space="0" w:color="auto"/>
      </w:divBdr>
    </w:div>
    <w:div w:id="828061708">
      <w:bodyDiv w:val="1"/>
      <w:marLeft w:val="0"/>
      <w:marRight w:val="0"/>
      <w:marTop w:val="0"/>
      <w:marBottom w:val="0"/>
      <w:divBdr>
        <w:top w:val="none" w:sz="0" w:space="0" w:color="auto"/>
        <w:left w:val="none" w:sz="0" w:space="0" w:color="auto"/>
        <w:bottom w:val="none" w:sz="0" w:space="0" w:color="auto"/>
        <w:right w:val="none" w:sz="0" w:space="0" w:color="auto"/>
      </w:divBdr>
    </w:div>
    <w:div w:id="828595227">
      <w:bodyDiv w:val="1"/>
      <w:marLeft w:val="0"/>
      <w:marRight w:val="0"/>
      <w:marTop w:val="0"/>
      <w:marBottom w:val="0"/>
      <w:divBdr>
        <w:top w:val="none" w:sz="0" w:space="0" w:color="auto"/>
        <w:left w:val="none" w:sz="0" w:space="0" w:color="auto"/>
        <w:bottom w:val="none" w:sz="0" w:space="0" w:color="auto"/>
        <w:right w:val="none" w:sz="0" w:space="0" w:color="auto"/>
      </w:divBdr>
    </w:div>
    <w:div w:id="831915228">
      <w:bodyDiv w:val="1"/>
      <w:marLeft w:val="0"/>
      <w:marRight w:val="0"/>
      <w:marTop w:val="0"/>
      <w:marBottom w:val="0"/>
      <w:divBdr>
        <w:top w:val="none" w:sz="0" w:space="0" w:color="auto"/>
        <w:left w:val="none" w:sz="0" w:space="0" w:color="auto"/>
        <w:bottom w:val="none" w:sz="0" w:space="0" w:color="auto"/>
        <w:right w:val="none" w:sz="0" w:space="0" w:color="auto"/>
      </w:divBdr>
    </w:div>
    <w:div w:id="833494711">
      <w:bodyDiv w:val="1"/>
      <w:marLeft w:val="0"/>
      <w:marRight w:val="0"/>
      <w:marTop w:val="0"/>
      <w:marBottom w:val="0"/>
      <w:divBdr>
        <w:top w:val="none" w:sz="0" w:space="0" w:color="auto"/>
        <w:left w:val="none" w:sz="0" w:space="0" w:color="auto"/>
        <w:bottom w:val="none" w:sz="0" w:space="0" w:color="auto"/>
        <w:right w:val="none" w:sz="0" w:space="0" w:color="auto"/>
      </w:divBdr>
    </w:div>
    <w:div w:id="834808819">
      <w:bodyDiv w:val="1"/>
      <w:marLeft w:val="0"/>
      <w:marRight w:val="0"/>
      <w:marTop w:val="0"/>
      <w:marBottom w:val="0"/>
      <w:divBdr>
        <w:top w:val="none" w:sz="0" w:space="0" w:color="auto"/>
        <w:left w:val="none" w:sz="0" w:space="0" w:color="auto"/>
        <w:bottom w:val="none" w:sz="0" w:space="0" w:color="auto"/>
        <w:right w:val="none" w:sz="0" w:space="0" w:color="auto"/>
      </w:divBdr>
    </w:div>
    <w:div w:id="837187820">
      <w:bodyDiv w:val="1"/>
      <w:marLeft w:val="0"/>
      <w:marRight w:val="0"/>
      <w:marTop w:val="0"/>
      <w:marBottom w:val="0"/>
      <w:divBdr>
        <w:top w:val="none" w:sz="0" w:space="0" w:color="auto"/>
        <w:left w:val="none" w:sz="0" w:space="0" w:color="auto"/>
        <w:bottom w:val="none" w:sz="0" w:space="0" w:color="auto"/>
        <w:right w:val="none" w:sz="0" w:space="0" w:color="auto"/>
      </w:divBdr>
    </w:div>
    <w:div w:id="840244465">
      <w:bodyDiv w:val="1"/>
      <w:marLeft w:val="0"/>
      <w:marRight w:val="0"/>
      <w:marTop w:val="0"/>
      <w:marBottom w:val="0"/>
      <w:divBdr>
        <w:top w:val="none" w:sz="0" w:space="0" w:color="auto"/>
        <w:left w:val="none" w:sz="0" w:space="0" w:color="auto"/>
        <w:bottom w:val="none" w:sz="0" w:space="0" w:color="auto"/>
        <w:right w:val="none" w:sz="0" w:space="0" w:color="auto"/>
      </w:divBdr>
    </w:div>
    <w:div w:id="842013192">
      <w:bodyDiv w:val="1"/>
      <w:marLeft w:val="0"/>
      <w:marRight w:val="0"/>
      <w:marTop w:val="0"/>
      <w:marBottom w:val="0"/>
      <w:divBdr>
        <w:top w:val="none" w:sz="0" w:space="0" w:color="auto"/>
        <w:left w:val="none" w:sz="0" w:space="0" w:color="auto"/>
        <w:bottom w:val="none" w:sz="0" w:space="0" w:color="auto"/>
        <w:right w:val="none" w:sz="0" w:space="0" w:color="auto"/>
      </w:divBdr>
    </w:div>
    <w:div w:id="843013053">
      <w:bodyDiv w:val="1"/>
      <w:marLeft w:val="0"/>
      <w:marRight w:val="0"/>
      <w:marTop w:val="0"/>
      <w:marBottom w:val="0"/>
      <w:divBdr>
        <w:top w:val="none" w:sz="0" w:space="0" w:color="auto"/>
        <w:left w:val="none" w:sz="0" w:space="0" w:color="auto"/>
        <w:bottom w:val="none" w:sz="0" w:space="0" w:color="auto"/>
        <w:right w:val="none" w:sz="0" w:space="0" w:color="auto"/>
      </w:divBdr>
    </w:div>
    <w:div w:id="843402295">
      <w:bodyDiv w:val="1"/>
      <w:marLeft w:val="0"/>
      <w:marRight w:val="0"/>
      <w:marTop w:val="0"/>
      <w:marBottom w:val="0"/>
      <w:divBdr>
        <w:top w:val="none" w:sz="0" w:space="0" w:color="auto"/>
        <w:left w:val="none" w:sz="0" w:space="0" w:color="auto"/>
        <w:bottom w:val="none" w:sz="0" w:space="0" w:color="auto"/>
        <w:right w:val="none" w:sz="0" w:space="0" w:color="auto"/>
      </w:divBdr>
    </w:div>
    <w:div w:id="844976936">
      <w:bodyDiv w:val="1"/>
      <w:marLeft w:val="0"/>
      <w:marRight w:val="0"/>
      <w:marTop w:val="0"/>
      <w:marBottom w:val="0"/>
      <w:divBdr>
        <w:top w:val="none" w:sz="0" w:space="0" w:color="auto"/>
        <w:left w:val="none" w:sz="0" w:space="0" w:color="auto"/>
        <w:bottom w:val="none" w:sz="0" w:space="0" w:color="auto"/>
        <w:right w:val="none" w:sz="0" w:space="0" w:color="auto"/>
      </w:divBdr>
    </w:div>
    <w:div w:id="856039323">
      <w:bodyDiv w:val="1"/>
      <w:marLeft w:val="0"/>
      <w:marRight w:val="0"/>
      <w:marTop w:val="0"/>
      <w:marBottom w:val="0"/>
      <w:divBdr>
        <w:top w:val="none" w:sz="0" w:space="0" w:color="auto"/>
        <w:left w:val="none" w:sz="0" w:space="0" w:color="auto"/>
        <w:bottom w:val="none" w:sz="0" w:space="0" w:color="auto"/>
        <w:right w:val="none" w:sz="0" w:space="0" w:color="auto"/>
      </w:divBdr>
    </w:div>
    <w:div w:id="856775872">
      <w:bodyDiv w:val="1"/>
      <w:marLeft w:val="0"/>
      <w:marRight w:val="0"/>
      <w:marTop w:val="0"/>
      <w:marBottom w:val="0"/>
      <w:divBdr>
        <w:top w:val="none" w:sz="0" w:space="0" w:color="auto"/>
        <w:left w:val="none" w:sz="0" w:space="0" w:color="auto"/>
        <w:bottom w:val="none" w:sz="0" w:space="0" w:color="auto"/>
        <w:right w:val="none" w:sz="0" w:space="0" w:color="auto"/>
      </w:divBdr>
    </w:div>
    <w:div w:id="857039640">
      <w:bodyDiv w:val="1"/>
      <w:marLeft w:val="0"/>
      <w:marRight w:val="0"/>
      <w:marTop w:val="0"/>
      <w:marBottom w:val="0"/>
      <w:divBdr>
        <w:top w:val="none" w:sz="0" w:space="0" w:color="auto"/>
        <w:left w:val="none" w:sz="0" w:space="0" w:color="auto"/>
        <w:bottom w:val="none" w:sz="0" w:space="0" w:color="auto"/>
        <w:right w:val="none" w:sz="0" w:space="0" w:color="auto"/>
      </w:divBdr>
    </w:div>
    <w:div w:id="859317124">
      <w:bodyDiv w:val="1"/>
      <w:marLeft w:val="0"/>
      <w:marRight w:val="0"/>
      <w:marTop w:val="0"/>
      <w:marBottom w:val="0"/>
      <w:divBdr>
        <w:top w:val="none" w:sz="0" w:space="0" w:color="auto"/>
        <w:left w:val="none" w:sz="0" w:space="0" w:color="auto"/>
        <w:bottom w:val="none" w:sz="0" w:space="0" w:color="auto"/>
        <w:right w:val="none" w:sz="0" w:space="0" w:color="auto"/>
      </w:divBdr>
    </w:div>
    <w:div w:id="861240194">
      <w:bodyDiv w:val="1"/>
      <w:marLeft w:val="0"/>
      <w:marRight w:val="0"/>
      <w:marTop w:val="0"/>
      <w:marBottom w:val="0"/>
      <w:divBdr>
        <w:top w:val="none" w:sz="0" w:space="0" w:color="auto"/>
        <w:left w:val="none" w:sz="0" w:space="0" w:color="auto"/>
        <w:bottom w:val="none" w:sz="0" w:space="0" w:color="auto"/>
        <w:right w:val="none" w:sz="0" w:space="0" w:color="auto"/>
      </w:divBdr>
    </w:div>
    <w:div w:id="862673869">
      <w:bodyDiv w:val="1"/>
      <w:marLeft w:val="0"/>
      <w:marRight w:val="0"/>
      <w:marTop w:val="0"/>
      <w:marBottom w:val="0"/>
      <w:divBdr>
        <w:top w:val="none" w:sz="0" w:space="0" w:color="auto"/>
        <w:left w:val="none" w:sz="0" w:space="0" w:color="auto"/>
        <w:bottom w:val="none" w:sz="0" w:space="0" w:color="auto"/>
        <w:right w:val="none" w:sz="0" w:space="0" w:color="auto"/>
      </w:divBdr>
    </w:div>
    <w:div w:id="863134229">
      <w:bodyDiv w:val="1"/>
      <w:marLeft w:val="0"/>
      <w:marRight w:val="0"/>
      <w:marTop w:val="0"/>
      <w:marBottom w:val="0"/>
      <w:divBdr>
        <w:top w:val="none" w:sz="0" w:space="0" w:color="auto"/>
        <w:left w:val="none" w:sz="0" w:space="0" w:color="auto"/>
        <w:bottom w:val="none" w:sz="0" w:space="0" w:color="auto"/>
        <w:right w:val="none" w:sz="0" w:space="0" w:color="auto"/>
      </w:divBdr>
    </w:div>
    <w:div w:id="864248395">
      <w:bodyDiv w:val="1"/>
      <w:marLeft w:val="0"/>
      <w:marRight w:val="0"/>
      <w:marTop w:val="0"/>
      <w:marBottom w:val="0"/>
      <w:divBdr>
        <w:top w:val="none" w:sz="0" w:space="0" w:color="auto"/>
        <w:left w:val="none" w:sz="0" w:space="0" w:color="auto"/>
        <w:bottom w:val="none" w:sz="0" w:space="0" w:color="auto"/>
        <w:right w:val="none" w:sz="0" w:space="0" w:color="auto"/>
      </w:divBdr>
    </w:div>
    <w:div w:id="866333384">
      <w:bodyDiv w:val="1"/>
      <w:marLeft w:val="0"/>
      <w:marRight w:val="0"/>
      <w:marTop w:val="0"/>
      <w:marBottom w:val="0"/>
      <w:divBdr>
        <w:top w:val="none" w:sz="0" w:space="0" w:color="auto"/>
        <w:left w:val="none" w:sz="0" w:space="0" w:color="auto"/>
        <w:bottom w:val="none" w:sz="0" w:space="0" w:color="auto"/>
        <w:right w:val="none" w:sz="0" w:space="0" w:color="auto"/>
      </w:divBdr>
    </w:div>
    <w:div w:id="866680026">
      <w:bodyDiv w:val="1"/>
      <w:marLeft w:val="0"/>
      <w:marRight w:val="0"/>
      <w:marTop w:val="0"/>
      <w:marBottom w:val="0"/>
      <w:divBdr>
        <w:top w:val="none" w:sz="0" w:space="0" w:color="auto"/>
        <w:left w:val="none" w:sz="0" w:space="0" w:color="auto"/>
        <w:bottom w:val="none" w:sz="0" w:space="0" w:color="auto"/>
        <w:right w:val="none" w:sz="0" w:space="0" w:color="auto"/>
      </w:divBdr>
    </w:div>
    <w:div w:id="868224331">
      <w:bodyDiv w:val="1"/>
      <w:marLeft w:val="0"/>
      <w:marRight w:val="0"/>
      <w:marTop w:val="0"/>
      <w:marBottom w:val="0"/>
      <w:divBdr>
        <w:top w:val="none" w:sz="0" w:space="0" w:color="auto"/>
        <w:left w:val="none" w:sz="0" w:space="0" w:color="auto"/>
        <w:bottom w:val="none" w:sz="0" w:space="0" w:color="auto"/>
        <w:right w:val="none" w:sz="0" w:space="0" w:color="auto"/>
      </w:divBdr>
    </w:div>
    <w:div w:id="872618373">
      <w:bodyDiv w:val="1"/>
      <w:marLeft w:val="0"/>
      <w:marRight w:val="0"/>
      <w:marTop w:val="0"/>
      <w:marBottom w:val="0"/>
      <w:divBdr>
        <w:top w:val="none" w:sz="0" w:space="0" w:color="auto"/>
        <w:left w:val="none" w:sz="0" w:space="0" w:color="auto"/>
        <w:bottom w:val="none" w:sz="0" w:space="0" w:color="auto"/>
        <w:right w:val="none" w:sz="0" w:space="0" w:color="auto"/>
      </w:divBdr>
    </w:div>
    <w:div w:id="876694854">
      <w:bodyDiv w:val="1"/>
      <w:marLeft w:val="0"/>
      <w:marRight w:val="0"/>
      <w:marTop w:val="0"/>
      <w:marBottom w:val="0"/>
      <w:divBdr>
        <w:top w:val="none" w:sz="0" w:space="0" w:color="auto"/>
        <w:left w:val="none" w:sz="0" w:space="0" w:color="auto"/>
        <w:bottom w:val="none" w:sz="0" w:space="0" w:color="auto"/>
        <w:right w:val="none" w:sz="0" w:space="0" w:color="auto"/>
      </w:divBdr>
    </w:div>
    <w:div w:id="878125006">
      <w:bodyDiv w:val="1"/>
      <w:marLeft w:val="0"/>
      <w:marRight w:val="0"/>
      <w:marTop w:val="0"/>
      <w:marBottom w:val="0"/>
      <w:divBdr>
        <w:top w:val="none" w:sz="0" w:space="0" w:color="auto"/>
        <w:left w:val="none" w:sz="0" w:space="0" w:color="auto"/>
        <w:bottom w:val="none" w:sz="0" w:space="0" w:color="auto"/>
        <w:right w:val="none" w:sz="0" w:space="0" w:color="auto"/>
      </w:divBdr>
    </w:div>
    <w:div w:id="878468335">
      <w:bodyDiv w:val="1"/>
      <w:marLeft w:val="0"/>
      <w:marRight w:val="0"/>
      <w:marTop w:val="0"/>
      <w:marBottom w:val="0"/>
      <w:divBdr>
        <w:top w:val="none" w:sz="0" w:space="0" w:color="auto"/>
        <w:left w:val="none" w:sz="0" w:space="0" w:color="auto"/>
        <w:bottom w:val="none" w:sz="0" w:space="0" w:color="auto"/>
        <w:right w:val="none" w:sz="0" w:space="0" w:color="auto"/>
      </w:divBdr>
    </w:div>
    <w:div w:id="884635664">
      <w:bodyDiv w:val="1"/>
      <w:marLeft w:val="0"/>
      <w:marRight w:val="0"/>
      <w:marTop w:val="0"/>
      <w:marBottom w:val="0"/>
      <w:divBdr>
        <w:top w:val="none" w:sz="0" w:space="0" w:color="auto"/>
        <w:left w:val="none" w:sz="0" w:space="0" w:color="auto"/>
        <w:bottom w:val="none" w:sz="0" w:space="0" w:color="auto"/>
        <w:right w:val="none" w:sz="0" w:space="0" w:color="auto"/>
      </w:divBdr>
    </w:div>
    <w:div w:id="884826895">
      <w:bodyDiv w:val="1"/>
      <w:marLeft w:val="0"/>
      <w:marRight w:val="0"/>
      <w:marTop w:val="0"/>
      <w:marBottom w:val="0"/>
      <w:divBdr>
        <w:top w:val="none" w:sz="0" w:space="0" w:color="auto"/>
        <w:left w:val="none" w:sz="0" w:space="0" w:color="auto"/>
        <w:bottom w:val="none" w:sz="0" w:space="0" w:color="auto"/>
        <w:right w:val="none" w:sz="0" w:space="0" w:color="auto"/>
      </w:divBdr>
    </w:div>
    <w:div w:id="886456369">
      <w:bodyDiv w:val="1"/>
      <w:marLeft w:val="0"/>
      <w:marRight w:val="0"/>
      <w:marTop w:val="0"/>
      <w:marBottom w:val="0"/>
      <w:divBdr>
        <w:top w:val="none" w:sz="0" w:space="0" w:color="auto"/>
        <w:left w:val="none" w:sz="0" w:space="0" w:color="auto"/>
        <w:bottom w:val="none" w:sz="0" w:space="0" w:color="auto"/>
        <w:right w:val="none" w:sz="0" w:space="0" w:color="auto"/>
      </w:divBdr>
    </w:div>
    <w:div w:id="888879126">
      <w:bodyDiv w:val="1"/>
      <w:marLeft w:val="0"/>
      <w:marRight w:val="0"/>
      <w:marTop w:val="0"/>
      <w:marBottom w:val="0"/>
      <w:divBdr>
        <w:top w:val="none" w:sz="0" w:space="0" w:color="auto"/>
        <w:left w:val="none" w:sz="0" w:space="0" w:color="auto"/>
        <w:bottom w:val="none" w:sz="0" w:space="0" w:color="auto"/>
        <w:right w:val="none" w:sz="0" w:space="0" w:color="auto"/>
      </w:divBdr>
    </w:div>
    <w:div w:id="892892150">
      <w:bodyDiv w:val="1"/>
      <w:marLeft w:val="0"/>
      <w:marRight w:val="0"/>
      <w:marTop w:val="0"/>
      <w:marBottom w:val="0"/>
      <w:divBdr>
        <w:top w:val="none" w:sz="0" w:space="0" w:color="auto"/>
        <w:left w:val="none" w:sz="0" w:space="0" w:color="auto"/>
        <w:bottom w:val="none" w:sz="0" w:space="0" w:color="auto"/>
        <w:right w:val="none" w:sz="0" w:space="0" w:color="auto"/>
      </w:divBdr>
    </w:div>
    <w:div w:id="893151963">
      <w:bodyDiv w:val="1"/>
      <w:marLeft w:val="0"/>
      <w:marRight w:val="0"/>
      <w:marTop w:val="0"/>
      <w:marBottom w:val="0"/>
      <w:divBdr>
        <w:top w:val="none" w:sz="0" w:space="0" w:color="auto"/>
        <w:left w:val="none" w:sz="0" w:space="0" w:color="auto"/>
        <w:bottom w:val="none" w:sz="0" w:space="0" w:color="auto"/>
        <w:right w:val="none" w:sz="0" w:space="0" w:color="auto"/>
      </w:divBdr>
    </w:div>
    <w:div w:id="895239046">
      <w:bodyDiv w:val="1"/>
      <w:marLeft w:val="0"/>
      <w:marRight w:val="0"/>
      <w:marTop w:val="0"/>
      <w:marBottom w:val="0"/>
      <w:divBdr>
        <w:top w:val="none" w:sz="0" w:space="0" w:color="auto"/>
        <w:left w:val="none" w:sz="0" w:space="0" w:color="auto"/>
        <w:bottom w:val="none" w:sz="0" w:space="0" w:color="auto"/>
        <w:right w:val="none" w:sz="0" w:space="0" w:color="auto"/>
      </w:divBdr>
    </w:div>
    <w:div w:id="897284684">
      <w:bodyDiv w:val="1"/>
      <w:marLeft w:val="0"/>
      <w:marRight w:val="0"/>
      <w:marTop w:val="0"/>
      <w:marBottom w:val="0"/>
      <w:divBdr>
        <w:top w:val="none" w:sz="0" w:space="0" w:color="auto"/>
        <w:left w:val="none" w:sz="0" w:space="0" w:color="auto"/>
        <w:bottom w:val="none" w:sz="0" w:space="0" w:color="auto"/>
        <w:right w:val="none" w:sz="0" w:space="0" w:color="auto"/>
      </w:divBdr>
    </w:div>
    <w:div w:id="897663752">
      <w:bodyDiv w:val="1"/>
      <w:marLeft w:val="0"/>
      <w:marRight w:val="0"/>
      <w:marTop w:val="0"/>
      <w:marBottom w:val="0"/>
      <w:divBdr>
        <w:top w:val="none" w:sz="0" w:space="0" w:color="auto"/>
        <w:left w:val="none" w:sz="0" w:space="0" w:color="auto"/>
        <w:bottom w:val="none" w:sz="0" w:space="0" w:color="auto"/>
        <w:right w:val="none" w:sz="0" w:space="0" w:color="auto"/>
      </w:divBdr>
    </w:div>
    <w:div w:id="899907274">
      <w:bodyDiv w:val="1"/>
      <w:marLeft w:val="0"/>
      <w:marRight w:val="0"/>
      <w:marTop w:val="0"/>
      <w:marBottom w:val="0"/>
      <w:divBdr>
        <w:top w:val="none" w:sz="0" w:space="0" w:color="auto"/>
        <w:left w:val="none" w:sz="0" w:space="0" w:color="auto"/>
        <w:bottom w:val="none" w:sz="0" w:space="0" w:color="auto"/>
        <w:right w:val="none" w:sz="0" w:space="0" w:color="auto"/>
      </w:divBdr>
    </w:div>
    <w:div w:id="901256948">
      <w:bodyDiv w:val="1"/>
      <w:marLeft w:val="0"/>
      <w:marRight w:val="0"/>
      <w:marTop w:val="0"/>
      <w:marBottom w:val="0"/>
      <w:divBdr>
        <w:top w:val="none" w:sz="0" w:space="0" w:color="auto"/>
        <w:left w:val="none" w:sz="0" w:space="0" w:color="auto"/>
        <w:bottom w:val="none" w:sz="0" w:space="0" w:color="auto"/>
        <w:right w:val="none" w:sz="0" w:space="0" w:color="auto"/>
      </w:divBdr>
    </w:div>
    <w:div w:id="903879286">
      <w:bodyDiv w:val="1"/>
      <w:marLeft w:val="0"/>
      <w:marRight w:val="0"/>
      <w:marTop w:val="0"/>
      <w:marBottom w:val="0"/>
      <w:divBdr>
        <w:top w:val="none" w:sz="0" w:space="0" w:color="auto"/>
        <w:left w:val="none" w:sz="0" w:space="0" w:color="auto"/>
        <w:bottom w:val="none" w:sz="0" w:space="0" w:color="auto"/>
        <w:right w:val="none" w:sz="0" w:space="0" w:color="auto"/>
      </w:divBdr>
    </w:div>
    <w:div w:id="914124300">
      <w:bodyDiv w:val="1"/>
      <w:marLeft w:val="0"/>
      <w:marRight w:val="0"/>
      <w:marTop w:val="0"/>
      <w:marBottom w:val="0"/>
      <w:divBdr>
        <w:top w:val="none" w:sz="0" w:space="0" w:color="auto"/>
        <w:left w:val="none" w:sz="0" w:space="0" w:color="auto"/>
        <w:bottom w:val="none" w:sz="0" w:space="0" w:color="auto"/>
        <w:right w:val="none" w:sz="0" w:space="0" w:color="auto"/>
      </w:divBdr>
    </w:div>
    <w:div w:id="914704546">
      <w:bodyDiv w:val="1"/>
      <w:marLeft w:val="0"/>
      <w:marRight w:val="0"/>
      <w:marTop w:val="0"/>
      <w:marBottom w:val="0"/>
      <w:divBdr>
        <w:top w:val="none" w:sz="0" w:space="0" w:color="auto"/>
        <w:left w:val="none" w:sz="0" w:space="0" w:color="auto"/>
        <w:bottom w:val="none" w:sz="0" w:space="0" w:color="auto"/>
        <w:right w:val="none" w:sz="0" w:space="0" w:color="auto"/>
      </w:divBdr>
    </w:div>
    <w:div w:id="915745622">
      <w:bodyDiv w:val="1"/>
      <w:marLeft w:val="0"/>
      <w:marRight w:val="0"/>
      <w:marTop w:val="0"/>
      <w:marBottom w:val="0"/>
      <w:divBdr>
        <w:top w:val="none" w:sz="0" w:space="0" w:color="auto"/>
        <w:left w:val="none" w:sz="0" w:space="0" w:color="auto"/>
        <w:bottom w:val="none" w:sz="0" w:space="0" w:color="auto"/>
        <w:right w:val="none" w:sz="0" w:space="0" w:color="auto"/>
      </w:divBdr>
    </w:div>
    <w:div w:id="917176955">
      <w:bodyDiv w:val="1"/>
      <w:marLeft w:val="0"/>
      <w:marRight w:val="0"/>
      <w:marTop w:val="0"/>
      <w:marBottom w:val="0"/>
      <w:divBdr>
        <w:top w:val="none" w:sz="0" w:space="0" w:color="auto"/>
        <w:left w:val="none" w:sz="0" w:space="0" w:color="auto"/>
        <w:bottom w:val="none" w:sz="0" w:space="0" w:color="auto"/>
        <w:right w:val="none" w:sz="0" w:space="0" w:color="auto"/>
      </w:divBdr>
    </w:div>
    <w:div w:id="919027248">
      <w:bodyDiv w:val="1"/>
      <w:marLeft w:val="0"/>
      <w:marRight w:val="0"/>
      <w:marTop w:val="0"/>
      <w:marBottom w:val="0"/>
      <w:divBdr>
        <w:top w:val="none" w:sz="0" w:space="0" w:color="auto"/>
        <w:left w:val="none" w:sz="0" w:space="0" w:color="auto"/>
        <w:bottom w:val="none" w:sz="0" w:space="0" w:color="auto"/>
        <w:right w:val="none" w:sz="0" w:space="0" w:color="auto"/>
      </w:divBdr>
    </w:div>
    <w:div w:id="919220479">
      <w:bodyDiv w:val="1"/>
      <w:marLeft w:val="0"/>
      <w:marRight w:val="0"/>
      <w:marTop w:val="0"/>
      <w:marBottom w:val="0"/>
      <w:divBdr>
        <w:top w:val="none" w:sz="0" w:space="0" w:color="auto"/>
        <w:left w:val="none" w:sz="0" w:space="0" w:color="auto"/>
        <w:bottom w:val="none" w:sz="0" w:space="0" w:color="auto"/>
        <w:right w:val="none" w:sz="0" w:space="0" w:color="auto"/>
      </w:divBdr>
    </w:div>
    <w:div w:id="925924126">
      <w:bodyDiv w:val="1"/>
      <w:marLeft w:val="0"/>
      <w:marRight w:val="0"/>
      <w:marTop w:val="0"/>
      <w:marBottom w:val="0"/>
      <w:divBdr>
        <w:top w:val="none" w:sz="0" w:space="0" w:color="auto"/>
        <w:left w:val="none" w:sz="0" w:space="0" w:color="auto"/>
        <w:bottom w:val="none" w:sz="0" w:space="0" w:color="auto"/>
        <w:right w:val="none" w:sz="0" w:space="0" w:color="auto"/>
      </w:divBdr>
    </w:div>
    <w:div w:id="929120231">
      <w:bodyDiv w:val="1"/>
      <w:marLeft w:val="0"/>
      <w:marRight w:val="0"/>
      <w:marTop w:val="0"/>
      <w:marBottom w:val="0"/>
      <w:divBdr>
        <w:top w:val="none" w:sz="0" w:space="0" w:color="auto"/>
        <w:left w:val="none" w:sz="0" w:space="0" w:color="auto"/>
        <w:bottom w:val="none" w:sz="0" w:space="0" w:color="auto"/>
        <w:right w:val="none" w:sz="0" w:space="0" w:color="auto"/>
      </w:divBdr>
    </w:div>
    <w:div w:id="929580154">
      <w:bodyDiv w:val="1"/>
      <w:marLeft w:val="0"/>
      <w:marRight w:val="0"/>
      <w:marTop w:val="0"/>
      <w:marBottom w:val="0"/>
      <w:divBdr>
        <w:top w:val="none" w:sz="0" w:space="0" w:color="auto"/>
        <w:left w:val="none" w:sz="0" w:space="0" w:color="auto"/>
        <w:bottom w:val="none" w:sz="0" w:space="0" w:color="auto"/>
        <w:right w:val="none" w:sz="0" w:space="0" w:color="auto"/>
      </w:divBdr>
    </w:div>
    <w:div w:id="929778089">
      <w:bodyDiv w:val="1"/>
      <w:marLeft w:val="0"/>
      <w:marRight w:val="0"/>
      <w:marTop w:val="0"/>
      <w:marBottom w:val="0"/>
      <w:divBdr>
        <w:top w:val="none" w:sz="0" w:space="0" w:color="auto"/>
        <w:left w:val="none" w:sz="0" w:space="0" w:color="auto"/>
        <w:bottom w:val="none" w:sz="0" w:space="0" w:color="auto"/>
        <w:right w:val="none" w:sz="0" w:space="0" w:color="auto"/>
      </w:divBdr>
    </w:div>
    <w:div w:id="929852546">
      <w:bodyDiv w:val="1"/>
      <w:marLeft w:val="0"/>
      <w:marRight w:val="0"/>
      <w:marTop w:val="0"/>
      <w:marBottom w:val="0"/>
      <w:divBdr>
        <w:top w:val="none" w:sz="0" w:space="0" w:color="auto"/>
        <w:left w:val="none" w:sz="0" w:space="0" w:color="auto"/>
        <w:bottom w:val="none" w:sz="0" w:space="0" w:color="auto"/>
        <w:right w:val="none" w:sz="0" w:space="0" w:color="auto"/>
      </w:divBdr>
    </w:div>
    <w:div w:id="931006666">
      <w:bodyDiv w:val="1"/>
      <w:marLeft w:val="0"/>
      <w:marRight w:val="0"/>
      <w:marTop w:val="0"/>
      <w:marBottom w:val="0"/>
      <w:divBdr>
        <w:top w:val="none" w:sz="0" w:space="0" w:color="auto"/>
        <w:left w:val="none" w:sz="0" w:space="0" w:color="auto"/>
        <w:bottom w:val="none" w:sz="0" w:space="0" w:color="auto"/>
        <w:right w:val="none" w:sz="0" w:space="0" w:color="auto"/>
      </w:divBdr>
    </w:div>
    <w:div w:id="931470814">
      <w:bodyDiv w:val="1"/>
      <w:marLeft w:val="0"/>
      <w:marRight w:val="0"/>
      <w:marTop w:val="0"/>
      <w:marBottom w:val="0"/>
      <w:divBdr>
        <w:top w:val="none" w:sz="0" w:space="0" w:color="auto"/>
        <w:left w:val="none" w:sz="0" w:space="0" w:color="auto"/>
        <w:bottom w:val="none" w:sz="0" w:space="0" w:color="auto"/>
        <w:right w:val="none" w:sz="0" w:space="0" w:color="auto"/>
      </w:divBdr>
    </w:div>
    <w:div w:id="932517065">
      <w:bodyDiv w:val="1"/>
      <w:marLeft w:val="0"/>
      <w:marRight w:val="0"/>
      <w:marTop w:val="0"/>
      <w:marBottom w:val="0"/>
      <w:divBdr>
        <w:top w:val="none" w:sz="0" w:space="0" w:color="auto"/>
        <w:left w:val="none" w:sz="0" w:space="0" w:color="auto"/>
        <w:bottom w:val="none" w:sz="0" w:space="0" w:color="auto"/>
        <w:right w:val="none" w:sz="0" w:space="0" w:color="auto"/>
      </w:divBdr>
      <w:divsChild>
        <w:div w:id="624385676">
          <w:marLeft w:val="0"/>
          <w:marRight w:val="0"/>
          <w:marTop w:val="0"/>
          <w:marBottom w:val="0"/>
          <w:divBdr>
            <w:top w:val="none" w:sz="0" w:space="0" w:color="auto"/>
            <w:left w:val="none" w:sz="0" w:space="0" w:color="auto"/>
            <w:bottom w:val="none" w:sz="0" w:space="0" w:color="auto"/>
            <w:right w:val="none" w:sz="0" w:space="0" w:color="auto"/>
          </w:divBdr>
          <w:divsChild>
            <w:div w:id="1099057079">
              <w:marLeft w:val="0"/>
              <w:marRight w:val="0"/>
              <w:marTop w:val="0"/>
              <w:marBottom w:val="0"/>
              <w:divBdr>
                <w:top w:val="none" w:sz="0" w:space="0" w:color="auto"/>
                <w:left w:val="none" w:sz="0" w:space="0" w:color="auto"/>
                <w:bottom w:val="none" w:sz="0" w:space="0" w:color="auto"/>
                <w:right w:val="none" w:sz="0" w:space="0" w:color="auto"/>
              </w:divBdr>
              <w:divsChild>
                <w:div w:id="286086017">
                  <w:marLeft w:val="0"/>
                  <w:marRight w:val="0"/>
                  <w:marTop w:val="0"/>
                  <w:marBottom w:val="0"/>
                  <w:divBdr>
                    <w:top w:val="none" w:sz="0" w:space="0" w:color="auto"/>
                    <w:left w:val="none" w:sz="0" w:space="0" w:color="auto"/>
                    <w:bottom w:val="none" w:sz="0" w:space="0" w:color="auto"/>
                    <w:right w:val="none" w:sz="0" w:space="0" w:color="auto"/>
                  </w:divBdr>
                </w:div>
                <w:div w:id="750391969">
                  <w:marLeft w:val="0"/>
                  <w:marRight w:val="0"/>
                  <w:marTop w:val="0"/>
                  <w:marBottom w:val="0"/>
                  <w:divBdr>
                    <w:top w:val="none" w:sz="0" w:space="0" w:color="auto"/>
                    <w:left w:val="none" w:sz="0" w:space="0" w:color="auto"/>
                    <w:bottom w:val="none" w:sz="0" w:space="0" w:color="auto"/>
                    <w:right w:val="none" w:sz="0" w:space="0" w:color="auto"/>
                  </w:divBdr>
                </w:div>
              </w:divsChild>
            </w:div>
            <w:div w:id="2015454369">
              <w:marLeft w:val="0"/>
              <w:marRight w:val="0"/>
              <w:marTop w:val="0"/>
              <w:marBottom w:val="0"/>
              <w:divBdr>
                <w:top w:val="none" w:sz="0" w:space="0" w:color="auto"/>
                <w:left w:val="none" w:sz="0" w:space="0" w:color="auto"/>
                <w:bottom w:val="none" w:sz="0" w:space="0" w:color="auto"/>
                <w:right w:val="none" w:sz="0" w:space="0" w:color="auto"/>
              </w:divBdr>
              <w:divsChild>
                <w:div w:id="149436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41142">
          <w:marLeft w:val="0"/>
          <w:marRight w:val="0"/>
          <w:marTop w:val="0"/>
          <w:marBottom w:val="0"/>
          <w:divBdr>
            <w:top w:val="none" w:sz="0" w:space="0" w:color="auto"/>
            <w:left w:val="none" w:sz="0" w:space="0" w:color="auto"/>
            <w:bottom w:val="none" w:sz="0" w:space="0" w:color="auto"/>
            <w:right w:val="none" w:sz="0" w:space="0" w:color="auto"/>
          </w:divBdr>
          <w:divsChild>
            <w:div w:id="1166478028">
              <w:marLeft w:val="0"/>
              <w:marRight w:val="0"/>
              <w:marTop w:val="0"/>
              <w:marBottom w:val="0"/>
              <w:divBdr>
                <w:top w:val="none" w:sz="0" w:space="0" w:color="auto"/>
                <w:left w:val="none" w:sz="0" w:space="0" w:color="auto"/>
                <w:bottom w:val="none" w:sz="0" w:space="0" w:color="auto"/>
                <w:right w:val="none" w:sz="0" w:space="0" w:color="auto"/>
              </w:divBdr>
              <w:divsChild>
                <w:div w:id="141816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7335">
          <w:marLeft w:val="0"/>
          <w:marRight w:val="0"/>
          <w:marTop w:val="0"/>
          <w:marBottom w:val="0"/>
          <w:divBdr>
            <w:top w:val="none" w:sz="0" w:space="0" w:color="auto"/>
            <w:left w:val="none" w:sz="0" w:space="0" w:color="auto"/>
            <w:bottom w:val="none" w:sz="0" w:space="0" w:color="auto"/>
            <w:right w:val="none" w:sz="0" w:space="0" w:color="auto"/>
          </w:divBdr>
        </w:div>
      </w:divsChild>
    </w:div>
    <w:div w:id="942225391">
      <w:bodyDiv w:val="1"/>
      <w:marLeft w:val="0"/>
      <w:marRight w:val="0"/>
      <w:marTop w:val="0"/>
      <w:marBottom w:val="0"/>
      <w:divBdr>
        <w:top w:val="none" w:sz="0" w:space="0" w:color="auto"/>
        <w:left w:val="none" w:sz="0" w:space="0" w:color="auto"/>
        <w:bottom w:val="none" w:sz="0" w:space="0" w:color="auto"/>
        <w:right w:val="none" w:sz="0" w:space="0" w:color="auto"/>
      </w:divBdr>
    </w:div>
    <w:div w:id="945381922">
      <w:bodyDiv w:val="1"/>
      <w:marLeft w:val="0"/>
      <w:marRight w:val="0"/>
      <w:marTop w:val="0"/>
      <w:marBottom w:val="0"/>
      <w:divBdr>
        <w:top w:val="none" w:sz="0" w:space="0" w:color="auto"/>
        <w:left w:val="none" w:sz="0" w:space="0" w:color="auto"/>
        <w:bottom w:val="none" w:sz="0" w:space="0" w:color="auto"/>
        <w:right w:val="none" w:sz="0" w:space="0" w:color="auto"/>
      </w:divBdr>
    </w:div>
    <w:div w:id="954216462">
      <w:bodyDiv w:val="1"/>
      <w:marLeft w:val="0"/>
      <w:marRight w:val="0"/>
      <w:marTop w:val="0"/>
      <w:marBottom w:val="0"/>
      <w:divBdr>
        <w:top w:val="none" w:sz="0" w:space="0" w:color="auto"/>
        <w:left w:val="none" w:sz="0" w:space="0" w:color="auto"/>
        <w:bottom w:val="none" w:sz="0" w:space="0" w:color="auto"/>
        <w:right w:val="none" w:sz="0" w:space="0" w:color="auto"/>
      </w:divBdr>
    </w:div>
    <w:div w:id="961810153">
      <w:bodyDiv w:val="1"/>
      <w:marLeft w:val="0"/>
      <w:marRight w:val="0"/>
      <w:marTop w:val="0"/>
      <w:marBottom w:val="0"/>
      <w:divBdr>
        <w:top w:val="none" w:sz="0" w:space="0" w:color="auto"/>
        <w:left w:val="none" w:sz="0" w:space="0" w:color="auto"/>
        <w:bottom w:val="none" w:sz="0" w:space="0" w:color="auto"/>
        <w:right w:val="none" w:sz="0" w:space="0" w:color="auto"/>
      </w:divBdr>
    </w:div>
    <w:div w:id="963344698">
      <w:bodyDiv w:val="1"/>
      <w:marLeft w:val="0"/>
      <w:marRight w:val="0"/>
      <w:marTop w:val="0"/>
      <w:marBottom w:val="0"/>
      <w:divBdr>
        <w:top w:val="none" w:sz="0" w:space="0" w:color="auto"/>
        <w:left w:val="none" w:sz="0" w:space="0" w:color="auto"/>
        <w:bottom w:val="none" w:sz="0" w:space="0" w:color="auto"/>
        <w:right w:val="none" w:sz="0" w:space="0" w:color="auto"/>
      </w:divBdr>
    </w:div>
    <w:div w:id="963728608">
      <w:bodyDiv w:val="1"/>
      <w:marLeft w:val="0"/>
      <w:marRight w:val="0"/>
      <w:marTop w:val="0"/>
      <w:marBottom w:val="0"/>
      <w:divBdr>
        <w:top w:val="none" w:sz="0" w:space="0" w:color="auto"/>
        <w:left w:val="none" w:sz="0" w:space="0" w:color="auto"/>
        <w:bottom w:val="none" w:sz="0" w:space="0" w:color="auto"/>
        <w:right w:val="none" w:sz="0" w:space="0" w:color="auto"/>
      </w:divBdr>
    </w:div>
    <w:div w:id="971596862">
      <w:bodyDiv w:val="1"/>
      <w:marLeft w:val="0"/>
      <w:marRight w:val="0"/>
      <w:marTop w:val="0"/>
      <w:marBottom w:val="0"/>
      <w:divBdr>
        <w:top w:val="none" w:sz="0" w:space="0" w:color="auto"/>
        <w:left w:val="none" w:sz="0" w:space="0" w:color="auto"/>
        <w:bottom w:val="none" w:sz="0" w:space="0" w:color="auto"/>
        <w:right w:val="none" w:sz="0" w:space="0" w:color="auto"/>
      </w:divBdr>
    </w:div>
    <w:div w:id="974220880">
      <w:bodyDiv w:val="1"/>
      <w:marLeft w:val="0"/>
      <w:marRight w:val="0"/>
      <w:marTop w:val="0"/>
      <w:marBottom w:val="0"/>
      <w:divBdr>
        <w:top w:val="none" w:sz="0" w:space="0" w:color="auto"/>
        <w:left w:val="none" w:sz="0" w:space="0" w:color="auto"/>
        <w:bottom w:val="none" w:sz="0" w:space="0" w:color="auto"/>
        <w:right w:val="none" w:sz="0" w:space="0" w:color="auto"/>
      </w:divBdr>
    </w:div>
    <w:div w:id="975793012">
      <w:bodyDiv w:val="1"/>
      <w:marLeft w:val="0"/>
      <w:marRight w:val="0"/>
      <w:marTop w:val="0"/>
      <w:marBottom w:val="0"/>
      <w:divBdr>
        <w:top w:val="none" w:sz="0" w:space="0" w:color="auto"/>
        <w:left w:val="none" w:sz="0" w:space="0" w:color="auto"/>
        <w:bottom w:val="none" w:sz="0" w:space="0" w:color="auto"/>
        <w:right w:val="none" w:sz="0" w:space="0" w:color="auto"/>
      </w:divBdr>
    </w:div>
    <w:div w:id="976253360">
      <w:bodyDiv w:val="1"/>
      <w:marLeft w:val="0"/>
      <w:marRight w:val="0"/>
      <w:marTop w:val="0"/>
      <w:marBottom w:val="0"/>
      <w:divBdr>
        <w:top w:val="none" w:sz="0" w:space="0" w:color="auto"/>
        <w:left w:val="none" w:sz="0" w:space="0" w:color="auto"/>
        <w:bottom w:val="none" w:sz="0" w:space="0" w:color="auto"/>
        <w:right w:val="none" w:sz="0" w:space="0" w:color="auto"/>
      </w:divBdr>
    </w:div>
    <w:div w:id="977493645">
      <w:bodyDiv w:val="1"/>
      <w:marLeft w:val="0"/>
      <w:marRight w:val="0"/>
      <w:marTop w:val="0"/>
      <w:marBottom w:val="0"/>
      <w:divBdr>
        <w:top w:val="none" w:sz="0" w:space="0" w:color="auto"/>
        <w:left w:val="none" w:sz="0" w:space="0" w:color="auto"/>
        <w:bottom w:val="none" w:sz="0" w:space="0" w:color="auto"/>
        <w:right w:val="none" w:sz="0" w:space="0" w:color="auto"/>
      </w:divBdr>
    </w:div>
    <w:div w:id="980234204">
      <w:bodyDiv w:val="1"/>
      <w:marLeft w:val="0"/>
      <w:marRight w:val="0"/>
      <w:marTop w:val="0"/>
      <w:marBottom w:val="0"/>
      <w:divBdr>
        <w:top w:val="none" w:sz="0" w:space="0" w:color="auto"/>
        <w:left w:val="none" w:sz="0" w:space="0" w:color="auto"/>
        <w:bottom w:val="none" w:sz="0" w:space="0" w:color="auto"/>
        <w:right w:val="none" w:sz="0" w:space="0" w:color="auto"/>
      </w:divBdr>
    </w:div>
    <w:div w:id="981275850">
      <w:bodyDiv w:val="1"/>
      <w:marLeft w:val="0"/>
      <w:marRight w:val="0"/>
      <w:marTop w:val="0"/>
      <w:marBottom w:val="0"/>
      <w:divBdr>
        <w:top w:val="none" w:sz="0" w:space="0" w:color="auto"/>
        <w:left w:val="none" w:sz="0" w:space="0" w:color="auto"/>
        <w:bottom w:val="none" w:sz="0" w:space="0" w:color="auto"/>
        <w:right w:val="none" w:sz="0" w:space="0" w:color="auto"/>
      </w:divBdr>
    </w:div>
    <w:div w:id="984819871">
      <w:bodyDiv w:val="1"/>
      <w:marLeft w:val="0"/>
      <w:marRight w:val="0"/>
      <w:marTop w:val="0"/>
      <w:marBottom w:val="0"/>
      <w:divBdr>
        <w:top w:val="none" w:sz="0" w:space="0" w:color="auto"/>
        <w:left w:val="none" w:sz="0" w:space="0" w:color="auto"/>
        <w:bottom w:val="none" w:sz="0" w:space="0" w:color="auto"/>
        <w:right w:val="none" w:sz="0" w:space="0" w:color="auto"/>
      </w:divBdr>
    </w:div>
    <w:div w:id="987826694">
      <w:bodyDiv w:val="1"/>
      <w:marLeft w:val="0"/>
      <w:marRight w:val="0"/>
      <w:marTop w:val="0"/>
      <w:marBottom w:val="0"/>
      <w:divBdr>
        <w:top w:val="none" w:sz="0" w:space="0" w:color="auto"/>
        <w:left w:val="none" w:sz="0" w:space="0" w:color="auto"/>
        <w:bottom w:val="none" w:sz="0" w:space="0" w:color="auto"/>
        <w:right w:val="none" w:sz="0" w:space="0" w:color="auto"/>
      </w:divBdr>
    </w:div>
    <w:div w:id="990792120">
      <w:bodyDiv w:val="1"/>
      <w:marLeft w:val="0"/>
      <w:marRight w:val="0"/>
      <w:marTop w:val="0"/>
      <w:marBottom w:val="0"/>
      <w:divBdr>
        <w:top w:val="none" w:sz="0" w:space="0" w:color="auto"/>
        <w:left w:val="none" w:sz="0" w:space="0" w:color="auto"/>
        <w:bottom w:val="none" w:sz="0" w:space="0" w:color="auto"/>
        <w:right w:val="none" w:sz="0" w:space="0" w:color="auto"/>
      </w:divBdr>
    </w:div>
    <w:div w:id="991252549">
      <w:bodyDiv w:val="1"/>
      <w:marLeft w:val="0"/>
      <w:marRight w:val="0"/>
      <w:marTop w:val="0"/>
      <w:marBottom w:val="0"/>
      <w:divBdr>
        <w:top w:val="none" w:sz="0" w:space="0" w:color="auto"/>
        <w:left w:val="none" w:sz="0" w:space="0" w:color="auto"/>
        <w:bottom w:val="none" w:sz="0" w:space="0" w:color="auto"/>
        <w:right w:val="none" w:sz="0" w:space="0" w:color="auto"/>
      </w:divBdr>
    </w:div>
    <w:div w:id="995065738">
      <w:bodyDiv w:val="1"/>
      <w:marLeft w:val="0"/>
      <w:marRight w:val="0"/>
      <w:marTop w:val="0"/>
      <w:marBottom w:val="0"/>
      <w:divBdr>
        <w:top w:val="none" w:sz="0" w:space="0" w:color="auto"/>
        <w:left w:val="none" w:sz="0" w:space="0" w:color="auto"/>
        <w:bottom w:val="none" w:sz="0" w:space="0" w:color="auto"/>
        <w:right w:val="none" w:sz="0" w:space="0" w:color="auto"/>
      </w:divBdr>
    </w:div>
    <w:div w:id="995693114">
      <w:bodyDiv w:val="1"/>
      <w:marLeft w:val="0"/>
      <w:marRight w:val="0"/>
      <w:marTop w:val="0"/>
      <w:marBottom w:val="0"/>
      <w:divBdr>
        <w:top w:val="none" w:sz="0" w:space="0" w:color="auto"/>
        <w:left w:val="none" w:sz="0" w:space="0" w:color="auto"/>
        <w:bottom w:val="none" w:sz="0" w:space="0" w:color="auto"/>
        <w:right w:val="none" w:sz="0" w:space="0" w:color="auto"/>
      </w:divBdr>
    </w:div>
    <w:div w:id="1000306637">
      <w:bodyDiv w:val="1"/>
      <w:marLeft w:val="0"/>
      <w:marRight w:val="0"/>
      <w:marTop w:val="0"/>
      <w:marBottom w:val="0"/>
      <w:divBdr>
        <w:top w:val="none" w:sz="0" w:space="0" w:color="auto"/>
        <w:left w:val="none" w:sz="0" w:space="0" w:color="auto"/>
        <w:bottom w:val="none" w:sz="0" w:space="0" w:color="auto"/>
        <w:right w:val="none" w:sz="0" w:space="0" w:color="auto"/>
      </w:divBdr>
    </w:div>
    <w:div w:id="1003047310">
      <w:bodyDiv w:val="1"/>
      <w:marLeft w:val="0"/>
      <w:marRight w:val="0"/>
      <w:marTop w:val="0"/>
      <w:marBottom w:val="0"/>
      <w:divBdr>
        <w:top w:val="none" w:sz="0" w:space="0" w:color="auto"/>
        <w:left w:val="none" w:sz="0" w:space="0" w:color="auto"/>
        <w:bottom w:val="none" w:sz="0" w:space="0" w:color="auto"/>
        <w:right w:val="none" w:sz="0" w:space="0" w:color="auto"/>
      </w:divBdr>
      <w:divsChild>
        <w:div w:id="296952762">
          <w:marLeft w:val="0"/>
          <w:marRight w:val="0"/>
          <w:marTop w:val="0"/>
          <w:marBottom w:val="0"/>
          <w:divBdr>
            <w:top w:val="none" w:sz="0" w:space="0" w:color="auto"/>
            <w:left w:val="none" w:sz="0" w:space="0" w:color="auto"/>
            <w:bottom w:val="none" w:sz="0" w:space="0" w:color="auto"/>
            <w:right w:val="none" w:sz="0" w:space="0" w:color="auto"/>
          </w:divBdr>
        </w:div>
        <w:div w:id="1059062097">
          <w:marLeft w:val="0"/>
          <w:marRight w:val="0"/>
          <w:marTop w:val="0"/>
          <w:marBottom w:val="150"/>
          <w:divBdr>
            <w:top w:val="none" w:sz="0" w:space="0" w:color="auto"/>
            <w:left w:val="none" w:sz="0" w:space="0" w:color="auto"/>
            <w:bottom w:val="single" w:sz="6" w:space="0" w:color="EEEEEE"/>
            <w:right w:val="none" w:sz="0" w:space="0" w:color="auto"/>
          </w:divBdr>
          <w:divsChild>
            <w:div w:id="794450308">
              <w:marLeft w:val="0"/>
              <w:marRight w:val="0"/>
              <w:marTop w:val="150"/>
              <w:marBottom w:val="0"/>
              <w:divBdr>
                <w:top w:val="none" w:sz="0" w:space="0" w:color="auto"/>
                <w:left w:val="none" w:sz="0" w:space="0" w:color="auto"/>
                <w:bottom w:val="none" w:sz="0" w:space="0" w:color="auto"/>
                <w:right w:val="none" w:sz="0" w:space="0" w:color="auto"/>
              </w:divBdr>
              <w:divsChild>
                <w:div w:id="313074228">
                  <w:marLeft w:val="0"/>
                  <w:marRight w:val="0"/>
                  <w:marTop w:val="0"/>
                  <w:marBottom w:val="0"/>
                  <w:divBdr>
                    <w:top w:val="none" w:sz="0" w:space="0" w:color="auto"/>
                    <w:left w:val="none" w:sz="0" w:space="0" w:color="auto"/>
                    <w:bottom w:val="none" w:sz="0" w:space="0" w:color="auto"/>
                    <w:right w:val="none" w:sz="0" w:space="0" w:color="auto"/>
                  </w:divBdr>
                  <w:divsChild>
                    <w:div w:id="1451127997">
                      <w:marLeft w:val="0"/>
                      <w:marRight w:val="0"/>
                      <w:marTop w:val="300"/>
                      <w:marBottom w:val="0"/>
                      <w:divBdr>
                        <w:top w:val="single" w:sz="6" w:space="0" w:color="DDDDDD"/>
                        <w:left w:val="single" w:sz="6" w:space="0" w:color="DDDDDD"/>
                        <w:bottom w:val="single" w:sz="6" w:space="0" w:color="DDDDDD"/>
                        <w:right w:val="single" w:sz="6" w:space="0" w:color="DDDDDD"/>
                      </w:divBdr>
                      <w:divsChild>
                        <w:div w:id="207265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508873">
      <w:bodyDiv w:val="1"/>
      <w:marLeft w:val="0"/>
      <w:marRight w:val="0"/>
      <w:marTop w:val="0"/>
      <w:marBottom w:val="0"/>
      <w:divBdr>
        <w:top w:val="none" w:sz="0" w:space="0" w:color="auto"/>
        <w:left w:val="none" w:sz="0" w:space="0" w:color="auto"/>
        <w:bottom w:val="none" w:sz="0" w:space="0" w:color="auto"/>
        <w:right w:val="none" w:sz="0" w:space="0" w:color="auto"/>
      </w:divBdr>
    </w:div>
    <w:div w:id="1005982479">
      <w:bodyDiv w:val="1"/>
      <w:marLeft w:val="0"/>
      <w:marRight w:val="0"/>
      <w:marTop w:val="0"/>
      <w:marBottom w:val="0"/>
      <w:divBdr>
        <w:top w:val="none" w:sz="0" w:space="0" w:color="auto"/>
        <w:left w:val="none" w:sz="0" w:space="0" w:color="auto"/>
        <w:bottom w:val="none" w:sz="0" w:space="0" w:color="auto"/>
        <w:right w:val="none" w:sz="0" w:space="0" w:color="auto"/>
      </w:divBdr>
    </w:div>
    <w:div w:id="1007706376">
      <w:bodyDiv w:val="1"/>
      <w:marLeft w:val="0"/>
      <w:marRight w:val="0"/>
      <w:marTop w:val="0"/>
      <w:marBottom w:val="0"/>
      <w:divBdr>
        <w:top w:val="none" w:sz="0" w:space="0" w:color="auto"/>
        <w:left w:val="none" w:sz="0" w:space="0" w:color="auto"/>
        <w:bottom w:val="none" w:sz="0" w:space="0" w:color="auto"/>
        <w:right w:val="none" w:sz="0" w:space="0" w:color="auto"/>
      </w:divBdr>
    </w:div>
    <w:div w:id="1008289098">
      <w:bodyDiv w:val="1"/>
      <w:marLeft w:val="0"/>
      <w:marRight w:val="0"/>
      <w:marTop w:val="0"/>
      <w:marBottom w:val="0"/>
      <w:divBdr>
        <w:top w:val="none" w:sz="0" w:space="0" w:color="auto"/>
        <w:left w:val="none" w:sz="0" w:space="0" w:color="auto"/>
        <w:bottom w:val="none" w:sz="0" w:space="0" w:color="auto"/>
        <w:right w:val="none" w:sz="0" w:space="0" w:color="auto"/>
      </w:divBdr>
    </w:div>
    <w:div w:id="1008408388">
      <w:bodyDiv w:val="1"/>
      <w:marLeft w:val="0"/>
      <w:marRight w:val="0"/>
      <w:marTop w:val="0"/>
      <w:marBottom w:val="0"/>
      <w:divBdr>
        <w:top w:val="none" w:sz="0" w:space="0" w:color="auto"/>
        <w:left w:val="none" w:sz="0" w:space="0" w:color="auto"/>
        <w:bottom w:val="none" w:sz="0" w:space="0" w:color="auto"/>
        <w:right w:val="none" w:sz="0" w:space="0" w:color="auto"/>
      </w:divBdr>
    </w:div>
    <w:div w:id="1011375401">
      <w:bodyDiv w:val="1"/>
      <w:marLeft w:val="0"/>
      <w:marRight w:val="0"/>
      <w:marTop w:val="0"/>
      <w:marBottom w:val="0"/>
      <w:divBdr>
        <w:top w:val="none" w:sz="0" w:space="0" w:color="auto"/>
        <w:left w:val="none" w:sz="0" w:space="0" w:color="auto"/>
        <w:bottom w:val="none" w:sz="0" w:space="0" w:color="auto"/>
        <w:right w:val="none" w:sz="0" w:space="0" w:color="auto"/>
      </w:divBdr>
      <w:divsChild>
        <w:div w:id="729620011">
          <w:marLeft w:val="0"/>
          <w:marRight w:val="0"/>
          <w:marTop w:val="0"/>
          <w:marBottom w:val="150"/>
          <w:divBdr>
            <w:top w:val="none" w:sz="0" w:space="0" w:color="auto"/>
            <w:left w:val="none" w:sz="0" w:space="0" w:color="auto"/>
            <w:bottom w:val="single" w:sz="6" w:space="0" w:color="EEEEEE"/>
            <w:right w:val="none" w:sz="0" w:space="0" w:color="auto"/>
          </w:divBdr>
          <w:divsChild>
            <w:div w:id="1425564717">
              <w:marLeft w:val="0"/>
              <w:marRight w:val="0"/>
              <w:marTop w:val="150"/>
              <w:marBottom w:val="0"/>
              <w:divBdr>
                <w:top w:val="none" w:sz="0" w:space="0" w:color="auto"/>
                <w:left w:val="none" w:sz="0" w:space="0" w:color="auto"/>
                <w:bottom w:val="none" w:sz="0" w:space="0" w:color="auto"/>
                <w:right w:val="none" w:sz="0" w:space="0" w:color="auto"/>
              </w:divBdr>
              <w:divsChild>
                <w:div w:id="810639152">
                  <w:marLeft w:val="0"/>
                  <w:marRight w:val="0"/>
                  <w:marTop w:val="0"/>
                  <w:marBottom w:val="0"/>
                  <w:divBdr>
                    <w:top w:val="none" w:sz="0" w:space="0" w:color="auto"/>
                    <w:left w:val="none" w:sz="0" w:space="0" w:color="auto"/>
                    <w:bottom w:val="none" w:sz="0" w:space="0" w:color="auto"/>
                    <w:right w:val="none" w:sz="0" w:space="0" w:color="auto"/>
                  </w:divBdr>
                  <w:divsChild>
                    <w:div w:id="1055813451">
                      <w:marLeft w:val="0"/>
                      <w:marRight w:val="0"/>
                      <w:marTop w:val="300"/>
                      <w:marBottom w:val="0"/>
                      <w:divBdr>
                        <w:top w:val="single" w:sz="6" w:space="0" w:color="DDDDDD"/>
                        <w:left w:val="single" w:sz="6" w:space="0" w:color="DDDDDD"/>
                        <w:bottom w:val="single" w:sz="6" w:space="0" w:color="DDDDDD"/>
                        <w:right w:val="single" w:sz="6" w:space="0" w:color="DDDDDD"/>
                      </w:divBdr>
                      <w:divsChild>
                        <w:div w:id="179447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227501">
          <w:marLeft w:val="0"/>
          <w:marRight w:val="0"/>
          <w:marTop w:val="0"/>
          <w:marBottom w:val="0"/>
          <w:divBdr>
            <w:top w:val="none" w:sz="0" w:space="0" w:color="auto"/>
            <w:left w:val="none" w:sz="0" w:space="0" w:color="auto"/>
            <w:bottom w:val="none" w:sz="0" w:space="0" w:color="auto"/>
            <w:right w:val="none" w:sz="0" w:space="0" w:color="auto"/>
          </w:divBdr>
        </w:div>
      </w:divsChild>
    </w:div>
    <w:div w:id="1012297333">
      <w:bodyDiv w:val="1"/>
      <w:marLeft w:val="0"/>
      <w:marRight w:val="0"/>
      <w:marTop w:val="0"/>
      <w:marBottom w:val="0"/>
      <w:divBdr>
        <w:top w:val="none" w:sz="0" w:space="0" w:color="auto"/>
        <w:left w:val="none" w:sz="0" w:space="0" w:color="auto"/>
        <w:bottom w:val="none" w:sz="0" w:space="0" w:color="auto"/>
        <w:right w:val="none" w:sz="0" w:space="0" w:color="auto"/>
      </w:divBdr>
    </w:div>
    <w:div w:id="1015308769">
      <w:bodyDiv w:val="1"/>
      <w:marLeft w:val="0"/>
      <w:marRight w:val="0"/>
      <w:marTop w:val="0"/>
      <w:marBottom w:val="0"/>
      <w:divBdr>
        <w:top w:val="none" w:sz="0" w:space="0" w:color="auto"/>
        <w:left w:val="none" w:sz="0" w:space="0" w:color="auto"/>
        <w:bottom w:val="none" w:sz="0" w:space="0" w:color="auto"/>
        <w:right w:val="none" w:sz="0" w:space="0" w:color="auto"/>
      </w:divBdr>
      <w:divsChild>
        <w:div w:id="1706590008">
          <w:marLeft w:val="0"/>
          <w:marRight w:val="0"/>
          <w:marTop w:val="0"/>
          <w:marBottom w:val="0"/>
          <w:divBdr>
            <w:top w:val="none" w:sz="0" w:space="0" w:color="auto"/>
            <w:left w:val="none" w:sz="0" w:space="0" w:color="auto"/>
            <w:bottom w:val="none" w:sz="0" w:space="0" w:color="auto"/>
            <w:right w:val="none" w:sz="0" w:space="0" w:color="auto"/>
          </w:divBdr>
          <w:divsChild>
            <w:div w:id="1724211179">
              <w:marLeft w:val="0"/>
              <w:marRight w:val="0"/>
              <w:marTop w:val="0"/>
              <w:marBottom w:val="0"/>
              <w:divBdr>
                <w:top w:val="none" w:sz="0" w:space="0" w:color="auto"/>
                <w:left w:val="none" w:sz="0" w:space="0" w:color="auto"/>
                <w:bottom w:val="none" w:sz="0" w:space="0" w:color="auto"/>
                <w:right w:val="none" w:sz="0" w:space="0" w:color="auto"/>
              </w:divBdr>
              <w:divsChild>
                <w:div w:id="992374177">
                  <w:marLeft w:val="0"/>
                  <w:marRight w:val="0"/>
                  <w:marTop w:val="0"/>
                  <w:marBottom w:val="0"/>
                  <w:divBdr>
                    <w:top w:val="none" w:sz="0" w:space="0" w:color="auto"/>
                    <w:left w:val="none" w:sz="0" w:space="0" w:color="auto"/>
                    <w:bottom w:val="none" w:sz="0" w:space="0" w:color="auto"/>
                    <w:right w:val="none" w:sz="0" w:space="0" w:color="auto"/>
                  </w:divBdr>
                  <w:divsChild>
                    <w:div w:id="1987707822">
                      <w:marLeft w:val="0"/>
                      <w:marRight w:val="0"/>
                      <w:marTop w:val="0"/>
                      <w:marBottom w:val="0"/>
                      <w:divBdr>
                        <w:top w:val="none" w:sz="0" w:space="0" w:color="auto"/>
                        <w:left w:val="none" w:sz="0" w:space="0" w:color="auto"/>
                        <w:bottom w:val="none" w:sz="0" w:space="0" w:color="auto"/>
                        <w:right w:val="none" w:sz="0" w:space="0" w:color="auto"/>
                      </w:divBdr>
                      <w:divsChild>
                        <w:div w:id="1418091649">
                          <w:marLeft w:val="0"/>
                          <w:marRight w:val="0"/>
                          <w:marTop w:val="0"/>
                          <w:marBottom w:val="0"/>
                          <w:divBdr>
                            <w:top w:val="none" w:sz="0" w:space="0" w:color="auto"/>
                            <w:left w:val="none" w:sz="0" w:space="0" w:color="auto"/>
                            <w:bottom w:val="none" w:sz="0" w:space="0" w:color="auto"/>
                            <w:right w:val="none" w:sz="0" w:space="0" w:color="auto"/>
                          </w:divBdr>
                          <w:divsChild>
                            <w:div w:id="164523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399388">
      <w:bodyDiv w:val="1"/>
      <w:marLeft w:val="0"/>
      <w:marRight w:val="0"/>
      <w:marTop w:val="0"/>
      <w:marBottom w:val="0"/>
      <w:divBdr>
        <w:top w:val="none" w:sz="0" w:space="0" w:color="auto"/>
        <w:left w:val="none" w:sz="0" w:space="0" w:color="auto"/>
        <w:bottom w:val="none" w:sz="0" w:space="0" w:color="auto"/>
        <w:right w:val="none" w:sz="0" w:space="0" w:color="auto"/>
      </w:divBdr>
    </w:div>
    <w:div w:id="1021470977">
      <w:bodyDiv w:val="1"/>
      <w:marLeft w:val="0"/>
      <w:marRight w:val="0"/>
      <w:marTop w:val="0"/>
      <w:marBottom w:val="0"/>
      <w:divBdr>
        <w:top w:val="none" w:sz="0" w:space="0" w:color="auto"/>
        <w:left w:val="none" w:sz="0" w:space="0" w:color="auto"/>
        <w:bottom w:val="none" w:sz="0" w:space="0" w:color="auto"/>
        <w:right w:val="none" w:sz="0" w:space="0" w:color="auto"/>
      </w:divBdr>
    </w:div>
    <w:div w:id="1023363323">
      <w:bodyDiv w:val="1"/>
      <w:marLeft w:val="0"/>
      <w:marRight w:val="0"/>
      <w:marTop w:val="0"/>
      <w:marBottom w:val="0"/>
      <w:divBdr>
        <w:top w:val="none" w:sz="0" w:space="0" w:color="auto"/>
        <w:left w:val="none" w:sz="0" w:space="0" w:color="auto"/>
        <w:bottom w:val="none" w:sz="0" w:space="0" w:color="auto"/>
        <w:right w:val="none" w:sz="0" w:space="0" w:color="auto"/>
      </w:divBdr>
    </w:div>
    <w:div w:id="1023819533">
      <w:bodyDiv w:val="1"/>
      <w:marLeft w:val="0"/>
      <w:marRight w:val="0"/>
      <w:marTop w:val="0"/>
      <w:marBottom w:val="0"/>
      <w:divBdr>
        <w:top w:val="none" w:sz="0" w:space="0" w:color="auto"/>
        <w:left w:val="none" w:sz="0" w:space="0" w:color="auto"/>
        <w:bottom w:val="none" w:sz="0" w:space="0" w:color="auto"/>
        <w:right w:val="none" w:sz="0" w:space="0" w:color="auto"/>
      </w:divBdr>
    </w:div>
    <w:div w:id="1023945514">
      <w:bodyDiv w:val="1"/>
      <w:marLeft w:val="0"/>
      <w:marRight w:val="0"/>
      <w:marTop w:val="0"/>
      <w:marBottom w:val="0"/>
      <w:divBdr>
        <w:top w:val="none" w:sz="0" w:space="0" w:color="auto"/>
        <w:left w:val="none" w:sz="0" w:space="0" w:color="auto"/>
        <w:bottom w:val="none" w:sz="0" w:space="0" w:color="auto"/>
        <w:right w:val="none" w:sz="0" w:space="0" w:color="auto"/>
      </w:divBdr>
    </w:div>
    <w:div w:id="1030030447">
      <w:bodyDiv w:val="1"/>
      <w:marLeft w:val="0"/>
      <w:marRight w:val="0"/>
      <w:marTop w:val="0"/>
      <w:marBottom w:val="0"/>
      <w:divBdr>
        <w:top w:val="none" w:sz="0" w:space="0" w:color="auto"/>
        <w:left w:val="none" w:sz="0" w:space="0" w:color="auto"/>
        <w:bottom w:val="none" w:sz="0" w:space="0" w:color="auto"/>
        <w:right w:val="none" w:sz="0" w:space="0" w:color="auto"/>
      </w:divBdr>
    </w:div>
    <w:div w:id="1034690490">
      <w:bodyDiv w:val="1"/>
      <w:marLeft w:val="0"/>
      <w:marRight w:val="0"/>
      <w:marTop w:val="0"/>
      <w:marBottom w:val="0"/>
      <w:divBdr>
        <w:top w:val="none" w:sz="0" w:space="0" w:color="auto"/>
        <w:left w:val="none" w:sz="0" w:space="0" w:color="auto"/>
        <w:bottom w:val="none" w:sz="0" w:space="0" w:color="auto"/>
        <w:right w:val="none" w:sz="0" w:space="0" w:color="auto"/>
      </w:divBdr>
    </w:div>
    <w:div w:id="1036353095">
      <w:bodyDiv w:val="1"/>
      <w:marLeft w:val="0"/>
      <w:marRight w:val="0"/>
      <w:marTop w:val="0"/>
      <w:marBottom w:val="0"/>
      <w:divBdr>
        <w:top w:val="none" w:sz="0" w:space="0" w:color="auto"/>
        <w:left w:val="none" w:sz="0" w:space="0" w:color="auto"/>
        <w:bottom w:val="none" w:sz="0" w:space="0" w:color="auto"/>
        <w:right w:val="none" w:sz="0" w:space="0" w:color="auto"/>
      </w:divBdr>
    </w:div>
    <w:div w:id="1036930226">
      <w:bodyDiv w:val="1"/>
      <w:marLeft w:val="0"/>
      <w:marRight w:val="0"/>
      <w:marTop w:val="0"/>
      <w:marBottom w:val="0"/>
      <w:divBdr>
        <w:top w:val="none" w:sz="0" w:space="0" w:color="auto"/>
        <w:left w:val="none" w:sz="0" w:space="0" w:color="auto"/>
        <w:bottom w:val="none" w:sz="0" w:space="0" w:color="auto"/>
        <w:right w:val="none" w:sz="0" w:space="0" w:color="auto"/>
      </w:divBdr>
    </w:div>
    <w:div w:id="1041437366">
      <w:bodyDiv w:val="1"/>
      <w:marLeft w:val="0"/>
      <w:marRight w:val="0"/>
      <w:marTop w:val="0"/>
      <w:marBottom w:val="0"/>
      <w:divBdr>
        <w:top w:val="none" w:sz="0" w:space="0" w:color="auto"/>
        <w:left w:val="none" w:sz="0" w:space="0" w:color="auto"/>
        <w:bottom w:val="none" w:sz="0" w:space="0" w:color="auto"/>
        <w:right w:val="none" w:sz="0" w:space="0" w:color="auto"/>
      </w:divBdr>
    </w:div>
    <w:div w:id="1046566155">
      <w:bodyDiv w:val="1"/>
      <w:marLeft w:val="0"/>
      <w:marRight w:val="0"/>
      <w:marTop w:val="0"/>
      <w:marBottom w:val="0"/>
      <w:divBdr>
        <w:top w:val="none" w:sz="0" w:space="0" w:color="auto"/>
        <w:left w:val="none" w:sz="0" w:space="0" w:color="auto"/>
        <w:bottom w:val="none" w:sz="0" w:space="0" w:color="auto"/>
        <w:right w:val="none" w:sz="0" w:space="0" w:color="auto"/>
      </w:divBdr>
    </w:div>
    <w:div w:id="1048720050">
      <w:bodyDiv w:val="1"/>
      <w:marLeft w:val="0"/>
      <w:marRight w:val="0"/>
      <w:marTop w:val="0"/>
      <w:marBottom w:val="0"/>
      <w:divBdr>
        <w:top w:val="none" w:sz="0" w:space="0" w:color="auto"/>
        <w:left w:val="none" w:sz="0" w:space="0" w:color="auto"/>
        <w:bottom w:val="none" w:sz="0" w:space="0" w:color="auto"/>
        <w:right w:val="none" w:sz="0" w:space="0" w:color="auto"/>
      </w:divBdr>
    </w:div>
    <w:div w:id="1050224819">
      <w:bodyDiv w:val="1"/>
      <w:marLeft w:val="0"/>
      <w:marRight w:val="0"/>
      <w:marTop w:val="0"/>
      <w:marBottom w:val="0"/>
      <w:divBdr>
        <w:top w:val="none" w:sz="0" w:space="0" w:color="auto"/>
        <w:left w:val="none" w:sz="0" w:space="0" w:color="auto"/>
        <w:bottom w:val="none" w:sz="0" w:space="0" w:color="auto"/>
        <w:right w:val="none" w:sz="0" w:space="0" w:color="auto"/>
      </w:divBdr>
    </w:div>
    <w:div w:id="1052147569">
      <w:bodyDiv w:val="1"/>
      <w:marLeft w:val="0"/>
      <w:marRight w:val="0"/>
      <w:marTop w:val="0"/>
      <w:marBottom w:val="0"/>
      <w:divBdr>
        <w:top w:val="none" w:sz="0" w:space="0" w:color="auto"/>
        <w:left w:val="none" w:sz="0" w:space="0" w:color="auto"/>
        <w:bottom w:val="none" w:sz="0" w:space="0" w:color="auto"/>
        <w:right w:val="none" w:sz="0" w:space="0" w:color="auto"/>
      </w:divBdr>
    </w:div>
    <w:div w:id="1060059111">
      <w:bodyDiv w:val="1"/>
      <w:marLeft w:val="0"/>
      <w:marRight w:val="0"/>
      <w:marTop w:val="0"/>
      <w:marBottom w:val="0"/>
      <w:divBdr>
        <w:top w:val="none" w:sz="0" w:space="0" w:color="auto"/>
        <w:left w:val="none" w:sz="0" w:space="0" w:color="auto"/>
        <w:bottom w:val="none" w:sz="0" w:space="0" w:color="auto"/>
        <w:right w:val="none" w:sz="0" w:space="0" w:color="auto"/>
      </w:divBdr>
    </w:div>
    <w:div w:id="1062867884">
      <w:bodyDiv w:val="1"/>
      <w:marLeft w:val="0"/>
      <w:marRight w:val="0"/>
      <w:marTop w:val="0"/>
      <w:marBottom w:val="0"/>
      <w:divBdr>
        <w:top w:val="none" w:sz="0" w:space="0" w:color="auto"/>
        <w:left w:val="none" w:sz="0" w:space="0" w:color="auto"/>
        <w:bottom w:val="none" w:sz="0" w:space="0" w:color="auto"/>
        <w:right w:val="none" w:sz="0" w:space="0" w:color="auto"/>
      </w:divBdr>
    </w:div>
    <w:div w:id="1066494122">
      <w:bodyDiv w:val="1"/>
      <w:marLeft w:val="0"/>
      <w:marRight w:val="0"/>
      <w:marTop w:val="0"/>
      <w:marBottom w:val="0"/>
      <w:divBdr>
        <w:top w:val="none" w:sz="0" w:space="0" w:color="auto"/>
        <w:left w:val="none" w:sz="0" w:space="0" w:color="auto"/>
        <w:bottom w:val="none" w:sz="0" w:space="0" w:color="auto"/>
        <w:right w:val="none" w:sz="0" w:space="0" w:color="auto"/>
      </w:divBdr>
    </w:div>
    <w:div w:id="1067344551">
      <w:bodyDiv w:val="1"/>
      <w:marLeft w:val="0"/>
      <w:marRight w:val="0"/>
      <w:marTop w:val="0"/>
      <w:marBottom w:val="0"/>
      <w:divBdr>
        <w:top w:val="none" w:sz="0" w:space="0" w:color="auto"/>
        <w:left w:val="none" w:sz="0" w:space="0" w:color="auto"/>
        <w:bottom w:val="none" w:sz="0" w:space="0" w:color="auto"/>
        <w:right w:val="none" w:sz="0" w:space="0" w:color="auto"/>
      </w:divBdr>
    </w:div>
    <w:div w:id="1068458066">
      <w:bodyDiv w:val="1"/>
      <w:marLeft w:val="0"/>
      <w:marRight w:val="0"/>
      <w:marTop w:val="0"/>
      <w:marBottom w:val="0"/>
      <w:divBdr>
        <w:top w:val="none" w:sz="0" w:space="0" w:color="auto"/>
        <w:left w:val="none" w:sz="0" w:space="0" w:color="auto"/>
        <w:bottom w:val="none" w:sz="0" w:space="0" w:color="auto"/>
        <w:right w:val="none" w:sz="0" w:space="0" w:color="auto"/>
      </w:divBdr>
    </w:div>
    <w:div w:id="1069501176">
      <w:bodyDiv w:val="1"/>
      <w:marLeft w:val="0"/>
      <w:marRight w:val="0"/>
      <w:marTop w:val="0"/>
      <w:marBottom w:val="0"/>
      <w:divBdr>
        <w:top w:val="none" w:sz="0" w:space="0" w:color="auto"/>
        <w:left w:val="none" w:sz="0" w:space="0" w:color="auto"/>
        <w:bottom w:val="none" w:sz="0" w:space="0" w:color="auto"/>
        <w:right w:val="none" w:sz="0" w:space="0" w:color="auto"/>
      </w:divBdr>
    </w:div>
    <w:div w:id="1071854893">
      <w:bodyDiv w:val="1"/>
      <w:marLeft w:val="0"/>
      <w:marRight w:val="0"/>
      <w:marTop w:val="0"/>
      <w:marBottom w:val="0"/>
      <w:divBdr>
        <w:top w:val="none" w:sz="0" w:space="0" w:color="auto"/>
        <w:left w:val="none" w:sz="0" w:space="0" w:color="auto"/>
        <w:bottom w:val="none" w:sz="0" w:space="0" w:color="auto"/>
        <w:right w:val="none" w:sz="0" w:space="0" w:color="auto"/>
      </w:divBdr>
    </w:div>
    <w:div w:id="1072510078">
      <w:bodyDiv w:val="1"/>
      <w:marLeft w:val="0"/>
      <w:marRight w:val="0"/>
      <w:marTop w:val="0"/>
      <w:marBottom w:val="0"/>
      <w:divBdr>
        <w:top w:val="none" w:sz="0" w:space="0" w:color="auto"/>
        <w:left w:val="none" w:sz="0" w:space="0" w:color="auto"/>
        <w:bottom w:val="none" w:sz="0" w:space="0" w:color="auto"/>
        <w:right w:val="none" w:sz="0" w:space="0" w:color="auto"/>
      </w:divBdr>
    </w:div>
    <w:div w:id="1077434777">
      <w:bodyDiv w:val="1"/>
      <w:marLeft w:val="0"/>
      <w:marRight w:val="0"/>
      <w:marTop w:val="0"/>
      <w:marBottom w:val="0"/>
      <w:divBdr>
        <w:top w:val="none" w:sz="0" w:space="0" w:color="auto"/>
        <w:left w:val="none" w:sz="0" w:space="0" w:color="auto"/>
        <w:bottom w:val="none" w:sz="0" w:space="0" w:color="auto"/>
        <w:right w:val="none" w:sz="0" w:space="0" w:color="auto"/>
      </w:divBdr>
    </w:div>
    <w:div w:id="1078745617">
      <w:bodyDiv w:val="1"/>
      <w:marLeft w:val="0"/>
      <w:marRight w:val="0"/>
      <w:marTop w:val="0"/>
      <w:marBottom w:val="0"/>
      <w:divBdr>
        <w:top w:val="none" w:sz="0" w:space="0" w:color="auto"/>
        <w:left w:val="none" w:sz="0" w:space="0" w:color="auto"/>
        <w:bottom w:val="none" w:sz="0" w:space="0" w:color="auto"/>
        <w:right w:val="none" w:sz="0" w:space="0" w:color="auto"/>
      </w:divBdr>
    </w:div>
    <w:div w:id="1081414019">
      <w:bodyDiv w:val="1"/>
      <w:marLeft w:val="0"/>
      <w:marRight w:val="0"/>
      <w:marTop w:val="0"/>
      <w:marBottom w:val="0"/>
      <w:divBdr>
        <w:top w:val="none" w:sz="0" w:space="0" w:color="auto"/>
        <w:left w:val="none" w:sz="0" w:space="0" w:color="auto"/>
        <w:bottom w:val="none" w:sz="0" w:space="0" w:color="auto"/>
        <w:right w:val="none" w:sz="0" w:space="0" w:color="auto"/>
      </w:divBdr>
    </w:div>
    <w:div w:id="1084955492">
      <w:bodyDiv w:val="1"/>
      <w:marLeft w:val="0"/>
      <w:marRight w:val="0"/>
      <w:marTop w:val="0"/>
      <w:marBottom w:val="0"/>
      <w:divBdr>
        <w:top w:val="none" w:sz="0" w:space="0" w:color="auto"/>
        <w:left w:val="none" w:sz="0" w:space="0" w:color="auto"/>
        <w:bottom w:val="none" w:sz="0" w:space="0" w:color="auto"/>
        <w:right w:val="none" w:sz="0" w:space="0" w:color="auto"/>
      </w:divBdr>
    </w:div>
    <w:div w:id="1086803582">
      <w:bodyDiv w:val="1"/>
      <w:marLeft w:val="0"/>
      <w:marRight w:val="0"/>
      <w:marTop w:val="0"/>
      <w:marBottom w:val="0"/>
      <w:divBdr>
        <w:top w:val="none" w:sz="0" w:space="0" w:color="auto"/>
        <w:left w:val="none" w:sz="0" w:space="0" w:color="auto"/>
        <w:bottom w:val="none" w:sz="0" w:space="0" w:color="auto"/>
        <w:right w:val="none" w:sz="0" w:space="0" w:color="auto"/>
      </w:divBdr>
      <w:divsChild>
        <w:div w:id="825054856">
          <w:marLeft w:val="0"/>
          <w:marRight w:val="0"/>
          <w:marTop w:val="0"/>
          <w:marBottom w:val="0"/>
          <w:divBdr>
            <w:top w:val="none" w:sz="0" w:space="0" w:color="auto"/>
            <w:left w:val="none" w:sz="0" w:space="0" w:color="auto"/>
            <w:bottom w:val="none" w:sz="0" w:space="0" w:color="auto"/>
            <w:right w:val="none" w:sz="0" w:space="0" w:color="auto"/>
          </w:divBdr>
          <w:divsChild>
            <w:div w:id="1448500058">
              <w:marLeft w:val="0"/>
              <w:marRight w:val="0"/>
              <w:marTop w:val="0"/>
              <w:marBottom w:val="0"/>
              <w:divBdr>
                <w:top w:val="none" w:sz="0" w:space="0" w:color="auto"/>
                <w:left w:val="none" w:sz="0" w:space="0" w:color="auto"/>
                <w:bottom w:val="none" w:sz="0" w:space="0" w:color="auto"/>
                <w:right w:val="none" w:sz="0" w:space="0" w:color="auto"/>
              </w:divBdr>
              <w:divsChild>
                <w:div w:id="1530097921">
                  <w:marLeft w:val="0"/>
                  <w:marRight w:val="0"/>
                  <w:marTop w:val="0"/>
                  <w:marBottom w:val="0"/>
                  <w:divBdr>
                    <w:top w:val="none" w:sz="0" w:space="0" w:color="auto"/>
                    <w:left w:val="none" w:sz="0" w:space="0" w:color="auto"/>
                    <w:bottom w:val="none" w:sz="0" w:space="0" w:color="auto"/>
                    <w:right w:val="none" w:sz="0" w:space="0" w:color="auto"/>
                  </w:divBdr>
                  <w:divsChild>
                    <w:div w:id="1659840474">
                      <w:marLeft w:val="0"/>
                      <w:marRight w:val="0"/>
                      <w:marTop w:val="0"/>
                      <w:marBottom w:val="0"/>
                      <w:divBdr>
                        <w:top w:val="none" w:sz="0" w:space="0" w:color="auto"/>
                        <w:left w:val="none" w:sz="0" w:space="0" w:color="auto"/>
                        <w:bottom w:val="none" w:sz="0" w:space="0" w:color="auto"/>
                        <w:right w:val="none" w:sz="0" w:space="0" w:color="auto"/>
                      </w:divBdr>
                      <w:divsChild>
                        <w:div w:id="58672179">
                          <w:marLeft w:val="0"/>
                          <w:marRight w:val="0"/>
                          <w:marTop w:val="0"/>
                          <w:marBottom w:val="0"/>
                          <w:divBdr>
                            <w:top w:val="none" w:sz="0" w:space="0" w:color="auto"/>
                            <w:left w:val="none" w:sz="0" w:space="0" w:color="auto"/>
                            <w:bottom w:val="none" w:sz="0" w:space="0" w:color="auto"/>
                            <w:right w:val="none" w:sz="0" w:space="0" w:color="auto"/>
                          </w:divBdr>
                          <w:divsChild>
                            <w:div w:id="145714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008060">
      <w:bodyDiv w:val="1"/>
      <w:marLeft w:val="0"/>
      <w:marRight w:val="0"/>
      <w:marTop w:val="0"/>
      <w:marBottom w:val="0"/>
      <w:divBdr>
        <w:top w:val="none" w:sz="0" w:space="0" w:color="auto"/>
        <w:left w:val="none" w:sz="0" w:space="0" w:color="auto"/>
        <w:bottom w:val="none" w:sz="0" w:space="0" w:color="auto"/>
        <w:right w:val="none" w:sz="0" w:space="0" w:color="auto"/>
      </w:divBdr>
    </w:div>
    <w:div w:id="1090807153">
      <w:bodyDiv w:val="1"/>
      <w:marLeft w:val="0"/>
      <w:marRight w:val="0"/>
      <w:marTop w:val="0"/>
      <w:marBottom w:val="0"/>
      <w:divBdr>
        <w:top w:val="none" w:sz="0" w:space="0" w:color="auto"/>
        <w:left w:val="none" w:sz="0" w:space="0" w:color="auto"/>
        <w:bottom w:val="none" w:sz="0" w:space="0" w:color="auto"/>
        <w:right w:val="none" w:sz="0" w:space="0" w:color="auto"/>
      </w:divBdr>
    </w:div>
    <w:div w:id="1092437942">
      <w:bodyDiv w:val="1"/>
      <w:marLeft w:val="0"/>
      <w:marRight w:val="0"/>
      <w:marTop w:val="0"/>
      <w:marBottom w:val="0"/>
      <w:divBdr>
        <w:top w:val="none" w:sz="0" w:space="0" w:color="auto"/>
        <w:left w:val="none" w:sz="0" w:space="0" w:color="auto"/>
        <w:bottom w:val="none" w:sz="0" w:space="0" w:color="auto"/>
        <w:right w:val="none" w:sz="0" w:space="0" w:color="auto"/>
      </w:divBdr>
    </w:div>
    <w:div w:id="1095707096">
      <w:bodyDiv w:val="1"/>
      <w:marLeft w:val="0"/>
      <w:marRight w:val="0"/>
      <w:marTop w:val="0"/>
      <w:marBottom w:val="0"/>
      <w:divBdr>
        <w:top w:val="none" w:sz="0" w:space="0" w:color="auto"/>
        <w:left w:val="none" w:sz="0" w:space="0" w:color="auto"/>
        <w:bottom w:val="none" w:sz="0" w:space="0" w:color="auto"/>
        <w:right w:val="none" w:sz="0" w:space="0" w:color="auto"/>
      </w:divBdr>
    </w:div>
    <w:div w:id="1097797723">
      <w:bodyDiv w:val="1"/>
      <w:marLeft w:val="0"/>
      <w:marRight w:val="0"/>
      <w:marTop w:val="0"/>
      <w:marBottom w:val="0"/>
      <w:divBdr>
        <w:top w:val="none" w:sz="0" w:space="0" w:color="auto"/>
        <w:left w:val="none" w:sz="0" w:space="0" w:color="auto"/>
        <w:bottom w:val="none" w:sz="0" w:space="0" w:color="auto"/>
        <w:right w:val="none" w:sz="0" w:space="0" w:color="auto"/>
      </w:divBdr>
    </w:div>
    <w:div w:id="1099761010">
      <w:bodyDiv w:val="1"/>
      <w:marLeft w:val="0"/>
      <w:marRight w:val="0"/>
      <w:marTop w:val="0"/>
      <w:marBottom w:val="0"/>
      <w:divBdr>
        <w:top w:val="none" w:sz="0" w:space="0" w:color="auto"/>
        <w:left w:val="none" w:sz="0" w:space="0" w:color="auto"/>
        <w:bottom w:val="none" w:sz="0" w:space="0" w:color="auto"/>
        <w:right w:val="none" w:sz="0" w:space="0" w:color="auto"/>
      </w:divBdr>
    </w:div>
    <w:div w:id="1100952279">
      <w:bodyDiv w:val="1"/>
      <w:marLeft w:val="0"/>
      <w:marRight w:val="0"/>
      <w:marTop w:val="0"/>
      <w:marBottom w:val="0"/>
      <w:divBdr>
        <w:top w:val="none" w:sz="0" w:space="0" w:color="auto"/>
        <w:left w:val="none" w:sz="0" w:space="0" w:color="auto"/>
        <w:bottom w:val="none" w:sz="0" w:space="0" w:color="auto"/>
        <w:right w:val="none" w:sz="0" w:space="0" w:color="auto"/>
      </w:divBdr>
    </w:div>
    <w:div w:id="1101494372">
      <w:bodyDiv w:val="1"/>
      <w:marLeft w:val="0"/>
      <w:marRight w:val="0"/>
      <w:marTop w:val="0"/>
      <w:marBottom w:val="0"/>
      <w:divBdr>
        <w:top w:val="none" w:sz="0" w:space="0" w:color="auto"/>
        <w:left w:val="none" w:sz="0" w:space="0" w:color="auto"/>
        <w:bottom w:val="none" w:sz="0" w:space="0" w:color="auto"/>
        <w:right w:val="none" w:sz="0" w:space="0" w:color="auto"/>
      </w:divBdr>
    </w:div>
    <w:div w:id="1105661068">
      <w:bodyDiv w:val="1"/>
      <w:marLeft w:val="0"/>
      <w:marRight w:val="0"/>
      <w:marTop w:val="0"/>
      <w:marBottom w:val="0"/>
      <w:divBdr>
        <w:top w:val="none" w:sz="0" w:space="0" w:color="auto"/>
        <w:left w:val="none" w:sz="0" w:space="0" w:color="auto"/>
        <w:bottom w:val="none" w:sz="0" w:space="0" w:color="auto"/>
        <w:right w:val="none" w:sz="0" w:space="0" w:color="auto"/>
      </w:divBdr>
    </w:div>
    <w:div w:id="1107962351">
      <w:bodyDiv w:val="1"/>
      <w:marLeft w:val="0"/>
      <w:marRight w:val="0"/>
      <w:marTop w:val="0"/>
      <w:marBottom w:val="0"/>
      <w:divBdr>
        <w:top w:val="none" w:sz="0" w:space="0" w:color="auto"/>
        <w:left w:val="none" w:sz="0" w:space="0" w:color="auto"/>
        <w:bottom w:val="none" w:sz="0" w:space="0" w:color="auto"/>
        <w:right w:val="none" w:sz="0" w:space="0" w:color="auto"/>
      </w:divBdr>
    </w:div>
    <w:div w:id="1108697580">
      <w:bodyDiv w:val="1"/>
      <w:marLeft w:val="0"/>
      <w:marRight w:val="0"/>
      <w:marTop w:val="0"/>
      <w:marBottom w:val="0"/>
      <w:divBdr>
        <w:top w:val="none" w:sz="0" w:space="0" w:color="auto"/>
        <w:left w:val="none" w:sz="0" w:space="0" w:color="auto"/>
        <w:bottom w:val="none" w:sz="0" w:space="0" w:color="auto"/>
        <w:right w:val="none" w:sz="0" w:space="0" w:color="auto"/>
      </w:divBdr>
    </w:div>
    <w:div w:id="1111246707">
      <w:bodyDiv w:val="1"/>
      <w:marLeft w:val="0"/>
      <w:marRight w:val="0"/>
      <w:marTop w:val="0"/>
      <w:marBottom w:val="0"/>
      <w:divBdr>
        <w:top w:val="none" w:sz="0" w:space="0" w:color="auto"/>
        <w:left w:val="none" w:sz="0" w:space="0" w:color="auto"/>
        <w:bottom w:val="none" w:sz="0" w:space="0" w:color="auto"/>
        <w:right w:val="none" w:sz="0" w:space="0" w:color="auto"/>
      </w:divBdr>
    </w:div>
    <w:div w:id="1114904508">
      <w:bodyDiv w:val="1"/>
      <w:marLeft w:val="0"/>
      <w:marRight w:val="0"/>
      <w:marTop w:val="0"/>
      <w:marBottom w:val="0"/>
      <w:divBdr>
        <w:top w:val="none" w:sz="0" w:space="0" w:color="auto"/>
        <w:left w:val="none" w:sz="0" w:space="0" w:color="auto"/>
        <w:bottom w:val="none" w:sz="0" w:space="0" w:color="auto"/>
        <w:right w:val="none" w:sz="0" w:space="0" w:color="auto"/>
      </w:divBdr>
    </w:div>
    <w:div w:id="1115295378">
      <w:bodyDiv w:val="1"/>
      <w:marLeft w:val="0"/>
      <w:marRight w:val="0"/>
      <w:marTop w:val="0"/>
      <w:marBottom w:val="0"/>
      <w:divBdr>
        <w:top w:val="none" w:sz="0" w:space="0" w:color="auto"/>
        <w:left w:val="none" w:sz="0" w:space="0" w:color="auto"/>
        <w:bottom w:val="none" w:sz="0" w:space="0" w:color="auto"/>
        <w:right w:val="none" w:sz="0" w:space="0" w:color="auto"/>
      </w:divBdr>
    </w:div>
    <w:div w:id="1116411190">
      <w:bodyDiv w:val="1"/>
      <w:marLeft w:val="0"/>
      <w:marRight w:val="0"/>
      <w:marTop w:val="0"/>
      <w:marBottom w:val="0"/>
      <w:divBdr>
        <w:top w:val="none" w:sz="0" w:space="0" w:color="auto"/>
        <w:left w:val="none" w:sz="0" w:space="0" w:color="auto"/>
        <w:bottom w:val="none" w:sz="0" w:space="0" w:color="auto"/>
        <w:right w:val="none" w:sz="0" w:space="0" w:color="auto"/>
      </w:divBdr>
    </w:div>
    <w:div w:id="1121806072">
      <w:bodyDiv w:val="1"/>
      <w:marLeft w:val="0"/>
      <w:marRight w:val="0"/>
      <w:marTop w:val="0"/>
      <w:marBottom w:val="0"/>
      <w:divBdr>
        <w:top w:val="none" w:sz="0" w:space="0" w:color="auto"/>
        <w:left w:val="none" w:sz="0" w:space="0" w:color="auto"/>
        <w:bottom w:val="none" w:sz="0" w:space="0" w:color="auto"/>
        <w:right w:val="none" w:sz="0" w:space="0" w:color="auto"/>
      </w:divBdr>
    </w:div>
    <w:div w:id="1126580423">
      <w:bodyDiv w:val="1"/>
      <w:marLeft w:val="0"/>
      <w:marRight w:val="0"/>
      <w:marTop w:val="0"/>
      <w:marBottom w:val="0"/>
      <w:divBdr>
        <w:top w:val="none" w:sz="0" w:space="0" w:color="auto"/>
        <w:left w:val="none" w:sz="0" w:space="0" w:color="auto"/>
        <w:bottom w:val="none" w:sz="0" w:space="0" w:color="auto"/>
        <w:right w:val="none" w:sz="0" w:space="0" w:color="auto"/>
      </w:divBdr>
    </w:div>
    <w:div w:id="1128083986">
      <w:bodyDiv w:val="1"/>
      <w:marLeft w:val="0"/>
      <w:marRight w:val="0"/>
      <w:marTop w:val="0"/>
      <w:marBottom w:val="0"/>
      <w:divBdr>
        <w:top w:val="none" w:sz="0" w:space="0" w:color="auto"/>
        <w:left w:val="none" w:sz="0" w:space="0" w:color="auto"/>
        <w:bottom w:val="none" w:sz="0" w:space="0" w:color="auto"/>
        <w:right w:val="none" w:sz="0" w:space="0" w:color="auto"/>
      </w:divBdr>
    </w:div>
    <w:div w:id="1129007633">
      <w:bodyDiv w:val="1"/>
      <w:marLeft w:val="0"/>
      <w:marRight w:val="0"/>
      <w:marTop w:val="0"/>
      <w:marBottom w:val="0"/>
      <w:divBdr>
        <w:top w:val="none" w:sz="0" w:space="0" w:color="auto"/>
        <w:left w:val="none" w:sz="0" w:space="0" w:color="auto"/>
        <w:bottom w:val="none" w:sz="0" w:space="0" w:color="auto"/>
        <w:right w:val="none" w:sz="0" w:space="0" w:color="auto"/>
      </w:divBdr>
    </w:div>
    <w:div w:id="1136024686">
      <w:bodyDiv w:val="1"/>
      <w:marLeft w:val="0"/>
      <w:marRight w:val="0"/>
      <w:marTop w:val="0"/>
      <w:marBottom w:val="0"/>
      <w:divBdr>
        <w:top w:val="none" w:sz="0" w:space="0" w:color="auto"/>
        <w:left w:val="none" w:sz="0" w:space="0" w:color="auto"/>
        <w:bottom w:val="none" w:sz="0" w:space="0" w:color="auto"/>
        <w:right w:val="none" w:sz="0" w:space="0" w:color="auto"/>
      </w:divBdr>
    </w:div>
    <w:div w:id="1136294101">
      <w:bodyDiv w:val="1"/>
      <w:marLeft w:val="0"/>
      <w:marRight w:val="0"/>
      <w:marTop w:val="0"/>
      <w:marBottom w:val="0"/>
      <w:divBdr>
        <w:top w:val="none" w:sz="0" w:space="0" w:color="auto"/>
        <w:left w:val="none" w:sz="0" w:space="0" w:color="auto"/>
        <w:bottom w:val="none" w:sz="0" w:space="0" w:color="auto"/>
        <w:right w:val="none" w:sz="0" w:space="0" w:color="auto"/>
      </w:divBdr>
    </w:div>
    <w:div w:id="1139348124">
      <w:bodyDiv w:val="1"/>
      <w:marLeft w:val="0"/>
      <w:marRight w:val="0"/>
      <w:marTop w:val="0"/>
      <w:marBottom w:val="0"/>
      <w:divBdr>
        <w:top w:val="none" w:sz="0" w:space="0" w:color="auto"/>
        <w:left w:val="none" w:sz="0" w:space="0" w:color="auto"/>
        <w:bottom w:val="none" w:sz="0" w:space="0" w:color="auto"/>
        <w:right w:val="none" w:sz="0" w:space="0" w:color="auto"/>
      </w:divBdr>
    </w:div>
    <w:div w:id="1139499105">
      <w:bodyDiv w:val="1"/>
      <w:marLeft w:val="0"/>
      <w:marRight w:val="0"/>
      <w:marTop w:val="0"/>
      <w:marBottom w:val="0"/>
      <w:divBdr>
        <w:top w:val="none" w:sz="0" w:space="0" w:color="auto"/>
        <w:left w:val="none" w:sz="0" w:space="0" w:color="auto"/>
        <w:bottom w:val="none" w:sz="0" w:space="0" w:color="auto"/>
        <w:right w:val="none" w:sz="0" w:space="0" w:color="auto"/>
      </w:divBdr>
    </w:div>
    <w:div w:id="1146363258">
      <w:bodyDiv w:val="1"/>
      <w:marLeft w:val="0"/>
      <w:marRight w:val="0"/>
      <w:marTop w:val="0"/>
      <w:marBottom w:val="0"/>
      <w:divBdr>
        <w:top w:val="none" w:sz="0" w:space="0" w:color="auto"/>
        <w:left w:val="none" w:sz="0" w:space="0" w:color="auto"/>
        <w:bottom w:val="none" w:sz="0" w:space="0" w:color="auto"/>
        <w:right w:val="none" w:sz="0" w:space="0" w:color="auto"/>
      </w:divBdr>
    </w:div>
    <w:div w:id="1146972206">
      <w:bodyDiv w:val="1"/>
      <w:marLeft w:val="0"/>
      <w:marRight w:val="0"/>
      <w:marTop w:val="0"/>
      <w:marBottom w:val="0"/>
      <w:divBdr>
        <w:top w:val="none" w:sz="0" w:space="0" w:color="auto"/>
        <w:left w:val="none" w:sz="0" w:space="0" w:color="auto"/>
        <w:bottom w:val="none" w:sz="0" w:space="0" w:color="auto"/>
        <w:right w:val="none" w:sz="0" w:space="0" w:color="auto"/>
      </w:divBdr>
    </w:div>
    <w:div w:id="1150318797">
      <w:bodyDiv w:val="1"/>
      <w:marLeft w:val="0"/>
      <w:marRight w:val="0"/>
      <w:marTop w:val="0"/>
      <w:marBottom w:val="0"/>
      <w:divBdr>
        <w:top w:val="none" w:sz="0" w:space="0" w:color="auto"/>
        <w:left w:val="none" w:sz="0" w:space="0" w:color="auto"/>
        <w:bottom w:val="none" w:sz="0" w:space="0" w:color="auto"/>
        <w:right w:val="none" w:sz="0" w:space="0" w:color="auto"/>
      </w:divBdr>
      <w:divsChild>
        <w:div w:id="1017538440">
          <w:marLeft w:val="0"/>
          <w:marRight w:val="0"/>
          <w:marTop w:val="600"/>
          <w:marBottom w:val="0"/>
          <w:divBdr>
            <w:top w:val="none" w:sz="0" w:space="0" w:color="auto"/>
            <w:left w:val="none" w:sz="0" w:space="0" w:color="auto"/>
            <w:bottom w:val="none" w:sz="0" w:space="0" w:color="auto"/>
            <w:right w:val="none" w:sz="0" w:space="0" w:color="auto"/>
          </w:divBdr>
        </w:div>
        <w:div w:id="2086368816">
          <w:marLeft w:val="0"/>
          <w:marRight w:val="0"/>
          <w:marTop w:val="600"/>
          <w:marBottom w:val="0"/>
          <w:divBdr>
            <w:top w:val="none" w:sz="0" w:space="0" w:color="auto"/>
            <w:left w:val="none" w:sz="0" w:space="0" w:color="auto"/>
            <w:bottom w:val="none" w:sz="0" w:space="0" w:color="auto"/>
            <w:right w:val="none" w:sz="0" w:space="0" w:color="auto"/>
          </w:divBdr>
        </w:div>
      </w:divsChild>
    </w:div>
    <w:div w:id="1151866535">
      <w:bodyDiv w:val="1"/>
      <w:marLeft w:val="0"/>
      <w:marRight w:val="0"/>
      <w:marTop w:val="0"/>
      <w:marBottom w:val="0"/>
      <w:divBdr>
        <w:top w:val="none" w:sz="0" w:space="0" w:color="auto"/>
        <w:left w:val="none" w:sz="0" w:space="0" w:color="auto"/>
        <w:bottom w:val="none" w:sz="0" w:space="0" w:color="auto"/>
        <w:right w:val="none" w:sz="0" w:space="0" w:color="auto"/>
      </w:divBdr>
    </w:div>
    <w:div w:id="1152402445">
      <w:bodyDiv w:val="1"/>
      <w:marLeft w:val="0"/>
      <w:marRight w:val="0"/>
      <w:marTop w:val="0"/>
      <w:marBottom w:val="0"/>
      <w:divBdr>
        <w:top w:val="none" w:sz="0" w:space="0" w:color="auto"/>
        <w:left w:val="none" w:sz="0" w:space="0" w:color="auto"/>
        <w:bottom w:val="none" w:sz="0" w:space="0" w:color="auto"/>
        <w:right w:val="none" w:sz="0" w:space="0" w:color="auto"/>
      </w:divBdr>
    </w:div>
    <w:div w:id="1153524926">
      <w:bodyDiv w:val="1"/>
      <w:marLeft w:val="0"/>
      <w:marRight w:val="0"/>
      <w:marTop w:val="0"/>
      <w:marBottom w:val="0"/>
      <w:divBdr>
        <w:top w:val="none" w:sz="0" w:space="0" w:color="auto"/>
        <w:left w:val="none" w:sz="0" w:space="0" w:color="auto"/>
        <w:bottom w:val="none" w:sz="0" w:space="0" w:color="auto"/>
        <w:right w:val="none" w:sz="0" w:space="0" w:color="auto"/>
      </w:divBdr>
    </w:div>
    <w:div w:id="1157577888">
      <w:bodyDiv w:val="1"/>
      <w:marLeft w:val="0"/>
      <w:marRight w:val="0"/>
      <w:marTop w:val="0"/>
      <w:marBottom w:val="0"/>
      <w:divBdr>
        <w:top w:val="none" w:sz="0" w:space="0" w:color="auto"/>
        <w:left w:val="none" w:sz="0" w:space="0" w:color="auto"/>
        <w:bottom w:val="none" w:sz="0" w:space="0" w:color="auto"/>
        <w:right w:val="none" w:sz="0" w:space="0" w:color="auto"/>
      </w:divBdr>
    </w:div>
    <w:div w:id="1157847413">
      <w:bodyDiv w:val="1"/>
      <w:marLeft w:val="0"/>
      <w:marRight w:val="0"/>
      <w:marTop w:val="0"/>
      <w:marBottom w:val="0"/>
      <w:divBdr>
        <w:top w:val="none" w:sz="0" w:space="0" w:color="auto"/>
        <w:left w:val="none" w:sz="0" w:space="0" w:color="auto"/>
        <w:bottom w:val="none" w:sz="0" w:space="0" w:color="auto"/>
        <w:right w:val="none" w:sz="0" w:space="0" w:color="auto"/>
      </w:divBdr>
    </w:div>
    <w:div w:id="1162623196">
      <w:bodyDiv w:val="1"/>
      <w:marLeft w:val="0"/>
      <w:marRight w:val="0"/>
      <w:marTop w:val="0"/>
      <w:marBottom w:val="0"/>
      <w:divBdr>
        <w:top w:val="none" w:sz="0" w:space="0" w:color="auto"/>
        <w:left w:val="none" w:sz="0" w:space="0" w:color="auto"/>
        <w:bottom w:val="none" w:sz="0" w:space="0" w:color="auto"/>
        <w:right w:val="none" w:sz="0" w:space="0" w:color="auto"/>
      </w:divBdr>
    </w:div>
    <w:div w:id="1163592939">
      <w:bodyDiv w:val="1"/>
      <w:marLeft w:val="0"/>
      <w:marRight w:val="0"/>
      <w:marTop w:val="0"/>
      <w:marBottom w:val="0"/>
      <w:divBdr>
        <w:top w:val="none" w:sz="0" w:space="0" w:color="auto"/>
        <w:left w:val="none" w:sz="0" w:space="0" w:color="auto"/>
        <w:bottom w:val="none" w:sz="0" w:space="0" w:color="auto"/>
        <w:right w:val="none" w:sz="0" w:space="0" w:color="auto"/>
      </w:divBdr>
    </w:div>
    <w:div w:id="1164976290">
      <w:bodyDiv w:val="1"/>
      <w:marLeft w:val="0"/>
      <w:marRight w:val="0"/>
      <w:marTop w:val="0"/>
      <w:marBottom w:val="0"/>
      <w:divBdr>
        <w:top w:val="none" w:sz="0" w:space="0" w:color="auto"/>
        <w:left w:val="none" w:sz="0" w:space="0" w:color="auto"/>
        <w:bottom w:val="none" w:sz="0" w:space="0" w:color="auto"/>
        <w:right w:val="none" w:sz="0" w:space="0" w:color="auto"/>
      </w:divBdr>
    </w:div>
    <w:div w:id="1170677000">
      <w:bodyDiv w:val="1"/>
      <w:marLeft w:val="0"/>
      <w:marRight w:val="0"/>
      <w:marTop w:val="0"/>
      <w:marBottom w:val="0"/>
      <w:divBdr>
        <w:top w:val="none" w:sz="0" w:space="0" w:color="auto"/>
        <w:left w:val="none" w:sz="0" w:space="0" w:color="auto"/>
        <w:bottom w:val="none" w:sz="0" w:space="0" w:color="auto"/>
        <w:right w:val="none" w:sz="0" w:space="0" w:color="auto"/>
      </w:divBdr>
    </w:div>
    <w:div w:id="1172797778">
      <w:bodyDiv w:val="1"/>
      <w:marLeft w:val="0"/>
      <w:marRight w:val="0"/>
      <w:marTop w:val="0"/>
      <w:marBottom w:val="0"/>
      <w:divBdr>
        <w:top w:val="none" w:sz="0" w:space="0" w:color="auto"/>
        <w:left w:val="none" w:sz="0" w:space="0" w:color="auto"/>
        <w:bottom w:val="none" w:sz="0" w:space="0" w:color="auto"/>
        <w:right w:val="none" w:sz="0" w:space="0" w:color="auto"/>
      </w:divBdr>
    </w:div>
    <w:div w:id="1176652099">
      <w:bodyDiv w:val="1"/>
      <w:marLeft w:val="0"/>
      <w:marRight w:val="0"/>
      <w:marTop w:val="0"/>
      <w:marBottom w:val="0"/>
      <w:divBdr>
        <w:top w:val="none" w:sz="0" w:space="0" w:color="auto"/>
        <w:left w:val="none" w:sz="0" w:space="0" w:color="auto"/>
        <w:bottom w:val="none" w:sz="0" w:space="0" w:color="auto"/>
        <w:right w:val="none" w:sz="0" w:space="0" w:color="auto"/>
      </w:divBdr>
    </w:div>
    <w:div w:id="1181748005">
      <w:bodyDiv w:val="1"/>
      <w:marLeft w:val="0"/>
      <w:marRight w:val="0"/>
      <w:marTop w:val="0"/>
      <w:marBottom w:val="0"/>
      <w:divBdr>
        <w:top w:val="none" w:sz="0" w:space="0" w:color="auto"/>
        <w:left w:val="none" w:sz="0" w:space="0" w:color="auto"/>
        <w:bottom w:val="none" w:sz="0" w:space="0" w:color="auto"/>
        <w:right w:val="none" w:sz="0" w:space="0" w:color="auto"/>
      </w:divBdr>
    </w:div>
    <w:div w:id="1185747921">
      <w:bodyDiv w:val="1"/>
      <w:marLeft w:val="0"/>
      <w:marRight w:val="0"/>
      <w:marTop w:val="0"/>
      <w:marBottom w:val="0"/>
      <w:divBdr>
        <w:top w:val="none" w:sz="0" w:space="0" w:color="auto"/>
        <w:left w:val="none" w:sz="0" w:space="0" w:color="auto"/>
        <w:bottom w:val="none" w:sz="0" w:space="0" w:color="auto"/>
        <w:right w:val="none" w:sz="0" w:space="0" w:color="auto"/>
      </w:divBdr>
    </w:div>
    <w:div w:id="1189224345">
      <w:bodyDiv w:val="1"/>
      <w:marLeft w:val="0"/>
      <w:marRight w:val="0"/>
      <w:marTop w:val="0"/>
      <w:marBottom w:val="0"/>
      <w:divBdr>
        <w:top w:val="none" w:sz="0" w:space="0" w:color="auto"/>
        <w:left w:val="none" w:sz="0" w:space="0" w:color="auto"/>
        <w:bottom w:val="none" w:sz="0" w:space="0" w:color="auto"/>
        <w:right w:val="none" w:sz="0" w:space="0" w:color="auto"/>
      </w:divBdr>
    </w:div>
    <w:div w:id="1190873903">
      <w:bodyDiv w:val="1"/>
      <w:marLeft w:val="0"/>
      <w:marRight w:val="0"/>
      <w:marTop w:val="0"/>
      <w:marBottom w:val="0"/>
      <w:divBdr>
        <w:top w:val="none" w:sz="0" w:space="0" w:color="auto"/>
        <w:left w:val="none" w:sz="0" w:space="0" w:color="auto"/>
        <w:bottom w:val="none" w:sz="0" w:space="0" w:color="auto"/>
        <w:right w:val="none" w:sz="0" w:space="0" w:color="auto"/>
      </w:divBdr>
    </w:div>
    <w:div w:id="1192066217">
      <w:bodyDiv w:val="1"/>
      <w:marLeft w:val="0"/>
      <w:marRight w:val="0"/>
      <w:marTop w:val="0"/>
      <w:marBottom w:val="0"/>
      <w:divBdr>
        <w:top w:val="none" w:sz="0" w:space="0" w:color="auto"/>
        <w:left w:val="none" w:sz="0" w:space="0" w:color="auto"/>
        <w:bottom w:val="none" w:sz="0" w:space="0" w:color="auto"/>
        <w:right w:val="none" w:sz="0" w:space="0" w:color="auto"/>
      </w:divBdr>
    </w:div>
    <w:div w:id="1193112847">
      <w:bodyDiv w:val="1"/>
      <w:marLeft w:val="0"/>
      <w:marRight w:val="0"/>
      <w:marTop w:val="0"/>
      <w:marBottom w:val="0"/>
      <w:divBdr>
        <w:top w:val="none" w:sz="0" w:space="0" w:color="auto"/>
        <w:left w:val="none" w:sz="0" w:space="0" w:color="auto"/>
        <w:bottom w:val="none" w:sz="0" w:space="0" w:color="auto"/>
        <w:right w:val="none" w:sz="0" w:space="0" w:color="auto"/>
      </w:divBdr>
    </w:div>
    <w:div w:id="1193572282">
      <w:bodyDiv w:val="1"/>
      <w:marLeft w:val="0"/>
      <w:marRight w:val="0"/>
      <w:marTop w:val="0"/>
      <w:marBottom w:val="0"/>
      <w:divBdr>
        <w:top w:val="none" w:sz="0" w:space="0" w:color="auto"/>
        <w:left w:val="none" w:sz="0" w:space="0" w:color="auto"/>
        <w:bottom w:val="none" w:sz="0" w:space="0" w:color="auto"/>
        <w:right w:val="none" w:sz="0" w:space="0" w:color="auto"/>
      </w:divBdr>
    </w:div>
    <w:div w:id="1194927120">
      <w:bodyDiv w:val="1"/>
      <w:marLeft w:val="0"/>
      <w:marRight w:val="0"/>
      <w:marTop w:val="0"/>
      <w:marBottom w:val="0"/>
      <w:divBdr>
        <w:top w:val="none" w:sz="0" w:space="0" w:color="auto"/>
        <w:left w:val="none" w:sz="0" w:space="0" w:color="auto"/>
        <w:bottom w:val="none" w:sz="0" w:space="0" w:color="auto"/>
        <w:right w:val="none" w:sz="0" w:space="0" w:color="auto"/>
      </w:divBdr>
    </w:div>
    <w:div w:id="1195508799">
      <w:bodyDiv w:val="1"/>
      <w:marLeft w:val="0"/>
      <w:marRight w:val="0"/>
      <w:marTop w:val="0"/>
      <w:marBottom w:val="0"/>
      <w:divBdr>
        <w:top w:val="none" w:sz="0" w:space="0" w:color="auto"/>
        <w:left w:val="none" w:sz="0" w:space="0" w:color="auto"/>
        <w:bottom w:val="none" w:sz="0" w:space="0" w:color="auto"/>
        <w:right w:val="none" w:sz="0" w:space="0" w:color="auto"/>
      </w:divBdr>
    </w:div>
    <w:div w:id="1197307628">
      <w:bodyDiv w:val="1"/>
      <w:marLeft w:val="0"/>
      <w:marRight w:val="0"/>
      <w:marTop w:val="0"/>
      <w:marBottom w:val="0"/>
      <w:divBdr>
        <w:top w:val="none" w:sz="0" w:space="0" w:color="auto"/>
        <w:left w:val="none" w:sz="0" w:space="0" w:color="auto"/>
        <w:bottom w:val="none" w:sz="0" w:space="0" w:color="auto"/>
        <w:right w:val="none" w:sz="0" w:space="0" w:color="auto"/>
      </w:divBdr>
    </w:div>
    <w:div w:id="1198010470">
      <w:bodyDiv w:val="1"/>
      <w:marLeft w:val="0"/>
      <w:marRight w:val="0"/>
      <w:marTop w:val="0"/>
      <w:marBottom w:val="0"/>
      <w:divBdr>
        <w:top w:val="none" w:sz="0" w:space="0" w:color="auto"/>
        <w:left w:val="none" w:sz="0" w:space="0" w:color="auto"/>
        <w:bottom w:val="none" w:sz="0" w:space="0" w:color="auto"/>
        <w:right w:val="none" w:sz="0" w:space="0" w:color="auto"/>
      </w:divBdr>
    </w:div>
    <w:div w:id="1198661385">
      <w:bodyDiv w:val="1"/>
      <w:marLeft w:val="0"/>
      <w:marRight w:val="0"/>
      <w:marTop w:val="0"/>
      <w:marBottom w:val="0"/>
      <w:divBdr>
        <w:top w:val="none" w:sz="0" w:space="0" w:color="auto"/>
        <w:left w:val="none" w:sz="0" w:space="0" w:color="auto"/>
        <w:bottom w:val="none" w:sz="0" w:space="0" w:color="auto"/>
        <w:right w:val="none" w:sz="0" w:space="0" w:color="auto"/>
      </w:divBdr>
    </w:div>
    <w:div w:id="1200162936">
      <w:bodyDiv w:val="1"/>
      <w:marLeft w:val="0"/>
      <w:marRight w:val="0"/>
      <w:marTop w:val="0"/>
      <w:marBottom w:val="0"/>
      <w:divBdr>
        <w:top w:val="none" w:sz="0" w:space="0" w:color="auto"/>
        <w:left w:val="none" w:sz="0" w:space="0" w:color="auto"/>
        <w:bottom w:val="none" w:sz="0" w:space="0" w:color="auto"/>
        <w:right w:val="none" w:sz="0" w:space="0" w:color="auto"/>
      </w:divBdr>
    </w:div>
    <w:div w:id="1200898437">
      <w:bodyDiv w:val="1"/>
      <w:marLeft w:val="0"/>
      <w:marRight w:val="0"/>
      <w:marTop w:val="0"/>
      <w:marBottom w:val="0"/>
      <w:divBdr>
        <w:top w:val="none" w:sz="0" w:space="0" w:color="auto"/>
        <w:left w:val="none" w:sz="0" w:space="0" w:color="auto"/>
        <w:bottom w:val="none" w:sz="0" w:space="0" w:color="auto"/>
        <w:right w:val="none" w:sz="0" w:space="0" w:color="auto"/>
      </w:divBdr>
    </w:div>
    <w:div w:id="1201823502">
      <w:bodyDiv w:val="1"/>
      <w:marLeft w:val="0"/>
      <w:marRight w:val="0"/>
      <w:marTop w:val="0"/>
      <w:marBottom w:val="0"/>
      <w:divBdr>
        <w:top w:val="none" w:sz="0" w:space="0" w:color="auto"/>
        <w:left w:val="none" w:sz="0" w:space="0" w:color="auto"/>
        <w:bottom w:val="none" w:sz="0" w:space="0" w:color="auto"/>
        <w:right w:val="none" w:sz="0" w:space="0" w:color="auto"/>
      </w:divBdr>
    </w:div>
    <w:div w:id="1205024872">
      <w:bodyDiv w:val="1"/>
      <w:marLeft w:val="0"/>
      <w:marRight w:val="0"/>
      <w:marTop w:val="0"/>
      <w:marBottom w:val="0"/>
      <w:divBdr>
        <w:top w:val="none" w:sz="0" w:space="0" w:color="auto"/>
        <w:left w:val="none" w:sz="0" w:space="0" w:color="auto"/>
        <w:bottom w:val="none" w:sz="0" w:space="0" w:color="auto"/>
        <w:right w:val="none" w:sz="0" w:space="0" w:color="auto"/>
      </w:divBdr>
    </w:div>
    <w:div w:id="1208181629">
      <w:bodyDiv w:val="1"/>
      <w:marLeft w:val="0"/>
      <w:marRight w:val="0"/>
      <w:marTop w:val="0"/>
      <w:marBottom w:val="0"/>
      <w:divBdr>
        <w:top w:val="none" w:sz="0" w:space="0" w:color="auto"/>
        <w:left w:val="none" w:sz="0" w:space="0" w:color="auto"/>
        <w:bottom w:val="none" w:sz="0" w:space="0" w:color="auto"/>
        <w:right w:val="none" w:sz="0" w:space="0" w:color="auto"/>
      </w:divBdr>
    </w:div>
    <w:div w:id="1212578350">
      <w:bodyDiv w:val="1"/>
      <w:marLeft w:val="0"/>
      <w:marRight w:val="0"/>
      <w:marTop w:val="0"/>
      <w:marBottom w:val="0"/>
      <w:divBdr>
        <w:top w:val="none" w:sz="0" w:space="0" w:color="auto"/>
        <w:left w:val="none" w:sz="0" w:space="0" w:color="auto"/>
        <w:bottom w:val="none" w:sz="0" w:space="0" w:color="auto"/>
        <w:right w:val="none" w:sz="0" w:space="0" w:color="auto"/>
      </w:divBdr>
    </w:div>
    <w:div w:id="1212886251">
      <w:bodyDiv w:val="1"/>
      <w:marLeft w:val="0"/>
      <w:marRight w:val="0"/>
      <w:marTop w:val="0"/>
      <w:marBottom w:val="0"/>
      <w:divBdr>
        <w:top w:val="none" w:sz="0" w:space="0" w:color="auto"/>
        <w:left w:val="none" w:sz="0" w:space="0" w:color="auto"/>
        <w:bottom w:val="none" w:sz="0" w:space="0" w:color="auto"/>
        <w:right w:val="none" w:sz="0" w:space="0" w:color="auto"/>
      </w:divBdr>
    </w:div>
    <w:div w:id="1213032669">
      <w:bodyDiv w:val="1"/>
      <w:marLeft w:val="0"/>
      <w:marRight w:val="0"/>
      <w:marTop w:val="0"/>
      <w:marBottom w:val="0"/>
      <w:divBdr>
        <w:top w:val="none" w:sz="0" w:space="0" w:color="auto"/>
        <w:left w:val="none" w:sz="0" w:space="0" w:color="auto"/>
        <w:bottom w:val="none" w:sz="0" w:space="0" w:color="auto"/>
        <w:right w:val="none" w:sz="0" w:space="0" w:color="auto"/>
      </w:divBdr>
    </w:div>
    <w:div w:id="1225987461">
      <w:bodyDiv w:val="1"/>
      <w:marLeft w:val="0"/>
      <w:marRight w:val="0"/>
      <w:marTop w:val="0"/>
      <w:marBottom w:val="0"/>
      <w:divBdr>
        <w:top w:val="none" w:sz="0" w:space="0" w:color="auto"/>
        <w:left w:val="none" w:sz="0" w:space="0" w:color="auto"/>
        <w:bottom w:val="none" w:sz="0" w:space="0" w:color="auto"/>
        <w:right w:val="none" w:sz="0" w:space="0" w:color="auto"/>
      </w:divBdr>
    </w:div>
    <w:div w:id="1229224457">
      <w:bodyDiv w:val="1"/>
      <w:marLeft w:val="0"/>
      <w:marRight w:val="0"/>
      <w:marTop w:val="0"/>
      <w:marBottom w:val="0"/>
      <w:divBdr>
        <w:top w:val="none" w:sz="0" w:space="0" w:color="auto"/>
        <w:left w:val="none" w:sz="0" w:space="0" w:color="auto"/>
        <w:bottom w:val="none" w:sz="0" w:space="0" w:color="auto"/>
        <w:right w:val="none" w:sz="0" w:space="0" w:color="auto"/>
      </w:divBdr>
    </w:div>
    <w:div w:id="1230268607">
      <w:bodyDiv w:val="1"/>
      <w:marLeft w:val="0"/>
      <w:marRight w:val="0"/>
      <w:marTop w:val="0"/>
      <w:marBottom w:val="0"/>
      <w:divBdr>
        <w:top w:val="none" w:sz="0" w:space="0" w:color="auto"/>
        <w:left w:val="none" w:sz="0" w:space="0" w:color="auto"/>
        <w:bottom w:val="none" w:sz="0" w:space="0" w:color="auto"/>
        <w:right w:val="none" w:sz="0" w:space="0" w:color="auto"/>
      </w:divBdr>
    </w:div>
    <w:div w:id="1230577322">
      <w:bodyDiv w:val="1"/>
      <w:marLeft w:val="0"/>
      <w:marRight w:val="0"/>
      <w:marTop w:val="0"/>
      <w:marBottom w:val="0"/>
      <w:divBdr>
        <w:top w:val="none" w:sz="0" w:space="0" w:color="auto"/>
        <w:left w:val="none" w:sz="0" w:space="0" w:color="auto"/>
        <w:bottom w:val="none" w:sz="0" w:space="0" w:color="auto"/>
        <w:right w:val="none" w:sz="0" w:space="0" w:color="auto"/>
      </w:divBdr>
    </w:div>
    <w:div w:id="1231770238">
      <w:bodyDiv w:val="1"/>
      <w:marLeft w:val="0"/>
      <w:marRight w:val="0"/>
      <w:marTop w:val="0"/>
      <w:marBottom w:val="0"/>
      <w:divBdr>
        <w:top w:val="none" w:sz="0" w:space="0" w:color="auto"/>
        <w:left w:val="none" w:sz="0" w:space="0" w:color="auto"/>
        <w:bottom w:val="none" w:sz="0" w:space="0" w:color="auto"/>
        <w:right w:val="none" w:sz="0" w:space="0" w:color="auto"/>
      </w:divBdr>
    </w:div>
    <w:div w:id="1234244314">
      <w:bodyDiv w:val="1"/>
      <w:marLeft w:val="0"/>
      <w:marRight w:val="0"/>
      <w:marTop w:val="0"/>
      <w:marBottom w:val="0"/>
      <w:divBdr>
        <w:top w:val="none" w:sz="0" w:space="0" w:color="auto"/>
        <w:left w:val="none" w:sz="0" w:space="0" w:color="auto"/>
        <w:bottom w:val="none" w:sz="0" w:space="0" w:color="auto"/>
        <w:right w:val="none" w:sz="0" w:space="0" w:color="auto"/>
      </w:divBdr>
    </w:div>
    <w:div w:id="1237864953">
      <w:bodyDiv w:val="1"/>
      <w:marLeft w:val="0"/>
      <w:marRight w:val="0"/>
      <w:marTop w:val="0"/>
      <w:marBottom w:val="0"/>
      <w:divBdr>
        <w:top w:val="none" w:sz="0" w:space="0" w:color="auto"/>
        <w:left w:val="none" w:sz="0" w:space="0" w:color="auto"/>
        <w:bottom w:val="none" w:sz="0" w:space="0" w:color="auto"/>
        <w:right w:val="none" w:sz="0" w:space="0" w:color="auto"/>
      </w:divBdr>
    </w:div>
    <w:div w:id="1240016925">
      <w:bodyDiv w:val="1"/>
      <w:marLeft w:val="0"/>
      <w:marRight w:val="0"/>
      <w:marTop w:val="0"/>
      <w:marBottom w:val="0"/>
      <w:divBdr>
        <w:top w:val="none" w:sz="0" w:space="0" w:color="auto"/>
        <w:left w:val="none" w:sz="0" w:space="0" w:color="auto"/>
        <w:bottom w:val="none" w:sz="0" w:space="0" w:color="auto"/>
        <w:right w:val="none" w:sz="0" w:space="0" w:color="auto"/>
      </w:divBdr>
      <w:divsChild>
        <w:div w:id="1714159918">
          <w:marLeft w:val="0"/>
          <w:marRight w:val="0"/>
          <w:marTop w:val="0"/>
          <w:marBottom w:val="0"/>
          <w:divBdr>
            <w:top w:val="none" w:sz="0" w:space="0" w:color="auto"/>
            <w:left w:val="none" w:sz="0" w:space="0" w:color="auto"/>
            <w:bottom w:val="none" w:sz="0" w:space="0" w:color="auto"/>
            <w:right w:val="none" w:sz="0" w:space="0" w:color="auto"/>
          </w:divBdr>
          <w:divsChild>
            <w:div w:id="525951369">
              <w:marLeft w:val="-225"/>
              <w:marRight w:val="-225"/>
              <w:marTop w:val="0"/>
              <w:marBottom w:val="0"/>
              <w:divBdr>
                <w:top w:val="none" w:sz="0" w:space="0" w:color="auto"/>
                <w:left w:val="none" w:sz="0" w:space="0" w:color="auto"/>
                <w:bottom w:val="none" w:sz="0" w:space="0" w:color="auto"/>
                <w:right w:val="none" w:sz="0" w:space="0" w:color="auto"/>
              </w:divBdr>
              <w:divsChild>
                <w:div w:id="2015914319">
                  <w:marLeft w:val="0"/>
                  <w:marRight w:val="0"/>
                  <w:marTop w:val="0"/>
                  <w:marBottom w:val="0"/>
                  <w:divBdr>
                    <w:top w:val="none" w:sz="0" w:space="0" w:color="auto"/>
                    <w:left w:val="none" w:sz="0" w:space="0" w:color="auto"/>
                    <w:bottom w:val="none" w:sz="0" w:space="0" w:color="auto"/>
                    <w:right w:val="none" w:sz="0" w:space="0" w:color="auto"/>
                  </w:divBdr>
                  <w:divsChild>
                    <w:div w:id="770276484">
                      <w:marLeft w:val="0"/>
                      <w:marRight w:val="0"/>
                      <w:marTop w:val="0"/>
                      <w:marBottom w:val="0"/>
                      <w:divBdr>
                        <w:top w:val="none" w:sz="0" w:space="0" w:color="auto"/>
                        <w:left w:val="none" w:sz="0" w:space="0" w:color="auto"/>
                        <w:bottom w:val="none" w:sz="0" w:space="0" w:color="auto"/>
                        <w:right w:val="none" w:sz="0" w:space="0" w:color="auto"/>
                      </w:divBdr>
                      <w:divsChild>
                        <w:div w:id="488864804">
                          <w:marLeft w:val="0"/>
                          <w:marRight w:val="0"/>
                          <w:marTop w:val="0"/>
                          <w:marBottom w:val="0"/>
                          <w:divBdr>
                            <w:top w:val="none" w:sz="0" w:space="0" w:color="auto"/>
                            <w:left w:val="none" w:sz="0" w:space="0" w:color="auto"/>
                            <w:bottom w:val="none" w:sz="0" w:space="0" w:color="auto"/>
                            <w:right w:val="none" w:sz="0" w:space="0" w:color="auto"/>
                          </w:divBdr>
                          <w:divsChild>
                            <w:div w:id="1444152798">
                              <w:marLeft w:val="0"/>
                              <w:marRight w:val="0"/>
                              <w:marTop w:val="0"/>
                              <w:marBottom w:val="0"/>
                              <w:divBdr>
                                <w:top w:val="none" w:sz="0" w:space="0" w:color="auto"/>
                                <w:left w:val="none" w:sz="0" w:space="0" w:color="auto"/>
                                <w:bottom w:val="none" w:sz="0" w:space="0" w:color="auto"/>
                                <w:right w:val="none" w:sz="0" w:space="0" w:color="auto"/>
                              </w:divBdr>
                              <w:divsChild>
                                <w:div w:id="35561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0945952">
      <w:bodyDiv w:val="1"/>
      <w:marLeft w:val="0"/>
      <w:marRight w:val="0"/>
      <w:marTop w:val="0"/>
      <w:marBottom w:val="0"/>
      <w:divBdr>
        <w:top w:val="none" w:sz="0" w:space="0" w:color="auto"/>
        <w:left w:val="none" w:sz="0" w:space="0" w:color="auto"/>
        <w:bottom w:val="none" w:sz="0" w:space="0" w:color="auto"/>
        <w:right w:val="none" w:sz="0" w:space="0" w:color="auto"/>
      </w:divBdr>
    </w:div>
    <w:div w:id="1241987458">
      <w:bodyDiv w:val="1"/>
      <w:marLeft w:val="0"/>
      <w:marRight w:val="0"/>
      <w:marTop w:val="0"/>
      <w:marBottom w:val="0"/>
      <w:divBdr>
        <w:top w:val="none" w:sz="0" w:space="0" w:color="auto"/>
        <w:left w:val="none" w:sz="0" w:space="0" w:color="auto"/>
        <w:bottom w:val="none" w:sz="0" w:space="0" w:color="auto"/>
        <w:right w:val="none" w:sz="0" w:space="0" w:color="auto"/>
      </w:divBdr>
    </w:div>
    <w:div w:id="1246691605">
      <w:bodyDiv w:val="1"/>
      <w:marLeft w:val="0"/>
      <w:marRight w:val="0"/>
      <w:marTop w:val="0"/>
      <w:marBottom w:val="0"/>
      <w:divBdr>
        <w:top w:val="none" w:sz="0" w:space="0" w:color="auto"/>
        <w:left w:val="none" w:sz="0" w:space="0" w:color="auto"/>
        <w:bottom w:val="none" w:sz="0" w:space="0" w:color="auto"/>
        <w:right w:val="none" w:sz="0" w:space="0" w:color="auto"/>
      </w:divBdr>
    </w:div>
    <w:div w:id="1248265836">
      <w:bodyDiv w:val="1"/>
      <w:marLeft w:val="0"/>
      <w:marRight w:val="0"/>
      <w:marTop w:val="0"/>
      <w:marBottom w:val="0"/>
      <w:divBdr>
        <w:top w:val="none" w:sz="0" w:space="0" w:color="auto"/>
        <w:left w:val="none" w:sz="0" w:space="0" w:color="auto"/>
        <w:bottom w:val="none" w:sz="0" w:space="0" w:color="auto"/>
        <w:right w:val="none" w:sz="0" w:space="0" w:color="auto"/>
      </w:divBdr>
    </w:div>
    <w:div w:id="1250237664">
      <w:bodyDiv w:val="1"/>
      <w:marLeft w:val="0"/>
      <w:marRight w:val="0"/>
      <w:marTop w:val="0"/>
      <w:marBottom w:val="0"/>
      <w:divBdr>
        <w:top w:val="none" w:sz="0" w:space="0" w:color="auto"/>
        <w:left w:val="none" w:sz="0" w:space="0" w:color="auto"/>
        <w:bottom w:val="none" w:sz="0" w:space="0" w:color="auto"/>
        <w:right w:val="none" w:sz="0" w:space="0" w:color="auto"/>
      </w:divBdr>
    </w:div>
    <w:div w:id="1250308871">
      <w:bodyDiv w:val="1"/>
      <w:marLeft w:val="0"/>
      <w:marRight w:val="0"/>
      <w:marTop w:val="0"/>
      <w:marBottom w:val="0"/>
      <w:divBdr>
        <w:top w:val="none" w:sz="0" w:space="0" w:color="auto"/>
        <w:left w:val="none" w:sz="0" w:space="0" w:color="auto"/>
        <w:bottom w:val="none" w:sz="0" w:space="0" w:color="auto"/>
        <w:right w:val="none" w:sz="0" w:space="0" w:color="auto"/>
      </w:divBdr>
    </w:div>
    <w:div w:id="1250386538">
      <w:bodyDiv w:val="1"/>
      <w:marLeft w:val="0"/>
      <w:marRight w:val="0"/>
      <w:marTop w:val="0"/>
      <w:marBottom w:val="0"/>
      <w:divBdr>
        <w:top w:val="none" w:sz="0" w:space="0" w:color="auto"/>
        <w:left w:val="none" w:sz="0" w:space="0" w:color="auto"/>
        <w:bottom w:val="none" w:sz="0" w:space="0" w:color="auto"/>
        <w:right w:val="none" w:sz="0" w:space="0" w:color="auto"/>
      </w:divBdr>
    </w:div>
    <w:div w:id="1251618555">
      <w:bodyDiv w:val="1"/>
      <w:marLeft w:val="0"/>
      <w:marRight w:val="0"/>
      <w:marTop w:val="0"/>
      <w:marBottom w:val="0"/>
      <w:divBdr>
        <w:top w:val="none" w:sz="0" w:space="0" w:color="auto"/>
        <w:left w:val="none" w:sz="0" w:space="0" w:color="auto"/>
        <w:bottom w:val="none" w:sz="0" w:space="0" w:color="auto"/>
        <w:right w:val="none" w:sz="0" w:space="0" w:color="auto"/>
      </w:divBdr>
    </w:div>
    <w:div w:id="1252424359">
      <w:bodyDiv w:val="1"/>
      <w:marLeft w:val="0"/>
      <w:marRight w:val="0"/>
      <w:marTop w:val="0"/>
      <w:marBottom w:val="0"/>
      <w:divBdr>
        <w:top w:val="none" w:sz="0" w:space="0" w:color="auto"/>
        <w:left w:val="none" w:sz="0" w:space="0" w:color="auto"/>
        <w:bottom w:val="none" w:sz="0" w:space="0" w:color="auto"/>
        <w:right w:val="none" w:sz="0" w:space="0" w:color="auto"/>
      </w:divBdr>
    </w:div>
    <w:div w:id="1253394884">
      <w:bodyDiv w:val="1"/>
      <w:marLeft w:val="0"/>
      <w:marRight w:val="0"/>
      <w:marTop w:val="0"/>
      <w:marBottom w:val="0"/>
      <w:divBdr>
        <w:top w:val="none" w:sz="0" w:space="0" w:color="auto"/>
        <w:left w:val="none" w:sz="0" w:space="0" w:color="auto"/>
        <w:bottom w:val="none" w:sz="0" w:space="0" w:color="auto"/>
        <w:right w:val="none" w:sz="0" w:space="0" w:color="auto"/>
      </w:divBdr>
    </w:div>
    <w:div w:id="1253705110">
      <w:bodyDiv w:val="1"/>
      <w:marLeft w:val="0"/>
      <w:marRight w:val="0"/>
      <w:marTop w:val="0"/>
      <w:marBottom w:val="0"/>
      <w:divBdr>
        <w:top w:val="none" w:sz="0" w:space="0" w:color="auto"/>
        <w:left w:val="none" w:sz="0" w:space="0" w:color="auto"/>
        <w:bottom w:val="none" w:sz="0" w:space="0" w:color="auto"/>
        <w:right w:val="none" w:sz="0" w:space="0" w:color="auto"/>
      </w:divBdr>
    </w:div>
    <w:div w:id="1256330298">
      <w:bodyDiv w:val="1"/>
      <w:marLeft w:val="0"/>
      <w:marRight w:val="0"/>
      <w:marTop w:val="0"/>
      <w:marBottom w:val="0"/>
      <w:divBdr>
        <w:top w:val="none" w:sz="0" w:space="0" w:color="auto"/>
        <w:left w:val="none" w:sz="0" w:space="0" w:color="auto"/>
        <w:bottom w:val="none" w:sz="0" w:space="0" w:color="auto"/>
        <w:right w:val="none" w:sz="0" w:space="0" w:color="auto"/>
      </w:divBdr>
    </w:div>
    <w:div w:id="1259288615">
      <w:bodyDiv w:val="1"/>
      <w:marLeft w:val="0"/>
      <w:marRight w:val="0"/>
      <w:marTop w:val="0"/>
      <w:marBottom w:val="0"/>
      <w:divBdr>
        <w:top w:val="none" w:sz="0" w:space="0" w:color="auto"/>
        <w:left w:val="none" w:sz="0" w:space="0" w:color="auto"/>
        <w:bottom w:val="none" w:sz="0" w:space="0" w:color="auto"/>
        <w:right w:val="none" w:sz="0" w:space="0" w:color="auto"/>
      </w:divBdr>
    </w:div>
    <w:div w:id="1259365150">
      <w:bodyDiv w:val="1"/>
      <w:marLeft w:val="0"/>
      <w:marRight w:val="0"/>
      <w:marTop w:val="0"/>
      <w:marBottom w:val="0"/>
      <w:divBdr>
        <w:top w:val="none" w:sz="0" w:space="0" w:color="auto"/>
        <w:left w:val="none" w:sz="0" w:space="0" w:color="auto"/>
        <w:bottom w:val="none" w:sz="0" w:space="0" w:color="auto"/>
        <w:right w:val="none" w:sz="0" w:space="0" w:color="auto"/>
      </w:divBdr>
    </w:div>
    <w:div w:id="1271208917">
      <w:bodyDiv w:val="1"/>
      <w:marLeft w:val="0"/>
      <w:marRight w:val="0"/>
      <w:marTop w:val="0"/>
      <w:marBottom w:val="0"/>
      <w:divBdr>
        <w:top w:val="none" w:sz="0" w:space="0" w:color="auto"/>
        <w:left w:val="none" w:sz="0" w:space="0" w:color="auto"/>
        <w:bottom w:val="none" w:sz="0" w:space="0" w:color="auto"/>
        <w:right w:val="none" w:sz="0" w:space="0" w:color="auto"/>
      </w:divBdr>
    </w:div>
    <w:div w:id="1276642585">
      <w:bodyDiv w:val="1"/>
      <w:marLeft w:val="0"/>
      <w:marRight w:val="0"/>
      <w:marTop w:val="0"/>
      <w:marBottom w:val="0"/>
      <w:divBdr>
        <w:top w:val="none" w:sz="0" w:space="0" w:color="auto"/>
        <w:left w:val="none" w:sz="0" w:space="0" w:color="auto"/>
        <w:bottom w:val="none" w:sz="0" w:space="0" w:color="auto"/>
        <w:right w:val="none" w:sz="0" w:space="0" w:color="auto"/>
      </w:divBdr>
    </w:div>
    <w:div w:id="1278754044">
      <w:bodyDiv w:val="1"/>
      <w:marLeft w:val="0"/>
      <w:marRight w:val="0"/>
      <w:marTop w:val="0"/>
      <w:marBottom w:val="0"/>
      <w:divBdr>
        <w:top w:val="none" w:sz="0" w:space="0" w:color="auto"/>
        <w:left w:val="none" w:sz="0" w:space="0" w:color="auto"/>
        <w:bottom w:val="none" w:sz="0" w:space="0" w:color="auto"/>
        <w:right w:val="none" w:sz="0" w:space="0" w:color="auto"/>
      </w:divBdr>
    </w:div>
    <w:div w:id="1279408815">
      <w:bodyDiv w:val="1"/>
      <w:marLeft w:val="0"/>
      <w:marRight w:val="0"/>
      <w:marTop w:val="0"/>
      <w:marBottom w:val="0"/>
      <w:divBdr>
        <w:top w:val="none" w:sz="0" w:space="0" w:color="auto"/>
        <w:left w:val="none" w:sz="0" w:space="0" w:color="auto"/>
        <w:bottom w:val="none" w:sz="0" w:space="0" w:color="auto"/>
        <w:right w:val="none" w:sz="0" w:space="0" w:color="auto"/>
      </w:divBdr>
    </w:div>
    <w:div w:id="1287615681">
      <w:bodyDiv w:val="1"/>
      <w:marLeft w:val="0"/>
      <w:marRight w:val="0"/>
      <w:marTop w:val="0"/>
      <w:marBottom w:val="0"/>
      <w:divBdr>
        <w:top w:val="none" w:sz="0" w:space="0" w:color="auto"/>
        <w:left w:val="none" w:sz="0" w:space="0" w:color="auto"/>
        <w:bottom w:val="none" w:sz="0" w:space="0" w:color="auto"/>
        <w:right w:val="none" w:sz="0" w:space="0" w:color="auto"/>
      </w:divBdr>
    </w:div>
    <w:div w:id="1287664025">
      <w:bodyDiv w:val="1"/>
      <w:marLeft w:val="0"/>
      <w:marRight w:val="0"/>
      <w:marTop w:val="0"/>
      <w:marBottom w:val="0"/>
      <w:divBdr>
        <w:top w:val="none" w:sz="0" w:space="0" w:color="auto"/>
        <w:left w:val="none" w:sz="0" w:space="0" w:color="auto"/>
        <w:bottom w:val="none" w:sz="0" w:space="0" w:color="auto"/>
        <w:right w:val="none" w:sz="0" w:space="0" w:color="auto"/>
      </w:divBdr>
    </w:div>
    <w:div w:id="1290863243">
      <w:bodyDiv w:val="1"/>
      <w:marLeft w:val="0"/>
      <w:marRight w:val="0"/>
      <w:marTop w:val="0"/>
      <w:marBottom w:val="0"/>
      <w:divBdr>
        <w:top w:val="none" w:sz="0" w:space="0" w:color="auto"/>
        <w:left w:val="none" w:sz="0" w:space="0" w:color="auto"/>
        <w:bottom w:val="none" w:sz="0" w:space="0" w:color="auto"/>
        <w:right w:val="none" w:sz="0" w:space="0" w:color="auto"/>
      </w:divBdr>
    </w:div>
    <w:div w:id="1291932276">
      <w:bodyDiv w:val="1"/>
      <w:marLeft w:val="0"/>
      <w:marRight w:val="0"/>
      <w:marTop w:val="0"/>
      <w:marBottom w:val="0"/>
      <w:divBdr>
        <w:top w:val="none" w:sz="0" w:space="0" w:color="auto"/>
        <w:left w:val="none" w:sz="0" w:space="0" w:color="auto"/>
        <w:bottom w:val="none" w:sz="0" w:space="0" w:color="auto"/>
        <w:right w:val="none" w:sz="0" w:space="0" w:color="auto"/>
      </w:divBdr>
    </w:div>
    <w:div w:id="1292663471">
      <w:bodyDiv w:val="1"/>
      <w:marLeft w:val="0"/>
      <w:marRight w:val="0"/>
      <w:marTop w:val="0"/>
      <w:marBottom w:val="0"/>
      <w:divBdr>
        <w:top w:val="none" w:sz="0" w:space="0" w:color="auto"/>
        <w:left w:val="none" w:sz="0" w:space="0" w:color="auto"/>
        <w:bottom w:val="none" w:sz="0" w:space="0" w:color="auto"/>
        <w:right w:val="none" w:sz="0" w:space="0" w:color="auto"/>
      </w:divBdr>
    </w:div>
    <w:div w:id="1296251618">
      <w:bodyDiv w:val="1"/>
      <w:marLeft w:val="0"/>
      <w:marRight w:val="0"/>
      <w:marTop w:val="0"/>
      <w:marBottom w:val="0"/>
      <w:divBdr>
        <w:top w:val="none" w:sz="0" w:space="0" w:color="auto"/>
        <w:left w:val="none" w:sz="0" w:space="0" w:color="auto"/>
        <w:bottom w:val="none" w:sz="0" w:space="0" w:color="auto"/>
        <w:right w:val="none" w:sz="0" w:space="0" w:color="auto"/>
      </w:divBdr>
    </w:div>
    <w:div w:id="1296983971">
      <w:bodyDiv w:val="1"/>
      <w:marLeft w:val="0"/>
      <w:marRight w:val="0"/>
      <w:marTop w:val="0"/>
      <w:marBottom w:val="0"/>
      <w:divBdr>
        <w:top w:val="none" w:sz="0" w:space="0" w:color="auto"/>
        <w:left w:val="none" w:sz="0" w:space="0" w:color="auto"/>
        <w:bottom w:val="none" w:sz="0" w:space="0" w:color="auto"/>
        <w:right w:val="none" w:sz="0" w:space="0" w:color="auto"/>
      </w:divBdr>
    </w:div>
    <w:div w:id="1299410075">
      <w:bodyDiv w:val="1"/>
      <w:marLeft w:val="0"/>
      <w:marRight w:val="0"/>
      <w:marTop w:val="0"/>
      <w:marBottom w:val="0"/>
      <w:divBdr>
        <w:top w:val="none" w:sz="0" w:space="0" w:color="auto"/>
        <w:left w:val="none" w:sz="0" w:space="0" w:color="auto"/>
        <w:bottom w:val="none" w:sz="0" w:space="0" w:color="auto"/>
        <w:right w:val="none" w:sz="0" w:space="0" w:color="auto"/>
      </w:divBdr>
      <w:divsChild>
        <w:div w:id="203182598">
          <w:marLeft w:val="0"/>
          <w:marRight w:val="0"/>
          <w:marTop w:val="0"/>
          <w:marBottom w:val="0"/>
          <w:divBdr>
            <w:top w:val="none" w:sz="0" w:space="0" w:color="auto"/>
            <w:left w:val="none" w:sz="0" w:space="0" w:color="auto"/>
            <w:bottom w:val="none" w:sz="0" w:space="0" w:color="auto"/>
            <w:right w:val="none" w:sz="0" w:space="0" w:color="auto"/>
          </w:divBdr>
        </w:div>
        <w:div w:id="227233820">
          <w:marLeft w:val="0"/>
          <w:marRight w:val="0"/>
          <w:marTop w:val="0"/>
          <w:marBottom w:val="0"/>
          <w:divBdr>
            <w:top w:val="none" w:sz="0" w:space="0" w:color="auto"/>
            <w:left w:val="none" w:sz="0" w:space="0" w:color="auto"/>
            <w:bottom w:val="none" w:sz="0" w:space="0" w:color="auto"/>
            <w:right w:val="none" w:sz="0" w:space="0" w:color="auto"/>
          </w:divBdr>
        </w:div>
        <w:div w:id="242423183">
          <w:marLeft w:val="0"/>
          <w:marRight w:val="0"/>
          <w:marTop w:val="0"/>
          <w:marBottom w:val="0"/>
          <w:divBdr>
            <w:top w:val="none" w:sz="0" w:space="0" w:color="auto"/>
            <w:left w:val="none" w:sz="0" w:space="0" w:color="auto"/>
            <w:bottom w:val="none" w:sz="0" w:space="0" w:color="auto"/>
            <w:right w:val="none" w:sz="0" w:space="0" w:color="auto"/>
          </w:divBdr>
        </w:div>
        <w:div w:id="534082632">
          <w:marLeft w:val="0"/>
          <w:marRight w:val="0"/>
          <w:marTop w:val="0"/>
          <w:marBottom w:val="0"/>
          <w:divBdr>
            <w:top w:val="none" w:sz="0" w:space="0" w:color="auto"/>
            <w:left w:val="none" w:sz="0" w:space="0" w:color="auto"/>
            <w:bottom w:val="none" w:sz="0" w:space="0" w:color="auto"/>
            <w:right w:val="none" w:sz="0" w:space="0" w:color="auto"/>
          </w:divBdr>
        </w:div>
        <w:div w:id="535044999">
          <w:marLeft w:val="0"/>
          <w:marRight w:val="0"/>
          <w:marTop w:val="0"/>
          <w:marBottom w:val="0"/>
          <w:divBdr>
            <w:top w:val="none" w:sz="0" w:space="0" w:color="auto"/>
            <w:left w:val="none" w:sz="0" w:space="0" w:color="auto"/>
            <w:bottom w:val="none" w:sz="0" w:space="0" w:color="auto"/>
            <w:right w:val="none" w:sz="0" w:space="0" w:color="auto"/>
          </w:divBdr>
        </w:div>
        <w:div w:id="577523269">
          <w:marLeft w:val="0"/>
          <w:marRight w:val="0"/>
          <w:marTop w:val="0"/>
          <w:marBottom w:val="0"/>
          <w:divBdr>
            <w:top w:val="none" w:sz="0" w:space="0" w:color="auto"/>
            <w:left w:val="none" w:sz="0" w:space="0" w:color="auto"/>
            <w:bottom w:val="none" w:sz="0" w:space="0" w:color="auto"/>
            <w:right w:val="none" w:sz="0" w:space="0" w:color="auto"/>
          </w:divBdr>
        </w:div>
        <w:div w:id="1013604133">
          <w:marLeft w:val="0"/>
          <w:marRight w:val="0"/>
          <w:marTop w:val="0"/>
          <w:marBottom w:val="0"/>
          <w:divBdr>
            <w:top w:val="none" w:sz="0" w:space="0" w:color="auto"/>
            <w:left w:val="none" w:sz="0" w:space="0" w:color="auto"/>
            <w:bottom w:val="none" w:sz="0" w:space="0" w:color="auto"/>
            <w:right w:val="none" w:sz="0" w:space="0" w:color="auto"/>
          </w:divBdr>
        </w:div>
        <w:div w:id="1093353103">
          <w:marLeft w:val="0"/>
          <w:marRight w:val="0"/>
          <w:marTop w:val="0"/>
          <w:marBottom w:val="0"/>
          <w:divBdr>
            <w:top w:val="none" w:sz="0" w:space="0" w:color="auto"/>
            <w:left w:val="none" w:sz="0" w:space="0" w:color="auto"/>
            <w:bottom w:val="none" w:sz="0" w:space="0" w:color="auto"/>
            <w:right w:val="none" w:sz="0" w:space="0" w:color="auto"/>
          </w:divBdr>
        </w:div>
        <w:div w:id="1327174593">
          <w:marLeft w:val="0"/>
          <w:marRight w:val="0"/>
          <w:marTop w:val="0"/>
          <w:marBottom w:val="0"/>
          <w:divBdr>
            <w:top w:val="none" w:sz="0" w:space="0" w:color="auto"/>
            <w:left w:val="none" w:sz="0" w:space="0" w:color="auto"/>
            <w:bottom w:val="none" w:sz="0" w:space="0" w:color="auto"/>
            <w:right w:val="none" w:sz="0" w:space="0" w:color="auto"/>
          </w:divBdr>
        </w:div>
        <w:div w:id="1782189795">
          <w:marLeft w:val="0"/>
          <w:marRight w:val="0"/>
          <w:marTop w:val="0"/>
          <w:marBottom w:val="0"/>
          <w:divBdr>
            <w:top w:val="none" w:sz="0" w:space="0" w:color="auto"/>
            <w:left w:val="none" w:sz="0" w:space="0" w:color="auto"/>
            <w:bottom w:val="none" w:sz="0" w:space="0" w:color="auto"/>
            <w:right w:val="none" w:sz="0" w:space="0" w:color="auto"/>
          </w:divBdr>
        </w:div>
        <w:div w:id="1888377364">
          <w:marLeft w:val="0"/>
          <w:marRight w:val="0"/>
          <w:marTop w:val="0"/>
          <w:marBottom w:val="0"/>
          <w:divBdr>
            <w:top w:val="none" w:sz="0" w:space="0" w:color="auto"/>
            <w:left w:val="none" w:sz="0" w:space="0" w:color="auto"/>
            <w:bottom w:val="none" w:sz="0" w:space="0" w:color="auto"/>
            <w:right w:val="none" w:sz="0" w:space="0" w:color="auto"/>
          </w:divBdr>
        </w:div>
      </w:divsChild>
    </w:div>
    <w:div w:id="1301152331">
      <w:bodyDiv w:val="1"/>
      <w:marLeft w:val="0"/>
      <w:marRight w:val="0"/>
      <w:marTop w:val="0"/>
      <w:marBottom w:val="0"/>
      <w:divBdr>
        <w:top w:val="none" w:sz="0" w:space="0" w:color="auto"/>
        <w:left w:val="none" w:sz="0" w:space="0" w:color="auto"/>
        <w:bottom w:val="none" w:sz="0" w:space="0" w:color="auto"/>
        <w:right w:val="none" w:sz="0" w:space="0" w:color="auto"/>
      </w:divBdr>
    </w:div>
    <w:div w:id="1302425372">
      <w:bodyDiv w:val="1"/>
      <w:marLeft w:val="0"/>
      <w:marRight w:val="0"/>
      <w:marTop w:val="0"/>
      <w:marBottom w:val="0"/>
      <w:divBdr>
        <w:top w:val="none" w:sz="0" w:space="0" w:color="auto"/>
        <w:left w:val="none" w:sz="0" w:space="0" w:color="auto"/>
        <w:bottom w:val="none" w:sz="0" w:space="0" w:color="auto"/>
        <w:right w:val="none" w:sz="0" w:space="0" w:color="auto"/>
      </w:divBdr>
    </w:div>
    <w:div w:id="1304383912">
      <w:bodyDiv w:val="1"/>
      <w:marLeft w:val="0"/>
      <w:marRight w:val="0"/>
      <w:marTop w:val="0"/>
      <w:marBottom w:val="0"/>
      <w:divBdr>
        <w:top w:val="none" w:sz="0" w:space="0" w:color="auto"/>
        <w:left w:val="none" w:sz="0" w:space="0" w:color="auto"/>
        <w:bottom w:val="none" w:sz="0" w:space="0" w:color="auto"/>
        <w:right w:val="none" w:sz="0" w:space="0" w:color="auto"/>
      </w:divBdr>
    </w:div>
    <w:div w:id="1305236359">
      <w:bodyDiv w:val="1"/>
      <w:marLeft w:val="0"/>
      <w:marRight w:val="0"/>
      <w:marTop w:val="0"/>
      <w:marBottom w:val="0"/>
      <w:divBdr>
        <w:top w:val="none" w:sz="0" w:space="0" w:color="auto"/>
        <w:left w:val="none" w:sz="0" w:space="0" w:color="auto"/>
        <w:bottom w:val="none" w:sz="0" w:space="0" w:color="auto"/>
        <w:right w:val="none" w:sz="0" w:space="0" w:color="auto"/>
      </w:divBdr>
    </w:div>
    <w:div w:id="1309359117">
      <w:bodyDiv w:val="1"/>
      <w:marLeft w:val="0"/>
      <w:marRight w:val="0"/>
      <w:marTop w:val="0"/>
      <w:marBottom w:val="0"/>
      <w:divBdr>
        <w:top w:val="none" w:sz="0" w:space="0" w:color="auto"/>
        <w:left w:val="none" w:sz="0" w:space="0" w:color="auto"/>
        <w:bottom w:val="none" w:sz="0" w:space="0" w:color="auto"/>
        <w:right w:val="none" w:sz="0" w:space="0" w:color="auto"/>
      </w:divBdr>
    </w:div>
    <w:div w:id="1316491630">
      <w:bodyDiv w:val="1"/>
      <w:marLeft w:val="0"/>
      <w:marRight w:val="0"/>
      <w:marTop w:val="0"/>
      <w:marBottom w:val="0"/>
      <w:divBdr>
        <w:top w:val="none" w:sz="0" w:space="0" w:color="auto"/>
        <w:left w:val="none" w:sz="0" w:space="0" w:color="auto"/>
        <w:bottom w:val="none" w:sz="0" w:space="0" w:color="auto"/>
        <w:right w:val="none" w:sz="0" w:space="0" w:color="auto"/>
      </w:divBdr>
    </w:div>
    <w:div w:id="1324427241">
      <w:bodyDiv w:val="1"/>
      <w:marLeft w:val="0"/>
      <w:marRight w:val="0"/>
      <w:marTop w:val="0"/>
      <w:marBottom w:val="0"/>
      <w:divBdr>
        <w:top w:val="none" w:sz="0" w:space="0" w:color="auto"/>
        <w:left w:val="none" w:sz="0" w:space="0" w:color="auto"/>
        <w:bottom w:val="none" w:sz="0" w:space="0" w:color="auto"/>
        <w:right w:val="none" w:sz="0" w:space="0" w:color="auto"/>
      </w:divBdr>
    </w:div>
    <w:div w:id="1324698427">
      <w:bodyDiv w:val="1"/>
      <w:marLeft w:val="0"/>
      <w:marRight w:val="0"/>
      <w:marTop w:val="0"/>
      <w:marBottom w:val="0"/>
      <w:divBdr>
        <w:top w:val="none" w:sz="0" w:space="0" w:color="auto"/>
        <w:left w:val="none" w:sz="0" w:space="0" w:color="auto"/>
        <w:bottom w:val="none" w:sz="0" w:space="0" w:color="auto"/>
        <w:right w:val="none" w:sz="0" w:space="0" w:color="auto"/>
      </w:divBdr>
    </w:div>
    <w:div w:id="1327855170">
      <w:bodyDiv w:val="1"/>
      <w:marLeft w:val="0"/>
      <w:marRight w:val="0"/>
      <w:marTop w:val="0"/>
      <w:marBottom w:val="0"/>
      <w:divBdr>
        <w:top w:val="none" w:sz="0" w:space="0" w:color="auto"/>
        <w:left w:val="none" w:sz="0" w:space="0" w:color="auto"/>
        <w:bottom w:val="none" w:sz="0" w:space="0" w:color="auto"/>
        <w:right w:val="none" w:sz="0" w:space="0" w:color="auto"/>
      </w:divBdr>
      <w:divsChild>
        <w:div w:id="462846346">
          <w:marLeft w:val="0"/>
          <w:marRight w:val="0"/>
          <w:marTop w:val="0"/>
          <w:marBottom w:val="0"/>
          <w:divBdr>
            <w:top w:val="none" w:sz="0" w:space="0" w:color="auto"/>
            <w:left w:val="none" w:sz="0" w:space="0" w:color="auto"/>
            <w:bottom w:val="none" w:sz="0" w:space="0" w:color="auto"/>
            <w:right w:val="none" w:sz="0" w:space="0" w:color="auto"/>
          </w:divBdr>
          <w:divsChild>
            <w:div w:id="14968343">
              <w:marLeft w:val="0"/>
              <w:marRight w:val="0"/>
              <w:marTop w:val="0"/>
              <w:marBottom w:val="0"/>
              <w:divBdr>
                <w:top w:val="none" w:sz="0" w:space="0" w:color="auto"/>
                <w:left w:val="none" w:sz="0" w:space="0" w:color="auto"/>
                <w:bottom w:val="none" w:sz="0" w:space="0" w:color="auto"/>
                <w:right w:val="none" w:sz="0" w:space="0" w:color="auto"/>
              </w:divBdr>
              <w:divsChild>
                <w:div w:id="1233471927">
                  <w:marLeft w:val="0"/>
                  <w:marRight w:val="0"/>
                  <w:marTop w:val="0"/>
                  <w:marBottom w:val="0"/>
                  <w:divBdr>
                    <w:top w:val="none" w:sz="0" w:space="0" w:color="auto"/>
                    <w:left w:val="none" w:sz="0" w:space="0" w:color="auto"/>
                    <w:bottom w:val="none" w:sz="0" w:space="0" w:color="auto"/>
                    <w:right w:val="none" w:sz="0" w:space="0" w:color="auto"/>
                  </w:divBdr>
                  <w:divsChild>
                    <w:div w:id="16502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347623">
      <w:bodyDiv w:val="1"/>
      <w:marLeft w:val="0"/>
      <w:marRight w:val="0"/>
      <w:marTop w:val="0"/>
      <w:marBottom w:val="0"/>
      <w:divBdr>
        <w:top w:val="none" w:sz="0" w:space="0" w:color="auto"/>
        <w:left w:val="none" w:sz="0" w:space="0" w:color="auto"/>
        <w:bottom w:val="none" w:sz="0" w:space="0" w:color="auto"/>
        <w:right w:val="none" w:sz="0" w:space="0" w:color="auto"/>
      </w:divBdr>
    </w:div>
    <w:div w:id="1342658394">
      <w:bodyDiv w:val="1"/>
      <w:marLeft w:val="0"/>
      <w:marRight w:val="0"/>
      <w:marTop w:val="0"/>
      <w:marBottom w:val="0"/>
      <w:divBdr>
        <w:top w:val="none" w:sz="0" w:space="0" w:color="auto"/>
        <w:left w:val="none" w:sz="0" w:space="0" w:color="auto"/>
        <w:bottom w:val="none" w:sz="0" w:space="0" w:color="auto"/>
        <w:right w:val="none" w:sz="0" w:space="0" w:color="auto"/>
      </w:divBdr>
    </w:div>
    <w:div w:id="1344160888">
      <w:bodyDiv w:val="1"/>
      <w:marLeft w:val="0"/>
      <w:marRight w:val="0"/>
      <w:marTop w:val="0"/>
      <w:marBottom w:val="0"/>
      <w:divBdr>
        <w:top w:val="none" w:sz="0" w:space="0" w:color="auto"/>
        <w:left w:val="none" w:sz="0" w:space="0" w:color="auto"/>
        <w:bottom w:val="none" w:sz="0" w:space="0" w:color="auto"/>
        <w:right w:val="none" w:sz="0" w:space="0" w:color="auto"/>
      </w:divBdr>
    </w:div>
    <w:div w:id="1344241172">
      <w:bodyDiv w:val="1"/>
      <w:marLeft w:val="0"/>
      <w:marRight w:val="0"/>
      <w:marTop w:val="0"/>
      <w:marBottom w:val="0"/>
      <w:divBdr>
        <w:top w:val="none" w:sz="0" w:space="0" w:color="auto"/>
        <w:left w:val="none" w:sz="0" w:space="0" w:color="auto"/>
        <w:bottom w:val="none" w:sz="0" w:space="0" w:color="auto"/>
        <w:right w:val="none" w:sz="0" w:space="0" w:color="auto"/>
      </w:divBdr>
    </w:div>
    <w:div w:id="1347294348">
      <w:bodyDiv w:val="1"/>
      <w:marLeft w:val="0"/>
      <w:marRight w:val="0"/>
      <w:marTop w:val="0"/>
      <w:marBottom w:val="0"/>
      <w:divBdr>
        <w:top w:val="none" w:sz="0" w:space="0" w:color="auto"/>
        <w:left w:val="none" w:sz="0" w:space="0" w:color="auto"/>
        <w:bottom w:val="none" w:sz="0" w:space="0" w:color="auto"/>
        <w:right w:val="none" w:sz="0" w:space="0" w:color="auto"/>
      </w:divBdr>
    </w:div>
    <w:div w:id="1351102095">
      <w:bodyDiv w:val="1"/>
      <w:marLeft w:val="0"/>
      <w:marRight w:val="0"/>
      <w:marTop w:val="0"/>
      <w:marBottom w:val="0"/>
      <w:divBdr>
        <w:top w:val="none" w:sz="0" w:space="0" w:color="auto"/>
        <w:left w:val="none" w:sz="0" w:space="0" w:color="auto"/>
        <w:bottom w:val="none" w:sz="0" w:space="0" w:color="auto"/>
        <w:right w:val="none" w:sz="0" w:space="0" w:color="auto"/>
      </w:divBdr>
      <w:divsChild>
        <w:div w:id="1761097494">
          <w:marLeft w:val="0"/>
          <w:marRight w:val="0"/>
          <w:marTop w:val="150"/>
          <w:marBottom w:val="0"/>
          <w:divBdr>
            <w:top w:val="none" w:sz="0" w:space="0" w:color="auto"/>
            <w:left w:val="none" w:sz="0" w:space="0" w:color="auto"/>
            <w:bottom w:val="none" w:sz="0" w:space="0" w:color="auto"/>
            <w:right w:val="none" w:sz="0" w:space="0" w:color="auto"/>
          </w:divBdr>
          <w:divsChild>
            <w:div w:id="1534683900">
              <w:marLeft w:val="0"/>
              <w:marRight w:val="0"/>
              <w:marTop w:val="0"/>
              <w:marBottom w:val="0"/>
              <w:divBdr>
                <w:top w:val="none" w:sz="0" w:space="0" w:color="auto"/>
                <w:left w:val="none" w:sz="0" w:space="0" w:color="auto"/>
                <w:bottom w:val="none" w:sz="0" w:space="0" w:color="auto"/>
                <w:right w:val="none" w:sz="0" w:space="0" w:color="auto"/>
              </w:divBdr>
              <w:divsChild>
                <w:div w:id="1819767431">
                  <w:marLeft w:val="0"/>
                  <w:marRight w:val="0"/>
                  <w:marTop w:val="0"/>
                  <w:marBottom w:val="0"/>
                  <w:divBdr>
                    <w:top w:val="none" w:sz="0" w:space="0" w:color="auto"/>
                    <w:left w:val="none" w:sz="0" w:space="0" w:color="auto"/>
                    <w:bottom w:val="none" w:sz="0" w:space="0" w:color="auto"/>
                    <w:right w:val="none" w:sz="0" w:space="0" w:color="auto"/>
                  </w:divBdr>
                  <w:divsChild>
                    <w:div w:id="31040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537976">
      <w:bodyDiv w:val="1"/>
      <w:marLeft w:val="0"/>
      <w:marRight w:val="0"/>
      <w:marTop w:val="0"/>
      <w:marBottom w:val="0"/>
      <w:divBdr>
        <w:top w:val="none" w:sz="0" w:space="0" w:color="auto"/>
        <w:left w:val="none" w:sz="0" w:space="0" w:color="auto"/>
        <w:bottom w:val="none" w:sz="0" w:space="0" w:color="auto"/>
        <w:right w:val="none" w:sz="0" w:space="0" w:color="auto"/>
      </w:divBdr>
    </w:div>
    <w:div w:id="1357736518">
      <w:bodyDiv w:val="1"/>
      <w:marLeft w:val="0"/>
      <w:marRight w:val="0"/>
      <w:marTop w:val="0"/>
      <w:marBottom w:val="0"/>
      <w:divBdr>
        <w:top w:val="none" w:sz="0" w:space="0" w:color="auto"/>
        <w:left w:val="none" w:sz="0" w:space="0" w:color="auto"/>
        <w:bottom w:val="none" w:sz="0" w:space="0" w:color="auto"/>
        <w:right w:val="none" w:sz="0" w:space="0" w:color="auto"/>
      </w:divBdr>
    </w:div>
    <w:div w:id="1360547098">
      <w:bodyDiv w:val="1"/>
      <w:marLeft w:val="0"/>
      <w:marRight w:val="0"/>
      <w:marTop w:val="0"/>
      <w:marBottom w:val="0"/>
      <w:divBdr>
        <w:top w:val="none" w:sz="0" w:space="0" w:color="auto"/>
        <w:left w:val="none" w:sz="0" w:space="0" w:color="auto"/>
        <w:bottom w:val="none" w:sz="0" w:space="0" w:color="auto"/>
        <w:right w:val="none" w:sz="0" w:space="0" w:color="auto"/>
      </w:divBdr>
    </w:div>
    <w:div w:id="1361859032">
      <w:bodyDiv w:val="1"/>
      <w:marLeft w:val="0"/>
      <w:marRight w:val="0"/>
      <w:marTop w:val="0"/>
      <w:marBottom w:val="0"/>
      <w:divBdr>
        <w:top w:val="none" w:sz="0" w:space="0" w:color="auto"/>
        <w:left w:val="none" w:sz="0" w:space="0" w:color="auto"/>
        <w:bottom w:val="none" w:sz="0" w:space="0" w:color="auto"/>
        <w:right w:val="none" w:sz="0" w:space="0" w:color="auto"/>
      </w:divBdr>
    </w:div>
    <w:div w:id="1363169717">
      <w:bodyDiv w:val="1"/>
      <w:marLeft w:val="0"/>
      <w:marRight w:val="0"/>
      <w:marTop w:val="0"/>
      <w:marBottom w:val="0"/>
      <w:divBdr>
        <w:top w:val="none" w:sz="0" w:space="0" w:color="auto"/>
        <w:left w:val="none" w:sz="0" w:space="0" w:color="auto"/>
        <w:bottom w:val="none" w:sz="0" w:space="0" w:color="auto"/>
        <w:right w:val="none" w:sz="0" w:space="0" w:color="auto"/>
      </w:divBdr>
    </w:div>
    <w:div w:id="1365134838">
      <w:bodyDiv w:val="1"/>
      <w:marLeft w:val="0"/>
      <w:marRight w:val="0"/>
      <w:marTop w:val="0"/>
      <w:marBottom w:val="0"/>
      <w:divBdr>
        <w:top w:val="none" w:sz="0" w:space="0" w:color="auto"/>
        <w:left w:val="none" w:sz="0" w:space="0" w:color="auto"/>
        <w:bottom w:val="none" w:sz="0" w:space="0" w:color="auto"/>
        <w:right w:val="none" w:sz="0" w:space="0" w:color="auto"/>
      </w:divBdr>
    </w:div>
    <w:div w:id="1366830918">
      <w:bodyDiv w:val="1"/>
      <w:marLeft w:val="0"/>
      <w:marRight w:val="0"/>
      <w:marTop w:val="0"/>
      <w:marBottom w:val="0"/>
      <w:divBdr>
        <w:top w:val="none" w:sz="0" w:space="0" w:color="auto"/>
        <w:left w:val="none" w:sz="0" w:space="0" w:color="auto"/>
        <w:bottom w:val="none" w:sz="0" w:space="0" w:color="auto"/>
        <w:right w:val="none" w:sz="0" w:space="0" w:color="auto"/>
      </w:divBdr>
    </w:div>
    <w:div w:id="1367296823">
      <w:bodyDiv w:val="1"/>
      <w:marLeft w:val="0"/>
      <w:marRight w:val="0"/>
      <w:marTop w:val="0"/>
      <w:marBottom w:val="0"/>
      <w:divBdr>
        <w:top w:val="none" w:sz="0" w:space="0" w:color="auto"/>
        <w:left w:val="none" w:sz="0" w:space="0" w:color="auto"/>
        <w:bottom w:val="none" w:sz="0" w:space="0" w:color="auto"/>
        <w:right w:val="none" w:sz="0" w:space="0" w:color="auto"/>
      </w:divBdr>
    </w:div>
    <w:div w:id="1368021101">
      <w:bodyDiv w:val="1"/>
      <w:marLeft w:val="0"/>
      <w:marRight w:val="0"/>
      <w:marTop w:val="0"/>
      <w:marBottom w:val="0"/>
      <w:divBdr>
        <w:top w:val="none" w:sz="0" w:space="0" w:color="auto"/>
        <w:left w:val="none" w:sz="0" w:space="0" w:color="auto"/>
        <w:bottom w:val="none" w:sz="0" w:space="0" w:color="auto"/>
        <w:right w:val="none" w:sz="0" w:space="0" w:color="auto"/>
      </w:divBdr>
    </w:div>
    <w:div w:id="1368873414">
      <w:bodyDiv w:val="1"/>
      <w:marLeft w:val="0"/>
      <w:marRight w:val="0"/>
      <w:marTop w:val="0"/>
      <w:marBottom w:val="0"/>
      <w:divBdr>
        <w:top w:val="none" w:sz="0" w:space="0" w:color="auto"/>
        <w:left w:val="none" w:sz="0" w:space="0" w:color="auto"/>
        <w:bottom w:val="none" w:sz="0" w:space="0" w:color="auto"/>
        <w:right w:val="none" w:sz="0" w:space="0" w:color="auto"/>
      </w:divBdr>
    </w:div>
    <w:div w:id="1370765832">
      <w:bodyDiv w:val="1"/>
      <w:marLeft w:val="0"/>
      <w:marRight w:val="0"/>
      <w:marTop w:val="0"/>
      <w:marBottom w:val="0"/>
      <w:divBdr>
        <w:top w:val="none" w:sz="0" w:space="0" w:color="auto"/>
        <w:left w:val="none" w:sz="0" w:space="0" w:color="auto"/>
        <w:bottom w:val="none" w:sz="0" w:space="0" w:color="auto"/>
        <w:right w:val="none" w:sz="0" w:space="0" w:color="auto"/>
      </w:divBdr>
    </w:div>
    <w:div w:id="1373071261">
      <w:bodyDiv w:val="1"/>
      <w:marLeft w:val="0"/>
      <w:marRight w:val="0"/>
      <w:marTop w:val="0"/>
      <w:marBottom w:val="0"/>
      <w:divBdr>
        <w:top w:val="none" w:sz="0" w:space="0" w:color="auto"/>
        <w:left w:val="none" w:sz="0" w:space="0" w:color="auto"/>
        <w:bottom w:val="none" w:sz="0" w:space="0" w:color="auto"/>
        <w:right w:val="none" w:sz="0" w:space="0" w:color="auto"/>
      </w:divBdr>
    </w:div>
    <w:div w:id="1375039130">
      <w:bodyDiv w:val="1"/>
      <w:marLeft w:val="0"/>
      <w:marRight w:val="0"/>
      <w:marTop w:val="0"/>
      <w:marBottom w:val="0"/>
      <w:divBdr>
        <w:top w:val="none" w:sz="0" w:space="0" w:color="auto"/>
        <w:left w:val="none" w:sz="0" w:space="0" w:color="auto"/>
        <w:bottom w:val="none" w:sz="0" w:space="0" w:color="auto"/>
        <w:right w:val="none" w:sz="0" w:space="0" w:color="auto"/>
      </w:divBdr>
    </w:div>
    <w:div w:id="1380982200">
      <w:bodyDiv w:val="1"/>
      <w:marLeft w:val="0"/>
      <w:marRight w:val="0"/>
      <w:marTop w:val="0"/>
      <w:marBottom w:val="0"/>
      <w:divBdr>
        <w:top w:val="none" w:sz="0" w:space="0" w:color="auto"/>
        <w:left w:val="none" w:sz="0" w:space="0" w:color="auto"/>
        <w:bottom w:val="none" w:sz="0" w:space="0" w:color="auto"/>
        <w:right w:val="none" w:sz="0" w:space="0" w:color="auto"/>
      </w:divBdr>
    </w:div>
    <w:div w:id="1380982302">
      <w:bodyDiv w:val="1"/>
      <w:marLeft w:val="0"/>
      <w:marRight w:val="0"/>
      <w:marTop w:val="0"/>
      <w:marBottom w:val="0"/>
      <w:divBdr>
        <w:top w:val="none" w:sz="0" w:space="0" w:color="auto"/>
        <w:left w:val="none" w:sz="0" w:space="0" w:color="auto"/>
        <w:bottom w:val="none" w:sz="0" w:space="0" w:color="auto"/>
        <w:right w:val="none" w:sz="0" w:space="0" w:color="auto"/>
      </w:divBdr>
    </w:div>
    <w:div w:id="1383216918">
      <w:bodyDiv w:val="1"/>
      <w:marLeft w:val="0"/>
      <w:marRight w:val="0"/>
      <w:marTop w:val="0"/>
      <w:marBottom w:val="0"/>
      <w:divBdr>
        <w:top w:val="none" w:sz="0" w:space="0" w:color="auto"/>
        <w:left w:val="none" w:sz="0" w:space="0" w:color="auto"/>
        <w:bottom w:val="none" w:sz="0" w:space="0" w:color="auto"/>
        <w:right w:val="none" w:sz="0" w:space="0" w:color="auto"/>
      </w:divBdr>
    </w:div>
    <w:div w:id="1386830088">
      <w:bodyDiv w:val="1"/>
      <w:marLeft w:val="0"/>
      <w:marRight w:val="0"/>
      <w:marTop w:val="0"/>
      <w:marBottom w:val="0"/>
      <w:divBdr>
        <w:top w:val="none" w:sz="0" w:space="0" w:color="auto"/>
        <w:left w:val="none" w:sz="0" w:space="0" w:color="auto"/>
        <w:bottom w:val="none" w:sz="0" w:space="0" w:color="auto"/>
        <w:right w:val="none" w:sz="0" w:space="0" w:color="auto"/>
      </w:divBdr>
    </w:div>
    <w:div w:id="1396315520">
      <w:bodyDiv w:val="1"/>
      <w:marLeft w:val="0"/>
      <w:marRight w:val="0"/>
      <w:marTop w:val="0"/>
      <w:marBottom w:val="0"/>
      <w:divBdr>
        <w:top w:val="none" w:sz="0" w:space="0" w:color="auto"/>
        <w:left w:val="none" w:sz="0" w:space="0" w:color="auto"/>
        <w:bottom w:val="none" w:sz="0" w:space="0" w:color="auto"/>
        <w:right w:val="none" w:sz="0" w:space="0" w:color="auto"/>
      </w:divBdr>
    </w:div>
    <w:div w:id="1396389564">
      <w:bodyDiv w:val="1"/>
      <w:marLeft w:val="0"/>
      <w:marRight w:val="0"/>
      <w:marTop w:val="0"/>
      <w:marBottom w:val="0"/>
      <w:divBdr>
        <w:top w:val="none" w:sz="0" w:space="0" w:color="auto"/>
        <w:left w:val="none" w:sz="0" w:space="0" w:color="auto"/>
        <w:bottom w:val="none" w:sz="0" w:space="0" w:color="auto"/>
        <w:right w:val="none" w:sz="0" w:space="0" w:color="auto"/>
      </w:divBdr>
    </w:div>
    <w:div w:id="1399018652">
      <w:bodyDiv w:val="1"/>
      <w:marLeft w:val="0"/>
      <w:marRight w:val="0"/>
      <w:marTop w:val="0"/>
      <w:marBottom w:val="0"/>
      <w:divBdr>
        <w:top w:val="none" w:sz="0" w:space="0" w:color="auto"/>
        <w:left w:val="none" w:sz="0" w:space="0" w:color="auto"/>
        <w:bottom w:val="none" w:sz="0" w:space="0" w:color="auto"/>
        <w:right w:val="none" w:sz="0" w:space="0" w:color="auto"/>
      </w:divBdr>
    </w:div>
    <w:div w:id="1401829827">
      <w:bodyDiv w:val="1"/>
      <w:marLeft w:val="0"/>
      <w:marRight w:val="0"/>
      <w:marTop w:val="0"/>
      <w:marBottom w:val="0"/>
      <w:divBdr>
        <w:top w:val="none" w:sz="0" w:space="0" w:color="auto"/>
        <w:left w:val="none" w:sz="0" w:space="0" w:color="auto"/>
        <w:bottom w:val="none" w:sz="0" w:space="0" w:color="auto"/>
        <w:right w:val="none" w:sz="0" w:space="0" w:color="auto"/>
      </w:divBdr>
    </w:div>
    <w:div w:id="1404990084">
      <w:bodyDiv w:val="1"/>
      <w:marLeft w:val="0"/>
      <w:marRight w:val="0"/>
      <w:marTop w:val="0"/>
      <w:marBottom w:val="0"/>
      <w:divBdr>
        <w:top w:val="none" w:sz="0" w:space="0" w:color="auto"/>
        <w:left w:val="none" w:sz="0" w:space="0" w:color="auto"/>
        <w:bottom w:val="none" w:sz="0" w:space="0" w:color="auto"/>
        <w:right w:val="none" w:sz="0" w:space="0" w:color="auto"/>
      </w:divBdr>
    </w:div>
    <w:div w:id="1405058616">
      <w:bodyDiv w:val="1"/>
      <w:marLeft w:val="0"/>
      <w:marRight w:val="0"/>
      <w:marTop w:val="0"/>
      <w:marBottom w:val="0"/>
      <w:divBdr>
        <w:top w:val="none" w:sz="0" w:space="0" w:color="auto"/>
        <w:left w:val="none" w:sz="0" w:space="0" w:color="auto"/>
        <w:bottom w:val="none" w:sz="0" w:space="0" w:color="auto"/>
        <w:right w:val="none" w:sz="0" w:space="0" w:color="auto"/>
      </w:divBdr>
    </w:div>
    <w:div w:id="1408574321">
      <w:bodyDiv w:val="1"/>
      <w:marLeft w:val="0"/>
      <w:marRight w:val="0"/>
      <w:marTop w:val="0"/>
      <w:marBottom w:val="0"/>
      <w:divBdr>
        <w:top w:val="none" w:sz="0" w:space="0" w:color="auto"/>
        <w:left w:val="none" w:sz="0" w:space="0" w:color="auto"/>
        <w:bottom w:val="none" w:sz="0" w:space="0" w:color="auto"/>
        <w:right w:val="none" w:sz="0" w:space="0" w:color="auto"/>
      </w:divBdr>
    </w:div>
    <w:div w:id="1415278075">
      <w:bodyDiv w:val="1"/>
      <w:marLeft w:val="0"/>
      <w:marRight w:val="0"/>
      <w:marTop w:val="0"/>
      <w:marBottom w:val="0"/>
      <w:divBdr>
        <w:top w:val="none" w:sz="0" w:space="0" w:color="auto"/>
        <w:left w:val="none" w:sz="0" w:space="0" w:color="auto"/>
        <w:bottom w:val="none" w:sz="0" w:space="0" w:color="auto"/>
        <w:right w:val="none" w:sz="0" w:space="0" w:color="auto"/>
      </w:divBdr>
    </w:div>
    <w:div w:id="1415589718">
      <w:bodyDiv w:val="1"/>
      <w:marLeft w:val="0"/>
      <w:marRight w:val="0"/>
      <w:marTop w:val="0"/>
      <w:marBottom w:val="0"/>
      <w:divBdr>
        <w:top w:val="none" w:sz="0" w:space="0" w:color="auto"/>
        <w:left w:val="none" w:sz="0" w:space="0" w:color="auto"/>
        <w:bottom w:val="none" w:sz="0" w:space="0" w:color="auto"/>
        <w:right w:val="none" w:sz="0" w:space="0" w:color="auto"/>
      </w:divBdr>
    </w:div>
    <w:div w:id="1419599523">
      <w:bodyDiv w:val="1"/>
      <w:marLeft w:val="0"/>
      <w:marRight w:val="0"/>
      <w:marTop w:val="0"/>
      <w:marBottom w:val="0"/>
      <w:divBdr>
        <w:top w:val="none" w:sz="0" w:space="0" w:color="auto"/>
        <w:left w:val="none" w:sz="0" w:space="0" w:color="auto"/>
        <w:bottom w:val="none" w:sz="0" w:space="0" w:color="auto"/>
        <w:right w:val="none" w:sz="0" w:space="0" w:color="auto"/>
      </w:divBdr>
    </w:div>
    <w:div w:id="1423255225">
      <w:bodyDiv w:val="1"/>
      <w:marLeft w:val="0"/>
      <w:marRight w:val="0"/>
      <w:marTop w:val="0"/>
      <w:marBottom w:val="0"/>
      <w:divBdr>
        <w:top w:val="none" w:sz="0" w:space="0" w:color="auto"/>
        <w:left w:val="none" w:sz="0" w:space="0" w:color="auto"/>
        <w:bottom w:val="none" w:sz="0" w:space="0" w:color="auto"/>
        <w:right w:val="none" w:sz="0" w:space="0" w:color="auto"/>
      </w:divBdr>
    </w:div>
    <w:div w:id="1425374188">
      <w:bodyDiv w:val="1"/>
      <w:marLeft w:val="0"/>
      <w:marRight w:val="0"/>
      <w:marTop w:val="0"/>
      <w:marBottom w:val="0"/>
      <w:divBdr>
        <w:top w:val="none" w:sz="0" w:space="0" w:color="auto"/>
        <w:left w:val="none" w:sz="0" w:space="0" w:color="auto"/>
        <w:bottom w:val="none" w:sz="0" w:space="0" w:color="auto"/>
        <w:right w:val="none" w:sz="0" w:space="0" w:color="auto"/>
      </w:divBdr>
    </w:div>
    <w:div w:id="1427464009">
      <w:bodyDiv w:val="1"/>
      <w:marLeft w:val="0"/>
      <w:marRight w:val="0"/>
      <w:marTop w:val="0"/>
      <w:marBottom w:val="0"/>
      <w:divBdr>
        <w:top w:val="none" w:sz="0" w:space="0" w:color="auto"/>
        <w:left w:val="none" w:sz="0" w:space="0" w:color="auto"/>
        <w:bottom w:val="none" w:sz="0" w:space="0" w:color="auto"/>
        <w:right w:val="none" w:sz="0" w:space="0" w:color="auto"/>
      </w:divBdr>
    </w:div>
    <w:div w:id="1427530550">
      <w:bodyDiv w:val="1"/>
      <w:marLeft w:val="0"/>
      <w:marRight w:val="0"/>
      <w:marTop w:val="0"/>
      <w:marBottom w:val="0"/>
      <w:divBdr>
        <w:top w:val="none" w:sz="0" w:space="0" w:color="auto"/>
        <w:left w:val="none" w:sz="0" w:space="0" w:color="auto"/>
        <w:bottom w:val="none" w:sz="0" w:space="0" w:color="auto"/>
        <w:right w:val="none" w:sz="0" w:space="0" w:color="auto"/>
      </w:divBdr>
    </w:div>
    <w:div w:id="1429546573">
      <w:bodyDiv w:val="1"/>
      <w:marLeft w:val="0"/>
      <w:marRight w:val="0"/>
      <w:marTop w:val="0"/>
      <w:marBottom w:val="0"/>
      <w:divBdr>
        <w:top w:val="none" w:sz="0" w:space="0" w:color="auto"/>
        <w:left w:val="none" w:sz="0" w:space="0" w:color="auto"/>
        <w:bottom w:val="none" w:sz="0" w:space="0" w:color="auto"/>
        <w:right w:val="none" w:sz="0" w:space="0" w:color="auto"/>
      </w:divBdr>
    </w:div>
    <w:div w:id="1434085465">
      <w:bodyDiv w:val="1"/>
      <w:marLeft w:val="0"/>
      <w:marRight w:val="0"/>
      <w:marTop w:val="0"/>
      <w:marBottom w:val="0"/>
      <w:divBdr>
        <w:top w:val="none" w:sz="0" w:space="0" w:color="auto"/>
        <w:left w:val="none" w:sz="0" w:space="0" w:color="auto"/>
        <w:bottom w:val="none" w:sz="0" w:space="0" w:color="auto"/>
        <w:right w:val="none" w:sz="0" w:space="0" w:color="auto"/>
      </w:divBdr>
    </w:div>
    <w:div w:id="1434862460">
      <w:bodyDiv w:val="1"/>
      <w:marLeft w:val="0"/>
      <w:marRight w:val="0"/>
      <w:marTop w:val="0"/>
      <w:marBottom w:val="0"/>
      <w:divBdr>
        <w:top w:val="none" w:sz="0" w:space="0" w:color="auto"/>
        <w:left w:val="none" w:sz="0" w:space="0" w:color="auto"/>
        <w:bottom w:val="none" w:sz="0" w:space="0" w:color="auto"/>
        <w:right w:val="none" w:sz="0" w:space="0" w:color="auto"/>
      </w:divBdr>
    </w:div>
    <w:div w:id="1436635650">
      <w:bodyDiv w:val="1"/>
      <w:marLeft w:val="0"/>
      <w:marRight w:val="0"/>
      <w:marTop w:val="0"/>
      <w:marBottom w:val="0"/>
      <w:divBdr>
        <w:top w:val="none" w:sz="0" w:space="0" w:color="auto"/>
        <w:left w:val="none" w:sz="0" w:space="0" w:color="auto"/>
        <w:bottom w:val="none" w:sz="0" w:space="0" w:color="auto"/>
        <w:right w:val="none" w:sz="0" w:space="0" w:color="auto"/>
      </w:divBdr>
    </w:div>
    <w:div w:id="1438211482">
      <w:bodyDiv w:val="1"/>
      <w:marLeft w:val="0"/>
      <w:marRight w:val="0"/>
      <w:marTop w:val="0"/>
      <w:marBottom w:val="0"/>
      <w:divBdr>
        <w:top w:val="none" w:sz="0" w:space="0" w:color="auto"/>
        <w:left w:val="none" w:sz="0" w:space="0" w:color="auto"/>
        <w:bottom w:val="none" w:sz="0" w:space="0" w:color="auto"/>
        <w:right w:val="none" w:sz="0" w:space="0" w:color="auto"/>
      </w:divBdr>
    </w:div>
    <w:div w:id="1440753701">
      <w:bodyDiv w:val="1"/>
      <w:marLeft w:val="0"/>
      <w:marRight w:val="0"/>
      <w:marTop w:val="0"/>
      <w:marBottom w:val="0"/>
      <w:divBdr>
        <w:top w:val="none" w:sz="0" w:space="0" w:color="auto"/>
        <w:left w:val="none" w:sz="0" w:space="0" w:color="auto"/>
        <w:bottom w:val="none" w:sz="0" w:space="0" w:color="auto"/>
        <w:right w:val="none" w:sz="0" w:space="0" w:color="auto"/>
      </w:divBdr>
    </w:div>
    <w:div w:id="1441872482">
      <w:bodyDiv w:val="1"/>
      <w:marLeft w:val="0"/>
      <w:marRight w:val="0"/>
      <w:marTop w:val="0"/>
      <w:marBottom w:val="0"/>
      <w:divBdr>
        <w:top w:val="none" w:sz="0" w:space="0" w:color="auto"/>
        <w:left w:val="none" w:sz="0" w:space="0" w:color="auto"/>
        <w:bottom w:val="none" w:sz="0" w:space="0" w:color="auto"/>
        <w:right w:val="none" w:sz="0" w:space="0" w:color="auto"/>
      </w:divBdr>
    </w:div>
    <w:div w:id="1444494902">
      <w:bodyDiv w:val="1"/>
      <w:marLeft w:val="0"/>
      <w:marRight w:val="0"/>
      <w:marTop w:val="0"/>
      <w:marBottom w:val="0"/>
      <w:divBdr>
        <w:top w:val="none" w:sz="0" w:space="0" w:color="auto"/>
        <w:left w:val="none" w:sz="0" w:space="0" w:color="auto"/>
        <w:bottom w:val="none" w:sz="0" w:space="0" w:color="auto"/>
        <w:right w:val="none" w:sz="0" w:space="0" w:color="auto"/>
      </w:divBdr>
    </w:div>
    <w:div w:id="1446578787">
      <w:bodyDiv w:val="1"/>
      <w:marLeft w:val="0"/>
      <w:marRight w:val="0"/>
      <w:marTop w:val="0"/>
      <w:marBottom w:val="0"/>
      <w:divBdr>
        <w:top w:val="none" w:sz="0" w:space="0" w:color="auto"/>
        <w:left w:val="none" w:sz="0" w:space="0" w:color="auto"/>
        <w:bottom w:val="none" w:sz="0" w:space="0" w:color="auto"/>
        <w:right w:val="none" w:sz="0" w:space="0" w:color="auto"/>
      </w:divBdr>
    </w:div>
    <w:div w:id="1446847086">
      <w:bodyDiv w:val="1"/>
      <w:marLeft w:val="0"/>
      <w:marRight w:val="0"/>
      <w:marTop w:val="0"/>
      <w:marBottom w:val="0"/>
      <w:divBdr>
        <w:top w:val="none" w:sz="0" w:space="0" w:color="auto"/>
        <w:left w:val="none" w:sz="0" w:space="0" w:color="auto"/>
        <w:bottom w:val="none" w:sz="0" w:space="0" w:color="auto"/>
        <w:right w:val="none" w:sz="0" w:space="0" w:color="auto"/>
      </w:divBdr>
    </w:div>
    <w:div w:id="1448818762">
      <w:bodyDiv w:val="1"/>
      <w:marLeft w:val="0"/>
      <w:marRight w:val="0"/>
      <w:marTop w:val="0"/>
      <w:marBottom w:val="0"/>
      <w:divBdr>
        <w:top w:val="none" w:sz="0" w:space="0" w:color="auto"/>
        <w:left w:val="none" w:sz="0" w:space="0" w:color="auto"/>
        <w:bottom w:val="none" w:sz="0" w:space="0" w:color="auto"/>
        <w:right w:val="none" w:sz="0" w:space="0" w:color="auto"/>
      </w:divBdr>
    </w:div>
    <w:div w:id="1449396487">
      <w:bodyDiv w:val="1"/>
      <w:marLeft w:val="0"/>
      <w:marRight w:val="0"/>
      <w:marTop w:val="0"/>
      <w:marBottom w:val="0"/>
      <w:divBdr>
        <w:top w:val="none" w:sz="0" w:space="0" w:color="auto"/>
        <w:left w:val="none" w:sz="0" w:space="0" w:color="auto"/>
        <w:bottom w:val="none" w:sz="0" w:space="0" w:color="auto"/>
        <w:right w:val="none" w:sz="0" w:space="0" w:color="auto"/>
      </w:divBdr>
    </w:div>
    <w:div w:id="1453162133">
      <w:bodyDiv w:val="1"/>
      <w:marLeft w:val="0"/>
      <w:marRight w:val="0"/>
      <w:marTop w:val="0"/>
      <w:marBottom w:val="0"/>
      <w:divBdr>
        <w:top w:val="none" w:sz="0" w:space="0" w:color="auto"/>
        <w:left w:val="none" w:sz="0" w:space="0" w:color="auto"/>
        <w:bottom w:val="none" w:sz="0" w:space="0" w:color="auto"/>
        <w:right w:val="none" w:sz="0" w:space="0" w:color="auto"/>
      </w:divBdr>
    </w:div>
    <w:div w:id="1456481493">
      <w:bodyDiv w:val="1"/>
      <w:marLeft w:val="0"/>
      <w:marRight w:val="0"/>
      <w:marTop w:val="0"/>
      <w:marBottom w:val="0"/>
      <w:divBdr>
        <w:top w:val="none" w:sz="0" w:space="0" w:color="auto"/>
        <w:left w:val="none" w:sz="0" w:space="0" w:color="auto"/>
        <w:bottom w:val="none" w:sz="0" w:space="0" w:color="auto"/>
        <w:right w:val="none" w:sz="0" w:space="0" w:color="auto"/>
      </w:divBdr>
    </w:div>
    <w:div w:id="1456673789">
      <w:bodyDiv w:val="1"/>
      <w:marLeft w:val="0"/>
      <w:marRight w:val="0"/>
      <w:marTop w:val="0"/>
      <w:marBottom w:val="0"/>
      <w:divBdr>
        <w:top w:val="none" w:sz="0" w:space="0" w:color="auto"/>
        <w:left w:val="none" w:sz="0" w:space="0" w:color="auto"/>
        <w:bottom w:val="none" w:sz="0" w:space="0" w:color="auto"/>
        <w:right w:val="none" w:sz="0" w:space="0" w:color="auto"/>
      </w:divBdr>
    </w:div>
    <w:div w:id="1461143674">
      <w:bodyDiv w:val="1"/>
      <w:marLeft w:val="0"/>
      <w:marRight w:val="0"/>
      <w:marTop w:val="0"/>
      <w:marBottom w:val="0"/>
      <w:divBdr>
        <w:top w:val="none" w:sz="0" w:space="0" w:color="auto"/>
        <w:left w:val="none" w:sz="0" w:space="0" w:color="auto"/>
        <w:bottom w:val="none" w:sz="0" w:space="0" w:color="auto"/>
        <w:right w:val="none" w:sz="0" w:space="0" w:color="auto"/>
      </w:divBdr>
    </w:div>
    <w:div w:id="1470243341">
      <w:bodyDiv w:val="1"/>
      <w:marLeft w:val="0"/>
      <w:marRight w:val="0"/>
      <w:marTop w:val="0"/>
      <w:marBottom w:val="0"/>
      <w:divBdr>
        <w:top w:val="none" w:sz="0" w:space="0" w:color="auto"/>
        <w:left w:val="none" w:sz="0" w:space="0" w:color="auto"/>
        <w:bottom w:val="none" w:sz="0" w:space="0" w:color="auto"/>
        <w:right w:val="none" w:sz="0" w:space="0" w:color="auto"/>
      </w:divBdr>
    </w:div>
    <w:div w:id="1472287437">
      <w:bodyDiv w:val="1"/>
      <w:marLeft w:val="0"/>
      <w:marRight w:val="0"/>
      <w:marTop w:val="0"/>
      <w:marBottom w:val="0"/>
      <w:divBdr>
        <w:top w:val="none" w:sz="0" w:space="0" w:color="auto"/>
        <w:left w:val="none" w:sz="0" w:space="0" w:color="auto"/>
        <w:bottom w:val="none" w:sz="0" w:space="0" w:color="auto"/>
        <w:right w:val="none" w:sz="0" w:space="0" w:color="auto"/>
      </w:divBdr>
    </w:div>
    <w:div w:id="1473979842">
      <w:bodyDiv w:val="1"/>
      <w:marLeft w:val="0"/>
      <w:marRight w:val="0"/>
      <w:marTop w:val="0"/>
      <w:marBottom w:val="0"/>
      <w:divBdr>
        <w:top w:val="none" w:sz="0" w:space="0" w:color="auto"/>
        <w:left w:val="none" w:sz="0" w:space="0" w:color="auto"/>
        <w:bottom w:val="none" w:sz="0" w:space="0" w:color="auto"/>
        <w:right w:val="none" w:sz="0" w:space="0" w:color="auto"/>
      </w:divBdr>
    </w:div>
    <w:div w:id="1474984432">
      <w:bodyDiv w:val="1"/>
      <w:marLeft w:val="0"/>
      <w:marRight w:val="0"/>
      <w:marTop w:val="0"/>
      <w:marBottom w:val="0"/>
      <w:divBdr>
        <w:top w:val="none" w:sz="0" w:space="0" w:color="auto"/>
        <w:left w:val="none" w:sz="0" w:space="0" w:color="auto"/>
        <w:bottom w:val="none" w:sz="0" w:space="0" w:color="auto"/>
        <w:right w:val="none" w:sz="0" w:space="0" w:color="auto"/>
      </w:divBdr>
    </w:div>
    <w:div w:id="1475370926">
      <w:bodyDiv w:val="1"/>
      <w:marLeft w:val="0"/>
      <w:marRight w:val="0"/>
      <w:marTop w:val="0"/>
      <w:marBottom w:val="0"/>
      <w:divBdr>
        <w:top w:val="none" w:sz="0" w:space="0" w:color="auto"/>
        <w:left w:val="none" w:sz="0" w:space="0" w:color="auto"/>
        <w:bottom w:val="none" w:sz="0" w:space="0" w:color="auto"/>
        <w:right w:val="none" w:sz="0" w:space="0" w:color="auto"/>
      </w:divBdr>
    </w:div>
    <w:div w:id="1475412857">
      <w:bodyDiv w:val="1"/>
      <w:marLeft w:val="0"/>
      <w:marRight w:val="0"/>
      <w:marTop w:val="0"/>
      <w:marBottom w:val="0"/>
      <w:divBdr>
        <w:top w:val="none" w:sz="0" w:space="0" w:color="auto"/>
        <w:left w:val="none" w:sz="0" w:space="0" w:color="auto"/>
        <w:bottom w:val="none" w:sz="0" w:space="0" w:color="auto"/>
        <w:right w:val="none" w:sz="0" w:space="0" w:color="auto"/>
      </w:divBdr>
    </w:div>
    <w:div w:id="1478063572">
      <w:bodyDiv w:val="1"/>
      <w:marLeft w:val="0"/>
      <w:marRight w:val="0"/>
      <w:marTop w:val="0"/>
      <w:marBottom w:val="0"/>
      <w:divBdr>
        <w:top w:val="none" w:sz="0" w:space="0" w:color="auto"/>
        <w:left w:val="none" w:sz="0" w:space="0" w:color="auto"/>
        <w:bottom w:val="none" w:sz="0" w:space="0" w:color="auto"/>
        <w:right w:val="none" w:sz="0" w:space="0" w:color="auto"/>
      </w:divBdr>
    </w:div>
    <w:div w:id="1484665952">
      <w:bodyDiv w:val="1"/>
      <w:marLeft w:val="0"/>
      <w:marRight w:val="0"/>
      <w:marTop w:val="0"/>
      <w:marBottom w:val="0"/>
      <w:divBdr>
        <w:top w:val="none" w:sz="0" w:space="0" w:color="auto"/>
        <w:left w:val="none" w:sz="0" w:space="0" w:color="auto"/>
        <w:bottom w:val="none" w:sz="0" w:space="0" w:color="auto"/>
        <w:right w:val="none" w:sz="0" w:space="0" w:color="auto"/>
      </w:divBdr>
    </w:div>
    <w:div w:id="1484811661">
      <w:bodyDiv w:val="1"/>
      <w:marLeft w:val="0"/>
      <w:marRight w:val="0"/>
      <w:marTop w:val="0"/>
      <w:marBottom w:val="0"/>
      <w:divBdr>
        <w:top w:val="none" w:sz="0" w:space="0" w:color="auto"/>
        <w:left w:val="none" w:sz="0" w:space="0" w:color="auto"/>
        <w:bottom w:val="none" w:sz="0" w:space="0" w:color="auto"/>
        <w:right w:val="none" w:sz="0" w:space="0" w:color="auto"/>
      </w:divBdr>
    </w:div>
    <w:div w:id="1491677506">
      <w:bodyDiv w:val="1"/>
      <w:marLeft w:val="0"/>
      <w:marRight w:val="0"/>
      <w:marTop w:val="0"/>
      <w:marBottom w:val="0"/>
      <w:divBdr>
        <w:top w:val="none" w:sz="0" w:space="0" w:color="auto"/>
        <w:left w:val="none" w:sz="0" w:space="0" w:color="auto"/>
        <w:bottom w:val="none" w:sz="0" w:space="0" w:color="auto"/>
        <w:right w:val="none" w:sz="0" w:space="0" w:color="auto"/>
      </w:divBdr>
    </w:div>
    <w:div w:id="1496141295">
      <w:bodyDiv w:val="1"/>
      <w:marLeft w:val="0"/>
      <w:marRight w:val="0"/>
      <w:marTop w:val="0"/>
      <w:marBottom w:val="0"/>
      <w:divBdr>
        <w:top w:val="none" w:sz="0" w:space="0" w:color="auto"/>
        <w:left w:val="none" w:sz="0" w:space="0" w:color="auto"/>
        <w:bottom w:val="none" w:sz="0" w:space="0" w:color="auto"/>
        <w:right w:val="none" w:sz="0" w:space="0" w:color="auto"/>
      </w:divBdr>
    </w:div>
    <w:div w:id="1498494936">
      <w:bodyDiv w:val="1"/>
      <w:marLeft w:val="0"/>
      <w:marRight w:val="0"/>
      <w:marTop w:val="0"/>
      <w:marBottom w:val="0"/>
      <w:divBdr>
        <w:top w:val="none" w:sz="0" w:space="0" w:color="auto"/>
        <w:left w:val="none" w:sz="0" w:space="0" w:color="auto"/>
        <w:bottom w:val="none" w:sz="0" w:space="0" w:color="auto"/>
        <w:right w:val="none" w:sz="0" w:space="0" w:color="auto"/>
      </w:divBdr>
    </w:div>
    <w:div w:id="1500390799">
      <w:bodyDiv w:val="1"/>
      <w:marLeft w:val="0"/>
      <w:marRight w:val="0"/>
      <w:marTop w:val="0"/>
      <w:marBottom w:val="0"/>
      <w:divBdr>
        <w:top w:val="none" w:sz="0" w:space="0" w:color="auto"/>
        <w:left w:val="none" w:sz="0" w:space="0" w:color="auto"/>
        <w:bottom w:val="none" w:sz="0" w:space="0" w:color="auto"/>
        <w:right w:val="none" w:sz="0" w:space="0" w:color="auto"/>
      </w:divBdr>
    </w:div>
    <w:div w:id="1506700490">
      <w:bodyDiv w:val="1"/>
      <w:marLeft w:val="0"/>
      <w:marRight w:val="0"/>
      <w:marTop w:val="0"/>
      <w:marBottom w:val="0"/>
      <w:divBdr>
        <w:top w:val="none" w:sz="0" w:space="0" w:color="auto"/>
        <w:left w:val="none" w:sz="0" w:space="0" w:color="auto"/>
        <w:bottom w:val="none" w:sz="0" w:space="0" w:color="auto"/>
        <w:right w:val="none" w:sz="0" w:space="0" w:color="auto"/>
      </w:divBdr>
    </w:div>
    <w:div w:id="1510102427">
      <w:bodyDiv w:val="1"/>
      <w:marLeft w:val="0"/>
      <w:marRight w:val="0"/>
      <w:marTop w:val="0"/>
      <w:marBottom w:val="0"/>
      <w:divBdr>
        <w:top w:val="none" w:sz="0" w:space="0" w:color="auto"/>
        <w:left w:val="none" w:sz="0" w:space="0" w:color="auto"/>
        <w:bottom w:val="none" w:sz="0" w:space="0" w:color="auto"/>
        <w:right w:val="none" w:sz="0" w:space="0" w:color="auto"/>
      </w:divBdr>
    </w:div>
    <w:div w:id="1512063379">
      <w:bodyDiv w:val="1"/>
      <w:marLeft w:val="0"/>
      <w:marRight w:val="0"/>
      <w:marTop w:val="0"/>
      <w:marBottom w:val="0"/>
      <w:divBdr>
        <w:top w:val="none" w:sz="0" w:space="0" w:color="auto"/>
        <w:left w:val="none" w:sz="0" w:space="0" w:color="auto"/>
        <w:bottom w:val="none" w:sz="0" w:space="0" w:color="auto"/>
        <w:right w:val="none" w:sz="0" w:space="0" w:color="auto"/>
      </w:divBdr>
    </w:div>
    <w:div w:id="1524437499">
      <w:bodyDiv w:val="1"/>
      <w:marLeft w:val="0"/>
      <w:marRight w:val="0"/>
      <w:marTop w:val="0"/>
      <w:marBottom w:val="0"/>
      <w:divBdr>
        <w:top w:val="none" w:sz="0" w:space="0" w:color="auto"/>
        <w:left w:val="none" w:sz="0" w:space="0" w:color="auto"/>
        <w:bottom w:val="none" w:sz="0" w:space="0" w:color="auto"/>
        <w:right w:val="none" w:sz="0" w:space="0" w:color="auto"/>
      </w:divBdr>
    </w:div>
    <w:div w:id="1524510706">
      <w:bodyDiv w:val="1"/>
      <w:marLeft w:val="0"/>
      <w:marRight w:val="0"/>
      <w:marTop w:val="0"/>
      <w:marBottom w:val="0"/>
      <w:divBdr>
        <w:top w:val="none" w:sz="0" w:space="0" w:color="auto"/>
        <w:left w:val="none" w:sz="0" w:space="0" w:color="auto"/>
        <w:bottom w:val="none" w:sz="0" w:space="0" w:color="auto"/>
        <w:right w:val="none" w:sz="0" w:space="0" w:color="auto"/>
      </w:divBdr>
    </w:div>
    <w:div w:id="1524512711">
      <w:bodyDiv w:val="1"/>
      <w:marLeft w:val="0"/>
      <w:marRight w:val="0"/>
      <w:marTop w:val="0"/>
      <w:marBottom w:val="0"/>
      <w:divBdr>
        <w:top w:val="none" w:sz="0" w:space="0" w:color="auto"/>
        <w:left w:val="none" w:sz="0" w:space="0" w:color="auto"/>
        <w:bottom w:val="none" w:sz="0" w:space="0" w:color="auto"/>
        <w:right w:val="none" w:sz="0" w:space="0" w:color="auto"/>
      </w:divBdr>
    </w:div>
    <w:div w:id="1526943157">
      <w:bodyDiv w:val="1"/>
      <w:marLeft w:val="0"/>
      <w:marRight w:val="0"/>
      <w:marTop w:val="0"/>
      <w:marBottom w:val="0"/>
      <w:divBdr>
        <w:top w:val="none" w:sz="0" w:space="0" w:color="auto"/>
        <w:left w:val="none" w:sz="0" w:space="0" w:color="auto"/>
        <w:bottom w:val="none" w:sz="0" w:space="0" w:color="auto"/>
        <w:right w:val="none" w:sz="0" w:space="0" w:color="auto"/>
      </w:divBdr>
    </w:div>
    <w:div w:id="1527793068">
      <w:bodyDiv w:val="1"/>
      <w:marLeft w:val="0"/>
      <w:marRight w:val="0"/>
      <w:marTop w:val="0"/>
      <w:marBottom w:val="0"/>
      <w:divBdr>
        <w:top w:val="none" w:sz="0" w:space="0" w:color="auto"/>
        <w:left w:val="none" w:sz="0" w:space="0" w:color="auto"/>
        <w:bottom w:val="none" w:sz="0" w:space="0" w:color="auto"/>
        <w:right w:val="none" w:sz="0" w:space="0" w:color="auto"/>
      </w:divBdr>
    </w:div>
    <w:div w:id="1534613314">
      <w:bodyDiv w:val="1"/>
      <w:marLeft w:val="0"/>
      <w:marRight w:val="0"/>
      <w:marTop w:val="0"/>
      <w:marBottom w:val="0"/>
      <w:divBdr>
        <w:top w:val="none" w:sz="0" w:space="0" w:color="auto"/>
        <w:left w:val="none" w:sz="0" w:space="0" w:color="auto"/>
        <w:bottom w:val="none" w:sz="0" w:space="0" w:color="auto"/>
        <w:right w:val="none" w:sz="0" w:space="0" w:color="auto"/>
      </w:divBdr>
    </w:div>
    <w:div w:id="1535968136">
      <w:bodyDiv w:val="1"/>
      <w:marLeft w:val="0"/>
      <w:marRight w:val="0"/>
      <w:marTop w:val="0"/>
      <w:marBottom w:val="0"/>
      <w:divBdr>
        <w:top w:val="none" w:sz="0" w:space="0" w:color="auto"/>
        <w:left w:val="none" w:sz="0" w:space="0" w:color="auto"/>
        <w:bottom w:val="none" w:sz="0" w:space="0" w:color="auto"/>
        <w:right w:val="none" w:sz="0" w:space="0" w:color="auto"/>
      </w:divBdr>
    </w:div>
    <w:div w:id="1536886096">
      <w:bodyDiv w:val="1"/>
      <w:marLeft w:val="0"/>
      <w:marRight w:val="0"/>
      <w:marTop w:val="0"/>
      <w:marBottom w:val="0"/>
      <w:divBdr>
        <w:top w:val="none" w:sz="0" w:space="0" w:color="auto"/>
        <w:left w:val="none" w:sz="0" w:space="0" w:color="auto"/>
        <w:bottom w:val="none" w:sz="0" w:space="0" w:color="auto"/>
        <w:right w:val="none" w:sz="0" w:space="0" w:color="auto"/>
      </w:divBdr>
    </w:div>
    <w:div w:id="1536969111">
      <w:bodyDiv w:val="1"/>
      <w:marLeft w:val="0"/>
      <w:marRight w:val="0"/>
      <w:marTop w:val="0"/>
      <w:marBottom w:val="0"/>
      <w:divBdr>
        <w:top w:val="none" w:sz="0" w:space="0" w:color="auto"/>
        <w:left w:val="none" w:sz="0" w:space="0" w:color="auto"/>
        <w:bottom w:val="none" w:sz="0" w:space="0" w:color="auto"/>
        <w:right w:val="none" w:sz="0" w:space="0" w:color="auto"/>
      </w:divBdr>
    </w:div>
    <w:div w:id="1540585201">
      <w:bodyDiv w:val="1"/>
      <w:marLeft w:val="0"/>
      <w:marRight w:val="0"/>
      <w:marTop w:val="0"/>
      <w:marBottom w:val="0"/>
      <w:divBdr>
        <w:top w:val="none" w:sz="0" w:space="0" w:color="auto"/>
        <w:left w:val="none" w:sz="0" w:space="0" w:color="auto"/>
        <w:bottom w:val="none" w:sz="0" w:space="0" w:color="auto"/>
        <w:right w:val="none" w:sz="0" w:space="0" w:color="auto"/>
      </w:divBdr>
    </w:div>
    <w:div w:id="1545173844">
      <w:bodyDiv w:val="1"/>
      <w:marLeft w:val="0"/>
      <w:marRight w:val="0"/>
      <w:marTop w:val="0"/>
      <w:marBottom w:val="0"/>
      <w:divBdr>
        <w:top w:val="none" w:sz="0" w:space="0" w:color="auto"/>
        <w:left w:val="none" w:sz="0" w:space="0" w:color="auto"/>
        <w:bottom w:val="none" w:sz="0" w:space="0" w:color="auto"/>
        <w:right w:val="none" w:sz="0" w:space="0" w:color="auto"/>
      </w:divBdr>
    </w:div>
    <w:div w:id="1546484724">
      <w:bodyDiv w:val="1"/>
      <w:marLeft w:val="0"/>
      <w:marRight w:val="0"/>
      <w:marTop w:val="0"/>
      <w:marBottom w:val="0"/>
      <w:divBdr>
        <w:top w:val="none" w:sz="0" w:space="0" w:color="auto"/>
        <w:left w:val="none" w:sz="0" w:space="0" w:color="auto"/>
        <w:bottom w:val="none" w:sz="0" w:space="0" w:color="auto"/>
        <w:right w:val="none" w:sz="0" w:space="0" w:color="auto"/>
      </w:divBdr>
    </w:div>
    <w:div w:id="1555628249">
      <w:bodyDiv w:val="1"/>
      <w:marLeft w:val="0"/>
      <w:marRight w:val="0"/>
      <w:marTop w:val="0"/>
      <w:marBottom w:val="0"/>
      <w:divBdr>
        <w:top w:val="none" w:sz="0" w:space="0" w:color="auto"/>
        <w:left w:val="none" w:sz="0" w:space="0" w:color="auto"/>
        <w:bottom w:val="none" w:sz="0" w:space="0" w:color="auto"/>
        <w:right w:val="none" w:sz="0" w:space="0" w:color="auto"/>
      </w:divBdr>
    </w:div>
    <w:div w:id="1555699402">
      <w:bodyDiv w:val="1"/>
      <w:marLeft w:val="0"/>
      <w:marRight w:val="0"/>
      <w:marTop w:val="0"/>
      <w:marBottom w:val="0"/>
      <w:divBdr>
        <w:top w:val="none" w:sz="0" w:space="0" w:color="auto"/>
        <w:left w:val="none" w:sz="0" w:space="0" w:color="auto"/>
        <w:bottom w:val="none" w:sz="0" w:space="0" w:color="auto"/>
        <w:right w:val="none" w:sz="0" w:space="0" w:color="auto"/>
      </w:divBdr>
    </w:div>
    <w:div w:id="1555701620">
      <w:bodyDiv w:val="1"/>
      <w:marLeft w:val="0"/>
      <w:marRight w:val="0"/>
      <w:marTop w:val="0"/>
      <w:marBottom w:val="0"/>
      <w:divBdr>
        <w:top w:val="none" w:sz="0" w:space="0" w:color="auto"/>
        <w:left w:val="none" w:sz="0" w:space="0" w:color="auto"/>
        <w:bottom w:val="none" w:sz="0" w:space="0" w:color="auto"/>
        <w:right w:val="none" w:sz="0" w:space="0" w:color="auto"/>
      </w:divBdr>
    </w:div>
    <w:div w:id="1556504811">
      <w:bodyDiv w:val="1"/>
      <w:marLeft w:val="0"/>
      <w:marRight w:val="0"/>
      <w:marTop w:val="0"/>
      <w:marBottom w:val="0"/>
      <w:divBdr>
        <w:top w:val="none" w:sz="0" w:space="0" w:color="auto"/>
        <w:left w:val="none" w:sz="0" w:space="0" w:color="auto"/>
        <w:bottom w:val="none" w:sz="0" w:space="0" w:color="auto"/>
        <w:right w:val="none" w:sz="0" w:space="0" w:color="auto"/>
      </w:divBdr>
    </w:div>
    <w:div w:id="1559322663">
      <w:bodyDiv w:val="1"/>
      <w:marLeft w:val="0"/>
      <w:marRight w:val="0"/>
      <w:marTop w:val="0"/>
      <w:marBottom w:val="0"/>
      <w:divBdr>
        <w:top w:val="none" w:sz="0" w:space="0" w:color="auto"/>
        <w:left w:val="none" w:sz="0" w:space="0" w:color="auto"/>
        <w:bottom w:val="none" w:sz="0" w:space="0" w:color="auto"/>
        <w:right w:val="none" w:sz="0" w:space="0" w:color="auto"/>
      </w:divBdr>
    </w:div>
    <w:div w:id="1563521353">
      <w:bodyDiv w:val="1"/>
      <w:marLeft w:val="0"/>
      <w:marRight w:val="0"/>
      <w:marTop w:val="0"/>
      <w:marBottom w:val="0"/>
      <w:divBdr>
        <w:top w:val="none" w:sz="0" w:space="0" w:color="auto"/>
        <w:left w:val="none" w:sz="0" w:space="0" w:color="auto"/>
        <w:bottom w:val="none" w:sz="0" w:space="0" w:color="auto"/>
        <w:right w:val="none" w:sz="0" w:space="0" w:color="auto"/>
      </w:divBdr>
    </w:div>
    <w:div w:id="1564442110">
      <w:bodyDiv w:val="1"/>
      <w:marLeft w:val="0"/>
      <w:marRight w:val="0"/>
      <w:marTop w:val="0"/>
      <w:marBottom w:val="0"/>
      <w:divBdr>
        <w:top w:val="none" w:sz="0" w:space="0" w:color="auto"/>
        <w:left w:val="none" w:sz="0" w:space="0" w:color="auto"/>
        <w:bottom w:val="none" w:sz="0" w:space="0" w:color="auto"/>
        <w:right w:val="none" w:sz="0" w:space="0" w:color="auto"/>
      </w:divBdr>
    </w:div>
    <w:div w:id="1565750124">
      <w:bodyDiv w:val="1"/>
      <w:marLeft w:val="0"/>
      <w:marRight w:val="0"/>
      <w:marTop w:val="0"/>
      <w:marBottom w:val="0"/>
      <w:divBdr>
        <w:top w:val="none" w:sz="0" w:space="0" w:color="auto"/>
        <w:left w:val="none" w:sz="0" w:space="0" w:color="auto"/>
        <w:bottom w:val="none" w:sz="0" w:space="0" w:color="auto"/>
        <w:right w:val="none" w:sz="0" w:space="0" w:color="auto"/>
      </w:divBdr>
    </w:div>
    <w:div w:id="1568300042">
      <w:bodyDiv w:val="1"/>
      <w:marLeft w:val="0"/>
      <w:marRight w:val="0"/>
      <w:marTop w:val="0"/>
      <w:marBottom w:val="0"/>
      <w:divBdr>
        <w:top w:val="none" w:sz="0" w:space="0" w:color="auto"/>
        <w:left w:val="none" w:sz="0" w:space="0" w:color="auto"/>
        <w:bottom w:val="none" w:sz="0" w:space="0" w:color="auto"/>
        <w:right w:val="none" w:sz="0" w:space="0" w:color="auto"/>
      </w:divBdr>
    </w:div>
    <w:div w:id="1575433582">
      <w:bodyDiv w:val="1"/>
      <w:marLeft w:val="0"/>
      <w:marRight w:val="0"/>
      <w:marTop w:val="0"/>
      <w:marBottom w:val="0"/>
      <w:divBdr>
        <w:top w:val="none" w:sz="0" w:space="0" w:color="auto"/>
        <w:left w:val="none" w:sz="0" w:space="0" w:color="auto"/>
        <w:bottom w:val="none" w:sz="0" w:space="0" w:color="auto"/>
        <w:right w:val="none" w:sz="0" w:space="0" w:color="auto"/>
      </w:divBdr>
    </w:div>
    <w:div w:id="1575621025">
      <w:bodyDiv w:val="1"/>
      <w:marLeft w:val="0"/>
      <w:marRight w:val="0"/>
      <w:marTop w:val="0"/>
      <w:marBottom w:val="0"/>
      <w:divBdr>
        <w:top w:val="none" w:sz="0" w:space="0" w:color="auto"/>
        <w:left w:val="none" w:sz="0" w:space="0" w:color="auto"/>
        <w:bottom w:val="none" w:sz="0" w:space="0" w:color="auto"/>
        <w:right w:val="none" w:sz="0" w:space="0" w:color="auto"/>
      </w:divBdr>
    </w:div>
    <w:div w:id="1579053316">
      <w:bodyDiv w:val="1"/>
      <w:marLeft w:val="0"/>
      <w:marRight w:val="0"/>
      <w:marTop w:val="0"/>
      <w:marBottom w:val="0"/>
      <w:divBdr>
        <w:top w:val="none" w:sz="0" w:space="0" w:color="auto"/>
        <w:left w:val="none" w:sz="0" w:space="0" w:color="auto"/>
        <w:bottom w:val="none" w:sz="0" w:space="0" w:color="auto"/>
        <w:right w:val="none" w:sz="0" w:space="0" w:color="auto"/>
      </w:divBdr>
      <w:divsChild>
        <w:div w:id="132139469">
          <w:marLeft w:val="0"/>
          <w:marRight w:val="0"/>
          <w:marTop w:val="0"/>
          <w:marBottom w:val="0"/>
          <w:divBdr>
            <w:top w:val="none" w:sz="0" w:space="0" w:color="auto"/>
            <w:left w:val="none" w:sz="0" w:space="0" w:color="auto"/>
            <w:bottom w:val="none" w:sz="0" w:space="0" w:color="auto"/>
            <w:right w:val="none" w:sz="0" w:space="0" w:color="auto"/>
          </w:divBdr>
          <w:divsChild>
            <w:div w:id="226112396">
              <w:marLeft w:val="0"/>
              <w:marRight w:val="0"/>
              <w:marTop w:val="0"/>
              <w:marBottom w:val="0"/>
              <w:divBdr>
                <w:top w:val="none" w:sz="0" w:space="0" w:color="auto"/>
                <w:left w:val="none" w:sz="0" w:space="0" w:color="auto"/>
                <w:bottom w:val="none" w:sz="0" w:space="0" w:color="auto"/>
                <w:right w:val="none" w:sz="0" w:space="0" w:color="auto"/>
              </w:divBdr>
              <w:divsChild>
                <w:div w:id="559561919">
                  <w:marLeft w:val="0"/>
                  <w:marRight w:val="0"/>
                  <w:marTop w:val="0"/>
                  <w:marBottom w:val="0"/>
                  <w:divBdr>
                    <w:top w:val="none" w:sz="0" w:space="0" w:color="auto"/>
                    <w:left w:val="none" w:sz="0" w:space="0" w:color="auto"/>
                    <w:bottom w:val="none" w:sz="0" w:space="0" w:color="auto"/>
                    <w:right w:val="none" w:sz="0" w:space="0" w:color="auto"/>
                  </w:divBdr>
                  <w:divsChild>
                    <w:div w:id="79823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091365">
      <w:bodyDiv w:val="1"/>
      <w:marLeft w:val="0"/>
      <w:marRight w:val="0"/>
      <w:marTop w:val="0"/>
      <w:marBottom w:val="0"/>
      <w:divBdr>
        <w:top w:val="none" w:sz="0" w:space="0" w:color="auto"/>
        <w:left w:val="none" w:sz="0" w:space="0" w:color="auto"/>
        <w:bottom w:val="none" w:sz="0" w:space="0" w:color="auto"/>
        <w:right w:val="none" w:sz="0" w:space="0" w:color="auto"/>
      </w:divBdr>
    </w:div>
    <w:div w:id="1579439173">
      <w:bodyDiv w:val="1"/>
      <w:marLeft w:val="0"/>
      <w:marRight w:val="0"/>
      <w:marTop w:val="0"/>
      <w:marBottom w:val="0"/>
      <w:divBdr>
        <w:top w:val="none" w:sz="0" w:space="0" w:color="auto"/>
        <w:left w:val="none" w:sz="0" w:space="0" w:color="auto"/>
        <w:bottom w:val="none" w:sz="0" w:space="0" w:color="auto"/>
        <w:right w:val="none" w:sz="0" w:space="0" w:color="auto"/>
      </w:divBdr>
    </w:div>
    <w:div w:id="1580554963">
      <w:bodyDiv w:val="1"/>
      <w:marLeft w:val="0"/>
      <w:marRight w:val="0"/>
      <w:marTop w:val="0"/>
      <w:marBottom w:val="0"/>
      <w:divBdr>
        <w:top w:val="none" w:sz="0" w:space="0" w:color="auto"/>
        <w:left w:val="none" w:sz="0" w:space="0" w:color="auto"/>
        <w:bottom w:val="none" w:sz="0" w:space="0" w:color="auto"/>
        <w:right w:val="none" w:sz="0" w:space="0" w:color="auto"/>
      </w:divBdr>
    </w:div>
    <w:div w:id="1580671600">
      <w:bodyDiv w:val="1"/>
      <w:marLeft w:val="0"/>
      <w:marRight w:val="0"/>
      <w:marTop w:val="0"/>
      <w:marBottom w:val="0"/>
      <w:divBdr>
        <w:top w:val="none" w:sz="0" w:space="0" w:color="auto"/>
        <w:left w:val="none" w:sz="0" w:space="0" w:color="auto"/>
        <w:bottom w:val="none" w:sz="0" w:space="0" w:color="auto"/>
        <w:right w:val="none" w:sz="0" w:space="0" w:color="auto"/>
      </w:divBdr>
      <w:divsChild>
        <w:div w:id="292516651">
          <w:marLeft w:val="0"/>
          <w:marRight w:val="0"/>
          <w:marTop w:val="0"/>
          <w:marBottom w:val="0"/>
          <w:divBdr>
            <w:top w:val="none" w:sz="0" w:space="0" w:color="auto"/>
            <w:left w:val="none" w:sz="0" w:space="0" w:color="auto"/>
            <w:bottom w:val="none" w:sz="0" w:space="0" w:color="auto"/>
            <w:right w:val="none" w:sz="0" w:space="0" w:color="auto"/>
          </w:divBdr>
          <w:divsChild>
            <w:div w:id="62802059">
              <w:marLeft w:val="0"/>
              <w:marRight w:val="0"/>
              <w:marTop w:val="0"/>
              <w:marBottom w:val="0"/>
              <w:divBdr>
                <w:top w:val="none" w:sz="0" w:space="0" w:color="auto"/>
                <w:left w:val="none" w:sz="0" w:space="0" w:color="auto"/>
                <w:bottom w:val="none" w:sz="0" w:space="0" w:color="auto"/>
                <w:right w:val="none" w:sz="0" w:space="0" w:color="auto"/>
              </w:divBdr>
              <w:divsChild>
                <w:div w:id="1350645667">
                  <w:marLeft w:val="0"/>
                  <w:marRight w:val="0"/>
                  <w:marTop w:val="300"/>
                  <w:marBottom w:val="0"/>
                  <w:divBdr>
                    <w:top w:val="single" w:sz="6" w:space="0" w:color="D0D0D0"/>
                    <w:left w:val="none" w:sz="0" w:space="0" w:color="auto"/>
                    <w:bottom w:val="none" w:sz="0" w:space="0" w:color="auto"/>
                    <w:right w:val="none" w:sz="0" w:space="0" w:color="auto"/>
                  </w:divBdr>
                  <w:divsChild>
                    <w:div w:id="1120762560">
                      <w:marLeft w:val="0"/>
                      <w:marRight w:val="0"/>
                      <w:marTop w:val="0"/>
                      <w:marBottom w:val="0"/>
                      <w:divBdr>
                        <w:top w:val="none" w:sz="0" w:space="0" w:color="auto"/>
                        <w:left w:val="none" w:sz="0" w:space="0" w:color="auto"/>
                        <w:bottom w:val="none" w:sz="0" w:space="0" w:color="auto"/>
                        <w:right w:val="none" w:sz="0" w:space="0" w:color="auto"/>
                      </w:divBdr>
                      <w:divsChild>
                        <w:div w:id="1509708874">
                          <w:marLeft w:val="0"/>
                          <w:marRight w:val="0"/>
                          <w:marTop w:val="0"/>
                          <w:marBottom w:val="0"/>
                          <w:divBdr>
                            <w:top w:val="none" w:sz="0" w:space="0" w:color="auto"/>
                            <w:left w:val="none" w:sz="0" w:space="0" w:color="auto"/>
                            <w:bottom w:val="none" w:sz="0" w:space="0" w:color="auto"/>
                            <w:right w:val="none" w:sz="0" w:space="0" w:color="auto"/>
                          </w:divBdr>
                          <w:divsChild>
                            <w:div w:id="100443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252546">
      <w:bodyDiv w:val="1"/>
      <w:marLeft w:val="0"/>
      <w:marRight w:val="0"/>
      <w:marTop w:val="0"/>
      <w:marBottom w:val="0"/>
      <w:divBdr>
        <w:top w:val="none" w:sz="0" w:space="0" w:color="auto"/>
        <w:left w:val="none" w:sz="0" w:space="0" w:color="auto"/>
        <w:bottom w:val="none" w:sz="0" w:space="0" w:color="auto"/>
        <w:right w:val="none" w:sz="0" w:space="0" w:color="auto"/>
      </w:divBdr>
    </w:div>
    <w:div w:id="1587765920">
      <w:bodyDiv w:val="1"/>
      <w:marLeft w:val="0"/>
      <w:marRight w:val="0"/>
      <w:marTop w:val="0"/>
      <w:marBottom w:val="0"/>
      <w:divBdr>
        <w:top w:val="none" w:sz="0" w:space="0" w:color="auto"/>
        <w:left w:val="none" w:sz="0" w:space="0" w:color="auto"/>
        <w:bottom w:val="none" w:sz="0" w:space="0" w:color="auto"/>
        <w:right w:val="none" w:sz="0" w:space="0" w:color="auto"/>
      </w:divBdr>
    </w:div>
    <w:div w:id="1588417847">
      <w:bodyDiv w:val="1"/>
      <w:marLeft w:val="0"/>
      <w:marRight w:val="0"/>
      <w:marTop w:val="0"/>
      <w:marBottom w:val="0"/>
      <w:divBdr>
        <w:top w:val="none" w:sz="0" w:space="0" w:color="auto"/>
        <w:left w:val="none" w:sz="0" w:space="0" w:color="auto"/>
        <w:bottom w:val="none" w:sz="0" w:space="0" w:color="auto"/>
        <w:right w:val="none" w:sz="0" w:space="0" w:color="auto"/>
      </w:divBdr>
    </w:div>
    <w:div w:id="1590577735">
      <w:bodyDiv w:val="1"/>
      <w:marLeft w:val="0"/>
      <w:marRight w:val="0"/>
      <w:marTop w:val="0"/>
      <w:marBottom w:val="0"/>
      <w:divBdr>
        <w:top w:val="none" w:sz="0" w:space="0" w:color="auto"/>
        <w:left w:val="none" w:sz="0" w:space="0" w:color="auto"/>
        <w:bottom w:val="none" w:sz="0" w:space="0" w:color="auto"/>
        <w:right w:val="none" w:sz="0" w:space="0" w:color="auto"/>
      </w:divBdr>
    </w:div>
    <w:div w:id="1593902776">
      <w:bodyDiv w:val="1"/>
      <w:marLeft w:val="0"/>
      <w:marRight w:val="0"/>
      <w:marTop w:val="0"/>
      <w:marBottom w:val="0"/>
      <w:divBdr>
        <w:top w:val="none" w:sz="0" w:space="0" w:color="auto"/>
        <w:left w:val="none" w:sz="0" w:space="0" w:color="auto"/>
        <w:bottom w:val="none" w:sz="0" w:space="0" w:color="auto"/>
        <w:right w:val="none" w:sz="0" w:space="0" w:color="auto"/>
      </w:divBdr>
    </w:div>
    <w:div w:id="1594321123">
      <w:bodyDiv w:val="1"/>
      <w:marLeft w:val="0"/>
      <w:marRight w:val="0"/>
      <w:marTop w:val="0"/>
      <w:marBottom w:val="0"/>
      <w:divBdr>
        <w:top w:val="none" w:sz="0" w:space="0" w:color="auto"/>
        <w:left w:val="none" w:sz="0" w:space="0" w:color="auto"/>
        <w:bottom w:val="none" w:sz="0" w:space="0" w:color="auto"/>
        <w:right w:val="none" w:sz="0" w:space="0" w:color="auto"/>
      </w:divBdr>
    </w:div>
    <w:div w:id="1600287762">
      <w:bodyDiv w:val="1"/>
      <w:marLeft w:val="0"/>
      <w:marRight w:val="0"/>
      <w:marTop w:val="0"/>
      <w:marBottom w:val="0"/>
      <w:divBdr>
        <w:top w:val="none" w:sz="0" w:space="0" w:color="auto"/>
        <w:left w:val="none" w:sz="0" w:space="0" w:color="auto"/>
        <w:bottom w:val="none" w:sz="0" w:space="0" w:color="auto"/>
        <w:right w:val="none" w:sz="0" w:space="0" w:color="auto"/>
      </w:divBdr>
    </w:div>
    <w:div w:id="1602757068">
      <w:bodyDiv w:val="1"/>
      <w:marLeft w:val="0"/>
      <w:marRight w:val="0"/>
      <w:marTop w:val="0"/>
      <w:marBottom w:val="0"/>
      <w:divBdr>
        <w:top w:val="none" w:sz="0" w:space="0" w:color="auto"/>
        <w:left w:val="none" w:sz="0" w:space="0" w:color="auto"/>
        <w:bottom w:val="none" w:sz="0" w:space="0" w:color="auto"/>
        <w:right w:val="none" w:sz="0" w:space="0" w:color="auto"/>
      </w:divBdr>
    </w:div>
    <w:div w:id="1605575474">
      <w:bodyDiv w:val="1"/>
      <w:marLeft w:val="0"/>
      <w:marRight w:val="0"/>
      <w:marTop w:val="0"/>
      <w:marBottom w:val="0"/>
      <w:divBdr>
        <w:top w:val="none" w:sz="0" w:space="0" w:color="auto"/>
        <w:left w:val="none" w:sz="0" w:space="0" w:color="auto"/>
        <w:bottom w:val="none" w:sz="0" w:space="0" w:color="auto"/>
        <w:right w:val="none" w:sz="0" w:space="0" w:color="auto"/>
      </w:divBdr>
    </w:div>
    <w:div w:id="1605767061">
      <w:bodyDiv w:val="1"/>
      <w:marLeft w:val="0"/>
      <w:marRight w:val="0"/>
      <w:marTop w:val="0"/>
      <w:marBottom w:val="0"/>
      <w:divBdr>
        <w:top w:val="none" w:sz="0" w:space="0" w:color="auto"/>
        <w:left w:val="none" w:sz="0" w:space="0" w:color="auto"/>
        <w:bottom w:val="none" w:sz="0" w:space="0" w:color="auto"/>
        <w:right w:val="none" w:sz="0" w:space="0" w:color="auto"/>
      </w:divBdr>
    </w:div>
    <w:div w:id="1619095955">
      <w:bodyDiv w:val="1"/>
      <w:marLeft w:val="0"/>
      <w:marRight w:val="0"/>
      <w:marTop w:val="0"/>
      <w:marBottom w:val="0"/>
      <w:divBdr>
        <w:top w:val="none" w:sz="0" w:space="0" w:color="auto"/>
        <w:left w:val="none" w:sz="0" w:space="0" w:color="auto"/>
        <w:bottom w:val="none" w:sz="0" w:space="0" w:color="auto"/>
        <w:right w:val="none" w:sz="0" w:space="0" w:color="auto"/>
      </w:divBdr>
    </w:div>
    <w:div w:id="1620068188">
      <w:bodyDiv w:val="1"/>
      <w:marLeft w:val="0"/>
      <w:marRight w:val="0"/>
      <w:marTop w:val="0"/>
      <w:marBottom w:val="0"/>
      <w:divBdr>
        <w:top w:val="none" w:sz="0" w:space="0" w:color="auto"/>
        <w:left w:val="none" w:sz="0" w:space="0" w:color="auto"/>
        <w:bottom w:val="none" w:sz="0" w:space="0" w:color="auto"/>
        <w:right w:val="none" w:sz="0" w:space="0" w:color="auto"/>
      </w:divBdr>
    </w:div>
    <w:div w:id="1622027863">
      <w:bodyDiv w:val="1"/>
      <w:marLeft w:val="0"/>
      <w:marRight w:val="0"/>
      <w:marTop w:val="0"/>
      <w:marBottom w:val="0"/>
      <w:divBdr>
        <w:top w:val="none" w:sz="0" w:space="0" w:color="auto"/>
        <w:left w:val="none" w:sz="0" w:space="0" w:color="auto"/>
        <w:bottom w:val="none" w:sz="0" w:space="0" w:color="auto"/>
        <w:right w:val="none" w:sz="0" w:space="0" w:color="auto"/>
      </w:divBdr>
    </w:div>
    <w:div w:id="1629241409">
      <w:bodyDiv w:val="1"/>
      <w:marLeft w:val="0"/>
      <w:marRight w:val="0"/>
      <w:marTop w:val="0"/>
      <w:marBottom w:val="0"/>
      <w:divBdr>
        <w:top w:val="none" w:sz="0" w:space="0" w:color="auto"/>
        <w:left w:val="none" w:sz="0" w:space="0" w:color="auto"/>
        <w:bottom w:val="none" w:sz="0" w:space="0" w:color="auto"/>
        <w:right w:val="none" w:sz="0" w:space="0" w:color="auto"/>
      </w:divBdr>
    </w:div>
    <w:div w:id="1633443260">
      <w:bodyDiv w:val="1"/>
      <w:marLeft w:val="0"/>
      <w:marRight w:val="0"/>
      <w:marTop w:val="0"/>
      <w:marBottom w:val="0"/>
      <w:divBdr>
        <w:top w:val="none" w:sz="0" w:space="0" w:color="auto"/>
        <w:left w:val="none" w:sz="0" w:space="0" w:color="auto"/>
        <w:bottom w:val="none" w:sz="0" w:space="0" w:color="auto"/>
        <w:right w:val="none" w:sz="0" w:space="0" w:color="auto"/>
      </w:divBdr>
    </w:div>
    <w:div w:id="1634286127">
      <w:bodyDiv w:val="1"/>
      <w:marLeft w:val="0"/>
      <w:marRight w:val="0"/>
      <w:marTop w:val="0"/>
      <w:marBottom w:val="0"/>
      <w:divBdr>
        <w:top w:val="none" w:sz="0" w:space="0" w:color="auto"/>
        <w:left w:val="none" w:sz="0" w:space="0" w:color="auto"/>
        <w:bottom w:val="none" w:sz="0" w:space="0" w:color="auto"/>
        <w:right w:val="none" w:sz="0" w:space="0" w:color="auto"/>
      </w:divBdr>
    </w:div>
    <w:div w:id="1634796760">
      <w:bodyDiv w:val="1"/>
      <w:marLeft w:val="0"/>
      <w:marRight w:val="0"/>
      <w:marTop w:val="0"/>
      <w:marBottom w:val="0"/>
      <w:divBdr>
        <w:top w:val="none" w:sz="0" w:space="0" w:color="auto"/>
        <w:left w:val="none" w:sz="0" w:space="0" w:color="auto"/>
        <w:bottom w:val="none" w:sz="0" w:space="0" w:color="auto"/>
        <w:right w:val="none" w:sz="0" w:space="0" w:color="auto"/>
      </w:divBdr>
    </w:div>
    <w:div w:id="1637876145">
      <w:bodyDiv w:val="1"/>
      <w:marLeft w:val="0"/>
      <w:marRight w:val="0"/>
      <w:marTop w:val="0"/>
      <w:marBottom w:val="0"/>
      <w:divBdr>
        <w:top w:val="none" w:sz="0" w:space="0" w:color="auto"/>
        <w:left w:val="none" w:sz="0" w:space="0" w:color="auto"/>
        <w:bottom w:val="none" w:sz="0" w:space="0" w:color="auto"/>
        <w:right w:val="none" w:sz="0" w:space="0" w:color="auto"/>
      </w:divBdr>
    </w:div>
    <w:div w:id="1640451881">
      <w:bodyDiv w:val="1"/>
      <w:marLeft w:val="0"/>
      <w:marRight w:val="0"/>
      <w:marTop w:val="0"/>
      <w:marBottom w:val="0"/>
      <w:divBdr>
        <w:top w:val="none" w:sz="0" w:space="0" w:color="auto"/>
        <w:left w:val="none" w:sz="0" w:space="0" w:color="auto"/>
        <w:bottom w:val="none" w:sz="0" w:space="0" w:color="auto"/>
        <w:right w:val="none" w:sz="0" w:space="0" w:color="auto"/>
      </w:divBdr>
    </w:div>
    <w:div w:id="1646202111">
      <w:bodyDiv w:val="1"/>
      <w:marLeft w:val="0"/>
      <w:marRight w:val="0"/>
      <w:marTop w:val="0"/>
      <w:marBottom w:val="0"/>
      <w:divBdr>
        <w:top w:val="none" w:sz="0" w:space="0" w:color="auto"/>
        <w:left w:val="none" w:sz="0" w:space="0" w:color="auto"/>
        <w:bottom w:val="none" w:sz="0" w:space="0" w:color="auto"/>
        <w:right w:val="none" w:sz="0" w:space="0" w:color="auto"/>
      </w:divBdr>
    </w:div>
    <w:div w:id="1654018408">
      <w:bodyDiv w:val="1"/>
      <w:marLeft w:val="0"/>
      <w:marRight w:val="0"/>
      <w:marTop w:val="0"/>
      <w:marBottom w:val="0"/>
      <w:divBdr>
        <w:top w:val="none" w:sz="0" w:space="0" w:color="auto"/>
        <w:left w:val="none" w:sz="0" w:space="0" w:color="auto"/>
        <w:bottom w:val="none" w:sz="0" w:space="0" w:color="auto"/>
        <w:right w:val="none" w:sz="0" w:space="0" w:color="auto"/>
      </w:divBdr>
    </w:div>
    <w:div w:id="1658263003">
      <w:bodyDiv w:val="1"/>
      <w:marLeft w:val="0"/>
      <w:marRight w:val="0"/>
      <w:marTop w:val="0"/>
      <w:marBottom w:val="0"/>
      <w:divBdr>
        <w:top w:val="none" w:sz="0" w:space="0" w:color="auto"/>
        <w:left w:val="none" w:sz="0" w:space="0" w:color="auto"/>
        <w:bottom w:val="none" w:sz="0" w:space="0" w:color="auto"/>
        <w:right w:val="none" w:sz="0" w:space="0" w:color="auto"/>
      </w:divBdr>
    </w:div>
    <w:div w:id="1659310651">
      <w:bodyDiv w:val="1"/>
      <w:marLeft w:val="0"/>
      <w:marRight w:val="0"/>
      <w:marTop w:val="0"/>
      <w:marBottom w:val="0"/>
      <w:divBdr>
        <w:top w:val="none" w:sz="0" w:space="0" w:color="auto"/>
        <w:left w:val="none" w:sz="0" w:space="0" w:color="auto"/>
        <w:bottom w:val="none" w:sz="0" w:space="0" w:color="auto"/>
        <w:right w:val="none" w:sz="0" w:space="0" w:color="auto"/>
      </w:divBdr>
    </w:div>
    <w:div w:id="1670213674">
      <w:bodyDiv w:val="1"/>
      <w:marLeft w:val="0"/>
      <w:marRight w:val="0"/>
      <w:marTop w:val="0"/>
      <w:marBottom w:val="0"/>
      <w:divBdr>
        <w:top w:val="none" w:sz="0" w:space="0" w:color="auto"/>
        <w:left w:val="none" w:sz="0" w:space="0" w:color="auto"/>
        <w:bottom w:val="none" w:sz="0" w:space="0" w:color="auto"/>
        <w:right w:val="none" w:sz="0" w:space="0" w:color="auto"/>
      </w:divBdr>
    </w:div>
    <w:div w:id="1670325741">
      <w:bodyDiv w:val="1"/>
      <w:marLeft w:val="0"/>
      <w:marRight w:val="0"/>
      <w:marTop w:val="0"/>
      <w:marBottom w:val="0"/>
      <w:divBdr>
        <w:top w:val="none" w:sz="0" w:space="0" w:color="auto"/>
        <w:left w:val="none" w:sz="0" w:space="0" w:color="auto"/>
        <w:bottom w:val="none" w:sz="0" w:space="0" w:color="auto"/>
        <w:right w:val="none" w:sz="0" w:space="0" w:color="auto"/>
      </w:divBdr>
    </w:div>
    <w:div w:id="1674989520">
      <w:bodyDiv w:val="1"/>
      <w:marLeft w:val="0"/>
      <w:marRight w:val="0"/>
      <w:marTop w:val="0"/>
      <w:marBottom w:val="0"/>
      <w:divBdr>
        <w:top w:val="none" w:sz="0" w:space="0" w:color="auto"/>
        <w:left w:val="none" w:sz="0" w:space="0" w:color="auto"/>
        <w:bottom w:val="none" w:sz="0" w:space="0" w:color="auto"/>
        <w:right w:val="none" w:sz="0" w:space="0" w:color="auto"/>
      </w:divBdr>
    </w:div>
    <w:div w:id="1682584949">
      <w:bodyDiv w:val="1"/>
      <w:marLeft w:val="0"/>
      <w:marRight w:val="0"/>
      <w:marTop w:val="0"/>
      <w:marBottom w:val="0"/>
      <w:divBdr>
        <w:top w:val="none" w:sz="0" w:space="0" w:color="auto"/>
        <w:left w:val="none" w:sz="0" w:space="0" w:color="auto"/>
        <w:bottom w:val="none" w:sz="0" w:space="0" w:color="auto"/>
        <w:right w:val="none" w:sz="0" w:space="0" w:color="auto"/>
      </w:divBdr>
    </w:div>
    <w:div w:id="1685329256">
      <w:bodyDiv w:val="1"/>
      <w:marLeft w:val="0"/>
      <w:marRight w:val="0"/>
      <w:marTop w:val="0"/>
      <w:marBottom w:val="0"/>
      <w:divBdr>
        <w:top w:val="none" w:sz="0" w:space="0" w:color="auto"/>
        <w:left w:val="none" w:sz="0" w:space="0" w:color="auto"/>
        <w:bottom w:val="none" w:sz="0" w:space="0" w:color="auto"/>
        <w:right w:val="none" w:sz="0" w:space="0" w:color="auto"/>
      </w:divBdr>
    </w:div>
    <w:div w:id="1688406839">
      <w:bodyDiv w:val="1"/>
      <w:marLeft w:val="0"/>
      <w:marRight w:val="0"/>
      <w:marTop w:val="0"/>
      <w:marBottom w:val="0"/>
      <w:divBdr>
        <w:top w:val="none" w:sz="0" w:space="0" w:color="auto"/>
        <w:left w:val="none" w:sz="0" w:space="0" w:color="auto"/>
        <w:bottom w:val="none" w:sz="0" w:space="0" w:color="auto"/>
        <w:right w:val="none" w:sz="0" w:space="0" w:color="auto"/>
      </w:divBdr>
    </w:div>
    <w:div w:id="1689330217">
      <w:bodyDiv w:val="1"/>
      <w:marLeft w:val="0"/>
      <w:marRight w:val="0"/>
      <w:marTop w:val="0"/>
      <w:marBottom w:val="0"/>
      <w:divBdr>
        <w:top w:val="none" w:sz="0" w:space="0" w:color="auto"/>
        <w:left w:val="none" w:sz="0" w:space="0" w:color="auto"/>
        <w:bottom w:val="none" w:sz="0" w:space="0" w:color="auto"/>
        <w:right w:val="none" w:sz="0" w:space="0" w:color="auto"/>
      </w:divBdr>
    </w:div>
    <w:div w:id="1691565513">
      <w:bodyDiv w:val="1"/>
      <w:marLeft w:val="0"/>
      <w:marRight w:val="0"/>
      <w:marTop w:val="0"/>
      <w:marBottom w:val="0"/>
      <w:divBdr>
        <w:top w:val="none" w:sz="0" w:space="0" w:color="auto"/>
        <w:left w:val="none" w:sz="0" w:space="0" w:color="auto"/>
        <w:bottom w:val="none" w:sz="0" w:space="0" w:color="auto"/>
        <w:right w:val="none" w:sz="0" w:space="0" w:color="auto"/>
      </w:divBdr>
    </w:div>
    <w:div w:id="1693073885">
      <w:bodyDiv w:val="1"/>
      <w:marLeft w:val="0"/>
      <w:marRight w:val="0"/>
      <w:marTop w:val="0"/>
      <w:marBottom w:val="0"/>
      <w:divBdr>
        <w:top w:val="none" w:sz="0" w:space="0" w:color="auto"/>
        <w:left w:val="none" w:sz="0" w:space="0" w:color="auto"/>
        <w:bottom w:val="none" w:sz="0" w:space="0" w:color="auto"/>
        <w:right w:val="none" w:sz="0" w:space="0" w:color="auto"/>
      </w:divBdr>
    </w:div>
    <w:div w:id="1693917545">
      <w:bodyDiv w:val="1"/>
      <w:marLeft w:val="0"/>
      <w:marRight w:val="0"/>
      <w:marTop w:val="0"/>
      <w:marBottom w:val="0"/>
      <w:divBdr>
        <w:top w:val="none" w:sz="0" w:space="0" w:color="auto"/>
        <w:left w:val="none" w:sz="0" w:space="0" w:color="auto"/>
        <w:bottom w:val="none" w:sz="0" w:space="0" w:color="auto"/>
        <w:right w:val="none" w:sz="0" w:space="0" w:color="auto"/>
      </w:divBdr>
    </w:div>
    <w:div w:id="1694501387">
      <w:bodyDiv w:val="1"/>
      <w:marLeft w:val="0"/>
      <w:marRight w:val="0"/>
      <w:marTop w:val="0"/>
      <w:marBottom w:val="0"/>
      <w:divBdr>
        <w:top w:val="none" w:sz="0" w:space="0" w:color="auto"/>
        <w:left w:val="none" w:sz="0" w:space="0" w:color="auto"/>
        <w:bottom w:val="none" w:sz="0" w:space="0" w:color="auto"/>
        <w:right w:val="none" w:sz="0" w:space="0" w:color="auto"/>
      </w:divBdr>
    </w:div>
    <w:div w:id="1697581124">
      <w:bodyDiv w:val="1"/>
      <w:marLeft w:val="0"/>
      <w:marRight w:val="0"/>
      <w:marTop w:val="0"/>
      <w:marBottom w:val="0"/>
      <w:divBdr>
        <w:top w:val="none" w:sz="0" w:space="0" w:color="auto"/>
        <w:left w:val="none" w:sz="0" w:space="0" w:color="auto"/>
        <w:bottom w:val="none" w:sz="0" w:space="0" w:color="auto"/>
        <w:right w:val="none" w:sz="0" w:space="0" w:color="auto"/>
      </w:divBdr>
    </w:div>
    <w:div w:id="1697852683">
      <w:bodyDiv w:val="1"/>
      <w:marLeft w:val="0"/>
      <w:marRight w:val="0"/>
      <w:marTop w:val="0"/>
      <w:marBottom w:val="0"/>
      <w:divBdr>
        <w:top w:val="none" w:sz="0" w:space="0" w:color="auto"/>
        <w:left w:val="none" w:sz="0" w:space="0" w:color="auto"/>
        <w:bottom w:val="none" w:sz="0" w:space="0" w:color="auto"/>
        <w:right w:val="none" w:sz="0" w:space="0" w:color="auto"/>
      </w:divBdr>
    </w:div>
    <w:div w:id="1698654701">
      <w:bodyDiv w:val="1"/>
      <w:marLeft w:val="0"/>
      <w:marRight w:val="0"/>
      <w:marTop w:val="0"/>
      <w:marBottom w:val="0"/>
      <w:divBdr>
        <w:top w:val="none" w:sz="0" w:space="0" w:color="auto"/>
        <w:left w:val="none" w:sz="0" w:space="0" w:color="auto"/>
        <w:bottom w:val="none" w:sz="0" w:space="0" w:color="auto"/>
        <w:right w:val="none" w:sz="0" w:space="0" w:color="auto"/>
      </w:divBdr>
    </w:div>
    <w:div w:id="1698921093">
      <w:bodyDiv w:val="1"/>
      <w:marLeft w:val="0"/>
      <w:marRight w:val="0"/>
      <w:marTop w:val="0"/>
      <w:marBottom w:val="0"/>
      <w:divBdr>
        <w:top w:val="none" w:sz="0" w:space="0" w:color="auto"/>
        <w:left w:val="none" w:sz="0" w:space="0" w:color="auto"/>
        <w:bottom w:val="none" w:sz="0" w:space="0" w:color="auto"/>
        <w:right w:val="none" w:sz="0" w:space="0" w:color="auto"/>
      </w:divBdr>
    </w:div>
    <w:div w:id="1700012009">
      <w:bodyDiv w:val="1"/>
      <w:marLeft w:val="0"/>
      <w:marRight w:val="0"/>
      <w:marTop w:val="0"/>
      <w:marBottom w:val="0"/>
      <w:divBdr>
        <w:top w:val="none" w:sz="0" w:space="0" w:color="auto"/>
        <w:left w:val="none" w:sz="0" w:space="0" w:color="auto"/>
        <w:bottom w:val="none" w:sz="0" w:space="0" w:color="auto"/>
        <w:right w:val="none" w:sz="0" w:space="0" w:color="auto"/>
      </w:divBdr>
    </w:div>
    <w:div w:id="1715690791">
      <w:bodyDiv w:val="1"/>
      <w:marLeft w:val="0"/>
      <w:marRight w:val="0"/>
      <w:marTop w:val="0"/>
      <w:marBottom w:val="0"/>
      <w:divBdr>
        <w:top w:val="none" w:sz="0" w:space="0" w:color="auto"/>
        <w:left w:val="none" w:sz="0" w:space="0" w:color="auto"/>
        <w:bottom w:val="none" w:sz="0" w:space="0" w:color="auto"/>
        <w:right w:val="none" w:sz="0" w:space="0" w:color="auto"/>
      </w:divBdr>
    </w:div>
    <w:div w:id="1719013361">
      <w:bodyDiv w:val="1"/>
      <w:marLeft w:val="0"/>
      <w:marRight w:val="0"/>
      <w:marTop w:val="0"/>
      <w:marBottom w:val="0"/>
      <w:divBdr>
        <w:top w:val="none" w:sz="0" w:space="0" w:color="auto"/>
        <w:left w:val="none" w:sz="0" w:space="0" w:color="auto"/>
        <w:bottom w:val="none" w:sz="0" w:space="0" w:color="auto"/>
        <w:right w:val="none" w:sz="0" w:space="0" w:color="auto"/>
      </w:divBdr>
    </w:div>
    <w:div w:id="1719472358">
      <w:bodyDiv w:val="1"/>
      <w:marLeft w:val="0"/>
      <w:marRight w:val="0"/>
      <w:marTop w:val="0"/>
      <w:marBottom w:val="0"/>
      <w:divBdr>
        <w:top w:val="none" w:sz="0" w:space="0" w:color="auto"/>
        <w:left w:val="none" w:sz="0" w:space="0" w:color="auto"/>
        <w:bottom w:val="none" w:sz="0" w:space="0" w:color="auto"/>
        <w:right w:val="none" w:sz="0" w:space="0" w:color="auto"/>
      </w:divBdr>
    </w:div>
    <w:div w:id="1723022201">
      <w:bodyDiv w:val="1"/>
      <w:marLeft w:val="0"/>
      <w:marRight w:val="0"/>
      <w:marTop w:val="0"/>
      <w:marBottom w:val="0"/>
      <w:divBdr>
        <w:top w:val="none" w:sz="0" w:space="0" w:color="auto"/>
        <w:left w:val="none" w:sz="0" w:space="0" w:color="auto"/>
        <w:bottom w:val="none" w:sz="0" w:space="0" w:color="auto"/>
        <w:right w:val="none" w:sz="0" w:space="0" w:color="auto"/>
      </w:divBdr>
    </w:div>
    <w:div w:id="1725448150">
      <w:bodyDiv w:val="1"/>
      <w:marLeft w:val="0"/>
      <w:marRight w:val="0"/>
      <w:marTop w:val="0"/>
      <w:marBottom w:val="0"/>
      <w:divBdr>
        <w:top w:val="none" w:sz="0" w:space="0" w:color="auto"/>
        <w:left w:val="none" w:sz="0" w:space="0" w:color="auto"/>
        <w:bottom w:val="none" w:sz="0" w:space="0" w:color="auto"/>
        <w:right w:val="none" w:sz="0" w:space="0" w:color="auto"/>
      </w:divBdr>
    </w:div>
    <w:div w:id="1727534093">
      <w:bodyDiv w:val="1"/>
      <w:marLeft w:val="0"/>
      <w:marRight w:val="0"/>
      <w:marTop w:val="0"/>
      <w:marBottom w:val="0"/>
      <w:divBdr>
        <w:top w:val="none" w:sz="0" w:space="0" w:color="auto"/>
        <w:left w:val="none" w:sz="0" w:space="0" w:color="auto"/>
        <w:bottom w:val="none" w:sz="0" w:space="0" w:color="auto"/>
        <w:right w:val="none" w:sz="0" w:space="0" w:color="auto"/>
      </w:divBdr>
    </w:div>
    <w:div w:id="1737699850">
      <w:bodyDiv w:val="1"/>
      <w:marLeft w:val="0"/>
      <w:marRight w:val="0"/>
      <w:marTop w:val="0"/>
      <w:marBottom w:val="0"/>
      <w:divBdr>
        <w:top w:val="none" w:sz="0" w:space="0" w:color="auto"/>
        <w:left w:val="none" w:sz="0" w:space="0" w:color="auto"/>
        <w:bottom w:val="none" w:sz="0" w:space="0" w:color="auto"/>
        <w:right w:val="none" w:sz="0" w:space="0" w:color="auto"/>
      </w:divBdr>
    </w:div>
    <w:div w:id="1738279242">
      <w:bodyDiv w:val="1"/>
      <w:marLeft w:val="0"/>
      <w:marRight w:val="0"/>
      <w:marTop w:val="0"/>
      <w:marBottom w:val="0"/>
      <w:divBdr>
        <w:top w:val="none" w:sz="0" w:space="0" w:color="auto"/>
        <w:left w:val="none" w:sz="0" w:space="0" w:color="auto"/>
        <w:bottom w:val="none" w:sz="0" w:space="0" w:color="auto"/>
        <w:right w:val="none" w:sz="0" w:space="0" w:color="auto"/>
      </w:divBdr>
    </w:div>
    <w:div w:id="1740786121">
      <w:bodyDiv w:val="1"/>
      <w:marLeft w:val="0"/>
      <w:marRight w:val="0"/>
      <w:marTop w:val="0"/>
      <w:marBottom w:val="0"/>
      <w:divBdr>
        <w:top w:val="none" w:sz="0" w:space="0" w:color="auto"/>
        <w:left w:val="none" w:sz="0" w:space="0" w:color="auto"/>
        <w:bottom w:val="none" w:sz="0" w:space="0" w:color="auto"/>
        <w:right w:val="none" w:sz="0" w:space="0" w:color="auto"/>
      </w:divBdr>
    </w:div>
    <w:div w:id="1743525490">
      <w:bodyDiv w:val="1"/>
      <w:marLeft w:val="0"/>
      <w:marRight w:val="0"/>
      <w:marTop w:val="0"/>
      <w:marBottom w:val="0"/>
      <w:divBdr>
        <w:top w:val="none" w:sz="0" w:space="0" w:color="auto"/>
        <w:left w:val="none" w:sz="0" w:space="0" w:color="auto"/>
        <w:bottom w:val="none" w:sz="0" w:space="0" w:color="auto"/>
        <w:right w:val="none" w:sz="0" w:space="0" w:color="auto"/>
      </w:divBdr>
    </w:div>
    <w:div w:id="1744528521">
      <w:bodyDiv w:val="1"/>
      <w:marLeft w:val="0"/>
      <w:marRight w:val="0"/>
      <w:marTop w:val="0"/>
      <w:marBottom w:val="0"/>
      <w:divBdr>
        <w:top w:val="none" w:sz="0" w:space="0" w:color="auto"/>
        <w:left w:val="none" w:sz="0" w:space="0" w:color="auto"/>
        <w:bottom w:val="none" w:sz="0" w:space="0" w:color="auto"/>
        <w:right w:val="none" w:sz="0" w:space="0" w:color="auto"/>
      </w:divBdr>
    </w:div>
    <w:div w:id="1745956879">
      <w:bodyDiv w:val="1"/>
      <w:marLeft w:val="0"/>
      <w:marRight w:val="0"/>
      <w:marTop w:val="0"/>
      <w:marBottom w:val="0"/>
      <w:divBdr>
        <w:top w:val="none" w:sz="0" w:space="0" w:color="auto"/>
        <w:left w:val="none" w:sz="0" w:space="0" w:color="auto"/>
        <w:bottom w:val="none" w:sz="0" w:space="0" w:color="auto"/>
        <w:right w:val="none" w:sz="0" w:space="0" w:color="auto"/>
      </w:divBdr>
    </w:div>
    <w:div w:id="1746030511">
      <w:bodyDiv w:val="1"/>
      <w:marLeft w:val="0"/>
      <w:marRight w:val="0"/>
      <w:marTop w:val="0"/>
      <w:marBottom w:val="0"/>
      <w:divBdr>
        <w:top w:val="none" w:sz="0" w:space="0" w:color="auto"/>
        <w:left w:val="none" w:sz="0" w:space="0" w:color="auto"/>
        <w:bottom w:val="none" w:sz="0" w:space="0" w:color="auto"/>
        <w:right w:val="none" w:sz="0" w:space="0" w:color="auto"/>
      </w:divBdr>
    </w:div>
    <w:div w:id="1753430008">
      <w:bodyDiv w:val="1"/>
      <w:marLeft w:val="0"/>
      <w:marRight w:val="0"/>
      <w:marTop w:val="0"/>
      <w:marBottom w:val="0"/>
      <w:divBdr>
        <w:top w:val="none" w:sz="0" w:space="0" w:color="auto"/>
        <w:left w:val="none" w:sz="0" w:space="0" w:color="auto"/>
        <w:bottom w:val="none" w:sz="0" w:space="0" w:color="auto"/>
        <w:right w:val="none" w:sz="0" w:space="0" w:color="auto"/>
      </w:divBdr>
    </w:div>
    <w:div w:id="1768845403">
      <w:bodyDiv w:val="1"/>
      <w:marLeft w:val="0"/>
      <w:marRight w:val="0"/>
      <w:marTop w:val="0"/>
      <w:marBottom w:val="0"/>
      <w:divBdr>
        <w:top w:val="none" w:sz="0" w:space="0" w:color="auto"/>
        <w:left w:val="none" w:sz="0" w:space="0" w:color="auto"/>
        <w:bottom w:val="none" w:sz="0" w:space="0" w:color="auto"/>
        <w:right w:val="none" w:sz="0" w:space="0" w:color="auto"/>
      </w:divBdr>
    </w:div>
    <w:div w:id="1771074859">
      <w:bodyDiv w:val="1"/>
      <w:marLeft w:val="0"/>
      <w:marRight w:val="0"/>
      <w:marTop w:val="0"/>
      <w:marBottom w:val="0"/>
      <w:divBdr>
        <w:top w:val="none" w:sz="0" w:space="0" w:color="auto"/>
        <w:left w:val="none" w:sz="0" w:space="0" w:color="auto"/>
        <w:bottom w:val="none" w:sz="0" w:space="0" w:color="auto"/>
        <w:right w:val="none" w:sz="0" w:space="0" w:color="auto"/>
      </w:divBdr>
      <w:divsChild>
        <w:div w:id="1760440726">
          <w:marLeft w:val="0"/>
          <w:marRight w:val="0"/>
          <w:marTop w:val="0"/>
          <w:marBottom w:val="0"/>
          <w:divBdr>
            <w:top w:val="none" w:sz="0" w:space="0" w:color="auto"/>
            <w:left w:val="none" w:sz="0" w:space="0" w:color="auto"/>
            <w:bottom w:val="none" w:sz="0" w:space="0" w:color="auto"/>
            <w:right w:val="none" w:sz="0" w:space="0" w:color="auto"/>
          </w:divBdr>
          <w:divsChild>
            <w:div w:id="174930784">
              <w:marLeft w:val="0"/>
              <w:marRight w:val="0"/>
              <w:marTop w:val="0"/>
              <w:marBottom w:val="0"/>
              <w:divBdr>
                <w:top w:val="none" w:sz="0" w:space="0" w:color="auto"/>
                <w:left w:val="none" w:sz="0" w:space="0" w:color="auto"/>
                <w:bottom w:val="none" w:sz="0" w:space="0" w:color="auto"/>
                <w:right w:val="none" w:sz="0" w:space="0" w:color="auto"/>
              </w:divBdr>
              <w:divsChild>
                <w:div w:id="237325588">
                  <w:marLeft w:val="0"/>
                  <w:marRight w:val="0"/>
                  <w:marTop w:val="0"/>
                  <w:marBottom w:val="0"/>
                  <w:divBdr>
                    <w:top w:val="none" w:sz="0" w:space="0" w:color="auto"/>
                    <w:left w:val="none" w:sz="0" w:space="0" w:color="auto"/>
                    <w:bottom w:val="none" w:sz="0" w:space="0" w:color="auto"/>
                    <w:right w:val="none" w:sz="0" w:space="0" w:color="auto"/>
                  </w:divBdr>
                  <w:divsChild>
                    <w:div w:id="1847016572">
                      <w:marLeft w:val="0"/>
                      <w:marRight w:val="0"/>
                      <w:marTop w:val="0"/>
                      <w:marBottom w:val="0"/>
                      <w:divBdr>
                        <w:top w:val="none" w:sz="0" w:space="0" w:color="auto"/>
                        <w:left w:val="none" w:sz="0" w:space="0" w:color="auto"/>
                        <w:bottom w:val="none" w:sz="0" w:space="0" w:color="auto"/>
                        <w:right w:val="none" w:sz="0" w:space="0" w:color="auto"/>
                      </w:divBdr>
                      <w:divsChild>
                        <w:div w:id="1285964310">
                          <w:marLeft w:val="0"/>
                          <w:marRight w:val="0"/>
                          <w:marTop w:val="0"/>
                          <w:marBottom w:val="0"/>
                          <w:divBdr>
                            <w:top w:val="none" w:sz="0" w:space="0" w:color="auto"/>
                            <w:left w:val="none" w:sz="0" w:space="0" w:color="auto"/>
                            <w:bottom w:val="none" w:sz="0" w:space="0" w:color="auto"/>
                            <w:right w:val="none" w:sz="0" w:space="0" w:color="auto"/>
                          </w:divBdr>
                          <w:divsChild>
                            <w:div w:id="204139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281516">
      <w:bodyDiv w:val="1"/>
      <w:marLeft w:val="0"/>
      <w:marRight w:val="0"/>
      <w:marTop w:val="0"/>
      <w:marBottom w:val="0"/>
      <w:divBdr>
        <w:top w:val="none" w:sz="0" w:space="0" w:color="auto"/>
        <w:left w:val="none" w:sz="0" w:space="0" w:color="auto"/>
        <w:bottom w:val="none" w:sz="0" w:space="0" w:color="auto"/>
        <w:right w:val="none" w:sz="0" w:space="0" w:color="auto"/>
      </w:divBdr>
    </w:div>
    <w:div w:id="1775055587">
      <w:bodyDiv w:val="1"/>
      <w:marLeft w:val="0"/>
      <w:marRight w:val="0"/>
      <w:marTop w:val="0"/>
      <w:marBottom w:val="0"/>
      <w:divBdr>
        <w:top w:val="none" w:sz="0" w:space="0" w:color="auto"/>
        <w:left w:val="none" w:sz="0" w:space="0" w:color="auto"/>
        <w:bottom w:val="none" w:sz="0" w:space="0" w:color="auto"/>
        <w:right w:val="none" w:sz="0" w:space="0" w:color="auto"/>
      </w:divBdr>
    </w:div>
    <w:div w:id="1775514498">
      <w:bodyDiv w:val="1"/>
      <w:marLeft w:val="0"/>
      <w:marRight w:val="0"/>
      <w:marTop w:val="0"/>
      <w:marBottom w:val="0"/>
      <w:divBdr>
        <w:top w:val="none" w:sz="0" w:space="0" w:color="auto"/>
        <w:left w:val="none" w:sz="0" w:space="0" w:color="auto"/>
        <w:bottom w:val="none" w:sz="0" w:space="0" w:color="auto"/>
        <w:right w:val="none" w:sz="0" w:space="0" w:color="auto"/>
      </w:divBdr>
    </w:div>
    <w:div w:id="1777557148">
      <w:bodyDiv w:val="1"/>
      <w:marLeft w:val="0"/>
      <w:marRight w:val="0"/>
      <w:marTop w:val="0"/>
      <w:marBottom w:val="0"/>
      <w:divBdr>
        <w:top w:val="none" w:sz="0" w:space="0" w:color="auto"/>
        <w:left w:val="none" w:sz="0" w:space="0" w:color="auto"/>
        <w:bottom w:val="none" w:sz="0" w:space="0" w:color="auto"/>
        <w:right w:val="none" w:sz="0" w:space="0" w:color="auto"/>
      </w:divBdr>
    </w:div>
    <w:div w:id="1783570373">
      <w:bodyDiv w:val="1"/>
      <w:marLeft w:val="0"/>
      <w:marRight w:val="0"/>
      <w:marTop w:val="0"/>
      <w:marBottom w:val="0"/>
      <w:divBdr>
        <w:top w:val="none" w:sz="0" w:space="0" w:color="auto"/>
        <w:left w:val="none" w:sz="0" w:space="0" w:color="auto"/>
        <w:bottom w:val="none" w:sz="0" w:space="0" w:color="auto"/>
        <w:right w:val="none" w:sz="0" w:space="0" w:color="auto"/>
      </w:divBdr>
    </w:div>
    <w:div w:id="1793401769">
      <w:bodyDiv w:val="1"/>
      <w:marLeft w:val="0"/>
      <w:marRight w:val="0"/>
      <w:marTop w:val="0"/>
      <w:marBottom w:val="0"/>
      <w:divBdr>
        <w:top w:val="none" w:sz="0" w:space="0" w:color="auto"/>
        <w:left w:val="none" w:sz="0" w:space="0" w:color="auto"/>
        <w:bottom w:val="none" w:sz="0" w:space="0" w:color="auto"/>
        <w:right w:val="none" w:sz="0" w:space="0" w:color="auto"/>
      </w:divBdr>
    </w:div>
    <w:div w:id="1794668764">
      <w:bodyDiv w:val="1"/>
      <w:marLeft w:val="0"/>
      <w:marRight w:val="0"/>
      <w:marTop w:val="0"/>
      <w:marBottom w:val="0"/>
      <w:divBdr>
        <w:top w:val="none" w:sz="0" w:space="0" w:color="auto"/>
        <w:left w:val="none" w:sz="0" w:space="0" w:color="auto"/>
        <w:bottom w:val="none" w:sz="0" w:space="0" w:color="auto"/>
        <w:right w:val="none" w:sz="0" w:space="0" w:color="auto"/>
      </w:divBdr>
    </w:div>
    <w:div w:id="1798182687">
      <w:bodyDiv w:val="1"/>
      <w:marLeft w:val="0"/>
      <w:marRight w:val="0"/>
      <w:marTop w:val="0"/>
      <w:marBottom w:val="0"/>
      <w:divBdr>
        <w:top w:val="none" w:sz="0" w:space="0" w:color="auto"/>
        <w:left w:val="none" w:sz="0" w:space="0" w:color="auto"/>
        <w:bottom w:val="none" w:sz="0" w:space="0" w:color="auto"/>
        <w:right w:val="none" w:sz="0" w:space="0" w:color="auto"/>
      </w:divBdr>
    </w:div>
    <w:div w:id="1800687501">
      <w:bodyDiv w:val="1"/>
      <w:marLeft w:val="0"/>
      <w:marRight w:val="0"/>
      <w:marTop w:val="0"/>
      <w:marBottom w:val="0"/>
      <w:divBdr>
        <w:top w:val="none" w:sz="0" w:space="0" w:color="auto"/>
        <w:left w:val="none" w:sz="0" w:space="0" w:color="auto"/>
        <w:bottom w:val="none" w:sz="0" w:space="0" w:color="auto"/>
        <w:right w:val="none" w:sz="0" w:space="0" w:color="auto"/>
      </w:divBdr>
    </w:div>
    <w:div w:id="1804151740">
      <w:bodyDiv w:val="1"/>
      <w:marLeft w:val="0"/>
      <w:marRight w:val="0"/>
      <w:marTop w:val="0"/>
      <w:marBottom w:val="0"/>
      <w:divBdr>
        <w:top w:val="none" w:sz="0" w:space="0" w:color="auto"/>
        <w:left w:val="none" w:sz="0" w:space="0" w:color="auto"/>
        <w:bottom w:val="none" w:sz="0" w:space="0" w:color="auto"/>
        <w:right w:val="none" w:sz="0" w:space="0" w:color="auto"/>
      </w:divBdr>
    </w:div>
    <w:div w:id="1806193802">
      <w:bodyDiv w:val="1"/>
      <w:marLeft w:val="0"/>
      <w:marRight w:val="0"/>
      <w:marTop w:val="0"/>
      <w:marBottom w:val="0"/>
      <w:divBdr>
        <w:top w:val="none" w:sz="0" w:space="0" w:color="auto"/>
        <w:left w:val="none" w:sz="0" w:space="0" w:color="auto"/>
        <w:bottom w:val="none" w:sz="0" w:space="0" w:color="auto"/>
        <w:right w:val="none" w:sz="0" w:space="0" w:color="auto"/>
      </w:divBdr>
    </w:div>
    <w:div w:id="1806266119">
      <w:bodyDiv w:val="1"/>
      <w:marLeft w:val="0"/>
      <w:marRight w:val="0"/>
      <w:marTop w:val="0"/>
      <w:marBottom w:val="0"/>
      <w:divBdr>
        <w:top w:val="none" w:sz="0" w:space="0" w:color="auto"/>
        <w:left w:val="none" w:sz="0" w:space="0" w:color="auto"/>
        <w:bottom w:val="none" w:sz="0" w:space="0" w:color="auto"/>
        <w:right w:val="none" w:sz="0" w:space="0" w:color="auto"/>
      </w:divBdr>
    </w:div>
    <w:div w:id="1809322559">
      <w:bodyDiv w:val="1"/>
      <w:marLeft w:val="0"/>
      <w:marRight w:val="0"/>
      <w:marTop w:val="0"/>
      <w:marBottom w:val="0"/>
      <w:divBdr>
        <w:top w:val="none" w:sz="0" w:space="0" w:color="auto"/>
        <w:left w:val="none" w:sz="0" w:space="0" w:color="auto"/>
        <w:bottom w:val="none" w:sz="0" w:space="0" w:color="auto"/>
        <w:right w:val="none" w:sz="0" w:space="0" w:color="auto"/>
      </w:divBdr>
    </w:div>
    <w:div w:id="1814180676">
      <w:bodyDiv w:val="1"/>
      <w:marLeft w:val="0"/>
      <w:marRight w:val="0"/>
      <w:marTop w:val="0"/>
      <w:marBottom w:val="0"/>
      <w:divBdr>
        <w:top w:val="none" w:sz="0" w:space="0" w:color="auto"/>
        <w:left w:val="none" w:sz="0" w:space="0" w:color="auto"/>
        <w:bottom w:val="none" w:sz="0" w:space="0" w:color="auto"/>
        <w:right w:val="none" w:sz="0" w:space="0" w:color="auto"/>
      </w:divBdr>
    </w:div>
    <w:div w:id="1817646415">
      <w:bodyDiv w:val="1"/>
      <w:marLeft w:val="0"/>
      <w:marRight w:val="0"/>
      <w:marTop w:val="0"/>
      <w:marBottom w:val="0"/>
      <w:divBdr>
        <w:top w:val="none" w:sz="0" w:space="0" w:color="auto"/>
        <w:left w:val="none" w:sz="0" w:space="0" w:color="auto"/>
        <w:bottom w:val="none" w:sz="0" w:space="0" w:color="auto"/>
        <w:right w:val="none" w:sz="0" w:space="0" w:color="auto"/>
      </w:divBdr>
    </w:div>
    <w:div w:id="1819035096">
      <w:bodyDiv w:val="1"/>
      <w:marLeft w:val="0"/>
      <w:marRight w:val="0"/>
      <w:marTop w:val="0"/>
      <w:marBottom w:val="0"/>
      <w:divBdr>
        <w:top w:val="none" w:sz="0" w:space="0" w:color="auto"/>
        <w:left w:val="none" w:sz="0" w:space="0" w:color="auto"/>
        <w:bottom w:val="none" w:sz="0" w:space="0" w:color="auto"/>
        <w:right w:val="none" w:sz="0" w:space="0" w:color="auto"/>
      </w:divBdr>
    </w:div>
    <w:div w:id="1819151614">
      <w:bodyDiv w:val="1"/>
      <w:marLeft w:val="0"/>
      <w:marRight w:val="0"/>
      <w:marTop w:val="0"/>
      <w:marBottom w:val="0"/>
      <w:divBdr>
        <w:top w:val="none" w:sz="0" w:space="0" w:color="auto"/>
        <w:left w:val="none" w:sz="0" w:space="0" w:color="auto"/>
        <w:bottom w:val="none" w:sz="0" w:space="0" w:color="auto"/>
        <w:right w:val="none" w:sz="0" w:space="0" w:color="auto"/>
      </w:divBdr>
    </w:div>
    <w:div w:id="1819572479">
      <w:bodyDiv w:val="1"/>
      <w:marLeft w:val="0"/>
      <w:marRight w:val="0"/>
      <w:marTop w:val="0"/>
      <w:marBottom w:val="0"/>
      <w:divBdr>
        <w:top w:val="none" w:sz="0" w:space="0" w:color="auto"/>
        <w:left w:val="none" w:sz="0" w:space="0" w:color="auto"/>
        <w:bottom w:val="none" w:sz="0" w:space="0" w:color="auto"/>
        <w:right w:val="none" w:sz="0" w:space="0" w:color="auto"/>
      </w:divBdr>
    </w:div>
    <w:div w:id="1820875498">
      <w:bodyDiv w:val="1"/>
      <w:marLeft w:val="0"/>
      <w:marRight w:val="0"/>
      <w:marTop w:val="0"/>
      <w:marBottom w:val="0"/>
      <w:divBdr>
        <w:top w:val="none" w:sz="0" w:space="0" w:color="auto"/>
        <w:left w:val="none" w:sz="0" w:space="0" w:color="auto"/>
        <w:bottom w:val="none" w:sz="0" w:space="0" w:color="auto"/>
        <w:right w:val="none" w:sz="0" w:space="0" w:color="auto"/>
      </w:divBdr>
    </w:div>
    <w:div w:id="1823548245">
      <w:bodyDiv w:val="1"/>
      <w:marLeft w:val="0"/>
      <w:marRight w:val="0"/>
      <w:marTop w:val="0"/>
      <w:marBottom w:val="0"/>
      <w:divBdr>
        <w:top w:val="none" w:sz="0" w:space="0" w:color="auto"/>
        <w:left w:val="none" w:sz="0" w:space="0" w:color="auto"/>
        <w:bottom w:val="none" w:sz="0" w:space="0" w:color="auto"/>
        <w:right w:val="none" w:sz="0" w:space="0" w:color="auto"/>
      </w:divBdr>
    </w:div>
    <w:div w:id="1826386218">
      <w:bodyDiv w:val="1"/>
      <w:marLeft w:val="0"/>
      <w:marRight w:val="0"/>
      <w:marTop w:val="0"/>
      <w:marBottom w:val="0"/>
      <w:divBdr>
        <w:top w:val="none" w:sz="0" w:space="0" w:color="auto"/>
        <w:left w:val="none" w:sz="0" w:space="0" w:color="auto"/>
        <w:bottom w:val="none" w:sz="0" w:space="0" w:color="auto"/>
        <w:right w:val="none" w:sz="0" w:space="0" w:color="auto"/>
      </w:divBdr>
    </w:div>
    <w:div w:id="1827041713">
      <w:bodyDiv w:val="1"/>
      <w:marLeft w:val="0"/>
      <w:marRight w:val="0"/>
      <w:marTop w:val="0"/>
      <w:marBottom w:val="0"/>
      <w:divBdr>
        <w:top w:val="none" w:sz="0" w:space="0" w:color="auto"/>
        <w:left w:val="none" w:sz="0" w:space="0" w:color="auto"/>
        <w:bottom w:val="none" w:sz="0" w:space="0" w:color="auto"/>
        <w:right w:val="none" w:sz="0" w:space="0" w:color="auto"/>
      </w:divBdr>
    </w:div>
    <w:div w:id="1831679098">
      <w:bodyDiv w:val="1"/>
      <w:marLeft w:val="0"/>
      <w:marRight w:val="0"/>
      <w:marTop w:val="0"/>
      <w:marBottom w:val="0"/>
      <w:divBdr>
        <w:top w:val="none" w:sz="0" w:space="0" w:color="auto"/>
        <w:left w:val="none" w:sz="0" w:space="0" w:color="auto"/>
        <w:bottom w:val="none" w:sz="0" w:space="0" w:color="auto"/>
        <w:right w:val="none" w:sz="0" w:space="0" w:color="auto"/>
      </w:divBdr>
    </w:div>
    <w:div w:id="1834493697">
      <w:bodyDiv w:val="1"/>
      <w:marLeft w:val="0"/>
      <w:marRight w:val="0"/>
      <w:marTop w:val="0"/>
      <w:marBottom w:val="0"/>
      <w:divBdr>
        <w:top w:val="none" w:sz="0" w:space="0" w:color="auto"/>
        <w:left w:val="none" w:sz="0" w:space="0" w:color="auto"/>
        <w:bottom w:val="none" w:sz="0" w:space="0" w:color="auto"/>
        <w:right w:val="none" w:sz="0" w:space="0" w:color="auto"/>
      </w:divBdr>
    </w:div>
    <w:div w:id="1839811530">
      <w:bodyDiv w:val="1"/>
      <w:marLeft w:val="0"/>
      <w:marRight w:val="0"/>
      <w:marTop w:val="0"/>
      <w:marBottom w:val="0"/>
      <w:divBdr>
        <w:top w:val="none" w:sz="0" w:space="0" w:color="auto"/>
        <w:left w:val="none" w:sz="0" w:space="0" w:color="auto"/>
        <w:bottom w:val="none" w:sz="0" w:space="0" w:color="auto"/>
        <w:right w:val="none" w:sz="0" w:space="0" w:color="auto"/>
      </w:divBdr>
      <w:divsChild>
        <w:div w:id="1488786009">
          <w:marLeft w:val="0"/>
          <w:marRight w:val="0"/>
          <w:marTop w:val="0"/>
          <w:marBottom w:val="0"/>
          <w:divBdr>
            <w:top w:val="none" w:sz="0" w:space="0" w:color="auto"/>
            <w:left w:val="none" w:sz="0" w:space="0" w:color="auto"/>
            <w:bottom w:val="none" w:sz="0" w:space="0" w:color="auto"/>
            <w:right w:val="none" w:sz="0" w:space="0" w:color="auto"/>
          </w:divBdr>
          <w:divsChild>
            <w:div w:id="404686093">
              <w:marLeft w:val="0"/>
              <w:marRight w:val="0"/>
              <w:marTop w:val="0"/>
              <w:marBottom w:val="0"/>
              <w:divBdr>
                <w:top w:val="none" w:sz="0" w:space="0" w:color="auto"/>
                <w:left w:val="none" w:sz="0" w:space="0" w:color="auto"/>
                <w:bottom w:val="none" w:sz="0" w:space="0" w:color="auto"/>
                <w:right w:val="none" w:sz="0" w:space="0" w:color="auto"/>
              </w:divBdr>
              <w:divsChild>
                <w:div w:id="58208036">
                  <w:marLeft w:val="0"/>
                  <w:marRight w:val="0"/>
                  <w:marTop w:val="0"/>
                  <w:marBottom w:val="7343"/>
                  <w:divBdr>
                    <w:top w:val="none" w:sz="0" w:space="0" w:color="auto"/>
                    <w:left w:val="none" w:sz="0" w:space="0" w:color="auto"/>
                    <w:bottom w:val="none" w:sz="0" w:space="0" w:color="auto"/>
                    <w:right w:val="none" w:sz="0" w:space="0" w:color="auto"/>
                  </w:divBdr>
                  <w:divsChild>
                    <w:div w:id="1962835450">
                      <w:marLeft w:val="0"/>
                      <w:marRight w:val="0"/>
                      <w:marTop w:val="0"/>
                      <w:marBottom w:val="0"/>
                      <w:divBdr>
                        <w:top w:val="none" w:sz="0" w:space="0" w:color="auto"/>
                        <w:left w:val="none" w:sz="0" w:space="0" w:color="auto"/>
                        <w:bottom w:val="none" w:sz="0" w:space="0" w:color="auto"/>
                        <w:right w:val="none" w:sz="0" w:space="0" w:color="auto"/>
                      </w:divBdr>
                      <w:divsChild>
                        <w:div w:id="1089035290">
                          <w:marLeft w:val="0"/>
                          <w:marRight w:val="0"/>
                          <w:marTop w:val="750"/>
                          <w:marBottom w:val="0"/>
                          <w:divBdr>
                            <w:top w:val="none" w:sz="0" w:space="0" w:color="auto"/>
                            <w:left w:val="none" w:sz="0" w:space="0" w:color="auto"/>
                            <w:bottom w:val="none" w:sz="0" w:space="0" w:color="auto"/>
                            <w:right w:val="none" w:sz="0" w:space="0" w:color="auto"/>
                          </w:divBdr>
                          <w:divsChild>
                            <w:div w:id="367919372">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115163">
      <w:bodyDiv w:val="1"/>
      <w:marLeft w:val="0"/>
      <w:marRight w:val="0"/>
      <w:marTop w:val="0"/>
      <w:marBottom w:val="0"/>
      <w:divBdr>
        <w:top w:val="none" w:sz="0" w:space="0" w:color="auto"/>
        <w:left w:val="none" w:sz="0" w:space="0" w:color="auto"/>
        <w:bottom w:val="none" w:sz="0" w:space="0" w:color="auto"/>
        <w:right w:val="none" w:sz="0" w:space="0" w:color="auto"/>
      </w:divBdr>
    </w:div>
    <w:div w:id="1844739142">
      <w:bodyDiv w:val="1"/>
      <w:marLeft w:val="0"/>
      <w:marRight w:val="0"/>
      <w:marTop w:val="0"/>
      <w:marBottom w:val="0"/>
      <w:divBdr>
        <w:top w:val="none" w:sz="0" w:space="0" w:color="auto"/>
        <w:left w:val="none" w:sz="0" w:space="0" w:color="auto"/>
        <w:bottom w:val="none" w:sz="0" w:space="0" w:color="auto"/>
        <w:right w:val="none" w:sz="0" w:space="0" w:color="auto"/>
      </w:divBdr>
    </w:div>
    <w:div w:id="1845435043">
      <w:bodyDiv w:val="1"/>
      <w:marLeft w:val="0"/>
      <w:marRight w:val="0"/>
      <w:marTop w:val="0"/>
      <w:marBottom w:val="0"/>
      <w:divBdr>
        <w:top w:val="none" w:sz="0" w:space="0" w:color="auto"/>
        <w:left w:val="none" w:sz="0" w:space="0" w:color="auto"/>
        <w:bottom w:val="none" w:sz="0" w:space="0" w:color="auto"/>
        <w:right w:val="none" w:sz="0" w:space="0" w:color="auto"/>
      </w:divBdr>
    </w:div>
    <w:div w:id="1847011738">
      <w:bodyDiv w:val="1"/>
      <w:marLeft w:val="0"/>
      <w:marRight w:val="0"/>
      <w:marTop w:val="0"/>
      <w:marBottom w:val="0"/>
      <w:divBdr>
        <w:top w:val="none" w:sz="0" w:space="0" w:color="auto"/>
        <w:left w:val="none" w:sz="0" w:space="0" w:color="auto"/>
        <w:bottom w:val="none" w:sz="0" w:space="0" w:color="auto"/>
        <w:right w:val="none" w:sz="0" w:space="0" w:color="auto"/>
      </w:divBdr>
    </w:div>
    <w:div w:id="1851752354">
      <w:bodyDiv w:val="1"/>
      <w:marLeft w:val="0"/>
      <w:marRight w:val="0"/>
      <w:marTop w:val="0"/>
      <w:marBottom w:val="0"/>
      <w:divBdr>
        <w:top w:val="none" w:sz="0" w:space="0" w:color="auto"/>
        <w:left w:val="none" w:sz="0" w:space="0" w:color="auto"/>
        <w:bottom w:val="none" w:sz="0" w:space="0" w:color="auto"/>
        <w:right w:val="none" w:sz="0" w:space="0" w:color="auto"/>
      </w:divBdr>
      <w:divsChild>
        <w:div w:id="598371028">
          <w:marLeft w:val="0"/>
          <w:marRight w:val="0"/>
          <w:marTop w:val="0"/>
          <w:marBottom w:val="0"/>
          <w:divBdr>
            <w:top w:val="none" w:sz="0" w:space="0" w:color="auto"/>
            <w:left w:val="none" w:sz="0" w:space="0" w:color="auto"/>
            <w:bottom w:val="none" w:sz="0" w:space="0" w:color="auto"/>
            <w:right w:val="none" w:sz="0" w:space="0" w:color="auto"/>
          </w:divBdr>
          <w:divsChild>
            <w:div w:id="1249273664">
              <w:marLeft w:val="0"/>
              <w:marRight w:val="0"/>
              <w:marTop w:val="0"/>
              <w:marBottom w:val="0"/>
              <w:divBdr>
                <w:top w:val="none" w:sz="0" w:space="0" w:color="auto"/>
                <w:left w:val="none" w:sz="0" w:space="0" w:color="auto"/>
                <w:bottom w:val="none" w:sz="0" w:space="0" w:color="auto"/>
                <w:right w:val="none" w:sz="0" w:space="0" w:color="auto"/>
              </w:divBdr>
              <w:divsChild>
                <w:div w:id="2129348508">
                  <w:marLeft w:val="0"/>
                  <w:marRight w:val="0"/>
                  <w:marTop w:val="0"/>
                  <w:marBottom w:val="0"/>
                  <w:divBdr>
                    <w:top w:val="none" w:sz="0" w:space="0" w:color="auto"/>
                    <w:left w:val="none" w:sz="0" w:space="0" w:color="auto"/>
                    <w:bottom w:val="none" w:sz="0" w:space="0" w:color="auto"/>
                    <w:right w:val="none" w:sz="0" w:space="0" w:color="auto"/>
                  </w:divBdr>
                  <w:divsChild>
                    <w:div w:id="206387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681506">
      <w:bodyDiv w:val="1"/>
      <w:marLeft w:val="0"/>
      <w:marRight w:val="0"/>
      <w:marTop w:val="0"/>
      <w:marBottom w:val="0"/>
      <w:divBdr>
        <w:top w:val="none" w:sz="0" w:space="0" w:color="auto"/>
        <w:left w:val="none" w:sz="0" w:space="0" w:color="auto"/>
        <w:bottom w:val="none" w:sz="0" w:space="0" w:color="auto"/>
        <w:right w:val="none" w:sz="0" w:space="0" w:color="auto"/>
      </w:divBdr>
    </w:div>
    <w:div w:id="1855993757">
      <w:bodyDiv w:val="1"/>
      <w:marLeft w:val="0"/>
      <w:marRight w:val="0"/>
      <w:marTop w:val="0"/>
      <w:marBottom w:val="0"/>
      <w:divBdr>
        <w:top w:val="none" w:sz="0" w:space="0" w:color="auto"/>
        <w:left w:val="none" w:sz="0" w:space="0" w:color="auto"/>
        <w:bottom w:val="none" w:sz="0" w:space="0" w:color="auto"/>
        <w:right w:val="none" w:sz="0" w:space="0" w:color="auto"/>
      </w:divBdr>
    </w:div>
    <w:div w:id="1856726112">
      <w:bodyDiv w:val="1"/>
      <w:marLeft w:val="0"/>
      <w:marRight w:val="0"/>
      <w:marTop w:val="0"/>
      <w:marBottom w:val="0"/>
      <w:divBdr>
        <w:top w:val="none" w:sz="0" w:space="0" w:color="auto"/>
        <w:left w:val="none" w:sz="0" w:space="0" w:color="auto"/>
        <w:bottom w:val="none" w:sz="0" w:space="0" w:color="auto"/>
        <w:right w:val="none" w:sz="0" w:space="0" w:color="auto"/>
      </w:divBdr>
    </w:div>
    <w:div w:id="1859461667">
      <w:bodyDiv w:val="1"/>
      <w:marLeft w:val="0"/>
      <w:marRight w:val="0"/>
      <w:marTop w:val="0"/>
      <w:marBottom w:val="0"/>
      <w:divBdr>
        <w:top w:val="none" w:sz="0" w:space="0" w:color="auto"/>
        <w:left w:val="none" w:sz="0" w:space="0" w:color="auto"/>
        <w:bottom w:val="none" w:sz="0" w:space="0" w:color="auto"/>
        <w:right w:val="none" w:sz="0" w:space="0" w:color="auto"/>
      </w:divBdr>
    </w:div>
    <w:div w:id="1860316487">
      <w:bodyDiv w:val="1"/>
      <w:marLeft w:val="0"/>
      <w:marRight w:val="0"/>
      <w:marTop w:val="0"/>
      <w:marBottom w:val="0"/>
      <w:divBdr>
        <w:top w:val="none" w:sz="0" w:space="0" w:color="auto"/>
        <w:left w:val="none" w:sz="0" w:space="0" w:color="auto"/>
        <w:bottom w:val="none" w:sz="0" w:space="0" w:color="auto"/>
        <w:right w:val="none" w:sz="0" w:space="0" w:color="auto"/>
      </w:divBdr>
    </w:div>
    <w:div w:id="1863013731">
      <w:bodyDiv w:val="1"/>
      <w:marLeft w:val="0"/>
      <w:marRight w:val="0"/>
      <w:marTop w:val="0"/>
      <w:marBottom w:val="0"/>
      <w:divBdr>
        <w:top w:val="none" w:sz="0" w:space="0" w:color="auto"/>
        <w:left w:val="none" w:sz="0" w:space="0" w:color="auto"/>
        <w:bottom w:val="none" w:sz="0" w:space="0" w:color="auto"/>
        <w:right w:val="none" w:sz="0" w:space="0" w:color="auto"/>
      </w:divBdr>
    </w:div>
    <w:div w:id="1863468962">
      <w:bodyDiv w:val="1"/>
      <w:marLeft w:val="0"/>
      <w:marRight w:val="0"/>
      <w:marTop w:val="0"/>
      <w:marBottom w:val="0"/>
      <w:divBdr>
        <w:top w:val="none" w:sz="0" w:space="0" w:color="auto"/>
        <w:left w:val="none" w:sz="0" w:space="0" w:color="auto"/>
        <w:bottom w:val="none" w:sz="0" w:space="0" w:color="auto"/>
        <w:right w:val="none" w:sz="0" w:space="0" w:color="auto"/>
      </w:divBdr>
      <w:divsChild>
        <w:div w:id="134184332">
          <w:marLeft w:val="0"/>
          <w:marRight w:val="0"/>
          <w:marTop w:val="0"/>
          <w:marBottom w:val="0"/>
          <w:divBdr>
            <w:top w:val="none" w:sz="0" w:space="0" w:color="auto"/>
            <w:left w:val="none" w:sz="0" w:space="0" w:color="auto"/>
            <w:bottom w:val="none" w:sz="0" w:space="0" w:color="auto"/>
            <w:right w:val="none" w:sz="0" w:space="0" w:color="auto"/>
          </w:divBdr>
        </w:div>
        <w:div w:id="82190177">
          <w:marLeft w:val="0"/>
          <w:marRight w:val="0"/>
          <w:marTop w:val="0"/>
          <w:marBottom w:val="0"/>
          <w:divBdr>
            <w:top w:val="none" w:sz="0" w:space="0" w:color="auto"/>
            <w:left w:val="none" w:sz="0" w:space="0" w:color="auto"/>
            <w:bottom w:val="none" w:sz="0" w:space="0" w:color="auto"/>
            <w:right w:val="none" w:sz="0" w:space="0" w:color="auto"/>
          </w:divBdr>
        </w:div>
        <w:div w:id="1763602329">
          <w:marLeft w:val="0"/>
          <w:marRight w:val="0"/>
          <w:marTop w:val="0"/>
          <w:marBottom w:val="0"/>
          <w:divBdr>
            <w:top w:val="none" w:sz="0" w:space="0" w:color="auto"/>
            <w:left w:val="none" w:sz="0" w:space="0" w:color="auto"/>
            <w:bottom w:val="none" w:sz="0" w:space="0" w:color="auto"/>
            <w:right w:val="none" w:sz="0" w:space="0" w:color="auto"/>
          </w:divBdr>
        </w:div>
        <w:div w:id="1719624740">
          <w:marLeft w:val="0"/>
          <w:marRight w:val="0"/>
          <w:marTop w:val="0"/>
          <w:marBottom w:val="0"/>
          <w:divBdr>
            <w:top w:val="none" w:sz="0" w:space="0" w:color="auto"/>
            <w:left w:val="none" w:sz="0" w:space="0" w:color="auto"/>
            <w:bottom w:val="none" w:sz="0" w:space="0" w:color="auto"/>
            <w:right w:val="none" w:sz="0" w:space="0" w:color="auto"/>
          </w:divBdr>
        </w:div>
      </w:divsChild>
    </w:div>
    <w:div w:id="1865941992">
      <w:bodyDiv w:val="1"/>
      <w:marLeft w:val="0"/>
      <w:marRight w:val="0"/>
      <w:marTop w:val="0"/>
      <w:marBottom w:val="0"/>
      <w:divBdr>
        <w:top w:val="none" w:sz="0" w:space="0" w:color="auto"/>
        <w:left w:val="none" w:sz="0" w:space="0" w:color="auto"/>
        <w:bottom w:val="none" w:sz="0" w:space="0" w:color="auto"/>
        <w:right w:val="none" w:sz="0" w:space="0" w:color="auto"/>
      </w:divBdr>
    </w:div>
    <w:div w:id="1866677522">
      <w:bodyDiv w:val="1"/>
      <w:marLeft w:val="0"/>
      <w:marRight w:val="0"/>
      <w:marTop w:val="0"/>
      <w:marBottom w:val="0"/>
      <w:divBdr>
        <w:top w:val="none" w:sz="0" w:space="0" w:color="auto"/>
        <w:left w:val="none" w:sz="0" w:space="0" w:color="auto"/>
        <w:bottom w:val="none" w:sz="0" w:space="0" w:color="auto"/>
        <w:right w:val="none" w:sz="0" w:space="0" w:color="auto"/>
      </w:divBdr>
    </w:div>
    <w:div w:id="1867711750">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70877701">
      <w:bodyDiv w:val="1"/>
      <w:marLeft w:val="0"/>
      <w:marRight w:val="0"/>
      <w:marTop w:val="0"/>
      <w:marBottom w:val="0"/>
      <w:divBdr>
        <w:top w:val="none" w:sz="0" w:space="0" w:color="auto"/>
        <w:left w:val="none" w:sz="0" w:space="0" w:color="auto"/>
        <w:bottom w:val="none" w:sz="0" w:space="0" w:color="auto"/>
        <w:right w:val="none" w:sz="0" w:space="0" w:color="auto"/>
      </w:divBdr>
    </w:div>
    <w:div w:id="1870944226">
      <w:bodyDiv w:val="1"/>
      <w:marLeft w:val="0"/>
      <w:marRight w:val="0"/>
      <w:marTop w:val="0"/>
      <w:marBottom w:val="0"/>
      <w:divBdr>
        <w:top w:val="none" w:sz="0" w:space="0" w:color="auto"/>
        <w:left w:val="none" w:sz="0" w:space="0" w:color="auto"/>
        <w:bottom w:val="none" w:sz="0" w:space="0" w:color="auto"/>
        <w:right w:val="none" w:sz="0" w:space="0" w:color="auto"/>
      </w:divBdr>
    </w:div>
    <w:div w:id="1873180785">
      <w:bodyDiv w:val="1"/>
      <w:marLeft w:val="0"/>
      <w:marRight w:val="0"/>
      <w:marTop w:val="0"/>
      <w:marBottom w:val="0"/>
      <w:divBdr>
        <w:top w:val="none" w:sz="0" w:space="0" w:color="auto"/>
        <w:left w:val="none" w:sz="0" w:space="0" w:color="auto"/>
        <w:bottom w:val="none" w:sz="0" w:space="0" w:color="auto"/>
        <w:right w:val="none" w:sz="0" w:space="0" w:color="auto"/>
      </w:divBdr>
    </w:div>
    <w:div w:id="1873883540">
      <w:bodyDiv w:val="1"/>
      <w:marLeft w:val="0"/>
      <w:marRight w:val="0"/>
      <w:marTop w:val="0"/>
      <w:marBottom w:val="0"/>
      <w:divBdr>
        <w:top w:val="none" w:sz="0" w:space="0" w:color="auto"/>
        <w:left w:val="none" w:sz="0" w:space="0" w:color="auto"/>
        <w:bottom w:val="none" w:sz="0" w:space="0" w:color="auto"/>
        <w:right w:val="none" w:sz="0" w:space="0" w:color="auto"/>
      </w:divBdr>
    </w:div>
    <w:div w:id="1878345985">
      <w:bodyDiv w:val="1"/>
      <w:marLeft w:val="0"/>
      <w:marRight w:val="0"/>
      <w:marTop w:val="0"/>
      <w:marBottom w:val="0"/>
      <w:divBdr>
        <w:top w:val="none" w:sz="0" w:space="0" w:color="auto"/>
        <w:left w:val="none" w:sz="0" w:space="0" w:color="auto"/>
        <w:bottom w:val="none" w:sz="0" w:space="0" w:color="auto"/>
        <w:right w:val="none" w:sz="0" w:space="0" w:color="auto"/>
      </w:divBdr>
    </w:div>
    <w:div w:id="1879202136">
      <w:bodyDiv w:val="1"/>
      <w:marLeft w:val="0"/>
      <w:marRight w:val="0"/>
      <w:marTop w:val="0"/>
      <w:marBottom w:val="0"/>
      <w:divBdr>
        <w:top w:val="none" w:sz="0" w:space="0" w:color="auto"/>
        <w:left w:val="none" w:sz="0" w:space="0" w:color="auto"/>
        <w:bottom w:val="none" w:sz="0" w:space="0" w:color="auto"/>
        <w:right w:val="none" w:sz="0" w:space="0" w:color="auto"/>
      </w:divBdr>
    </w:div>
    <w:div w:id="1881934964">
      <w:bodyDiv w:val="1"/>
      <w:marLeft w:val="0"/>
      <w:marRight w:val="0"/>
      <w:marTop w:val="0"/>
      <w:marBottom w:val="0"/>
      <w:divBdr>
        <w:top w:val="none" w:sz="0" w:space="0" w:color="auto"/>
        <w:left w:val="none" w:sz="0" w:space="0" w:color="auto"/>
        <w:bottom w:val="none" w:sz="0" w:space="0" w:color="auto"/>
        <w:right w:val="none" w:sz="0" w:space="0" w:color="auto"/>
      </w:divBdr>
    </w:div>
    <w:div w:id="1881935880">
      <w:bodyDiv w:val="1"/>
      <w:marLeft w:val="0"/>
      <w:marRight w:val="0"/>
      <w:marTop w:val="0"/>
      <w:marBottom w:val="0"/>
      <w:divBdr>
        <w:top w:val="none" w:sz="0" w:space="0" w:color="auto"/>
        <w:left w:val="none" w:sz="0" w:space="0" w:color="auto"/>
        <w:bottom w:val="none" w:sz="0" w:space="0" w:color="auto"/>
        <w:right w:val="none" w:sz="0" w:space="0" w:color="auto"/>
      </w:divBdr>
    </w:div>
    <w:div w:id="1882669613">
      <w:bodyDiv w:val="1"/>
      <w:marLeft w:val="0"/>
      <w:marRight w:val="0"/>
      <w:marTop w:val="0"/>
      <w:marBottom w:val="0"/>
      <w:divBdr>
        <w:top w:val="none" w:sz="0" w:space="0" w:color="auto"/>
        <w:left w:val="none" w:sz="0" w:space="0" w:color="auto"/>
        <w:bottom w:val="none" w:sz="0" w:space="0" w:color="auto"/>
        <w:right w:val="none" w:sz="0" w:space="0" w:color="auto"/>
      </w:divBdr>
    </w:div>
    <w:div w:id="1885095874">
      <w:bodyDiv w:val="1"/>
      <w:marLeft w:val="0"/>
      <w:marRight w:val="0"/>
      <w:marTop w:val="0"/>
      <w:marBottom w:val="0"/>
      <w:divBdr>
        <w:top w:val="none" w:sz="0" w:space="0" w:color="auto"/>
        <w:left w:val="none" w:sz="0" w:space="0" w:color="auto"/>
        <w:bottom w:val="none" w:sz="0" w:space="0" w:color="auto"/>
        <w:right w:val="none" w:sz="0" w:space="0" w:color="auto"/>
      </w:divBdr>
    </w:div>
    <w:div w:id="1887450019">
      <w:bodyDiv w:val="1"/>
      <w:marLeft w:val="0"/>
      <w:marRight w:val="0"/>
      <w:marTop w:val="0"/>
      <w:marBottom w:val="0"/>
      <w:divBdr>
        <w:top w:val="none" w:sz="0" w:space="0" w:color="auto"/>
        <w:left w:val="none" w:sz="0" w:space="0" w:color="auto"/>
        <w:bottom w:val="none" w:sz="0" w:space="0" w:color="auto"/>
        <w:right w:val="none" w:sz="0" w:space="0" w:color="auto"/>
      </w:divBdr>
    </w:div>
    <w:div w:id="1887835816">
      <w:bodyDiv w:val="1"/>
      <w:marLeft w:val="0"/>
      <w:marRight w:val="0"/>
      <w:marTop w:val="0"/>
      <w:marBottom w:val="0"/>
      <w:divBdr>
        <w:top w:val="none" w:sz="0" w:space="0" w:color="auto"/>
        <w:left w:val="none" w:sz="0" w:space="0" w:color="auto"/>
        <w:bottom w:val="none" w:sz="0" w:space="0" w:color="auto"/>
        <w:right w:val="none" w:sz="0" w:space="0" w:color="auto"/>
      </w:divBdr>
    </w:div>
    <w:div w:id="1893230777">
      <w:bodyDiv w:val="1"/>
      <w:marLeft w:val="0"/>
      <w:marRight w:val="0"/>
      <w:marTop w:val="0"/>
      <w:marBottom w:val="0"/>
      <w:divBdr>
        <w:top w:val="none" w:sz="0" w:space="0" w:color="auto"/>
        <w:left w:val="none" w:sz="0" w:space="0" w:color="auto"/>
        <w:bottom w:val="none" w:sz="0" w:space="0" w:color="auto"/>
        <w:right w:val="none" w:sz="0" w:space="0" w:color="auto"/>
      </w:divBdr>
    </w:div>
    <w:div w:id="1894462920">
      <w:bodyDiv w:val="1"/>
      <w:marLeft w:val="0"/>
      <w:marRight w:val="0"/>
      <w:marTop w:val="0"/>
      <w:marBottom w:val="0"/>
      <w:divBdr>
        <w:top w:val="none" w:sz="0" w:space="0" w:color="auto"/>
        <w:left w:val="none" w:sz="0" w:space="0" w:color="auto"/>
        <w:bottom w:val="none" w:sz="0" w:space="0" w:color="auto"/>
        <w:right w:val="none" w:sz="0" w:space="0" w:color="auto"/>
      </w:divBdr>
      <w:divsChild>
        <w:div w:id="1932466047">
          <w:marLeft w:val="0"/>
          <w:marRight w:val="0"/>
          <w:marTop w:val="0"/>
          <w:marBottom w:val="0"/>
          <w:divBdr>
            <w:top w:val="none" w:sz="0" w:space="0" w:color="auto"/>
            <w:left w:val="none" w:sz="0" w:space="0" w:color="auto"/>
            <w:bottom w:val="none" w:sz="0" w:space="0" w:color="auto"/>
            <w:right w:val="none" w:sz="0" w:space="0" w:color="auto"/>
          </w:divBdr>
          <w:divsChild>
            <w:div w:id="762337646">
              <w:marLeft w:val="0"/>
              <w:marRight w:val="0"/>
              <w:marTop w:val="0"/>
              <w:marBottom w:val="0"/>
              <w:divBdr>
                <w:top w:val="none" w:sz="0" w:space="0" w:color="auto"/>
                <w:left w:val="none" w:sz="0" w:space="0" w:color="auto"/>
                <w:bottom w:val="none" w:sz="0" w:space="0" w:color="auto"/>
                <w:right w:val="none" w:sz="0" w:space="0" w:color="auto"/>
              </w:divBdr>
              <w:divsChild>
                <w:div w:id="450440326">
                  <w:marLeft w:val="0"/>
                  <w:marRight w:val="0"/>
                  <w:marTop w:val="0"/>
                  <w:marBottom w:val="7343"/>
                  <w:divBdr>
                    <w:top w:val="none" w:sz="0" w:space="0" w:color="auto"/>
                    <w:left w:val="none" w:sz="0" w:space="0" w:color="auto"/>
                    <w:bottom w:val="none" w:sz="0" w:space="0" w:color="auto"/>
                    <w:right w:val="none" w:sz="0" w:space="0" w:color="auto"/>
                  </w:divBdr>
                  <w:divsChild>
                    <w:div w:id="823278650">
                      <w:marLeft w:val="0"/>
                      <w:marRight w:val="0"/>
                      <w:marTop w:val="0"/>
                      <w:marBottom w:val="0"/>
                      <w:divBdr>
                        <w:top w:val="none" w:sz="0" w:space="0" w:color="auto"/>
                        <w:left w:val="none" w:sz="0" w:space="0" w:color="auto"/>
                        <w:bottom w:val="none" w:sz="0" w:space="0" w:color="auto"/>
                        <w:right w:val="none" w:sz="0" w:space="0" w:color="auto"/>
                      </w:divBdr>
                      <w:divsChild>
                        <w:div w:id="947271642">
                          <w:marLeft w:val="0"/>
                          <w:marRight w:val="0"/>
                          <w:marTop w:val="0"/>
                          <w:marBottom w:val="0"/>
                          <w:divBdr>
                            <w:top w:val="none" w:sz="0" w:space="0" w:color="auto"/>
                            <w:left w:val="none" w:sz="0" w:space="0" w:color="auto"/>
                            <w:bottom w:val="none" w:sz="0" w:space="0" w:color="auto"/>
                            <w:right w:val="none" w:sz="0" w:space="0" w:color="auto"/>
                          </w:divBdr>
                          <w:divsChild>
                            <w:div w:id="80262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509403">
      <w:bodyDiv w:val="1"/>
      <w:marLeft w:val="0"/>
      <w:marRight w:val="0"/>
      <w:marTop w:val="0"/>
      <w:marBottom w:val="0"/>
      <w:divBdr>
        <w:top w:val="none" w:sz="0" w:space="0" w:color="auto"/>
        <w:left w:val="none" w:sz="0" w:space="0" w:color="auto"/>
        <w:bottom w:val="none" w:sz="0" w:space="0" w:color="auto"/>
        <w:right w:val="none" w:sz="0" w:space="0" w:color="auto"/>
      </w:divBdr>
    </w:div>
    <w:div w:id="1899169526">
      <w:bodyDiv w:val="1"/>
      <w:marLeft w:val="0"/>
      <w:marRight w:val="0"/>
      <w:marTop w:val="0"/>
      <w:marBottom w:val="0"/>
      <w:divBdr>
        <w:top w:val="none" w:sz="0" w:space="0" w:color="auto"/>
        <w:left w:val="none" w:sz="0" w:space="0" w:color="auto"/>
        <w:bottom w:val="none" w:sz="0" w:space="0" w:color="auto"/>
        <w:right w:val="none" w:sz="0" w:space="0" w:color="auto"/>
      </w:divBdr>
    </w:div>
    <w:div w:id="1902474389">
      <w:bodyDiv w:val="1"/>
      <w:marLeft w:val="0"/>
      <w:marRight w:val="0"/>
      <w:marTop w:val="0"/>
      <w:marBottom w:val="0"/>
      <w:divBdr>
        <w:top w:val="none" w:sz="0" w:space="0" w:color="auto"/>
        <w:left w:val="none" w:sz="0" w:space="0" w:color="auto"/>
        <w:bottom w:val="none" w:sz="0" w:space="0" w:color="auto"/>
        <w:right w:val="none" w:sz="0" w:space="0" w:color="auto"/>
      </w:divBdr>
    </w:div>
    <w:div w:id="1904635687">
      <w:bodyDiv w:val="1"/>
      <w:marLeft w:val="0"/>
      <w:marRight w:val="0"/>
      <w:marTop w:val="0"/>
      <w:marBottom w:val="0"/>
      <w:divBdr>
        <w:top w:val="none" w:sz="0" w:space="0" w:color="auto"/>
        <w:left w:val="none" w:sz="0" w:space="0" w:color="auto"/>
        <w:bottom w:val="none" w:sz="0" w:space="0" w:color="auto"/>
        <w:right w:val="none" w:sz="0" w:space="0" w:color="auto"/>
      </w:divBdr>
    </w:div>
    <w:div w:id="1904680817">
      <w:bodyDiv w:val="1"/>
      <w:marLeft w:val="0"/>
      <w:marRight w:val="0"/>
      <w:marTop w:val="0"/>
      <w:marBottom w:val="0"/>
      <w:divBdr>
        <w:top w:val="none" w:sz="0" w:space="0" w:color="auto"/>
        <w:left w:val="none" w:sz="0" w:space="0" w:color="auto"/>
        <w:bottom w:val="none" w:sz="0" w:space="0" w:color="auto"/>
        <w:right w:val="none" w:sz="0" w:space="0" w:color="auto"/>
      </w:divBdr>
    </w:div>
    <w:div w:id="1905531110">
      <w:bodyDiv w:val="1"/>
      <w:marLeft w:val="0"/>
      <w:marRight w:val="0"/>
      <w:marTop w:val="0"/>
      <w:marBottom w:val="0"/>
      <w:divBdr>
        <w:top w:val="none" w:sz="0" w:space="0" w:color="auto"/>
        <w:left w:val="none" w:sz="0" w:space="0" w:color="auto"/>
        <w:bottom w:val="none" w:sz="0" w:space="0" w:color="auto"/>
        <w:right w:val="none" w:sz="0" w:space="0" w:color="auto"/>
      </w:divBdr>
    </w:div>
    <w:div w:id="1906990263">
      <w:bodyDiv w:val="1"/>
      <w:marLeft w:val="0"/>
      <w:marRight w:val="0"/>
      <w:marTop w:val="0"/>
      <w:marBottom w:val="0"/>
      <w:divBdr>
        <w:top w:val="none" w:sz="0" w:space="0" w:color="auto"/>
        <w:left w:val="none" w:sz="0" w:space="0" w:color="auto"/>
        <w:bottom w:val="none" w:sz="0" w:space="0" w:color="auto"/>
        <w:right w:val="none" w:sz="0" w:space="0" w:color="auto"/>
      </w:divBdr>
    </w:div>
    <w:div w:id="1907304227">
      <w:bodyDiv w:val="1"/>
      <w:marLeft w:val="0"/>
      <w:marRight w:val="0"/>
      <w:marTop w:val="0"/>
      <w:marBottom w:val="0"/>
      <w:divBdr>
        <w:top w:val="none" w:sz="0" w:space="0" w:color="auto"/>
        <w:left w:val="none" w:sz="0" w:space="0" w:color="auto"/>
        <w:bottom w:val="none" w:sz="0" w:space="0" w:color="auto"/>
        <w:right w:val="none" w:sz="0" w:space="0" w:color="auto"/>
      </w:divBdr>
    </w:div>
    <w:div w:id="1909874465">
      <w:bodyDiv w:val="1"/>
      <w:marLeft w:val="0"/>
      <w:marRight w:val="0"/>
      <w:marTop w:val="0"/>
      <w:marBottom w:val="0"/>
      <w:divBdr>
        <w:top w:val="none" w:sz="0" w:space="0" w:color="auto"/>
        <w:left w:val="none" w:sz="0" w:space="0" w:color="auto"/>
        <w:bottom w:val="none" w:sz="0" w:space="0" w:color="auto"/>
        <w:right w:val="none" w:sz="0" w:space="0" w:color="auto"/>
      </w:divBdr>
    </w:div>
    <w:div w:id="1911425773">
      <w:bodyDiv w:val="1"/>
      <w:marLeft w:val="0"/>
      <w:marRight w:val="0"/>
      <w:marTop w:val="0"/>
      <w:marBottom w:val="0"/>
      <w:divBdr>
        <w:top w:val="none" w:sz="0" w:space="0" w:color="auto"/>
        <w:left w:val="none" w:sz="0" w:space="0" w:color="auto"/>
        <w:bottom w:val="none" w:sz="0" w:space="0" w:color="auto"/>
        <w:right w:val="none" w:sz="0" w:space="0" w:color="auto"/>
      </w:divBdr>
    </w:div>
    <w:div w:id="1915234715">
      <w:bodyDiv w:val="1"/>
      <w:marLeft w:val="0"/>
      <w:marRight w:val="0"/>
      <w:marTop w:val="0"/>
      <w:marBottom w:val="0"/>
      <w:divBdr>
        <w:top w:val="none" w:sz="0" w:space="0" w:color="auto"/>
        <w:left w:val="none" w:sz="0" w:space="0" w:color="auto"/>
        <w:bottom w:val="none" w:sz="0" w:space="0" w:color="auto"/>
        <w:right w:val="none" w:sz="0" w:space="0" w:color="auto"/>
      </w:divBdr>
    </w:div>
    <w:div w:id="1916042217">
      <w:bodyDiv w:val="1"/>
      <w:marLeft w:val="0"/>
      <w:marRight w:val="0"/>
      <w:marTop w:val="0"/>
      <w:marBottom w:val="0"/>
      <w:divBdr>
        <w:top w:val="none" w:sz="0" w:space="0" w:color="auto"/>
        <w:left w:val="none" w:sz="0" w:space="0" w:color="auto"/>
        <w:bottom w:val="none" w:sz="0" w:space="0" w:color="auto"/>
        <w:right w:val="none" w:sz="0" w:space="0" w:color="auto"/>
      </w:divBdr>
    </w:div>
    <w:div w:id="1921258877">
      <w:bodyDiv w:val="1"/>
      <w:marLeft w:val="0"/>
      <w:marRight w:val="0"/>
      <w:marTop w:val="0"/>
      <w:marBottom w:val="0"/>
      <w:divBdr>
        <w:top w:val="none" w:sz="0" w:space="0" w:color="auto"/>
        <w:left w:val="none" w:sz="0" w:space="0" w:color="auto"/>
        <w:bottom w:val="none" w:sz="0" w:space="0" w:color="auto"/>
        <w:right w:val="none" w:sz="0" w:space="0" w:color="auto"/>
      </w:divBdr>
    </w:div>
    <w:div w:id="1922256125">
      <w:bodyDiv w:val="1"/>
      <w:marLeft w:val="0"/>
      <w:marRight w:val="0"/>
      <w:marTop w:val="0"/>
      <w:marBottom w:val="0"/>
      <w:divBdr>
        <w:top w:val="none" w:sz="0" w:space="0" w:color="auto"/>
        <w:left w:val="none" w:sz="0" w:space="0" w:color="auto"/>
        <w:bottom w:val="none" w:sz="0" w:space="0" w:color="auto"/>
        <w:right w:val="none" w:sz="0" w:space="0" w:color="auto"/>
      </w:divBdr>
    </w:div>
    <w:div w:id="1922987104">
      <w:bodyDiv w:val="1"/>
      <w:marLeft w:val="0"/>
      <w:marRight w:val="0"/>
      <w:marTop w:val="0"/>
      <w:marBottom w:val="0"/>
      <w:divBdr>
        <w:top w:val="none" w:sz="0" w:space="0" w:color="auto"/>
        <w:left w:val="none" w:sz="0" w:space="0" w:color="auto"/>
        <w:bottom w:val="none" w:sz="0" w:space="0" w:color="auto"/>
        <w:right w:val="none" w:sz="0" w:space="0" w:color="auto"/>
      </w:divBdr>
    </w:div>
    <w:div w:id="1925723391">
      <w:bodyDiv w:val="1"/>
      <w:marLeft w:val="0"/>
      <w:marRight w:val="0"/>
      <w:marTop w:val="0"/>
      <w:marBottom w:val="0"/>
      <w:divBdr>
        <w:top w:val="none" w:sz="0" w:space="0" w:color="auto"/>
        <w:left w:val="none" w:sz="0" w:space="0" w:color="auto"/>
        <w:bottom w:val="none" w:sz="0" w:space="0" w:color="auto"/>
        <w:right w:val="none" w:sz="0" w:space="0" w:color="auto"/>
      </w:divBdr>
    </w:div>
    <w:div w:id="1931423649">
      <w:bodyDiv w:val="1"/>
      <w:marLeft w:val="0"/>
      <w:marRight w:val="0"/>
      <w:marTop w:val="0"/>
      <w:marBottom w:val="0"/>
      <w:divBdr>
        <w:top w:val="none" w:sz="0" w:space="0" w:color="auto"/>
        <w:left w:val="none" w:sz="0" w:space="0" w:color="auto"/>
        <w:bottom w:val="none" w:sz="0" w:space="0" w:color="auto"/>
        <w:right w:val="none" w:sz="0" w:space="0" w:color="auto"/>
      </w:divBdr>
    </w:div>
    <w:div w:id="1932547003">
      <w:bodyDiv w:val="1"/>
      <w:marLeft w:val="0"/>
      <w:marRight w:val="0"/>
      <w:marTop w:val="0"/>
      <w:marBottom w:val="0"/>
      <w:divBdr>
        <w:top w:val="none" w:sz="0" w:space="0" w:color="auto"/>
        <w:left w:val="none" w:sz="0" w:space="0" w:color="auto"/>
        <w:bottom w:val="none" w:sz="0" w:space="0" w:color="auto"/>
        <w:right w:val="none" w:sz="0" w:space="0" w:color="auto"/>
      </w:divBdr>
    </w:div>
    <w:div w:id="1945964617">
      <w:bodyDiv w:val="1"/>
      <w:marLeft w:val="0"/>
      <w:marRight w:val="0"/>
      <w:marTop w:val="0"/>
      <w:marBottom w:val="0"/>
      <w:divBdr>
        <w:top w:val="none" w:sz="0" w:space="0" w:color="auto"/>
        <w:left w:val="none" w:sz="0" w:space="0" w:color="auto"/>
        <w:bottom w:val="none" w:sz="0" w:space="0" w:color="auto"/>
        <w:right w:val="none" w:sz="0" w:space="0" w:color="auto"/>
      </w:divBdr>
    </w:div>
    <w:div w:id="1952663382">
      <w:bodyDiv w:val="1"/>
      <w:marLeft w:val="0"/>
      <w:marRight w:val="0"/>
      <w:marTop w:val="0"/>
      <w:marBottom w:val="0"/>
      <w:divBdr>
        <w:top w:val="none" w:sz="0" w:space="0" w:color="auto"/>
        <w:left w:val="none" w:sz="0" w:space="0" w:color="auto"/>
        <w:bottom w:val="none" w:sz="0" w:space="0" w:color="auto"/>
        <w:right w:val="none" w:sz="0" w:space="0" w:color="auto"/>
      </w:divBdr>
    </w:div>
    <w:div w:id="1954626431">
      <w:bodyDiv w:val="1"/>
      <w:marLeft w:val="0"/>
      <w:marRight w:val="0"/>
      <w:marTop w:val="0"/>
      <w:marBottom w:val="0"/>
      <w:divBdr>
        <w:top w:val="none" w:sz="0" w:space="0" w:color="auto"/>
        <w:left w:val="none" w:sz="0" w:space="0" w:color="auto"/>
        <w:bottom w:val="none" w:sz="0" w:space="0" w:color="auto"/>
        <w:right w:val="none" w:sz="0" w:space="0" w:color="auto"/>
      </w:divBdr>
    </w:div>
    <w:div w:id="1955937781">
      <w:bodyDiv w:val="1"/>
      <w:marLeft w:val="0"/>
      <w:marRight w:val="0"/>
      <w:marTop w:val="0"/>
      <w:marBottom w:val="0"/>
      <w:divBdr>
        <w:top w:val="none" w:sz="0" w:space="0" w:color="auto"/>
        <w:left w:val="none" w:sz="0" w:space="0" w:color="auto"/>
        <w:bottom w:val="none" w:sz="0" w:space="0" w:color="auto"/>
        <w:right w:val="none" w:sz="0" w:space="0" w:color="auto"/>
      </w:divBdr>
    </w:div>
    <w:div w:id="1957251047">
      <w:bodyDiv w:val="1"/>
      <w:marLeft w:val="0"/>
      <w:marRight w:val="0"/>
      <w:marTop w:val="0"/>
      <w:marBottom w:val="0"/>
      <w:divBdr>
        <w:top w:val="none" w:sz="0" w:space="0" w:color="auto"/>
        <w:left w:val="none" w:sz="0" w:space="0" w:color="auto"/>
        <w:bottom w:val="none" w:sz="0" w:space="0" w:color="auto"/>
        <w:right w:val="none" w:sz="0" w:space="0" w:color="auto"/>
      </w:divBdr>
    </w:div>
    <w:div w:id="1957905104">
      <w:bodyDiv w:val="1"/>
      <w:marLeft w:val="0"/>
      <w:marRight w:val="0"/>
      <w:marTop w:val="0"/>
      <w:marBottom w:val="0"/>
      <w:divBdr>
        <w:top w:val="none" w:sz="0" w:space="0" w:color="auto"/>
        <w:left w:val="none" w:sz="0" w:space="0" w:color="auto"/>
        <w:bottom w:val="none" w:sz="0" w:space="0" w:color="auto"/>
        <w:right w:val="none" w:sz="0" w:space="0" w:color="auto"/>
      </w:divBdr>
    </w:div>
    <w:div w:id="1966539356">
      <w:bodyDiv w:val="1"/>
      <w:marLeft w:val="0"/>
      <w:marRight w:val="0"/>
      <w:marTop w:val="0"/>
      <w:marBottom w:val="0"/>
      <w:divBdr>
        <w:top w:val="none" w:sz="0" w:space="0" w:color="auto"/>
        <w:left w:val="none" w:sz="0" w:space="0" w:color="auto"/>
        <w:bottom w:val="none" w:sz="0" w:space="0" w:color="auto"/>
        <w:right w:val="none" w:sz="0" w:space="0" w:color="auto"/>
      </w:divBdr>
    </w:div>
    <w:div w:id="1966810086">
      <w:bodyDiv w:val="1"/>
      <w:marLeft w:val="0"/>
      <w:marRight w:val="0"/>
      <w:marTop w:val="0"/>
      <w:marBottom w:val="0"/>
      <w:divBdr>
        <w:top w:val="none" w:sz="0" w:space="0" w:color="auto"/>
        <w:left w:val="none" w:sz="0" w:space="0" w:color="auto"/>
        <w:bottom w:val="none" w:sz="0" w:space="0" w:color="auto"/>
        <w:right w:val="none" w:sz="0" w:space="0" w:color="auto"/>
      </w:divBdr>
    </w:div>
    <w:div w:id="1967617879">
      <w:bodyDiv w:val="1"/>
      <w:marLeft w:val="0"/>
      <w:marRight w:val="0"/>
      <w:marTop w:val="0"/>
      <w:marBottom w:val="0"/>
      <w:divBdr>
        <w:top w:val="none" w:sz="0" w:space="0" w:color="auto"/>
        <w:left w:val="none" w:sz="0" w:space="0" w:color="auto"/>
        <w:bottom w:val="none" w:sz="0" w:space="0" w:color="auto"/>
        <w:right w:val="none" w:sz="0" w:space="0" w:color="auto"/>
      </w:divBdr>
    </w:div>
    <w:div w:id="1972781662">
      <w:bodyDiv w:val="1"/>
      <w:marLeft w:val="0"/>
      <w:marRight w:val="0"/>
      <w:marTop w:val="0"/>
      <w:marBottom w:val="0"/>
      <w:divBdr>
        <w:top w:val="none" w:sz="0" w:space="0" w:color="auto"/>
        <w:left w:val="none" w:sz="0" w:space="0" w:color="auto"/>
        <w:bottom w:val="none" w:sz="0" w:space="0" w:color="auto"/>
        <w:right w:val="none" w:sz="0" w:space="0" w:color="auto"/>
      </w:divBdr>
    </w:div>
    <w:div w:id="1976249332">
      <w:bodyDiv w:val="1"/>
      <w:marLeft w:val="0"/>
      <w:marRight w:val="0"/>
      <w:marTop w:val="0"/>
      <w:marBottom w:val="0"/>
      <w:divBdr>
        <w:top w:val="none" w:sz="0" w:space="0" w:color="auto"/>
        <w:left w:val="none" w:sz="0" w:space="0" w:color="auto"/>
        <w:bottom w:val="none" w:sz="0" w:space="0" w:color="auto"/>
        <w:right w:val="none" w:sz="0" w:space="0" w:color="auto"/>
      </w:divBdr>
    </w:div>
    <w:div w:id="1980768488">
      <w:bodyDiv w:val="1"/>
      <w:marLeft w:val="0"/>
      <w:marRight w:val="0"/>
      <w:marTop w:val="0"/>
      <w:marBottom w:val="0"/>
      <w:divBdr>
        <w:top w:val="none" w:sz="0" w:space="0" w:color="auto"/>
        <w:left w:val="none" w:sz="0" w:space="0" w:color="auto"/>
        <w:bottom w:val="none" w:sz="0" w:space="0" w:color="auto"/>
        <w:right w:val="none" w:sz="0" w:space="0" w:color="auto"/>
      </w:divBdr>
      <w:divsChild>
        <w:div w:id="886069303">
          <w:marLeft w:val="0"/>
          <w:marRight w:val="0"/>
          <w:marTop w:val="0"/>
          <w:marBottom w:val="0"/>
          <w:divBdr>
            <w:top w:val="none" w:sz="0" w:space="0" w:color="auto"/>
            <w:left w:val="none" w:sz="0" w:space="0" w:color="auto"/>
            <w:bottom w:val="none" w:sz="0" w:space="0" w:color="auto"/>
            <w:right w:val="none" w:sz="0" w:space="0" w:color="auto"/>
          </w:divBdr>
        </w:div>
        <w:div w:id="1346860363">
          <w:marLeft w:val="0"/>
          <w:marRight w:val="0"/>
          <w:marTop w:val="0"/>
          <w:marBottom w:val="0"/>
          <w:divBdr>
            <w:top w:val="none" w:sz="0" w:space="0" w:color="auto"/>
            <w:left w:val="none" w:sz="0" w:space="0" w:color="auto"/>
            <w:bottom w:val="none" w:sz="0" w:space="0" w:color="auto"/>
            <w:right w:val="none" w:sz="0" w:space="0" w:color="auto"/>
          </w:divBdr>
        </w:div>
      </w:divsChild>
    </w:div>
    <w:div w:id="1982036974">
      <w:bodyDiv w:val="1"/>
      <w:marLeft w:val="0"/>
      <w:marRight w:val="0"/>
      <w:marTop w:val="0"/>
      <w:marBottom w:val="0"/>
      <w:divBdr>
        <w:top w:val="none" w:sz="0" w:space="0" w:color="auto"/>
        <w:left w:val="none" w:sz="0" w:space="0" w:color="auto"/>
        <w:bottom w:val="none" w:sz="0" w:space="0" w:color="auto"/>
        <w:right w:val="none" w:sz="0" w:space="0" w:color="auto"/>
      </w:divBdr>
    </w:div>
    <w:div w:id="1984236318">
      <w:bodyDiv w:val="1"/>
      <w:marLeft w:val="0"/>
      <w:marRight w:val="0"/>
      <w:marTop w:val="0"/>
      <w:marBottom w:val="0"/>
      <w:divBdr>
        <w:top w:val="none" w:sz="0" w:space="0" w:color="auto"/>
        <w:left w:val="none" w:sz="0" w:space="0" w:color="auto"/>
        <w:bottom w:val="none" w:sz="0" w:space="0" w:color="auto"/>
        <w:right w:val="none" w:sz="0" w:space="0" w:color="auto"/>
      </w:divBdr>
    </w:div>
    <w:div w:id="1985087070">
      <w:bodyDiv w:val="1"/>
      <w:marLeft w:val="0"/>
      <w:marRight w:val="0"/>
      <w:marTop w:val="0"/>
      <w:marBottom w:val="0"/>
      <w:divBdr>
        <w:top w:val="none" w:sz="0" w:space="0" w:color="auto"/>
        <w:left w:val="none" w:sz="0" w:space="0" w:color="auto"/>
        <w:bottom w:val="none" w:sz="0" w:space="0" w:color="auto"/>
        <w:right w:val="none" w:sz="0" w:space="0" w:color="auto"/>
      </w:divBdr>
    </w:div>
    <w:div w:id="1986548995">
      <w:bodyDiv w:val="1"/>
      <w:marLeft w:val="0"/>
      <w:marRight w:val="0"/>
      <w:marTop w:val="0"/>
      <w:marBottom w:val="0"/>
      <w:divBdr>
        <w:top w:val="none" w:sz="0" w:space="0" w:color="auto"/>
        <w:left w:val="none" w:sz="0" w:space="0" w:color="auto"/>
        <w:bottom w:val="none" w:sz="0" w:space="0" w:color="auto"/>
        <w:right w:val="none" w:sz="0" w:space="0" w:color="auto"/>
      </w:divBdr>
    </w:div>
    <w:div w:id="1990859893">
      <w:bodyDiv w:val="1"/>
      <w:marLeft w:val="0"/>
      <w:marRight w:val="0"/>
      <w:marTop w:val="0"/>
      <w:marBottom w:val="0"/>
      <w:divBdr>
        <w:top w:val="none" w:sz="0" w:space="0" w:color="auto"/>
        <w:left w:val="none" w:sz="0" w:space="0" w:color="auto"/>
        <w:bottom w:val="none" w:sz="0" w:space="0" w:color="auto"/>
        <w:right w:val="none" w:sz="0" w:space="0" w:color="auto"/>
      </w:divBdr>
    </w:div>
    <w:div w:id="1991788507">
      <w:bodyDiv w:val="1"/>
      <w:marLeft w:val="0"/>
      <w:marRight w:val="0"/>
      <w:marTop w:val="0"/>
      <w:marBottom w:val="0"/>
      <w:divBdr>
        <w:top w:val="none" w:sz="0" w:space="0" w:color="auto"/>
        <w:left w:val="none" w:sz="0" w:space="0" w:color="auto"/>
        <w:bottom w:val="none" w:sz="0" w:space="0" w:color="auto"/>
        <w:right w:val="none" w:sz="0" w:space="0" w:color="auto"/>
      </w:divBdr>
    </w:div>
    <w:div w:id="1993947498">
      <w:bodyDiv w:val="1"/>
      <w:marLeft w:val="0"/>
      <w:marRight w:val="0"/>
      <w:marTop w:val="0"/>
      <w:marBottom w:val="0"/>
      <w:divBdr>
        <w:top w:val="none" w:sz="0" w:space="0" w:color="auto"/>
        <w:left w:val="none" w:sz="0" w:space="0" w:color="auto"/>
        <w:bottom w:val="none" w:sz="0" w:space="0" w:color="auto"/>
        <w:right w:val="none" w:sz="0" w:space="0" w:color="auto"/>
      </w:divBdr>
      <w:divsChild>
        <w:div w:id="514853257">
          <w:marLeft w:val="0"/>
          <w:marRight w:val="0"/>
          <w:marTop w:val="0"/>
          <w:marBottom w:val="0"/>
          <w:divBdr>
            <w:top w:val="none" w:sz="0" w:space="0" w:color="auto"/>
            <w:left w:val="none" w:sz="0" w:space="0" w:color="auto"/>
            <w:bottom w:val="none" w:sz="0" w:space="0" w:color="auto"/>
            <w:right w:val="none" w:sz="0" w:space="0" w:color="auto"/>
          </w:divBdr>
        </w:div>
        <w:div w:id="1803880732">
          <w:marLeft w:val="0"/>
          <w:marRight w:val="0"/>
          <w:marTop w:val="0"/>
          <w:marBottom w:val="0"/>
          <w:divBdr>
            <w:top w:val="none" w:sz="0" w:space="0" w:color="auto"/>
            <w:left w:val="none" w:sz="0" w:space="0" w:color="auto"/>
            <w:bottom w:val="none" w:sz="0" w:space="0" w:color="auto"/>
            <w:right w:val="none" w:sz="0" w:space="0" w:color="auto"/>
          </w:divBdr>
        </w:div>
        <w:div w:id="2039115703">
          <w:marLeft w:val="0"/>
          <w:marRight w:val="0"/>
          <w:marTop w:val="0"/>
          <w:marBottom w:val="0"/>
          <w:divBdr>
            <w:top w:val="none" w:sz="0" w:space="0" w:color="auto"/>
            <w:left w:val="none" w:sz="0" w:space="0" w:color="auto"/>
            <w:bottom w:val="none" w:sz="0" w:space="0" w:color="auto"/>
            <w:right w:val="none" w:sz="0" w:space="0" w:color="auto"/>
          </w:divBdr>
          <w:divsChild>
            <w:div w:id="1513835399">
              <w:marLeft w:val="0"/>
              <w:marRight w:val="0"/>
              <w:marTop w:val="0"/>
              <w:marBottom w:val="0"/>
              <w:divBdr>
                <w:top w:val="none" w:sz="0" w:space="0" w:color="auto"/>
                <w:left w:val="none" w:sz="0" w:space="0" w:color="auto"/>
                <w:bottom w:val="none" w:sz="0" w:space="0" w:color="auto"/>
                <w:right w:val="none" w:sz="0" w:space="0" w:color="auto"/>
              </w:divBdr>
            </w:div>
            <w:div w:id="1950432947">
              <w:marLeft w:val="0"/>
              <w:marRight w:val="0"/>
              <w:marTop w:val="0"/>
              <w:marBottom w:val="0"/>
              <w:divBdr>
                <w:top w:val="none" w:sz="0" w:space="0" w:color="auto"/>
                <w:left w:val="none" w:sz="0" w:space="0" w:color="auto"/>
                <w:bottom w:val="none" w:sz="0" w:space="0" w:color="auto"/>
                <w:right w:val="none" w:sz="0" w:space="0" w:color="auto"/>
              </w:divBdr>
              <w:divsChild>
                <w:div w:id="57521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56385">
      <w:bodyDiv w:val="1"/>
      <w:marLeft w:val="0"/>
      <w:marRight w:val="0"/>
      <w:marTop w:val="0"/>
      <w:marBottom w:val="0"/>
      <w:divBdr>
        <w:top w:val="none" w:sz="0" w:space="0" w:color="auto"/>
        <w:left w:val="none" w:sz="0" w:space="0" w:color="auto"/>
        <w:bottom w:val="none" w:sz="0" w:space="0" w:color="auto"/>
        <w:right w:val="none" w:sz="0" w:space="0" w:color="auto"/>
      </w:divBdr>
    </w:div>
    <w:div w:id="1998879483">
      <w:bodyDiv w:val="1"/>
      <w:marLeft w:val="0"/>
      <w:marRight w:val="0"/>
      <w:marTop w:val="0"/>
      <w:marBottom w:val="0"/>
      <w:divBdr>
        <w:top w:val="none" w:sz="0" w:space="0" w:color="auto"/>
        <w:left w:val="none" w:sz="0" w:space="0" w:color="auto"/>
        <w:bottom w:val="none" w:sz="0" w:space="0" w:color="auto"/>
        <w:right w:val="none" w:sz="0" w:space="0" w:color="auto"/>
      </w:divBdr>
      <w:divsChild>
        <w:div w:id="779376696">
          <w:marLeft w:val="0"/>
          <w:marRight w:val="0"/>
          <w:marTop w:val="0"/>
          <w:marBottom w:val="0"/>
          <w:divBdr>
            <w:top w:val="none" w:sz="0" w:space="0" w:color="auto"/>
            <w:left w:val="none" w:sz="0" w:space="0" w:color="auto"/>
            <w:bottom w:val="none" w:sz="0" w:space="0" w:color="auto"/>
            <w:right w:val="none" w:sz="0" w:space="0" w:color="auto"/>
          </w:divBdr>
          <w:divsChild>
            <w:div w:id="1454714027">
              <w:marLeft w:val="-225"/>
              <w:marRight w:val="-225"/>
              <w:marTop w:val="0"/>
              <w:marBottom w:val="0"/>
              <w:divBdr>
                <w:top w:val="none" w:sz="0" w:space="0" w:color="auto"/>
                <w:left w:val="none" w:sz="0" w:space="0" w:color="auto"/>
                <w:bottom w:val="none" w:sz="0" w:space="0" w:color="auto"/>
                <w:right w:val="none" w:sz="0" w:space="0" w:color="auto"/>
              </w:divBdr>
              <w:divsChild>
                <w:div w:id="1280643799">
                  <w:marLeft w:val="0"/>
                  <w:marRight w:val="0"/>
                  <w:marTop w:val="0"/>
                  <w:marBottom w:val="0"/>
                  <w:divBdr>
                    <w:top w:val="none" w:sz="0" w:space="0" w:color="auto"/>
                    <w:left w:val="none" w:sz="0" w:space="0" w:color="auto"/>
                    <w:bottom w:val="none" w:sz="0" w:space="0" w:color="auto"/>
                    <w:right w:val="none" w:sz="0" w:space="0" w:color="auto"/>
                  </w:divBdr>
                  <w:divsChild>
                    <w:div w:id="193494807">
                      <w:marLeft w:val="0"/>
                      <w:marRight w:val="0"/>
                      <w:marTop w:val="0"/>
                      <w:marBottom w:val="0"/>
                      <w:divBdr>
                        <w:top w:val="none" w:sz="0" w:space="0" w:color="auto"/>
                        <w:left w:val="none" w:sz="0" w:space="0" w:color="auto"/>
                        <w:bottom w:val="none" w:sz="0" w:space="0" w:color="auto"/>
                        <w:right w:val="none" w:sz="0" w:space="0" w:color="auto"/>
                      </w:divBdr>
                      <w:divsChild>
                        <w:div w:id="745029540">
                          <w:marLeft w:val="0"/>
                          <w:marRight w:val="0"/>
                          <w:marTop w:val="0"/>
                          <w:marBottom w:val="0"/>
                          <w:divBdr>
                            <w:top w:val="none" w:sz="0" w:space="0" w:color="auto"/>
                            <w:left w:val="none" w:sz="0" w:space="0" w:color="auto"/>
                            <w:bottom w:val="none" w:sz="0" w:space="0" w:color="auto"/>
                            <w:right w:val="none" w:sz="0" w:space="0" w:color="auto"/>
                          </w:divBdr>
                          <w:divsChild>
                            <w:div w:id="193545819">
                              <w:marLeft w:val="0"/>
                              <w:marRight w:val="0"/>
                              <w:marTop w:val="0"/>
                              <w:marBottom w:val="0"/>
                              <w:divBdr>
                                <w:top w:val="none" w:sz="0" w:space="0" w:color="auto"/>
                                <w:left w:val="none" w:sz="0" w:space="0" w:color="auto"/>
                                <w:bottom w:val="none" w:sz="0" w:space="0" w:color="auto"/>
                                <w:right w:val="none" w:sz="0" w:space="0" w:color="auto"/>
                              </w:divBdr>
                              <w:divsChild>
                                <w:div w:id="127724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9066306">
      <w:bodyDiv w:val="1"/>
      <w:marLeft w:val="0"/>
      <w:marRight w:val="0"/>
      <w:marTop w:val="0"/>
      <w:marBottom w:val="0"/>
      <w:divBdr>
        <w:top w:val="none" w:sz="0" w:space="0" w:color="auto"/>
        <w:left w:val="none" w:sz="0" w:space="0" w:color="auto"/>
        <w:bottom w:val="none" w:sz="0" w:space="0" w:color="auto"/>
        <w:right w:val="none" w:sz="0" w:space="0" w:color="auto"/>
      </w:divBdr>
    </w:div>
    <w:div w:id="2000382938">
      <w:bodyDiv w:val="1"/>
      <w:marLeft w:val="0"/>
      <w:marRight w:val="0"/>
      <w:marTop w:val="0"/>
      <w:marBottom w:val="0"/>
      <w:divBdr>
        <w:top w:val="none" w:sz="0" w:space="0" w:color="auto"/>
        <w:left w:val="none" w:sz="0" w:space="0" w:color="auto"/>
        <w:bottom w:val="none" w:sz="0" w:space="0" w:color="auto"/>
        <w:right w:val="none" w:sz="0" w:space="0" w:color="auto"/>
      </w:divBdr>
    </w:div>
    <w:div w:id="2001763215">
      <w:bodyDiv w:val="1"/>
      <w:marLeft w:val="0"/>
      <w:marRight w:val="0"/>
      <w:marTop w:val="0"/>
      <w:marBottom w:val="0"/>
      <w:divBdr>
        <w:top w:val="none" w:sz="0" w:space="0" w:color="auto"/>
        <w:left w:val="none" w:sz="0" w:space="0" w:color="auto"/>
        <w:bottom w:val="none" w:sz="0" w:space="0" w:color="auto"/>
        <w:right w:val="none" w:sz="0" w:space="0" w:color="auto"/>
      </w:divBdr>
    </w:div>
    <w:div w:id="2002392278">
      <w:bodyDiv w:val="1"/>
      <w:marLeft w:val="0"/>
      <w:marRight w:val="0"/>
      <w:marTop w:val="0"/>
      <w:marBottom w:val="0"/>
      <w:divBdr>
        <w:top w:val="none" w:sz="0" w:space="0" w:color="auto"/>
        <w:left w:val="none" w:sz="0" w:space="0" w:color="auto"/>
        <w:bottom w:val="none" w:sz="0" w:space="0" w:color="auto"/>
        <w:right w:val="none" w:sz="0" w:space="0" w:color="auto"/>
      </w:divBdr>
    </w:div>
    <w:div w:id="2007317210">
      <w:bodyDiv w:val="1"/>
      <w:marLeft w:val="0"/>
      <w:marRight w:val="0"/>
      <w:marTop w:val="0"/>
      <w:marBottom w:val="0"/>
      <w:divBdr>
        <w:top w:val="none" w:sz="0" w:space="0" w:color="auto"/>
        <w:left w:val="none" w:sz="0" w:space="0" w:color="auto"/>
        <w:bottom w:val="none" w:sz="0" w:space="0" w:color="auto"/>
        <w:right w:val="none" w:sz="0" w:space="0" w:color="auto"/>
      </w:divBdr>
    </w:div>
    <w:div w:id="2007828990">
      <w:bodyDiv w:val="1"/>
      <w:marLeft w:val="0"/>
      <w:marRight w:val="0"/>
      <w:marTop w:val="0"/>
      <w:marBottom w:val="0"/>
      <w:divBdr>
        <w:top w:val="none" w:sz="0" w:space="0" w:color="auto"/>
        <w:left w:val="none" w:sz="0" w:space="0" w:color="auto"/>
        <w:bottom w:val="none" w:sz="0" w:space="0" w:color="auto"/>
        <w:right w:val="none" w:sz="0" w:space="0" w:color="auto"/>
      </w:divBdr>
    </w:div>
    <w:div w:id="2008098010">
      <w:bodyDiv w:val="1"/>
      <w:marLeft w:val="0"/>
      <w:marRight w:val="0"/>
      <w:marTop w:val="0"/>
      <w:marBottom w:val="0"/>
      <w:divBdr>
        <w:top w:val="none" w:sz="0" w:space="0" w:color="auto"/>
        <w:left w:val="none" w:sz="0" w:space="0" w:color="auto"/>
        <w:bottom w:val="none" w:sz="0" w:space="0" w:color="auto"/>
        <w:right w:val="none" w:sz="0" w:space="0" w:color="auto"/>
      </w:divBdr>
    </w:div>
    <w:div w:id="2016226650">
      <w:bodyDiv w:val="1"/>
      <w:marLeft w:val="0"/>
      <w:marRight w:val="0"/>
      <w:marTop w:val="0"/>
      <w:marBottom w:val="0"/>
      <w:divBdr>
        <w:top w:val="none" w:sz="0" w:space="0" w:color="auto"/>
        <w:left w:val="none" w:sz="0" w:space="0" w:color="auto"/>
        <w:bottom w:val="none" w:sz="0" w:space="0" w:color="auto"/>
        <w:right w:val="none" w:sz="0" w:space="0" w:color="auto"/>
      </w:divBdr>
    </w:div>
    <w:div w:id="2018731203">
      <w:bodyDiv w:val="1"/>
      <w:marLeft w:val="0"/>
      <w:marRight w:val="0"/>
      <w:marTop w:val="0"/>
      <w:marBottom w:val="0"/>
      <w:divBdr>
        <w:top w:val="none" w:sz="0" w:space="0" w:color="auto"/>
        <w:left w:val="none" w:sz="0" w:space="0" w:color="auto"/>
        <w:bottom w:val="none" w:sz="0" w:space="0" w:color="auto"/>
        <w:right w:val="none" w:sz="0" w:space="0" w:color="auto"/>
      </w:divBdr>
    </w:div>
    <w:div w:id="2025549466">
      <w:bodyDiv w:val="1"/>
      <w:marLeft w:val="0"/>
      <w:marRight w:val="0"/>
      <w:marTop w:val="0"/>
      <w:marBottom w:val="0"/>
      <w:divBdr>
        <w:top w:val="none" w:sz="0" w:space="0" w:color="auto"/>
        <w:left w:val="none" w:sz="0" w:space="0" w:color="auto"/>
        <w:bottom w:val="none" w:sz="0" w:space="0" w:color="auto"/>
        <w:right w:val="none" w:sz="0" w:space="0" w:color="auto"/>
      </w:divBdr>
    </w:div>
    <w:div w:id="2026129100">
      <w:bodyDiv w:val="1"/>
      <w:marLeft w:val="0"/>
      <w:marRight w:val="0"/>
      <w:marTop w:val="0"/>
      <w:marBottom w:val="0"/>
      <w:divBdr>
        <w:top w:val="none" w:sz="0" w:space="0" w:color="auto"/>
        <w:left w:val="none" w:sz="0" w:space="0" w:color="auto"/>
        <w:bottom w:val="none" w:sz="0" w:space="0" w:color="auto"/>
        <w:right w:val="none" w:sz="0" w:space="0" w:color="auto"/>
      </w:divBdr>
    </w:div>
    <w:div w:id="2027166844">
      <w:bodyDiv w:val="1"/>
      <w:marLeft w:val="0"/>
      <w:marRight w:val="0"/>
      <w:marTop w:val="0"/>
      <w:marBottom w:val="0"/>
      <w:divBdr>
        <w:top w:val="none" w:sz="0" w:space="0" w:color="auto"/>
        <w:left w:val="none" w:sz="0" w:space="0" w:color="auto"/>
        <w:bottom w:val="none" w:sz="0" w:space="0" w:color="auto"/>
        <w:right w:val="none" w:sz="0" w:space="0" w:color="auto"/>
      </w:divBdr>
    </w:div>
    <w:div w:id="2028675086">
      <w:bodyDiv w:val="1"/>
      <w:marLeft w:val="0"/>
      <w:marRight w:val="0"/>
      <w:marTop w:val="0"/>
      <w:marBottom w:val="0"/>
      <w:divBdr>
        <w:top w:val="none" w:sz="0" w:space="0" w:color="auto"/>
        <w:left w:val="none" w:sz="0" w:space="0" w:color="auto"/>
        <w:bottom w:val="none" w:sz="0" w:space="0" w:color="auto"/>
        <w:right w:val="none" w:sz="0" w:space="0" w:color="auto"/>
      </w:divBdr>
    </w:div>
    <w:div w:id="2029327872">
      <w:bodyDiv w:val="1"/>
      <w:marLeft w:val="0"/>
      <w:marRight w:val="0"/>
      <w:marTop w:val="0"/>
      <w:marBottom w:val="0"/>
      <w:divBdr>
        <w:top w:val="none" w:sz="0" w:space="0" w:color="auto"/>
        <w:left w:val="none" w:sz="0" w:space="0" w:color="auto"/>
        <w:bottom w:val="none" w:sz="0" w:space="0" w:color="auto"/>
        <w:right w:val="none" w:sz="0" w:space="0" w:color="auto"/>
      </w:divBdr>
    </w:div>
    <w:div w:id="2029410724">
      <w:bodyDiv w:val="1"/>
      <w:marLeft w:val="0"/>
      <w:marRight w:val="0"/>
      <w:marTop w:val="0"/>
      <w:marBottom w:val="0"/>
      <w:divBdr>
        <w:top w:val="none" w:sz="0" w:space="0" w:color="auto"/>
        <w:left w:val="none" w:sz="0" w:space="0" w:color="auto"/>
        <w:bottom w:val="none" w:sz="0" w:space="0" w:color="auto"/>
        <w:right w:val="none" w:sz="0" w:space="0" w:color="auto"/>
      </w:divBdr>
    </w:div>
    <w:div w:id="2030641871">
      <w:bodyDiv w:val="1"/>
      <w:marLeft w:val="0"/>
      <w:marRight w:val="0"/>
      <w:marTop w:val="0"/>
      <w:marBottom w:val="0"/>
      <w:divBdr>
        <w:top w:val="none" w:sz="0" w:space="0" w:color="auto"/>
        <w:left w:val="none" w:sz="0" w:space="0" w:color="auto"/>
        <w:bottom w:val="none" w:sz="0" w:space="0" w:color="auto"/>
        <w:right w:val="none" w:sz="0" w:space="0" w:color="auto"/>
      </w:divBdr>
    </w:div>
    <w:div w:id="2031909892">
      <w:bodyDiv w:val="1"/>
      <w:marLeft w:val="0"/>
      <w:marRight w:val="0"/>
      <w:marTop w:val="0"/>
      <w:marBottom w:val="0"/>
      <w:divBdr>
        <w:top w:val="none" w:sz="0" w:space="0" w:color="auto"/>
        <w:left w:val="none" w:sz="0" w:space="0" w:color="auto"/>
        <w:bottom w:val="none" w:sz="0" w:space="0" w:color="auto"/>
        <w:right w:val="none" w:sz="0" w:space="0" w:color="auto"/>
      </w:divBdr>
    </w:div>
    <w:div w:id="2032948647">
      <w:bodyDiv w:val="1"/>
      <w:marLeft w:val="0"/>
      <w:marRight w:val="0"/>
      <w:marTop w:val="0"/>
      <w:marBottom w:val="0"/>
      <w:divBdr>
        <w:top w:val="none" w:sz="0" w:space="0" w:color="auto"/>
        <w:left w:val="none" w:sz="0" w:space="0" w:color="auto"/>
        <w:bottom w:val="none" w:sz="0" w:space="0" w:color="auto"/>
        <w:right w:val="none" w:sz="0" w:space="0" w:color="auto"/>
      </w:divBdr>
    </w:div>
    <w:div w:id="2033991271">
      <w:bodyDiv w:val="1"/>
      <w:marLeft w:val="0"/>
      <w:marRight w:val="0"/>
      <w:marTop w:val="0"/>
      <w:marBottom w:val="0"/>
      <w:divBdr>
        <w:top w:val="none" w:sz="0" w:space="0" w:color="auto"/>
        <w:left w:val="none" w:sz="0" w:space="0" w:color="auto"/>
        <w:bottom w:val="none" w:sz="0" w:space="0" w:color="auto"/>
        <w:right w:val="none" w:sz="0" w:space="0" w:color="auto"/>
      </w:divBdr>
    </w:div>
    <w:div w:id="2036036536">
      <w:bodyDiv w:val="1"/>
      <w:marLeft w:val="0"/>
      <w:marRight w:val="0"/>
      <w:marTop w:val="0"/>
      <w:marBottom w:val="0"/>
      <w:divBdr>
        <w:top w:val="none" w:sz="0" w:space="0" w:color="auto"/>
        <w:left w:val="none" w:sz="0" w:space="0" w:color="auto"/>
        <w:bottom w:val="none" w:sz="0" w:space="0" w:color="auto"/>
        <w:right w:val="none" w:sz="0" w:space="0" w:color="auto"/>
      </w:divBdr>
    </w:div>
    <w:div w:id="2037001866">
      <w:bodyDiv w:val="1"/>
      <w:marLeft w:val="0"/>
      <w:marRight w:val="0"/>
      <w:marTop w:val="0"/>
      <w:marBottom w:val="0"/>
      <w:divBdr>
        <w:top w:val="none" w:sz="0" w:space="0" w:color="auto"/>
        <w:left w:val="none" w:sz="0" w:space="0" w:color="auto"/>
        <w:bottom w:val="none" w:sz="0" w:space="0" w:color="auto"/>
        <w:right w:val="none" w:sz="0" w:space="0" w:color="auto"/>
      </w:divBdr>
    </w:div>
    <w:div w:id="2037123145">
      <w:bodyDiv w:val="1"/>
      <w:marLeft w:val="0"/>
      <w:marRight w:val="0"/>
      <w:marTop w:val="0"/>
      <w:marBottom w:val="0"/>
      <w:divBdr>
        <w:top w:val="none" w:sz="0" w:space="0" w:color="auto"/>
        <w:left w:val="none" w:sz="0" w:space="0" w:color="auto"/>
        <w:bottom w:val="none" w:sz="0" w:space="0" w:color="auto"/>
        <w:right w:val="none" w:sz="0" w:space="0" w:color="auto"/>
      </w:divBdr>
    </w:div>
    <w:div w:id="2041466896">
      <w:bodyDiv w:val="1"/>
      <w:marLeft w:val="0"/>
      <w:marRight w:val="0"/>
      <w:marTop w:val="0"/>
      <w:marBottom w:val="0"/>
      <w:divBdr>
        <w:top w:val="none" w:sz="0" w:space="0" w:color="auto"/>
        <w:left w:val="none" w:sz="0" w:space="0" w:color="auto"/>
        <w:bottom w:val="none" w:sz="0" w:space="0" w:color="auto"/>
        <w:right w:val="none" w:sz="0" w:space="0" w:color="auto"/>
      </w:divBdr>
    </w:div>
    <w:div w:id="2048987417">
      <w:bodyDiv w:val="1"/>
      <w:marLeft w:val="0"/>
      <w:marRight w:val="0"/>
      <w:marTop w:val="0"/>
      <w:marBottom w:val="0"/>
      <w:divBdr>
        <w:top w:val="none" w:sz="0" w:space="0" w:color="auto"/>
        <w:left w:val="none" w:sz="0" w:space="0" w:color="auto"/>
        <w:bottom w:val="none" w:sz="0" w:space="0" w:color="auto"/>
        <w:right w:val="none" w:sz="0" w:space="0" w:color="auto"/>
      </w:divBdr>
    </w:div>
    <w:div w:id="2049140400">
      <w:bodyDiv w:val="1"/>
      <w:marLeft w:val="0"/>
      <w:marRight w:val="0"/>
      <w:marTop w:val="0"/>
      <w:marBottom w:val="0"/>
      <w:divBdr>
        <w:top w:val="none" w:sz="0" w:space="0" w:color="auto"/>
        <w:left w:val="none" w:sz="0" w:space="0" w:color="auto"/>
        <w:bottom w:val="none" w:sz="0" w:space="0" w:color="auto"/>
        <w:right w:val="none" w:sz="0" w:space="0" w:color="auto"/>
      </w:divBdr>
    </w:div>
    <w:div w:id="2050907586">
      <w:bodyDiv w:val="1"/>
      <w:marLeft w:val="0"/>
      <w:marRight w:val="0"/>
      <w:marTop w:val="0"/>
      <w:marBottom w:val="0"/>
      <w:divBdr>
        <w:top w:val="none" w:sz="0" w:space="0" w:color="auto"/>
        <w:left w:val="none" w:sz="0" w:space="0" w:color="auto"/>
        <w:bottom w:val="none" w:sz="0" w:space="0" w:color="auto"/>
        <w:right w:val="none" w:sz="0" w:space="0" w:color="auto"/>
      </w:divBdr>
    </w:div>
    <w:div w:id="2053380081">
      <w:bodyDiv w:val="1"/>
      <w:marLeft w:val="0"/>
      <w:marRight w:val="0"/>
      <w:marTop w:val="0"/>
      <w:marBottom w:val="0"/>
      <w:divBdr>
        <w:top w:val="none" w:sz="0" w:space="0" w:color="auto"/>
        <w:left w:val="none" w:sz="0" w:space="0" w:color="auto"/>
        <w:bottom w:val="none" w:sz="0" w:space="0" w:color="auto"/>
        <w:right w:val="none" w:sz="0" w:space="0" w:color="auto"/>
      </w:divBdr>
    </w:div>
    <w:div w:id="2055692543">
      <w:bodyDiv w:val="1"/>
      <w:marLeft w:val="0"/>
      <w:marRight w:val="0"/>
      <w:marTop w:val="0"/>
      <w:marBottom w:val="0"/>
      <w:divBdr>
        <w:top w:val="none" w:sz="0" w:space="0" w:color="auto"/>
        <w:left w:val="none" w:sz="0" w:space="0" w:color="auto"/>
        <w:bottom w:val="none" w:sz="0" w:space="0" w:color="auto"/>
        <w:right w:val="none" w:sz="0" w:space="0" w:color="auto"/>
      </w:divBdr>
    </w:div>
    <w:div w:id="2055763834">
      <w:bodyDiv w:val="1"/>
      <w:marLeft w:val="0"/>
      <w:marRight w:val="0"/>
      <w:marTop w:val="0"/>
      <w:marBottom w:val="0"/>
      <w:divBdr>
        <w:top w:val="none" w:sz="0" w:space="0" w:color="auto"/>
        <w:left w:val="none" w:sz="0" w:space="0" w:color="auto"/>
        <w:bottom w:val="none" w:sz="0" w:space="0" w:color="auto"/>
        <w:right w:val="none" w:sz="0" w:space="0" w:color="auto"/>
      </w:divBdr>
    </w:div>
    <w:div w:id="2055805576">
      <w:bodyDiv w:val="1"/>
      <w:marLeft w:val="0"/>
      <w:marRight w:val="0"/>
      <w:marTop w:val="0"/>
      <w:marBottom w:val="0"/>
      <w:divBdr>
        <w:top w:val="none" w:sz="0" w:space="0" w:color="auto"/>
        <w:left w:val="none" w:sz="0" w:space="0" w:color="auto"/>
        <w:bottom w:val="none" w:sz="0" w:space="0" w:color="auto"/>
        <w:right w:val="none" w:sz="0" w:space="0" w:color="auto"/>
      </w:divBdr>
    </w:div>
    <w:div w:id="2056008005">
      <w:bodyDiv w:val="1"/>
      <w:marLeft w:val="0"/>
      <w:marRight w:val="0"/>
      <w:marTop w:val="0"/>
      <w:marBottom w:val="0"/>
      <w:divBdr>
        <w:top w:val="none" w:sz="0" w:space="0" w:color="auto"/>
        <w:left w:val="none" w:sz="0" w:space="0" w:color="auto"/>
        <w:bottom w:val="none" w:sz="0" w:space="0" w:color="auto"/>
        <w:right w:val="none" w:sz="0" w:space="0" w:color="auto"/>
      </w:divBdr>
    </w:div>
    <w:div w:id="2057660853">
      <w:bodyDiv w:val="1"/>
      <w:marLeft w:val="0"/>
      <w:marRight w:val="0"/>
      <w:marTop w:val="0"/>
      <w:marBottom w:val="0"/>
      <w:divBdr>
        <w:top w:val="none" w:sz="0" w:space="0" w:color="auto"/>
        <w:left w:val="none" w:sz="0" w:space="0" w:color="auto"/>
        <w:bottom w:val="none" w:sz="0" w:space="0" w:color="auto"/>
        <w:right w:val="none" w:sz="0" w:space="0" w:color="auto"/>
      </w:divBdr>
    </w:div>
    <w:div w:id="2057779873">
      <w:bodyDiv w:val="1"/>
      <w:marLeft w:val="0"/>
      <w:marRight w:val="0"/>
      <w:marTop w:val="0"/>
      <w:marBottom w:val="0"/>
      <w:divBdr>
        <w:top w:val="none" w:sz="0" w:space="0" w:color="auto"/>
        <w:left w:val="none" w:sz="0" w:space="0" w:color="auto"/>
        <w:bottom w:val="none" w:sz="0" w:space="0" w:color="auto"/>
        <w:right w:val="none" w:sz="0" w:space="0" w:color="auto"/>
      </w:divBdr>
      <w:divsChild>
        <w:div w:id="1752505733">
          <w:marLeft w:val="0"/>
          <w:marRight w:val="0"/>
          <w:marTop w:val="0"/>
          <w:marBottom w:val="0"/>
          <w:divBdr>
            <w:top w:val="none" w:sz="0" w:space="0" w:color="auto"/>
            <w:left w:val="none" w:sz="0" w:space="0" w:color="auto"/>
            <w:bottom w:val="none" w:sz="0" w:space="0" w:color="auto"/>
            <w:right w:val="none" w:sz="0" w:space="0" w:color="auto"/>
          </w:divBdr>
        </w:div>
      </w:divsChild>
    </w:div>
    <w:div w:id="2060589425">
      <w:bodyDiv w:val="1"/>
      <w:marLeft w:val="0"/>
      <w:marRight w:val="0"/>
      <w:marTop w:val="0"/>
      <w:marBottom w:val="0"/>
      <w:divBdr>
        <w:top w:val="none" w:sz="0" w:space="0" w:color="auto"/>
        <w:left w:val="none" w:sz="0" w:space="0" w:color="auto"/>
        <w:bottom w:val="none" w:sz="0" w:space="0" w:color="auto"/>
        <w:right w:val="none" w:sz="0" w:space="0" w:color="auto"/>
      </w:divBdr>
    </w:div>
    <w:div w:id="2062829696">
      <w:bodyDiv w:val="1"/>
      <w:marLeft w:val="0"/>
      <w:marRight w:val="0"/>
      <w:marTop w:val="0"/>
      <w:marBottom w:val="0"/>
      <w:divBdr>
        <w:top w:val="none" w:sz="0" w:space="0" w:color="auto"/>
        <w:left w:val="none" w:sz="0" w:space="0" w:color="auto"/>
        <w:bottom w:val="none" w:sz="0" w:space="0" w:color="auto"/>
        <w:right w:val="none" w:sz="0" w:space="0" w:color="auto"/>
      </w:divBdr>
    </w:div>
    <w:div w:id="2069061999">
      <w:bodyDiv w:val="1"/>
      <w:marLeft w:val="0"/>
      <w:marRight w:val="0"/>
      <w:marTop w:val="0"/>
      <w:marBottom w:val="0"/>
      <w:divBdr>
        <w:top w:val="none" w:sz="0" w:space="0" w:color="auto"/>
        <w:left w:val="none" w:sz="0" w:space="0" w:color="auto"/>
        <w:bottom w:val="none" w:sz="0" w:space="0" w:color="auto"/>
        <w:right w:val="none" w:sz="0" w:space="0" w:color="auto"/>
      </w:divBdr>
    </w:div>
    <w:div w:id="2071537179">
      <w:bodyDiv w:val="1"/>
      <w:marLeft w:val="0"/>
      <w:marRight w:val="0"/>
      <w:marTop w:val="0"/>
      <w:marBottom w:val="0"/>
      <w:divBdr>
        <w:top w:val="none" w:sz="0" w:space="0" w:color="auto"/>
        <w:left w:val="none" w:sz="0" w:space="0" w:color="auto"/>
        <w:bottom w:val="none" w:sz="0" w:space="0" w:color="auto"/>
        <w:right w:val="none" w:sz="0" w:space="0" w:color="auto"/>
      </w:divBdr>
    </w:div>
    <w:div w:id="2079011831">
      <w:bodyDiv w:val="1"/>
      <w:marLeft w:val="0"/>
      <w:marRight w:val="0"/>
      <w:marTop w:val="0"/>
      <w:marBottom w:val="0"/>
      <w:divBdr>
        <w:top w:val="none" w:sz="0" w:space="0" w:color="auto"/>
        <w:left w:val="none" w:sz="0" w:space="0" w:color="auto"/>
        <w:bottom w:val="none" w:sz="0" w:space="0" w:color="auto"/>
        <w:right w:val="none" w:sz="0" w:space="0" w:color="auto"/>
      </w:divBdr>
    </w:div>
    <w:div w:id="2088381054">
      <w:bodyDiv w:val="1"/>
      <w:marLeft w:val="0"/>
      <w:marRight w:val="0"/>
      <w:marTop w:val="0"/>
      <w:marBottom w:val="0"/>
      <w:divBdr>
        <w:top w:val="none" w:sz="0" w:space="0" w:color="auto"/>
        <w:left w:val="none" w:sz="0" w:space="0" w:color="auto"/>
        <w:bottom w:val="none" w:sz="0" w:space="0" w:color="auto"/>
        <w:right w:val="none" w:sz="0" w:space="0" w:color="auto"/>
      </w:divBdr>
    </w:div>
    <w:div w:id="2088763681">
      <w:bodyDiv w:val="1"/>
      <w:marLeft w:val="0"/>
      <w:marRight w:val="0"/>
      <w:marTop w:val="0"/>
      <w:marBottom w:val="0"/>
      <w:divBdr>
        <w:top w:val="none" w:sz="0" w:space="0" w:color="auto"/>
        <w:left w:val="none" w:sz="0" w:space="0" w:color="auto"/>
        <w:bottom w:val="none" w:sz="0" w:space="0" w:color="auto"/>
        <w:right w:val="none" w:sz="0" w:space="0" w:color="auto"/>
      </w:divBdr>
    </w:div>
    <w:div w:id="2101364522">
      <w:bodyDiv w:val="1"/>
      <w:marLeft w:val="0"/>
      <w:marRight w:val="0"/>
      <w:marTop w:val="0"/>
      <w:marBottom w:val="0"/>
      <w:divBdr>
        <w:top w:val="none" w:sz="0" w:space="0" w:color="auto"/>
        <w:left w:val="none" w:sz="0" w:space="0" w:color="auto"/>
        <w:bottom w:val="none" w:sz="0" w:space="0" w:color="auto"/>
        <w:right w:val="none" w:sz="0" w:space="0" w:color="auto"/>
      </w:divBdr>
    </w:div>
    <w:div w:id="2103989224">
      <w:bodyDiv w:val="1"/>
      <w:marLeft w:val="0"/>
      <w:marRight w:val="0"/>
      <w:marTop w:val="0"/>
      <w:marBottom w:val="0"/>
      <w:divBdr>
        <w:top w:val="none" w:sz="0" w:space="0" w:color="auto"/>
        <w:left w:val="none" w:sz="0" w:space="0" w:color="auto"/>
        <w:bottom w:val="none" w:sz="0" w:space="0" w:color="auto"/>
        <w:right w:val="none" w:sz="0" w:space="0" w:color="auto"/>
      </w:divBdr>
    </w:div>
    <w:div w:id="2105344651">
      <w:bodyDiv w:val="1"/>
      <w:marLeft w:val="0"/>
      <w:marRight w:val="0"/>
      <w:marTop w:val="0"/>
      <w:marBottom w:val="0"/>
      <w:divBdr>
        <w:top w:val="none" w:sz="0" w:space="0" w:color="auto"/>
        <w:left w:val="none" w:sz="0" w:space="0" w:color="auto"/>
        <w:bottom w:val="none" w:sz="0" w:space="0" w:color="auto"/>
        <w:right w:val="none" w:sz="0" w:space="0" w:color="auto"/>
      </w:divBdr>
    </w:div>
    <w:div w:id="2106221666">
      <w:bodyDiv w:val="1"/>
      <w:marLeft w:val="0"/>
      <w:marRight w:val="0"/>
      <w:marTop w:val="0"/>
      <w:marBottom w:val="0"/>
      <w:divBdr>
        <w:top w:val="none" w:sz="0" w:space="0" w:color="auto"/>
        <w:left w:val="none" w:sz="0" w:space="0" w:color="auto"/>
        <w:bottom w:val="none" w:sz="0" w:space="0" w:color="auto"/>
        <w:right w:val="none" w:sz="0" w:space="0" w:color="auto"/>
      </w:divBdr>
    </w:div>
    <w:div w:id="2111199693">
      <w:bodyDiv w:val="1"/>
      <w:marLeft w:val="0"/>
      <w:marRight w:val="0"/>
      <w:marTop w:val="0"/>
      <w:marBottom w:val="0"/>
      <w:divBdr>
        <w:top w:val="none" w:sz="0" w:space="0" w:color="auto"/>
        <w:left w:val="none" w:sz="0" w:space="0" w:color="auto"/>
        <w:bottom w:val="none" w:sz="0" w:space="0" w:color="auto"/>
        <w:right w:val="none" w:sz="0" w:space="0" w:color="auto"/>
      </w:divBdr>
    </w:div>
    <w:div w:id="2113236408">
      <w:bodyDiv w:val="1"/>
      <w:marLeft w:val="0"/>
      <w:marRight w:val="0"/>
      <w:marTop w:val="0"/>
      <w:marBottom w:val="0"/>
      <w:divBdr>
        <w:top w:val="none" w:sz="0" w:space="0" w:color="auto"/>
        <w:left w:val="none" w:sz="0" w:space="0" w:color="auto"/>
        <w:bottom w:val="none" w:sz="0" w:space="0" w:color="auto"/>
        <w:right w:val="none" w:sz="0" w:space="0" w:color="auto"/>
      </w:divBdr>
    </w:div>
    <w:div w:id="2113815893">
      <w:bodyDiv w:val="1"/>
      <w:marLeft w:val="0"/>
      <w:marRight w:val="0"/>
      <w:marTop w:val="0"/>
      <w:marBottom w:val="0"/>
      <w:divBdr>
        <w:top w:val="none" w:sz="0" w:space="0" w:color="auto"/>
        <w:left w:val="none" w:sz="0" w:space="0" w:color="auto"/>
        <w:bottom w:val="none" w:sz="0" w:space="0" w:color="auto"/>
        <w:right w:val="none" w:sz="0" w:space="0" w:color="auto"/>
      </w:divBdr>
    </w:div>
    <w:div w:id="2114354763">
      <w:bodyDiv w:val="1"/>
      <w:marLeft w:val="0"/>
      <w:marRight w:val="0"/>
      <w:marTop w:val="0"/>
      <w:marBottom w:val="0"/>
      <w:divBdr>
        <w:top w:val="none" w:sz="0" w:space="0" w:color="auto"/>
        <w:left w:val="none" w:sz="0" w:space="0" w:color="auto"/>
        <w:bottom w:val="none" w:sz="0" w:space="0" w:color="auto"/>
        <w:right w:val="none" w:sz="0" w:space="0" w:color="auto"/>
      </w:divBdr>
    </w:div>
    <w:div w:id="2117485391">
      <w:bodyDiv w:val="1"/>
      <w:marLeft w:val="0"/>
      <w:marRight w:val="0"/>
      <w:marTop w:val="0"/>
      <w:marBottom w:val="0"/>
      <w:divBdr>
        <w:top w:val="none" w:sz="0" w:space="0" w:color="auto"/>
        <w:left w:val="none" w:sz="0" w:space="0" w:color="auto"/>
        <w:bottom w:val="none" w:sz="0" w:space="0" w:color="auto"/>
        <w:right w:val="none" w:sz="0" w:space="0" w:color="auto"/>
      </w:divBdr>
    </w:div>
    <w:div w:id="2118060021">
      <w:bodyDiv w:val="1"/>
      <w:marLeft w:val="0"/>
      <w:marRight w:val="0"/>
      <w:marTop w:val="0"/>
      <w:marBottom w:val="0"/>
      <w:divBdr>
        <w:top w:val="none" w:sz="0" w:space="0" w:color="auto"/>
        <w:left w:val="none" w:sz="0" w:space="0" w:color="auto"/>
        <w:bottom w:val="none" w:sz="0" w:space="0" w:color="auto"/>
        <w:right w:val="none" w:sz="0" w:space="0" w:color="auto"/>
      </w:divBdr>
    </w:div>
    <w:div w:id="2129162526">
      <w:bodyDiv w:val="1"/>
      <w:marLeft w:val="0"/>
      <w:marRight w:val="0"/>
      <w:marTop w:val="0"/>
      <w:marBottom w:val="0"/>
      <w:divBdr>
        <w:top w:val="none" w:sz="0" w:space="0" w:color="auto"/>
        <w:left w:val="none" w:sz="0" w:space="0" w:color="auto"/>
        <w:bottom w:val="none" w:sz="0" w:space="0" w:color="auto"/>
        <w:right w:val="none" w:sz="0" w:space="0" w:color="auto"/>
      </w:divBdr>
    </w:div>
    <w:div w:id="2132821804">
      <w:bodyDiv w:val="1"/>
      <w:marLeft w:val="0"/>
      <w:marRight w:val="0"/>
      <w:marTop w:val="0"/>
      <w:marBottom w:val="0"/>
      <w:divBdr>
        <w:top w:val="none" w:sz="0" w:space="0" w:color="auto"/>
        <w:left w:val="none" w:sz="0" w:space="0" w:color="auto"/>
        <w:bottom w:val="none" w:sz="0" w:space="0" w:color="auto"/>
        <w:right w:val="none" w:sz="0" w:space="0" w:color="auto"/>
      </w:divBdr>
    </w:div>
    <w:div w:id="2133476939">
      <w:bodyDiv w:val="1"/>
      <w:marLeft w:val="0"/>
      <w:marRight w:val="0"/>
      <w:marTop w:val="0"/>
      <w:marBottom w:val="0"/>
      <w:divBdr>
        <w:top w:val="none" w:sz="0" w:space="0" w:color="auto"/>
        <w:left w:val="none" w:sz="0" w:space="0" w:color="auto"/>
        <w:bottom w:val="none" w:sz="0" w:space="0" w:color="auto"/>
        <w:right w:val="none" w:sz="0" w:space="0" w:color="auto"/>
      </w:divBdr>
    </w:div>
    <w:div w:id="2134513296">
      <w:bodyDiv w:val="1"/>
      <w:marLeft w:val="0"/>
      <w:marRight w:val="0"/>
      <w:marTop w:val="0"/>
      <w:marBottom w:val="0"/>
      <w:divBdr>
        <w:top w:val="none" w:sz="0" w:space="0" w:color="auto"/>
        <w:left w:val="none" w:sz="0" w:space="0" w:color="auto"/>
        <w:bottom w:val="none" w:sz="0" w:space="0" w:color="auto"/>
        <w:right w:val="none" w:sz="0" w:space="0" w:color="auto"/>
      </w:divBdr>
    </w:div>
    <w:div w:id="2134980609">
      <w:bodyDiv w:val="1"/>
      <w:marLeft w:val="0"/>
      <w:marRight w:val="0"/>
      <w:marTop w:val="0"/>
      <w:marBottom w:val="0"/>
      <w:divBdr>
        <w:top w:val="none" w:sz="0" w:space="0" w:color="auto"/>
        <w:left w:val="none" w:sz="0" w:space="0" w:color="auto"/>
        <w:bottom w:val="none" w:sz="0" w:space="0" w:color="auto"/>
        <w:right w:val="none" w:sz="0" w:space="0" w:color="auto"/>
      </w:divBdr>
    </w:div>
    <w:div w:id="2135055035">
      <w:bodyDiv w:val="1"/>
      <w:marLeft w:val="0"/>
      <w:marRight w:val="0"/>
      <w:marTop w:val="0"/>
      <w:marBottom w:val="0"/>
      <w:divBdr>
        <w:top w:val="none" w:sz="0" w:space="0" w:color="auto"/>
        <w:left w:val="none" w:sz="0" w:space="0" w:color="auto"/>
        <w:bottom w:val="none" w:sz="0" w:space="0" w:color="auto"/>
        <w:right w:val="none" w:sz="0" w:space="0" w:color="auto"/>
      </w:divBdr>
    </w:div>
    <w:div w:id="2135825526">
      <w:bodyDiv w:val="1"/>
      <w:marLeft w:val="0"/>
      <w:marRight w:val="0"/>
      <w:marTop w:val="0"/>
      <w:marBottom w:val="0"/>
      <w:divBdr>
        <w:top w:val="none" w:sz="0" w:space="0" w:color="auto"/>
        <w:left w:val="none" w:sz="0" w:space="0" w:color="auto"/>
        <w:bottom w:val="none" w:sz="0" w:space="0" w:color="auto"/>
        <w:right w:val="none" w:sz="0" w:space="0" w:color="auto"/>
      </w:divBdr>
    </w:div>
    <w:div w:id="2137720586">
      <w:bodyDiv w:val="1"/>
      <w:marLeft w:val="0"/>
      <w:marRight w:val="0"/>
      <w:marTop w:val="0"/>
      <w:marBottom w:val="0"/>
      <w:divBdr>
        <w:top w:val="none" w:sz="0" w:space="0" w:color="auto"/>
        <w:left w:val="none" w:sz="0" w:space="0" w:color="auto"/>
        <w:bottom w:val="none" w:sz="0" w:space="0" w:color="auto"/>
        <w:right w:val="none" w:sz="0" w:space="0" w:color="auto"/>
      </w:divBdr>
    </w:div>
    <w:div w:id="2141265539">
      <w:bodyDiv w:val="1"/>
      <w:marLeft w:val="0"/>
      <w:marRight w:val="0"/>
      <w:marTop w:val="0"/>
      <w:marBottom w:val="0"/>
      <w:divBdr>
        <w:top w:val="none" w:sz="0" w:space="0" w:color="auto"/>
        <w:left w:val="none" w:sz="0" w:space="0" w:color="auto"/>
        <w:bottom w:val="none" w:sz="0" w:space="0" w:color="auto"/>
        <w:right w:val="none" w:sz="0" w:space="0" w:color="auto"/>
      </w:divBdr>
    </w:div>
    <w:div w:id="2143770717">
      <w:bodyDiv w:val="1"/>
      <w:marLeft w:val="0"/>
      <w:marRight w:val="0"/>
      <w:marTop w:val="0"/>
      <w:marBottom w:val="0"/>
      <w:divBdr>
        <w:top w:val="none" w:sz="0" w:space="0" w:color="auto"/>
        <w:left w:val="none" w:sz="0" w:space="0" w:color="auto"/>
        <w:bottom w:val="none" w:sz="0" w:space="0" w:color="auto"/>
        <w:right w:val="none" w:sz="0" w:space="0" w:color="auto"/>
      </w:divBdr>
    </w:div>
    <w:div w:id="2144155659">
      <w:bodyDiv w:val="1"/>
      <w:marLeft w:val="0"/>
      <w:marRight w:val="0"/>
      <w:marTop w:val="0"/>
      <w:marBottom w:val="0"/>
      <w:divBdr>
        <w:top w:val="none" w:sz="0" w:space="0" w:color="auto"/>
        <w:left w:val="none" w:sz="0" w:space="0" w:color="auto"/>
        <w:bottom w:val="none" w:sz="0" w:space="0" w:color="auto"/>
        <w:right w:val="none" w:sz="0" w:space="0" w:color="auto"/>
      </w:divBdr>
    </w:div>
    <w:div w:id="214519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hratings.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F:\000-2020\WXWork\1688851050519146\WeDrive\&#32852;&#21512;&#20027;&#26435;\&#20844;&#21496;&#36164;&#26009;\&#20840;&#29699;&#23439;&#35266;&#24577;&#21183;&#27599;&#21608;&#35266;&#23519;\&#21608;&#25253;wind&#25968;&#25454;&#34920;-2020.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F:\000-2020\WXWork\1688851050519146\WeDrive\&#32852;&#21512;&#20027;&#26435;\&#20844;&#21496;&#36164;&#26009;\&#20840;&#29699;&#23439;&#35266;&#24577;&#21183;&#27599;&#21608;&#35266;&#23519;\&#21608;&#25253;wind&#25968;&#25454;&#34920;-20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000-2020\WXWork\1688851050519146\WeDrive\&#32852;&#21512;&#20027;&#26435;\&#20844;&#21496;&#36164;&#26009;\&#20840;&#29699;&#23439;&#35266;&#24577;&#21183;&#27599;&#21608;&#35266;&#23519;\&#21608;&#25253;wind&#25968;&#25454;&#34920;-20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000-2020\WXWork\1688851050519146\WeDrive\&#32852;&#21512;&#20027;&#26435;\&#20844;&#21496;&#36164;&#26009;\&#20840;&#29699;&#23439;&#35266;&#24577;&#21183;&#27599;&#21608;&#35266;&#23519;\&#21608;&#25253;wind&#25968;&#25454;&#34920;-20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000-2020\WXWork\1688851050519146\WeDrive\&#32852;&#21512;&#20027;&#26435;\&#20844;&#21496;&#36164;&#26009;\&#20840;&#29699;&#23439;&#35266;&#24577;&#21183;&#27599;&#21608;&#35266;&#23519;\&#21608;&#25253;wind&#25968;&#25454;&#34920;-20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000-2020\WXWork\1688851050519146\WeDrive\&#32852;&#21512;&#20027;&#26435;\&#20844;&#21496;&#36164;&#26009;\&#20840;&#29699;&#23439;&#35266;&#24577;&#21183;&#27599;&#21608;&#35266;&#23519;\&#21608;&#25253;wind&#25968;&#25454;&#34920;-2020.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zh-CN" sz="1400" b="0" i="0" baseline="0">
                <a:effectLst/>
              </a:rPr>
              <a:t>美国国债到期收益率曲线</a:t>
            </a:r>
            <a:endParaRPr lang="zh-CN" altLang="zh-CN"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0"/>
          <c:order val="0"/>
          <c:tx>
            <c:strRef>
              <c:f>'1、美债收益率'!$B$3</c:f>
              <c:strCache>
                <c:ptCount val="1"/>
                <c:pt idx="0">
                  <c:v>美国:国债到期收益率:1年</c:v>
                </c:pt>
              </c:strCache>
            </c:strRef>
          </c:tx>
          <c:spPr>
            <a:ln w="28575" cap="rnd">
              <a:solidFill>
                <a:srgbClr val="002060"/>
              </a:solidFill>
              <a:round/>
            </a:ln>
            <a:effectLst/>
          </c:spPr>
          <c:marker>
            <c:symbol val="none"/>
          </c:marker>
          <c:cat>
            <c:numRef>
              <c:f>'1、美债收益率'!$A$5:$A$28</c:f>
              <c:numCache>
                <c:formatCode>yyyy\-mm\-dd</c:formatCode>
                <c:ptCount val="24"/>
                <c:pt idx="0">
                  <c:v>44123</c:v>
                </c:pt>
                <c:pt idx="1">
                  <c:v>44124</c:v>
                </c:pt>
                <c:pt idx="2">
                  <c:v>44125</c:v>
                </c:pt>
                <c:pt idx="3">
                  <c:v>44126</c:v>
                </c:pt>
                <c:pt idx="4">
                  <c:v>44127</c:v>
                </c:pt>
                <c:pt idx="5">
                  <c:v>44130</c:v>
                </c:pt>
                <c:pt idx="6">
                  <c:v>44131</c:v>
                </c:pt>
                <c:pt idx="7">
                  <c:v>44132</c:v>
                </c:pt>
                <c:pt idx="8">
                  <c:v>44133</c:v>
                </c:pt>
                <c:pt idx="9">
                  <c:v>44134</c:v>
                </c:pt>
                <c:pt idx="10">
                  <c:v>44137</c:v>
                </c:pt>
                <c:pt idx="11">
                  <c:v>44138</c:v>
                </c:pt>
                <c:pt idx="12">
                  <c:v>44139</c:v>
                </c:pt>
                <c:pt idx="13">
                  <c:v>44140</c:v>
                </c:pt>
                <c:pt idx="14">
                  <c:v>44141</c:v>
                </c:pt>
                <c:pt idx="15">
                  <c:v>44144</c:v>
                </c:pt>
                <c:pt idx="16">
                  <c:v>44145</c:v>
                </c:pt>
                <c:pt idx="17">
                  <c:v>44147</c:v>
                </c:pt>
                <c:pt idx="18">
                  <c:v>44148</c:v>
                </c:pt>
                <c:pt idx="19">
                  <c:v>44151</c:v>
                </c:pt>
                <c:pt idx="20">
                  <c:v>44152</c:v>
                </c:pt>
                <c:pt idx="21">
                  <c:v>44153</c:v>
                </c:pt>
                <c:pt idx="22">
                  <c:v>44154</c:v>
                </c:pt>
                <c:pt idx="23">
                  <c:v>44155</c:v>
                </c:pt>
              </c:numCache>
            </c:numRef>
          </c:cat>
          <c:val>
            <c:numRef>
              <c:f>'1、美债收益率'!$B$5:$B$28</c:f>
              <c:numCache>
                <c:formatCode>0.0000</c:formatCode>
                <c:ptCount val="24"/>
                <c:pt idx="0">
                  <c:v>0.13</c:v>
                </c:pt>
                <c:pt idx="1">
                  <c:v>0.13</c:v>
                </c:pt>
                <c:pt idx="2">
                  <c:v>0.13</c:v>
                </c:pt>
                <c:pt idx="3">
                  <c:v>0.13</c:v>
                </c:pt>
                <c:pt idx="4">
                  <c:v>0.12</c:v>
                </c:pt>
                <c:pt idx="5">
                  <c:v>0.12</c:v>
                </c:pt>
                <c:pt idx="6">
                  <c:v>0.12</c:v>
                </c:pt>
                <c:pt idx="7">
                  <c:v>0.12</c:v>
                </c:pt>
                <c:pt idx="8">
                  <c:v>0.12</c:v>
                </c:pt>
                <c:pt idx="9">
                  <c:v>0.13</c:v>
                </c:pt>
                <c:pt idx="10">
                  <c:v>0.13</c:v>
                </c:pt>
                <c:pt idx="11">
                  <c:v>0.14000000000000001</c:v>
                </c:pt>
                <c:pt idx="12">
                  <c:v>0.12</c:v>
                </c:pt>
                <c:pt idx="13">
                  <c:v>0.12</c:v>
                </c:pt>
                <c:pt idx="14">
                  <c:v>0.12</c:v>
                </c:pt>
                <c:pt idx="15">
                  <c:v>0.12</c:v>
                </c:pt>
                <c:pt idx="16">
                  <c:v>0.12</c:v>
                </c:pt>
                <c:pt idx="17">
                  <c:v>0.13</c:v>
                </c:pt>
                <c:pt idx="18">
                  <c:v>0.12</c:v>
                </c:pt>
                <c:pt idx="19">
                  <c:v>0.12</c:v>
                </c:pt>
                <c:pt idx="20">
                  <c:v>0.12</c:v>
                </c:pt>
                <c:pt idx="21">
                  <c:v>0.11</c:v>
                </c:pt>
                <c:pt idx="22">
                  <c:v>0.11</c:v>
                </c:pt>
                <c:pt idx="23">
                  <c:v>0.11</c:v>
                </c:pt>
              </c:numCache>
            </c:numRef>
          </c:val>
          <c:smooth val="0"/>
          <c:extLst xmlns:c16r2="http://schemas.microsoft.com/office/drawing/2015/06/chart">
            <c:ext xmlns:c16="http://schemas.microsoft.com/office/drawing/2014/chart" uri="{C3380CC4-5D6E-409C-BE32-E72D297353CC}">
              <c16:uniqueId val="{00000000-270C-4060-9CC2-5A196C6A47D1}"/>
            </c:ext>
          </c:extLst>
        </c:ser>
        <c:ser>
          <c:idx val="1"/>
          <c:order val="1"/>
          <c:tx>
            <c:strRef>
              <c:f>'1、美债收益率'!$C$3</c:f>
              <c:strCache>
                <c:ptCount val="1"/>
                <c:pt idx="0">
                  <c:v>美国:国债到期收益率:5年</c:v>
                </c:pt>
              </c:strCache>
            </c:strRef>
          </c:tx>
          <c:spPr>
            <a:ln w="28575" cap="rnd">
              <a:solidFill>
                <a:srgbClr val="0070C0"/>
              </a:solidFill>
              <a:round/>
            </a:ln>
            <a:effectLst/>
          </c:spPr>
          <c:marker>
            <c:symbol val="none"/>
          </c:marker>
          <c:cat>
            <c:numRef>
              <c:f>'1、美债收益率'!$A$5:$A$28</c:f>
              <c:numCache>
                <c:formatCode>yyyy\-mm\-dd</c:formatCode>
                <c:ptCount val="24"/>
                <c:pt idx="0">
                  <c:v>44123</c:v>
                </c:pt>
                <c:pt idx="1">
                  <c:v>44124</c:v>
                </c:pt>
                <c:pt idx="2">
                  <c:v>44125</c:v>
                </c:pt>
                <c:pt idx="3">
                  <c:v>44126</c:v>
                </c:pt>
                <c:pt idx="4">
                  <c:v>44127</c:v>
                </c:pt>
                <c:pt idx="5">
                  <c:v>44130</c:v>
                </c:pt>
                <c:pt idx="6">
                  <c:v>44131</c:v>
                </c:pt>
                <c:pt idx="7">
                  <c:v>44132</c:v>
                </c:pt>
                <c:pt idx="8">
                  <c:v>44133</c:v>
                </c:pt>
                <c:pt idx="9">
                  <c:v>44134</c:v>
                </c:pt>
                <c:pt idx="10">
                  <c:v>44137</c:v>
                </c:pt>
                <c:pt idx="11">
                  <c:v>44138</c:v>
                </c:pt>
                <c:pt idx="12">
                  <c:v>44139</c:v>
                </c:pt>
                <c:pt idx="13">
                  <c:v>44140</c:v>
                </c:pt>
                <c:pt idx="14">
                  <c:v>44141</c:v>
                </c:pt>
                <c:pt idx="15">
                  <c:v>44144</c:v>
                </c:pt>
                <c:pt idx="16">
                  <c:v>44145</c:v>
                </c:pt>
                <c:pt idx="17">
                  <c:v>44147</c:v>
                </c:pt>
                <c:pt idx="18">
                  <c:v>44148</c:v>
                </c:pt>
                <c:pt idx="19">
                  <c:v>44151</c:v>
                </c:pt>
                <c:pt idx="20">
                  <c:v>44152</c:v>
                </c:pt>
                <c:pt idx="21">
                  <c:v>44153</c:v>
                </c:pt>
                <c:pt idx="22">
                  <c:v>44154</c:v>
                </c:pt>
                <c:pt idx="23">
                  <c:v>44155</c:v>
                </c:pt>
              </c:numCache>
            </c:numRef>
          </c:cat>
          <c:val>
            <c:numRef>
              <c:f>'1、美债收益率'!$C$5:$C$28</c:f>
              <c:numCache>
                <c:formatCode>0.0000</c:formatCode>
                <c:ptCount val="24"/>
                <c:pt idx="0">
                  <c:v>0.34</c:v>
                </c:pt>
                <c:pt idx="1">
                  <c:v>0.34</c:v>
                </c:pt>
                <c:pt idx="2">
                  <c:v>0.36</c:v>
                </c:pt>
                <c:pt idx="3">
                  <c:v>0.38</c:v>
                </c:pt>
                <c:pt idx="4">
                  <c:v>0.37</c:v>
                </c:pt>
                <c:pt idx="5">
                  <c:v>0.35</c:v>
                </c:pt>
                <c:pt idx="6">
                  <c:v>0.34</c:v>
                </c:pt>
                <c:pt idx="7">
                  <c:v>0.34</c:v>
                </c:pt>
                <c:pt idx="8">
                  <c:v>0.38</c:v>
                </c:pt>
                <c:pt idx="9">
                  <c:v>0.38</c:v>
                </c:pt>
                <c:pt idx="10">
                  <c:v>0.38</c:v>
                </c:pt>
                <c:pt idx="11">
                  <c:v>0.39</c:v>
                </c:pt>
                <c:pt idx="12">
                  <c:v>0.33</c:v>
                </c:pt>
                <c:pt idx="13">
                  <c:v>0.33</c:v>
                </c:pt>
                <c:pt idx="14">
                  <c:v>0.36</c:v>
                </c:pt>
                <c:pt idx="15">
                  <c:v>0.44</c:v>
                </c:pt>
                <c:pt idx="16">
                  <c:v>0.46</c:v>
                </c:pt>
                <c:pt idx="17">
                  <c:v>0.4</c:v>
                </c:pt>
                <c:pt idx="18">
                  <c:v>0.41</c:v>
                </c:pt>
                <c:pt idx="19">
                  <c:v>0.41</c:v>
                </c:pt>
                <c:pt idx="20">
                  <c:v>0.39</c:v>
                </c:pt>
                <c:pt idx="21">
                  <c:v>0.4</c:v>
                </c:pt>
                <c:pt idx="22">
                  <c:v>0.39</c:v>
                </c:pt>
                <c:pt idx="23">
                  <c:v>0.38</c:v>
                </c:pt>
              </c:numCache>
            </c:numRef>
          </c:val>
          <c:smooth val="0"/>
          <c:extLst xmlns:c16r2="http://schemas.microsoft.com/office/drawing/2015/06/chart">
            <c:ext xmlns:c16="http://schemas.microsoft.com/office/drawing/2014/chart" uri="{C3380CC4-5D6E-409C-BE32-E72D297353CC}">
              <c16:uniqueId val="{00000001-270C-4060-9CC2-5A196C6A47D1}"/>
            </c:ext>
          </c:extLst>
        </c:ser>
        <c:ser>
          <c:idx val="2"/>
          <c:order val="2"/>
          <c:tx>
            <c:strRef>
              <c:f>'1、美债收益率'!$D$3</c:f>
              <c:strCache>
                <c:ptCount val="1"/>
                <c:pt idx="0">
                  <c:v>美国:国债到期收益率:10年</c:v>
                </c:pt>
              </c:strCache>
            </c:strRef>
          </c:tx>
          <c:spPr>
            <a:ln w="28575" cap="rnd">
              <a:solidFill>
                <a:schemeClr val="bg2">
                  <a:lumMod val="75000"/>
                </a:schemeClr>
              </a:solidFill>
              <a:round/>
            </a:ln>
            <a:effectLst/>
          </c:spPr>
          <c:marker>
            <c:symbol val="none"/>
          </c:marker>
          <c:cat>
            <c:numRef>
              <c:f>'1、美债收益率'!$A$5:$A$28</c:f>
              <c:numCache>
                <c:formatCode>yyyy\-mm\-dd</c:formatCode>
                <c:ptCount val="24"/>
                <c:pt idx="0">
                  <c:v>44123</c:v>
                </c:pt>
                <c:pt idx="1">
                  <c:v>44124</c:v>
                </c:pt>
                <c:pt idx="2">
                  <c:v>44125</c:v>
                </c:pt>
                <c:pt idx="3">
                  <c:v>44126</c:v>
                </c:pt>
                <c:pt idx="4">
                  <c:v>44127</c:v>
                </c:pt>
                <c:pt idx="5">
                  <c:v>44130</c:v>
                </c:pt>
                <c:pt idx="6">
                  <c:v>44131</c:v>
                </c:pt>
                <c:pt idx="7">
                  <c:v>44132</c:v>
                </c:pt>
                <c:pt idx="8">
                  <c:v>44133</c:v>
                </c:pt>
                <c:pt idx="9">
                  <c:v>44134</c:v>
                </c:pt>
                <c:pt idx="10">
                  <c:v>44137</c:v>
                </c:pt>
                <c:pt idx="11">
                  <c:v>44138</c:v>
                </c:pt>
                <c:pt idx="12">
                  <c:v>44139</c:v>
                </c:pt>
                <c:pt idx="13">
                  <c:v>44140</c:v>
                </c:pt>
                <c:pt idx="14">
                  <c:v>44141</c:v>
                </c:pt>
                <c:pt idx="15">
                  <c:v>44144</c:v>
                </c:pt>
                <c:pt idx="16">
                  <c:v>44145</c:v>
                </c:pt>
                <c:pt idx="17">
                  <c:v>44147</c:v>
                </c:pt>
                <c:pt idx="18">
                  <c:v>44148</c:v>
                </c:pt>
                <c:pt idx="19">
                  <c:v>44151</c:v>
                </c:pt>
                <c:pt idx="20">
                  <c:v>44152</c:v>
                </c:pt>
                <c:pt idx="21">
                  <c:v>44153</c:v>
                </c:pt>
                <c:pt idx="22">
                  <c:v>44154</c:v>
                </c:pt>
                <c:pt idx="23">
                  <c:v>44155</c:v>
                </c:pt>
              </c:numCache>
            </c:numRef>
          </c:cat>
          <c:val>
            <c:numRef>
              <c:f>'1、美债收益率'!$D$5:$D$28</c:f>
              <c:numCache>
                <c:formatCode>0.0000</c:formatCode>
                <c:ptCount val="24"/>
                <c:pt idx="0">
                  <c:v>0.78</c:v>
                </c:pt>
                <c:pt idx="1">
                  <c:v>0.81</c:v>
                </c:pt>
                <c:pt idx="2">
                  <c:v>0.83</c:v>
                </c:pt>
                <c:pt idx="3">
                  <c:v>0.87</c:v>
                </c:pt>
                <c:pt idx="4">
                  <c:v>0.85</c:v>
                </c:pt>
                <c:pt idx="5">
                  <c:v>0.81</c:v>
                </c:pt>
                <c:pt idx="6">
                  <c:v>0.79</c:v>
                </c:pt>
                <c:pt idx="7">
                  <c:v>0.79</c:v>
                </c:pt>
                <c:pt idx="8">
                  <c:v>0.85</c:v>
                </c:pt>
                <c:pt idx="9">
                  <c:v>0.88</c:v>
                </c:pt>
                <c:pt idx="10">
                  <c:v>0.87</c:v>
                </c:pt>
                <c:pt idx="11">
                  <c:v>0.9</c:v>
                </c:pt>
                <c:pt idx="12">
                  <c:v>0.78</c:v>
                </c:pt>
                <c:pt idx="13">
                  <c:v>0.79</c:v>
                </c:pt>
                <c:pt idx="14">
                  <c:v>0.83</c:v>
                </c:pt>
                <c:pt idx="15">
                  <c:v>0.96</c:v>
                </c:pt>
                <c:pt idx="16">
                  <c:v>0.98</c:v>
                </c:pt>
                <c:pt idx="17">
                  <c:v>0.88</c:v>
                </c:pt>
                <c:pt idx="18">
                  <c:v>0.89</c:v>
                </c:pt>
                <c:pt idx="19">
                  <c:v>0.91</c:v>
                </c:pt>
                <c:pt idx="20">
                  <c:v>0.87</c:v>
                </c:pt>
                <c:pt idx="21">
                  <c:v>0.88</c:v>
                </c:pt>
                <c:pt idx="22">
                  <c:v>0.86</c:v>
                </c:pt>
                <c:pt idx="23">
                  <c:v>0.83</c:v>
                </c:pt>
              </c:numCache>
            </c:numRef>
          </c:val>
          <c:smooth val="0"/>
          <c:extLst xmlns:c16r2="http://schemas.microsoft.com/office/drawing/2015/06/chart">
            <c:ext xmlns:c16="http://schemas.microsoft.com/office/drawing/2014/chart" uri="{C3380CC4-5D6E-409C-BE32-E72D297353CC}">
              <c16:uniqueId val="{00000002-270C-4060-9CC2-5A196C6A47D1}"/>
            </c:ext>
          </c:extLst>
        </c:ser>
        <c:dLbls>
          <c:showLegendKey val="0"/>
          <c:showVal val="0"/>
          <c:showCatName val="0"/>
          <c:showSerName val="0"/>
          <c:showPercent val="0"/>
          <c:showBubbleSize val="0"/>
        </c:dLbls>
        <c:smooth val="0"/>
        <c:axId val="-215697056"/>
        <c:axId val="-215700864"/>
      </c:lineChart>
      <c:dateAx>
        <c:axId val="-215697056"/>
        <c:scaling>
          <c:orientation val="minMax"/>
        </c:scaling>
        <c:delete val="0"/>
        <c:axPos val="b"/>
        <c:numFmt formatCode="yyyy\-mm\-dd"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15700864"/>
        <c:crosses val="autoZero"/>
        <c:auto val="1"/>
        <c:lblOffset val="100"/>
        <c:baseTimeUnit val="days"/>
      </c:dateAx>
      <c:valAx>
        <c:axId val="-215700864"/>
        <c:scaling>
          <c:orientation val="minMax"/>
          <c:min val="0"/>
        </c:scaling>
        <c:delete val="0"/>
        <c:axPos val="l"/>
        <c:majorGridlines>
          <c:spPr>
            <a:ln w="9525" cap="flat" cmpd="sng" algn="ctr">
              <a:noFill/>
              <a:round/>
            </a:ln>
            <a:effectLst/>
          </c:spPr>
        </c:majorGridlines>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15697056"/>
        <c:crosses val="autoZero"/>
        <c:crossBetween val="between"/>
      </c:valAx>
      <c:spPr>
        <a:noFill/>
        <a:ln>
          <a:noFill/>
        </a:ln>
        <a:effectLst/>
      </c:spPr>
    </c:plotArea>
    <c:legend>
      <c:legendPos val="b"/>
      <c:layout>
        <c:manualLayout>
          <c:xMode val="edge"/>
          <c:yMode val="edge"/>
          <c:x val="8.7041564792176094E-3"/>
          <c:y val="0.92324816074355698"/>
          <c:w val="0.97281173594132031"/>
          <c:h val="5.544701583930527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j-ea"/>
                <a:ea typeface="+mj-ea"/>
                <a:cs typeface="+mn-cs"/>
              </a:defRPr>
            </a:pPr>
            <a:r>
              <a:rPr lang="zh-CN" altLang="en-US" sz="1100" b="1">
                <a:latin typeface="+mj-ea"/>
                <a:ea typeface="+mj-ea"/>
              </a:rPr>
              <a:t>美元指数</a:t>
            </a:r>
            <a:r>
              <a:rPr lang="en-US" altLang="zh-CN" sz="1100" b="1">
                <a:latin typeface="+mj-ea"/>
                <a:ea typeface="+mj-ea"/>
              </a:rPr>
              <a:t>K</a:t>
            </a:r>
            <a:r>
              <a:rPr lang="zh-CN" altLang="en-US" sz="1100" b="1">
                <a:latin typeface="+mj-ea"/>
                <a:ea typeface="+mj-ea"/>
              </a:rPr>
              <a:t>线图</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j-ea"/>
              <a:ea typeface="+mj-ea"/>
              <a:cs typeface="+mn-cs"/>
            </a:defRPr>
          </a:pPr>
          <a:endParaRPr lang="zh-CN"/>
        </a:p>
      </c:txPr>
    </c:title>
    <c:autoTitleDeleted val="0"/>
    <c:plotArea>
      <c:layout/>
      <c:stockChart>
        <c:ser>
          <c:idx val="0"/>
          <c:order val="0"/>
          <c:tx>
            <c:strRef>
              <c:f>'3、美元指数'!$B$4</c:f>
              <c:strCache>
                <c:ptCount val="1"/>
                <c:pt idx="0">
                  <c:v>open</c:v>
                </c:pt>
              </c:strCache>
            </c:strRef>
          </c:tx>
          <c:spPr>
            <a:ln w="25400" cap="rnd">
              <a:noFill/>
              <a:round/>
            </a:ln>
            <a:effectLst/>
          </c:spPr>
          <c:marker>
            <c:symbol val="none"/>
          </c:marker>
          <c:cat>
            <c:numRef>
              <c:f>'3、美元指数'!$A$5:$A$29</c:f>
              <c:numCache>
                <c:formatCode>yyyy\-mm\-dd</c:formatCode>
                <c:ptCount val="25"/>
                <c:pt idx="0">
                  <c:v>44123</c:v>
                </c:pt>
                <c:pt idx="1">
                  <c:v>44124</c:v>
                </c:pt>
                <c:pt idx="2">
                  <c:v>44125</c:v>
                </c:pt>
                <c:pt idx="3">
                  <c:v>44126</c:v>
                </c:pt>
                <c:pt idx="4">
                  <c:v>44127</c:v>
                </c:pt>
                <c:pt idx="5">
                  <c:v>44130</c:v>
                </c:pt>
                <c:pt idx="6">
                  <c:v>44131</c:v>
                </c:pt>
                <c:pt idx="7">
                  <c:v>44132</c:v>
                </c:pt>
                <c:pt idx="8">
                  <c:v>44133</c:v>
                </c:pt>
                <c:pt idx="9">
                  <c:v>44134</c:v>
                </c:pt>
                <c:pt idx="10">
                  <c:v>44137</c:v>
                </c:pt>
                <c:pt idx="11">
                  <c:v>44138</c:v>
                </c:pt>
                <c:pt idx="12">
                  <c:v>44139</c:v>
                </c:pt>
                <c:pt idx="13">
                  <c:v>44140</c:v>
                </c:pt>
                <c:pt idx="14">
                  <c:v>44141</c:v>
                </c:pt>
                <c:pt idx="15">
                  <c:v>44144</c:v>
                </c:pt>
                <c:pt idx="16">
                  <c:v>44145</c:v>
                </c:pt>
                <c:pt idx="17">
                  <c:v>44146</c:v>
                </c:pt>
                <c:pt idx="18">
                  <c:v>44147</c:v>
                </c:pt>
                <c:pt idx="19">
                  <c:v>44148</c:v>
                </c:pt>
                <c:pt idx="20">
                  <c:v>44151</c:v>
                </c:pt>
                <c:pt idx="21">
                  <c:v>44152</c:v>
                </c:pt>
                <c:pt idx="22">
                  <c:v>44153</c:v>
                </c:pt>
                <c:pt idx="23">
                  <c:v>44154</c:v>
                </c:pt>
                <c:pt idx="24">
                  <c:v>44155</c:v>
                </c:pt>
              </c:numCache>
            </c:numRef>
          </c:cat>
          <c:val>
            <c:numRef>
              <c:f>'3、美元指数'!$B$5:$B$29</c:f>
              <c:numCache>
                <c:formatCode>0.0000</c:formatCode>
                <c:ptCount val="25"/>
                <c:pt idx="0">
                  <c:v>93.703299999999999</c:v>
                </c:pt>
                <c:pt idx="1">
                  <c:v>93.412199999999999</c:v>
                </c:pt>
                <c:pt idx="2">
                  <c:v>93.096699999999998</c:v>
                </c:pt>
                <c:pt idx="3">
                  <c:v>92.639099999999999</c:v>
                </c:pt>
                <c:pt idx="4">
                  <c:v>92.9422</c:v>
                </c:pt>
                <c:pt idx="5">
                  <c:v>92.753500000000003</c:v>
                </c:pt>
                <c:pt idx="6">
                  <c:v>93.066100000000006</c:v>
                </c:pt>
                <c:pt idx="7">
                  <c:v>93.040499999999994</c:v>
                </c:pt>
                <c:pt idx="8">
                  <c:v>93.451899999999995</c:v>
                </c:pt>
                <c:pt idx="9">
                  <c:v>93.93</c:v>
                </c:pt>
                <c:pt idx="10">
                  <c:v>94.035700000000006</c:v>
                </c:pt>
                <c:pt idx="11">
                  <c:v>94.036199999999994</c:v>
                </c:pt>
                <c:pt idx="12">
                  <c:v>93.434100000000001</c:v>
                </c:pt>
                <c:pt idx="13">
                  <c:v>93.434600000000003</c:v>
                </c:pt>
                <c:pt idx="14">
                  <c:v>93.416300000000007</c:v>
                </c:pt>
                <c:pt idx="15">
                  <c:v>92.316900000000004</c:v>
                </c:pt>
                <c:pt idx="16">
                  <c:v>92.825000000000003</c:v>
                </c:pt>
                <c:pt idx="17">
                  <c:v>92.740899999999996</c:v>
                </c:pt>
                <c:pt idx="18">
                  <c:v>92.9803</c:v>
                </c:pt>
                <c:pt idx="19">
                  <c:v>93.011099999999999</c:v>
                </c:pt>
                <c:pt idx="20">
                  <c:v>92.713700000000003</c:v>
                </c:pt>
                <c:pt idx="21">
                  <c:v>92.578500000000005</c:v>
                </c:pt>
                <c:pt idx="22">
                  <c:v>92.457300000000004</c:v>
                </c:pt>
                <c:pt idx="23">
                  <c:v>92.396900000000002</c:v>
                </c:pt>
                <c:pt idx="24">
                  <c:v>92.403499999999994</c:v>
                </c:pt>
              </c:numCache>
            </c:numRef>
          </c:val>
          <c:smooth val="0"/>
          <c:extLst xmlns:c16r2="http://schemas.microsoft.com/office/drawing/2015/06/chart">
            <c:ext xmlns:c16="http://schemas.microsoft.com/office/drawing/2014/chart" uri="{C3380CC4-5D6E-409C-BE32-E72D297353CC}">
              <c16:uniqueId val="{00000000-75F6-4257-BC6A-93040B1F1722}"/>
            </c:ext>
          </c:extLst>
        </c:ser>
        <c:ser>
          <c:idx val="1"/>
          <c:order val="1"/>
          <c:tx>
            <c:strRef>
              <c:f>'3、美元指数'!$C$4</c:f>
              <c:strCache>
                <c:ptCount val="1"/>
                <c:pt idx="0">
                  <c:v>high</c:v>
                </c:pt>
              </c:strCache>
            </c:strRef>
          </c:tx>
          <c:spPr>
            <a:ln w="25400" cap="rnd">
              <a:noFill/>
              <a:round/>
            </a:ln>
            <a:effectLst/>
          </c:spPr>
          <c:marker>
            <c:symbol val="none"/>
          </c:marker>
          <c:cat>
            <c:numRef>
              <c:f>'3、美元指数'!$A$5:$A$29</c:f>
              <c:numCache>
                <c:formatCode>yyyy\-mm\-dd</c:formatCode>
                <c:ptCount val="25"/>
                <c:pt idx="0">
                  <c:v>44123</c:v>
                </c:pt>
                <c:pt idx="1">
                  <c:v>44124</c:v>
                </c:pt>
                <c:pt idx="2">
                  <c:v>44125</c:v>
                </c:pt>
                <c:pt idx="3">
                  <c:v>44126</c:v>
                </c:pt>
                <c:pt idx="4">
                  <c:v>44127</c:v>
                </c:pt>
                <c:pt idx="5">
                  <c:v>44130</c:v>
                </c:pt>
                <c:pt idx="6">
                  <c:v>44131</c:v>
                </c:pt>
                <c:pt idx="7">
                  <c:v>44132</c:v>
                </c:pt>
                <c:pt idx="8">
                  <c:v>44133</c:v>
                </c:pt>
                <c:pt idx="9">
                  <c:v>44134</c:v>
                </c:pt>
                <c:pt idx="10">
                  <c:v>44137</c:v>
                </c:pt>
                <c:pt idx="11">
                  <c:v>44138</c:v>
                </c:pt>
                <c:pt idx="12">
                  <c:v>44139</c:v>
                </c:pt>
                <c:pt idx="13">
                  <c:v>44140</c:v>
                </c:pt>
                <c:pt idx="14">
                  <c:v>44141</c:v>
                </c:pt>
                <c:pt idx="15">
                  <c:v>44144</c:v>
                </c:pt>
                <c:pt idx="16">
                  <c:v>44145</c:v>
                </c:pt>
                <c:pt idx="17">
                  <c:v>44146</c:v>
                </c:pt>
                <c:pt idx="18">
                  <c:v>44147</c:v>
                </c:pt>
                <c:pt idx="19">
                  <c:v>44148</c:v>
                </c:pt>
                <c:pt idx="20">
                  <c:v>44151</c:v>
                </c:pt>
                <c:pt idx="21">
                  <c:v>44152</c:v>
                </c:pt>
                <c:pt idx="22">
                  <c:v>44153</c:v>
                </c:pt>
                <c:pt idx="23">
                  <c:v>44154</c:v>
                </c:pt>
                <c:pt idx="24">
                  <c:v>44155</c:v>
                </c:pt>
              </c:numCache>
            </c:numRef>
          </c:cat>
          <c:val>
            <c:numRef>
              <c:f>'3、美元指数'!$C$5:$C$29</c:f>
              <c:numCache>
                <c:formatCode>0.0000</c:formatCode>
                <c:ptCount val="25"/>
                <c:pt idx="0">
                  <c:v>93.77</c:v>
                </c:pt>
                <c:pt idx="1">
                  <c:v>93.509699999999995</c:v>
                </c:pt>
                <c:pt idx="2">
                  <c:v>93.109899999999996</c:v>
                </c:pt>
                <c:pt idx="3">
                  <c:v>92.974299999999999</c:v>
                </c:pt>
                <c:pt idx="4">
                  <c:v>93.1327</c:v>
                </c:pt>
                <c:pt idx="5">
                  <c:v>93.118600000000001</c:v>
                </c:pt>
                <c:pt idx="6">
                  <c:v>93.141300000000001</c:v>
                </c:pt>
                <c:pt idx="7">
                  <c:v>93.650599999999997</c:v>
                </c:pt>
                <c:pt idx="8">
                  <c:v>94.110799999999998</c:v>
                </c:pt>
                <c:pt idx="9">
                  <c:v>94.082599999999999</c:v>
                </c:pt>
                <c:pt idx="10">
                  <c:v>94.291300000000007</c:v>
                </c:pt>
                <c:pt idx="11">
                  <c:v>94.0749</c:v>
                </c:pt>
                <c:pt idx="12">
                  <c:v>94.317400000000006</c:v>
                </c:pt>
                <c:pt idx="13">
                  <c:v>94.317400000000006</c:v>
                </c:pt>
                <c:pt idx="14">
                  <c:v>93.55</c:v>
                </c:pt>
                <c:pt idx="15">
                  <c:v>92.975700000000003</c:v>
                </c:pt>
                <c:pt idx="16">
                  <c:v>92.978099999999998</c:v>
                </c:pt>
                <c:pt idx="17">
                  <c:v>93.212500000000006</c:v>
                </c:pt>
                <c:pt idx="18">
                  <c:v>92.983400000000003</c:v>
                </c:pt>
                <c:pt idx="19">
                  <c:v>93.140900000000002</c:v>
                </c:pt>
                <c:pt idx="20">
                  <c:v>92.853099999999998</c:v>
                </c:pt>
                <c:pt idx="21">
                  <c:v>92.614099999999993</c:v>
                </c:pt>
                <c:pt idx="22">
                  <c:v>92.517099999999999</c:v>
                </c:pt>
                <c:pt idx="23">
                  <c:v>92.731399999999994</c:v>
                </c:pt>
                <c:pt idx="24">
                  <c:v>92.731399999999994</c:v>
                </c:pt>
              </c:numCache>
            </c:numRef>
          </c:val>
          <c:smooth val="0"/>
          <c:extLst xmlns:c16r2="http://schemas.microsoft.com/office/drawing/2015/06/chart">
            <c:ext xmlns:c16="http://schemas.microsoft.com/office/drawing/2014/chart" uri="{C3380CC4-5D6E-409C-BE32-E72D297353CC}">
              <c16:uniqueId val="{00000001-75F6-4257-BC6A-93040B1F1722}"/>
            </c:ext>
          </c:extLst>
        </c:ser>
        <c:ser>
          <c:idx val="2"/>
          <c:order val="2"/>
          <c:tx>
            <c:strRef>
              <c:f>'3、美元指数'!$D$4</c:f>
              <c:strCache>
                <c:ptCount val="1"/>
                <c:pt idx="0">
                  <c:v>low</c:v>
                </c:pt>
              </c:strCache>
            </c:strRef>
          </c:tx>
          <c:spPr>
            <a:ln w="25400" cap="rnd">
              <a:noFill/>
              <a:round/>
            </a:ln>
            <a:effectLst/>
          </c:spPr>
          <c:marker>
            <c:symbol val="none"/>
          </c:marker>
          <c:cat>
            <c:numRef>
              <c:f>'3、美元指数'!$A$5:$A$29</c:f>
              <c:numCache>
                <c:formatCode>yyyy\-mm\-dd</c:formatCode>
                <c:ptCount val="25"/>
                <c:pt idx="0">
                  <c:v>44123</c:v>
                </c:pt>
                <c:pt idx="1">
                  <c:v>44124</c:v>
                </c:pt>
                <c:pt idx="2">
                  <c:v>44125</c:v>
                </c:pt>
                <c:pt idx="3">
                  <c:v>44126</c:v>
                </c:pt>
                <c:pt idx="4">
                  <c:v>44127</c:v>
                </c:pt>
                <c:pt idx="5">
                  <c:v>44130</c:v>
                </c:pt>
                <c:pt idx="6">
                  <c:v>44131</c:v>
                </c:pt>
                <c:pt idx="7">
                  <c:v>44132</c:v>
                </c:pt>
                <c:pt idx="8">
                  <c:v>44133</c:v>
                </c:pt>
                <c:pt idx="9">
                  <c:v>44134</c:v>
                </c:pt>
                <c:pt idx="10">
                  <c:v>44137</c:v>
                </c:pt>
                <c:pt idx="11">
                  <c:v>44138</c:v>
                </c:pt>
                <c:pt idx="12">
                  <c:v>44139</c:v>
                </c:pt>
                <c:pt idx="13">
                  <c:v>44140</c:v>
                </c:pt>
                <c:pt idx="14">
                  <c:v>44141</c:v>
                </c:pt>
                <c:pt idx="15">
                  <c:v>44144</c:v>
                </c:pt>
                <c:pt idx="16">
                  <c:v>44145</c:v>
                </c:pt>
                <c:pt idx="17">
                  <c:v>44146</c:v>
                </c:pt>
                <c:pt idx="18">
                  <c:v>44147</c:v>
                </c:pt>
                <c:pt idx="19">
                  <c:v>44148</c:v>
                </c:pt>
                <c:pt idx="20">
                  <c:v>44151</c:v>
                </c:pt>
                <c:pt idx="21">
                  <c:v>44152</c:v>
                </c:pt>
                <c:pt idx="22">
                  <c:v>44153</c:v>
                </c:pt>
                <c:pt idx="23">
                  <c:v>44154</c:v>
                </c:pt>
                <c:pt idx="24">
                  <c:v>44155</c:v>
                </c:pt>
              </c:numCache>
            </c:numRef>
          </c:cat>
          <c:val>
            <c:numRef>
              <c:f>'3、美元指数'!$D$5:$D$29</c:f>
              <c:numCache>
                <c:formatCode>0.0000</c:formatCode>
                <c:ptCount val="25"/>
                <c:pt idx="0">
                  <c:v>93.205799999999996</c:v>
                </c:pt>
                <c:pt idx="1">
                  <c:v>92.992900000000006</c:v>
                </c:pt>
                <c:pt idx="2">
                  <c:v>92.473100000000002</c:v>
                </c:pt>
                <c:pt idx="3">
                  <c:v>92.611999999999995</c:v>
                </c:pt>
                <c:pt idx="4">
                  <c:v>92.659400000000005</c:v>
                </c:pt>
                <c:pt idx="5">
                  <c:v>92.7303</c:v>
                </c:pt>
                <c:pt idx="6">
                  <c:v>92.784800000000004</c:v>
                </c:pt>
                <c:pt idx="7">
                  <c:v>93.022099999999995</c:v>
                </c:pt>
                <c:pt idx="8">
                  <c:v>93.331400000000002</c:v>
                </c:pt>
                <c:pt idx="9">
                  <c:v>93.6494</c:v>
                </c:pt>
                <c:pt idx="10">
                  <c:v>93.972700000000003</c:v>
                </c:pt>
                <c:pt idx="11">
                  <c:v>93.286699999999996</c:v>
                </c:pt>
                <c:pt idx="12">
                  <c:v>93.061700000000002</c:v>
                </c:pt>
                <c:pt idx="13">
                  <c:v>92.583299999999994</c:v>
                </c:pt>
                <c:pt idx="14">
                  <c:v>92.474500000000006</c:v>
                </c:pt>
                <c:pt idx="15">
                  <c:v>92.128500000000003</c:v>
                </c:pt>
                <c:pt idx="16">
                  <c:v>92.601900000000001</c:v>
                </c:pt>
                <c:pt idx="17">
                  <c:v>92.608800000000002</c:v>
                </c:pt>
                <c:pt idx="18">
                  <c:v>92.978899999999996</c:v>
                </c:pt>
                <c:pt idx="19">
                  <c:v>92.770799999999994</c:v>
                </c:pt>
                <c:pt idx="20">
                  <c:v>92.462800000000001</c:v>
                </c:pt>
                <c:pt idx="21">
                  <c:v>92.263999999999996</c:v>
                </c:pt>
                <c:pt idx="22">
                  <c:v>92.211200000000005</c:v>
                </c:pt>
                <c:pt idx="23">
                  <c:v>92.235100000000003</c:v>
                </c:pt>
                <c:pt idx="24">
                  <c:v>92.253799999999998</c:v>
                </c:pt>
              </c:numCache>
            </c:numRef>
          </c:val>
          <c:smooth val="0"/>
          <c:extLst xmlns:c16r2="http://schemas.microsoft.com/office/drawing/2015/06/chart">
            <c:ext xmlns:c16="http://schemas.microsoft.com/office/drawing/2014/chart" uri="{C3380CC4-5D6E-409C-BE32-E72D297353CC}">
              <c16:uniqueId val="{00000002-75F6-4257-BC6A-93040B1F1722}"/>
            </c:ext>
          </c:extLst>
        </c:ser>
        <c:ser>
          <c:idx val="3"/>
          <c:order val="3"/>
          <c:tx>
            <c:strRef>
              <c:f>'3、美元指数'!$E$4</c:f>
              <c:strCache>
                <c:ptCount val="1"/>
                <c:pt idx="0">
                  <c:v>close</c:v>
                </c:pt>
              </c:strCache>
            </c:strRef>
          </c:tx>
          <c:spPr>
            <a:ln w="25400" cap="rnd">
              <a:noFill/>
              <a:round/>
            </a:ln>
            <a:effectLst/>
          </c:spPr>
          <c:marker>
            <c:symbol val="none"/>
          </c:marker>
          <c:cat>
            <c:numRef>
              <c:f>'3、美元指数'!$A$5:$A$29</c:f>
              <c:numCache>
                <c:formatCode>yyyy\-mm\-dd</c:formatCode>
                <c:ptCount val="25"/>
                <c:pt idx="0">
                  <c:v>44123</c:v>
                </c:pt>
                <c:pt idx="1">
                  <c:v>44124</c:v>
                </c:pt>
                <c:pt idx="2">
                  <c:v>44125</c:v>
                </c:pt>
                <c:pt idx="3">
                  <c:v>44126</c:v>
                </c:pt>
                <c:pt idx="4">
                  <c:v>44127</c:v>
                </c:pt>
                <c:pt idx="5">
                  <c:v>44130</c:v>
                </c:pt>
                <c:pt idx="6">
                  <c:v>44131</c:v>
                </c:pt>
                <c:pt idx="7">
                  <c:v>44132</c:v>
                </c:pt>
                <c:pt idx="8">
                  <c:v>44133</c:v>
                </c:pt>
                <c:pt idx="9">
                  <c:v>44134</c:v>
                </c:pt>
                <c:pt idx="10">
                  <c:v>44137</c:v>
                </c:pt>
                <c:pt idx="11">
                  <c:v>44138</c:v>
                </c:pt>
                <c:pt idx="12">
                  <c:v>44139</c:v>
                </c:pt>
                <c:pt idx="13">
                  <c:v>44140</c:v>
                </c:pt>
                <c:pt idx="14">
                  <c:v>44141</c:v>
                </c:pt>
                <c:pt idx="15">
                  <c:v>44144</c:v>
                </c:pt>
                <c:pt idx="16">
                  <c:v>44145</c:v>
                </c:pt>
                <c:pt idx="17">
                  <c:v>44146</c:v>
                </c:pt>
                <c:pt idx="18">
                  <c:v>44147</c:v>
                </c:pt>
                <c:pt idx="19">
                  <c:v>44148</c:v>
                </c:pt>
                <c:pt idx="20">
                  <c:v>44151</c:v>
                </c:pt>
                <c:pt idx="21">
                  <c:v>44152</c:v>
                </c:pt>
                <c:pt idx="22">
                  <c:v>44153</c:v>
                </c:pt>
                <c:pt idx="23">
                  <c:v>44154</c:v>
                </c:pt>
                <c:pt idx="24">
                  <c:v>44155</c:v>
                </c:pt>
              </c:numCache>
            </c:numRef>
          </c:cat>
          <c:val>
            <c:numRef>
              <c:f>'3、美元指数'!$E$5:$E$29</c:f>
              <c:numCache>
                <c:formatCode>0.0000</c:formatCode>
                <c:ptCount val="25"/>
                <c:pt idx="0">
                  <c:v>93.423100000000005</c:v>
                </c:pt>
                <c:pt idx="1">
                  <c:v>93.100499999999997</c:v>
                </c:pt>
                <c:pt idx="2">
                  <c:v>92.657700000000006</c:v>
                </c:pt>
                <c:pt idx="3">
                  <c:v>92.944599999999994</c:v>
                </c:pt>
                <c:pt idx="4">
                  <c:v>92.736699999999999</c:v>
                </c:pt>
                <c:pt idx="5">
                  <c:v>93.066699999999997</c:v>
                </c:pt>
                <c:pt idx="6">
                  <c:v>93.038899999999998</c:v>
                </c:pt>
                <c:pt idx="7">
                  <c:v>93.449799999999996</c:v>
                </c:pt>
                <c:pt idx="8">
                  <c:v>93.932500000000005</c:v>
                </c:pt>
                <c:pt idx="9">
                  <c:v>94.017499999999998</c:v>
                </c:pt>
                <c:pt idx="10">
                  <c:v>94.050600000000003</c:v>
                </c:pt>
                <c:pt idx="11">
                  <c:v>93.409300000000002</c:v>
                </c:pt>
                <c:pt idx="12">
                  <c:v>93.441999999999993</c:v>
                </c:pt>
                <c:pt idx="13">
                  <c:v>92.583299999999994</c:v>
                </c:pt>
                <c:pt idx="14">
                  <c:v>92.590500000000006</c:v>
                </c:pt>
                <c:pt idx="15">
                  <c:v>92.836100000000002</c:v>
                </c:pt>
                <c:pt idx="16">
                  <c:v>92.72</c:v>
                </c:pt>
                <c:pt idx="17">
                  <c:v>93.008099999999999</c:v>
                </c:pt>
                <c:pt idx="18">
                  <c:v>92.978899999999996</c:v>
                </c:pt>
                <c:pt idx="19">
                  <c:v>92.970600000000005</c:v>
                </c:pt>
                <c:pt idx="20">
                  <c:v>92.555099999999996</c:v>
                </c:pt>
                <c:pt idx="21">
                  <c:v>92.456400000000002</c:v>
                </c:pt>
                <c:pt idx="22">
                  <c:v>92.404300000000006</c:v>
                </c:pt>
                <c:pt idx="23">
                  <c:v>92.3035</c:v>
                </c:pt>
                <c:pt idx="24">
                  <c:v>92.259299999999996</c:v>
                </c:pt>
              </c:numCache>
            </c:numRef>
          </c:val>
          <c:smooth val="0"/>
          <c:extLst xmlns:c16r2="http://schemas.microsoft.com/office/drawing/2015/06/chart">
            <c:ext xmlns:c16="http://schemas.microsoft.com/office/drawing/2014/chart" uri="{C3380CC4-5D6E-409C-BE32-E72D297353CC}">
              <c16:uniqueId val="{00000003-75F6-4257-BC6A-93040B1F1722}"/>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upDownBars>
          <c:gapWidth val="150"/>
          <c:upBars>
            <c:spPr>
              <a:solidFill>
                <a:schemeClr val="lt1"/>
              </a:solidFill>
              <a:ln w="9525" cap="flat" cmpd="sng" algn="ctr">
                <a:solidFill>
                  <a:schemeClr val="tx1">
                    <a:lumMod val="65000"/>
                    <a:lumOff val="35000"/>
                  </a:schemeClr>
                </a:solidFill>
                <a:round/>
              </a:ln>
              <a:effectLst/>
            </c:spPr>
          </c:upBars>
          <c:downBars>
            <c:spPr>
              <a:solidFill>
                <a:schemeClr val="dk1">
                  <a:lumMod val="75000"/>
                  <a:lumOff val="25000"/>
                </a:schemeClr>
              </a:solidFill>
              <a:ln w="9525" cap="flat" cmpd="sng" algn="ctr">
                <a:solidFill>
                  <a:schemeClr val="tx1">
                    <a:lumMod val="65000"/>
                    <a:lumOff val="35000"/>
                  </a:schemeClr>
                </a:solidFill>
                <a:round/>
              </a:ln>
              <a:effectLst/>
            </c:spPr>
          </c:downBars>
        </c:upDownBars>
        <c:axId val="-215673664"/>
        <c:axId val="-215668768"/>
      </c:stockChart>
      <c:catAx>
        <c:axId val="-215673664"/>
        <c:scaling>
          <c:orientation val="minMax"/>
        </c:scaling>
        <c:delete val="0"/>
        <c:axPos val="b"/>
        <c:numFmt formatCode="yyyy\-mm\-dd"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15668768"/>
        <c:crosses val="autoZero"/>
        <c:auto val="0"/>
        <c:lblAlgn val="ctr"/>
        <c:lblOffset val="100"/>
        <c:noMultiLvlLbl val="0"/>
      </c:catAx>
      <c:valAx>
        <c:axId val="-215668768"/>
        <c:scaling>
          <c:orientation val="minMax"/>
          <c:max val="94.5"/>
          <c:min val="92"/>
        </c:scaling>
        <c:delete val="0"/>
        <c:axPos val="l"/>
        <c:majorGridlines>
          <c:spPr>
            <a:ln w="9525" cap="flat" cmpd="sng" algn="ctr">
              <a:solidFill>
                <a:schemeClr val="tx1">
                  <a:lumMod val="15000"/>
                  <a:lumOff val="85000"/>
                </a:schemeClr>
              </a:solidFill>
              <a:round/>
            </a:ln>
            <a:effectLst/>
          </c:spPr>
        </c:majorGridlines>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15673664"/>
        <c:crosses val="autoZero"/>
        <c:crossBetween val="between"/>
        <c:majorUnit val="0.2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zh-CN" sz="1200" b="1"/>
              <a:t>重要汇率涨跌幅行情</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3"/>
          <c:order val="0"/>
          <c:tx>
            <c:strRef>
              <c:f>'4、重要汇率涨跌幅行情'!$B$3</c:f>
              <c:strCache>
                <c:ptCount val="1"/>
                <c:pt idx="0">
                  <c:v>欧元兑美元</c:v>
                </c:pt>
              </c:strCache>
            </c:strRef>
          </c:tx>
          <c:spPr>
            <a:ln w="28575" cap="rnd">
              <a:solidFill>
                <a:schemeClr val="accent1">
                  <a:lumMod val="60000"/>
                </a:schemeClr>
              </a:solidFill>
              <a:round/>
            </a:ln>
            <a:effectLst/>
          </c:spPr>
          <c:marker>
            <c:symbol val="none"/>
          </c:marker>
          <c:cat>
            <c:numRef>
              <c:f>'4、重要汇率涨跌幅行情'!$A$5:$A$29</c:f>
              <c:numCache>
                <c:formatCode>yyyy\-mm\-dd</c:formatCode>
                <c:ptCount val="25"/>
                <c:pt idx="0">
                  <c:v>44123</c:v>
                </c:pt>
                <c:pt idx="1">
                  <c:v>44124</c:v>
                </c:pt>
                <c:pt idx="2">
                  <c:v>44125</c:v>
                </c:pt>
                <c:pt idx="3">
                  <c:v>44126</c:v>
                </c:pt>
                <c:pt idx="4">
                  <c:v>44127</c:v>
                </c:pt>
                <c:pt idx="5">
                  <c:v>44130</c:v>
                </c:pt>
                <c:pt idx="6">
                  <c:v>44131</c:v>
                </c:pt>
                <c:pt idx="7">
                  <c:v>44132</c:v>
                </c:pt>
                <c:pt idx="8">
                  <c:v>44133</c:v>
                </c:pt>
                <c:pt idx="9">
                  <c:v>44134</c:v>
                </c:pt>
                <c:pt idx="10">
                  <c:v>44137</c:v>
                </c:pt>
                <c:pt idx="11">
                  <c:v>44138</c:v>
                </c:pt>
                <c:pt idx="12">
                  <c:v>44139</c:v>
                </c:pt>
                <c:pt idx="13">
                  <c:v>44140</c:v>
                </c:pt>
                <c:pt idx="14">
                  <c:v>44141</c:v>
                </c:pt>
                <c:pt idx="15">
                  <c:v>44144</c:v>
                </c:pt>
                <c:pt idx="16">
                  <c:v>44145</c:v>
                </c:pt>
                <c:pt idx="17">
                  <c:v>44146</c:v>
                </c:pt>
                <c:pt idx="18">
                  <c:v>44147</c:v>
                </c:pt>
                <c:pt idx="19">
                  <c:v>44148</c:v>
                </c:pt>
                <c:pt idx="20">
                  <c:v>44151</c:v>
                </c:pt>
                <c:pt idx="21">
                  <c:v>44152</c:v>
                </c:pt>
                <c:pt idx="22">
                  <c:v>44153</c:v>
                </c:pt>
                <c:pt idx="23">
                  <c:v>44154</c:v>
                </c:pt>
                <c:pt idx="24">
                  <c:v>44155</c:v>
                </c:pt>
              </c:numCache>
            </c:numRef>
          </c:cat>
          <c:val>
            <c:numRef>
              <c:f>'4、重要汇率涨跌幅行情'!$B$5:$B$29</c:f>
              <c:numCache>
                <c:formatCode>0.0000</c:formatCode>
                <c:ptCount val="25"/>
                <c:pt idx="0">
                  <c:v>0.42673039173850952</c:v>
                </c:pt>
                <c:pt idx="1">
                  <c:v>0.46740885527320797</c:v>
                </c:pt>
                <c:pt idx="2">
                  <c:v>0.3214346134325855</c:v>
                </c:pt>
                <c:pt idx="3">
                  <c:v>-0.3456998313659353</c:v>
                </c:pt>
                <c:pt idx="4">
                  <c:v>0.34689906083424932</c:v>
                </c:pt>
                <c:pt idx="5">
                  <c:v>-0.43001686340639822</c:v>
                </c:pt>
                <c:pt idx="6">
                  <c:v>-0.11008552798713514</c:v>
                </c:pt>
                <c:pt idx="7">
                  <c:v>-0.41539504916920178</c:v>
                </c:pt>
                <c:pt idx="8">
                  <c:v>-0.63846088362986819</c:v>
                </c:pt>
                <c:pt idx="9">
                  <c:v>-0.21418779986291525</c:v>
                </c:pt>
                <c:pt idx="10">
                  <c:v>-6.0101313643010641E-2</c:v>
                </c:pt>
                <c:pt idx="11">
                  <c:v>0.68728522336769826</c:v>
                </c:pt>
                <c:pt idx="12">
                  <c:v>2.5597269624570561E-2</c:v>
                </c:pt>
                <c:pt idx="13">
                  <c:v>-5.1181438198407751E-2</c:v>
                </c:pt>
                <c:pt idx="14">
                  <c:v>0.93880686182470952</c:v>
                </c:pt>
                <c:pt idx="15">
                  <c:v>-0.11837321383276128</c:v>
                </c:pt>
                <c:pt idx="16">
                  <c:v>0</c:v>
                </c:pt>
                <c:pt idx="17">
                  <c:v>-0.29628375518497069</c:v>
                </c:pt>
                <c:pt idx="18">
                  <c:v>0.23773136355918967</c:v>
                </c:pt>
                <c:pt idx="19">
                  <c:v>8.4702693545645417E-3</c:v>
                </c:pt>
                <c:pt idx="20">
                  <c:v>0.39806894215295385</c:v>
                </c:pt>
                <c:pt idx="21">
                  <c:v>5.9051796861812292E-2</c:v>
                </c:pt>
                <c:pt idx="22">
                  <c:v>-5.9016946294572374E-2</c:v>
                </c:pt>
                <c:pt idx="23">
                  <c:v>0.16028344862493779</c:v>
                </c:pt>
                <c:pt idx="24">
                  <c:v>5.053482691821224E-2</c:v>
                </c:pt>
              </c:numCache>
            </c:numRef>
          </c:val>
          <c:smooth val="0"/>
          <c:extLst xmlns:c16r2="http://schemas.microsoft.com/office/drawing/2015/06/chart">
            <c:ext xmlns:c16="http://schemas.microsoft.com/office/drawing/2014/chart" uri="{C3380CC4-5D6E-409C-BE32-E72D297353CC}">
              <c16:uniqueId val="{00000000-B72E-4D3D-924F-361068BB8A53}"/>
            </c:ext>
          </c:extLst>
        </c:ser>
        <c:ser>
          <c:idx val="0"/>
          <c:order val="1"/>
          <c:tx>
            <c:strRef>
              <c:f>'4、重要汇率涨跌幅行情'!$C$3</c:f>
              <c:strCache>
                <c:ptCount val="1"/>
                <c:pt idx="0">
                  <c:v>英镑兑美元</c:v>
                </c:pt>
              </c:strCache>
            </c:strRef>
          </c:tx>
          <c:spPr>
            <a:ln w="28575" cap="rnd">
              <a:solidFill>
                <a:schemeClr val="accent1"/>
              </a:solidFill>
              <a:round/>
            </a:ln>
            <a:effectLst/>
          </c:spPr>
          <c:marker>
            <c:symbol val="none"/>
          </c:marker>
          <c:cat>
            <c:numRef>
              <c:f>'4、重要汇率涨跌幅行情'!$A$5:$A$29</c:f>
              <c:numCache>
                <c:formatCode>yyyy\-mm\-dd</c:formatCode>
                <c:ptCount val="25"/>
                <c:pt idx="0">
                  <c:v>44123</c:v>
                </c:pt>
                <c:pt idx="1">
                  <c:v>44124</c:v>
                </c:pt>
                <c:pt idx="2">
                  <c:v>44125</c:v>
                </c:pt>
                <c:pt idx="3">
                  <c:v>44126</c:v>
                </c:pt>
                <c:pt idx="4">
                  <c:v>44127</c:v>
                </c:pt>
                <c:pt idx="5">
                  <c:v>44130</c:v>
                </c:pt>
                <c:pt idx="6">
                  <c:v>44131</c:v>
                </c:pt>
                <c:pt idx="7">
                  <c:v>44132</c:v>
                </c:pt>
                <c:pt idx="8">
                  <c:v>44133</c:v>
                </c:pt>
                <c:pt idx="9">
                  <c:v>44134</c:v>
                </c:pt>
                <c:pt idx="10">
                  <c:v>44137</c:v>
                </c:pt>
                <c:pt idx="11">
                  <c:v>44138</c:v>
                </c:pt>
                <c:pt idx="12">
                  <c:v>44139</c:v>
                </c:pt>
                <c:pt idx="13">
                  <c:v>44140</c:v>
                </c:pt>
                <c:pt idx="14">
                  <c:v>44141</c:v>
                </c:pt>
                <c:pt idx="15">
                  <c:v>44144</c:v>
                </c:pt>
                <c:pt idx="16">
                  <c:v>44145</c:v>
                </c:pt>
                <c:pt idx="17">
                  <c:v>44146</c:v>
                </c:pt>
                <c:pt idx="18">
                  <c:v>44147</c:v>
                </c:pt>
                <c:pt idx="19">
                  <c:v>44148</c:v>
                </c:pt>
                <c:pt idx="20">
                  <c:v>44151</c:v>
                </c:pt>
                <c:pt idx="21">
                  <c:v>44152</c:v>
                </c:pt>
                <c:pt idx="22">
                  <c:v>44153</c:v>
                </c:pt>
                <c:pt idx="23">
                  <c:v>44154</c:v>
                </c:pt>
                <c:pt idx="24">
                  <c:v>44155</c:v>
                </c:pt>
              </c:numCache>
            </c:numRef>
          </c:cat>
          <c:val>
            <c:numRef>
              <c:f>'4、重要汇率涨跌幅行情'!$C$5:$C$29</c:f>
              <c:numCache>
                <c:formatCode>0.0000</c:formatCode>
                <c:ptCount val="25"/>
                <c:pt idx="0">
                  <c:v>0.2477355423085755</c:v>
                </c:pt>
                <c:pt idx="1">
                  <c:v>0</c:v>
                </c:pt>
                <c:pt idx="2">
                  <c:v>1.5367982083558598</c:v>
                </c:pt>
                <c:pt idx="3">
                  <c:v>-0.49437176756920825</c:v>
                </c:pt>
                <c:pt idx="4">
                  <c:v>-0.28280975311473183</c:v>
                </c:pt>
                <c:pt idx="5">
                  <c:v>-0.16863406408094281</c:v>
                </c:pt>
                <c:pt idx="6">
                  <c:v>0.17659705159704919</c:v>
                </c:pt>
                <c:pt idx="7">
                  <c:v>-0.49053422242660849</c:v>
                </c:pt>
                <c:pt idx="8">
                  <c:v>-0.40822614187784662</c:v>
                </c:pt>
                <c:pt idx="9">
                  <c:v>0.16241299303944245</c:v>
                </c:pt>
                <c:pt idx="10">
                  <c:v>-0.24708516716854836</c:v>
                </c:pt>
                <c:pt idx="11">
                  <c:v>1.1146373558324922</c:v>
                </c:pt>
                <c:pt idx="12">
                  <c:v>-0.58179591211820036</c:v>
                </c:pt>
                <c:pt idx="13">
                  <c:v>7.7000077000068529E-3</c:v>
                </c:pt>
                <c:pt idx="14">
                  <c:v>1.2242069602710215</c:v>
                </c:pt>
                <c:pt idx="15">
                  <c:v>9.8881874191836833E-2</c:v>
                </c:pt>
                <c:pt idx="16">
                  <c:v>0.83586626139816855</c:v>
                </c:pt>
                <c:pt idx="17">
                  <c:v>-0.43707611152976844</c:v>
                </c:pt>
                <c:pt idx="18">
                  <c:v>-0.70390554041779174</c:v>
                </c:pt>
                <c:pt idx="19">
                  <c:v>7.6225322051977273E-3</c:v>
                </c:pt>
                <c:pt idx="20">
                  <c:v>0.62499999999999878</c:v>
                </c:pt>
                <c:pt idx="21">
                  <c:v>0.35600666565671313</c:v>
                </c:pt>
                <c:pt idx="22">
                  <c:v>0.1358593101366159</c:v>
                </c:pt>
                <c:pt idx="23">
                  <c:v>-3.0149996231247152E-2</c:v>
                </c:pt>
                <c:pt idx="24">
                  <c:v>7.5397722988757437E-2</c:v>
                </c:pt>
              </c:numCache>
            </c:numRef>
          </c:val>
          <c:smooth val="0"/>
          <c:extLst xmlns:c16r2="http://schemas.microsoft.com/office/drawing/2015/06/chart">
            <c:ext xmlns:c16="http://schemas.microsoft.com/office/drawing/2014/chart" uri="{C3380CC4-5D6E-409C-BE32-E72D297353CC}">
              <c16:uniqueId val="{00000001-B72E-4D3D-924F-361068BB8A53}"/>
            </c:ext>
          </c:extLst>
        </c:ser>
        <c:ser>
          <c:idx val="1"/>
          <c:order val="2"/>
          <c:tx>
            <c:strRef>
              <c:f>'4、重要汇率涨跌幅行情'!$D$3</c:f>
              <c:strCache>
                <c:ptCount val="1"/>
                <c:pt idx="0">
                  <c:v>美元兑日元</c:v>
                </c:pt>
              </c:strCache>
            </c:strRef>
          </c:tx>
          <c:spPr>
            <a:ln w="28575" cap="rnd">
              <a:solidFill>
                <a:schemeClr val="accent3"/>
              </a:solidFill>
              <a:round/>
            </a:ln>
            <a:effectLst/>
          </c:spPr>
          <c:marker>
            <c:symbol val="none"/>
          </c:marker>
          <c:cat>
            <c:numRef>
              <c:f>'4、重要汇率涨跌幅行情'!$A$5:$A$29</c:f>
              <c:numCache>
                <c:formatCode>yyyy\-mm\-dd</c:formatCode>
                <c:ptCount val="25"/>
                <c:pt idx="0">
                  <c:v>44123</c:v>
                </c:pt>
                <c:pt idx="1">
                  <c:v>44124</c:v>
                </c:pt>
                <c:pt idx="2">
                  <c:v>44125</c:v>
                </c:pt>
                <c:pt idx="3">
                  <c:v>44126</c:v>
                </c:pt>
                <c:pt idx="4">
                  <c:v>44127</c:v>
                </c:pt>
                <c:pt idx="5">
                  <c:v>44130</c:v>
                </c:pt>
                <c:pt idx="6">
                  <c:v>44131</c:v>
                </c:pt>
                <c:pt idx="7">
                  <c:v>44132</c:v>
                </c:pt>
                <c:pt idx="8">
                  <c:v>44133</c:v>
                </c:pt>
                <c:pt idx="9">
                  <c:v>44134</c:v>
                </c:pt>
                <c:pt idx="10">
                  <c:v>44137</c:v>
                </c:pt>
                <c:pt idx="11">
                  <c:v>44138</c:v>
                </c:pt>
                <c:pt idx="12">
                  <c:v>44139</c:v>
                </c:pt>
                <c:pt idx="13">
                  <c:v>44140</c:v>
                </c:pt>
                <c:pt idx="14">
                  <c:v>44141</c:v>
                </c:pt>
                <c:pt idx="15">
                  <c:v>44144</c:v>
                </c:pt>
                <c:pt idx="16">
                  <c:v>44145</c:v>
                </c:pt>
                <c:pt idx="17">
                  <c:v>44146</c:v>
                </c:pt>
                <c:pt idx="18">
                  <c:v>44147</c:v>
                </c:pt>
                <c:pt idx="19">
                  <c:v>44148</c:v>
                </c:pt>
                <c:pt idx="20">
                  <c:v>44151</c:v>
                </c:pt>
                <c:pt idx="21">
                  <c:v>44152</c:v>
                </c:pt>
                <c:pt idx="22">
                  <c:v>44153</c:v>
                </c:pt>
                <c:pt idx="23">
                  <c:v>44154</c:v>
                </c:pt>
                <c:pt idx="24">
                  <c:v>44155</c:v>
                </c:pt>
              </c:numCache>
            </c:numRef>
          </c:cat>
          <c:val>
            <c:numRef>
              <c:f>'4、重要汇率涨跌幅行情'!$D$5:$D$29</c:f>
              <c:numCache>
                <c:formatCode>0.0000</c:formatCode>
                <c:ptCount val="25"/>
                <c:pt idx="0">
                  <c:v>2.8462998102467871E-2</c:v>
                </c:pt>
                <c:pt idx="1">
                  <c:v>6.1652281134399814E-2</c:v>
                </c:pt>
                <c:pt idx="2">
                  <c:v>-0.85312100099531307</c:v>
                </c:pt>
                <c:pt idx="3">
                  <c:v>0.23901716143219084</c:v>
                </c:pt>
                <c:pt idx="4">
                  <c:v>-0.1192236158138204</c:v>
                </c:pt>
                <c:pt idx="5">
                  <c:v>0.10981665393429611</c:v>
                </c:pt>
                <c:pt idx="6">
                  <c:v>-0.40062956073829115</c:v>
                </c:pt>
                <c:pt idx="7">
                  <c:v>-0.10056026432984147</c:v>
                </c:pt>
                <c:pt idx="8">
                  <c:v>0.29719106509443222</c:v>
                </c:pt>
                <c:pt idx="9">
                  <c:v>1.91168036704225E-2</c:v>
                </c:pt>
                <c:pt idx="10">
                  <c:v>0.10512232415902086</c:v>
                </c:pt>
                <c:pt idx="11">
                  <c:v>-0.23866348448687352</c:v>
                </c:pt>
                <c:pt idx="12">
                  <c:v>2.3923444976081995E-2</c:v>
                </c:pt>
                <c:pt idx="13">
                  <c:v>-1.913417842622361E-2</c:v>
                </c:pt>
                <c:pt idx="14">
                  <c:v>-0.92340079422036192</c:v>
                </c:pt>
                <c:pt idx="15">
                  <c:v>1.767432876183116</c:v>
                </c:pt>
                <c:pt idx="16">
                  <c:v>-7.5922938217707403E-2</c:v>
                </c:pt>
                <c:pt idx="17">
                  <c:v>0.13296609364612078</c:v>
                </c:pt>
                <c:pt idx="18">
                  <c:v>-0.29877643934365161</c:v>
                </c:pt>
                <c:pt idx="19">
                  <c:v>1.9026780193131552E-2</c:v>
                </c:pt>
                <c:pt idx="20">
                  <c:v>-0.54216007989728199</c:v>
                </c:pt>
                <c:pt idx="21">
                  <c:v>-0.38731889255487129</c:v>
                </c:pt>
                <c:pt idx="22">
                  <c:v>-0.35042242703532533</c:v>
                </c:pt>
                <c:pt idx="23">
                  <c:v>-5.2989064983868989E-2</c:v>
                </c:pt>
                <c:pt idx="24">
                  <c:v>3.373819163293889E-2</c:v>
                </c:pt>
              </c:numCache>
            </c:numRef>
          </c:val>
          <c:smooth val="0"/>
          <c:extLst xmlns:c16r2="http://schemas.microsoft.com/office/drawing/2015/06/chart">
            <c:ext xmlns:c16="http://schemas.microsoft.com/office/drawing/2014/chart" uri="{C3380CC4-5D6E-409C-BE32-E72D297353CC}">
              <c16:uniqueId val="{00000002-B72E-4D3D-924F-361068BB8A53}"/>
            </c:ext>
          </c:extLst>
        </c:ser>
        <c:ser>
          <c:idx val="2"/>
          <c:order val="3"/>
          <c:tx>
            <c:strRef>
              <c:f>'4、重要汇率涨跌幅行情'!$E$3</c:f>
              <c:strCache>
                <c:ptCount val="1"/>
              </c:strCache>
            </c:strRef>
          </c:tx>
          <c:spPr>
            <a:ln w="28575" cap="rnd">
              <a:solidFill>
                <a:schemeClr val="tx1">
                  <a:lumMod val="50000"/>
                  <a:lumOff val="50000"/>
                </a:schemeClr>
              </a:solidFill>
              <a:round/>
            </a:ln>
            <a:effectLst/>
          </c:spPr>
          <c:marker>
            <c:symbol val="none"/>
          </c:marker>
          <c:cat>
            <c:numRef>
              <c:f>'4、重要汇率涨跌幅行情'!$A$5:$A$29</c:f>
              <c:numCache>
                <c:formatCode>yyyy\-mm\-dd</c:formatCode>
                <c:ptCount val="25"/>
                <c:pt idx="0">
                  <c:v>44123</c:v>
                </c:pt>
                <c:pt idx="1">
                  <c:v>44124</c:v>
                </c:pt>
                <c:pt idx="2">
                  <c:v>44125</c:v>
                </c:pt>
                <c:pt idx="3">
                  <c:v>44126</c:v>
                </c:pt>
                <c:pt idx="4">
                  <c:v>44127</c:v>
                </c:pt>
                <c:pt idx="5">
                  <c:v>44130</c:v>
                </c:pt>
                <c:pt idx="6">
                  <c:v>44131</c:v>
                </c:pt>
                <c:pt idx="7">
                  <c:v>44132</c:v>
                </c:pt>
                <c:pt idx="8">
                  <c:v>44133</c:v>
                </c:pt>
                <c:pt idx="9">
                  <c:v>44134</c:v>
                </c:pt>
                <c:pt idx="10">
                  <c:v>44137</c:v>
                </c:pt>
                <c:pt idx="11">
                  <c:v>44138</c:v>
                </c:pt>
                <c:pt idx="12">
                  <c:v>44139</c:v>
                </c:pt>
                <c:pt idx="13">
                  <c:v>44140</c:v>
                </c:pt>
                <c:pt idx="14">
                  <c:v>44141</c:v>
                </c:pt>
                <c:pt idx="15">
                  <c:v>44144</c:v>
                </c:pt>
                <c:pt idx="16">
                  <c:v>44145</c:v>
                </c:pt>
                <c:pt idx="17">
                  <c:v>44146</c:v>
                </c:pt>
                <c:pt idx="18">
                  <c:v>44147</c:v>
                </c:pt>
                <c:pt idx="19">
                  <c:v>44148</c:v>
                </c:pt>
                <c:pt idx="20">
                  <c:v>44151</c:v>
                </c:pt>
                <c:pt idx="21">
                  <c:v>44152</c:v>
                </c:pt>
                <c:pt idx="22">
                  <c:v>44153</c:v>
                </c:pt>
                <c:pt idx="23">
                  <c:v>44154</c:v>
                </c:pt>
                <c:pt idx="24">
                  <c:v>44155</c:v>
                </c:pt>
              </c:numCache>
            </c:numRef>
          </c:cat>
          <c:val>
            <c:numRef>
              <c:f>'4、重要汇率涨跌幅行情'!$E$5:$E$29</c:f>
              <c:numCache>
                <c:formatCode>0.0000</c:formatCode>
                <c:ptCount val="2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numCache>
            </c:numRef>
          </c:val>
          <c:smooth val="0"/>
          <c:extLst xmlns:c16r2="http://schemas.microsoft.com/office/drawing/2015/06/chart">
            <c:ext xmlns:c16="http://schemas.microsoft.com/office/drawing/2014/chart" uri="{C3380CC4-5D6E-409C-BE32-E72D297353CC}">
              <c16:uniqueId val="{00000000-75E4-427E-8543-EA9A8FCBB709}"/>
            </c:ext>
          </c:extLst>
        </c:ser>
        <c:dLbls>
          <c:showLegendKey val="0"/>
          <c:showVal val="0"/>
          <c:showCatName val="0"/>
          <c:showSerName val="0"/>
          <c:showPercent val="0"/>
          <c:showBubbleSize val="0"/>
        </c:dLbls>
        <c:smooth val="0"/>
        <c:axId val="-215684000"/>
        <c:axId val="-215681824"/>
      </c:lineChart>
      <c:catAx>
        <c:axId val="-215684000"/>
        <c:scaling>
          <c:orientation val="minMax"/>
        </c:scaling>
        <c:delete val="0"/>
        <c:axPos val="b"/>
        <c:numFmt formatCode="yyyy\-mm\-dd"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15681824"/>
        <c:crosses val="autoZero"/>
        <c:auto val="0"/>
        <c:lblAlgn val="ctr"/>
        <c:lblOffset val="100"/>
        <c:noMultiLvlLbl val="0"/>
      </c:catAx>
      <c:valAx>
        <c:axId val="-215681824"/>
        <c:scaling>
          <c:orientation val="minMax"/>
        </c:scaling>
        <c:delete val="0"/>
        <c:axPos val="l"/>
        <c:majorGridlines>
          <c:spPr>
            <a:ln w="9525" cap="flat" cmpd="sng" algn="ctr">
              <a:solidFill>
                <a:schemeClr val="tx1">
                  <a:lumMod val="15000"/>
                  <a:lumOff val="85000"/>
                </a:schemeClr>
              </a:solidFill>
              <a:round/>
            </a:ln>
            <a:effectLst/>
          </c:spPr>
        </c:majorGridlines>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15684000"/>
        <c:crosses val="autoZero"/>
        <c:crossBetween val="between"/>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r>
              <a:rPr lang="zh-CN" altLang="en-US" sz="1100"/>
              <a:t>离岸、在岸人民币收盘价走势</a:t>
            </a:r>
            <a:endParaRPr lang="zh-CN" sz="1100"/>
          </a:p>
        </c:rich>
      </c:tx>
      <c:overlay val="0"/>
      <c:spPr>
        <a:noFill/>
        <a:ln>
          <a:noFill/>
        </a:ln>
        <a:effectLst/>
      </c:spPr>
      <c:txPr>
        <a:bodyPr rot="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0"/>
          <c:order val="0"/>
          <c:tx>
            <c:strRef>
              <c:f>'5、离在岸人民币行情'!$B$1</c:f>
              <c:strCache>
                <c:ptCount val="1"/>
                <c:pt idx="0">
                  <c:v>美元兑离岸人民币</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'5、离在岸人民币行情'!$A$5:$A$28</c:f>
              <c:numCache>
                <c:formatCode>yyyy\-mm\-dd</c:formatCode>
                <c:ptCount val="24"/>
                <c:pt idx="0">
                  <c:v>44123</c:v>
                </c:pt>
                <c:pt idx="1">
                  <c:v>44124</c:v>
                </c:pt>
                <c:pt idx="2">
                  <c:v>44125</c:v>
                </c:pt>
                <c:pt idx="3">
                  <c:v>44126</c:v>
                </c:pt>
                <c:pt idx="4">
                  <c:v>44127</c:v>
                </c:pt>
                <c:pt idx="5">
                  <c:v>44130</c:v>
                </c:pt>
                <c:pt idx="6">
                  <c:v>44131</c:v>
                </c:pt>
                <c:pt idx="7">
                  <c:v>44132</c:v>
                </c:pt>
                <c:pt idx="8">
                  <c:v>44133</c:v>
                </c:pt>
                <c:pt idx="9">
                  <c:v>44134</c:v>
                </c:pt>
                <c:pt idx="10">
                  <c:v>44137</c:v>
                </c:pt>
                <c:pt idx="11">
                  <c:v>44139</c:v>
                </c:pt>
                <c:pt idx="12">
                  <c:v>44140</c:v>
                </c:pt>
                <c:pt idx="13">
                  <c:v>44141</c:v>
                </c:pt>
                <c:pt idx="14">
                  <c:v>44144</c:v>
                </c:pt>
                <c:pt idx="15">
                  <c:v>44145</c:v>
                </c:pt>
                <c:pt idx="16">
                  <c:v>44146</c:v>
                </c:pt>
                <c:pt idx="17">
                  <c:v>44147</c:v>
                </c:pt>
                <c:pt idx="18">
                  <c:v>44148</c:v>
                </c:pt>
                <c:pt idx="19">
                  <c:v>44151</c:v>
                </c:pt>
                <c:pt idx="20">
                  <c:v>44152</c:v>
                </c:pt>
                <c:pt idx="21">
                  <c:v>44153</c:v>
                </c:pt>
                <c:pt idx="22">
                  <c:v>44154</c:v>
                </c:pt>
                <c:pt idx="23">
                  <c:v>44155</c:v>
                </c:pt>
              </c:numCache>
            </c:numRef>
          </c:cat>
          <c:val>
            <c:numRef>
              <c:f>'5、离在岸人民币行情'!$C$5:$C$28</c:f>
              <c:numCache>
                <c:formatCode>0.0000</c:formatCode>
                <c:ptCount val="24"/>
                <c:pt idx="0">
                  <c:v>6.6791</c:v>
                </c:pt>
                <c:pt idx="1">
                  <c:v>6.6641000000000004</c:v>
                </c:pt>
                <c:pt idx="2">
                  <c:v>6.6426999999999996</c:v>
                </c:pt>
                <c:pt idx="3">
                  <c:v>6.6711</c:v>
                </c:pt>
                <c:pt idx="4">
                  <c:v>6.6668000000000003</c:v>
                </c:pt>
                <c:pt idx="5">
                  <c:v>6.7004999999999999</c:v>
                </c:pt>
                <c:pt idx="6">
                  <c:v>6.7138999999999998</c:v>
                </c:pt>
                <c:pt idx="7">
                  <c:v>6.7283999999999997</c:v>
                </c:pt>
                <c:pt idx="8">
                  <c:v>6.7088999999999999</c:v>
                </c:pt>
                <c:pt idx="9">
                  <c:v>6.6963999999999997</c:v>
                </c:pt>
                <c:pt idx="10">
                  <c:v>6.6879</c:v>
                </c:pt>
                <c:pt idx="11">
                  <c:v>6.6214000000000004</c:v>
                </c:pt>
                <c:pt idx="12">
                  <c:v>6.6066000000000003</c:v>
                </c:pt>
                <c:pt idx="13">
                  <c:v>6.5926</c:v>
                </c:pt>
                <c:pt idx="14">
                  <c:v>6.6158999999999999</c:v>
                </c:pt>
                <c:pt idx="15">
                  <c:v>6.5990000000000002</c:v>
                </c:pt>
                <c:pt idx="16">
                  <c:v>6.6185</c:v>
                </c:pt>
                <c:pt idx="17">
                  <c:v>6.6173000000000002</c:v>
                </c:pt>
                <c:pt idx="18">
                  <c:v>6.5938999999999997</c:v>
                </c:pt>
                <c:pt idx="19">
                  <c:v>6.5717999999999996</c:v>
                </c:pt>
                <c:pt idx="20">
                  <c:v>6.5476999999999999</c:v>
                </c:pt>
                <c:pt idx="21">
                  <c:v>6.5625999999999998</c:v>
                </c:pt>
                <c:pt idx="22">
                  <c:v>6.5754000000000001</c:v>
                </c:pt>
                <c:pt idx="23">
                  <c:v>6.5514999999999999</c:v>
                </c:pt>
              </c:numCache>
            </c:numRef>
          </c:val>
          <c:smooth val="0"/>
          <c:extLst xmlns:c16r2="http://schemas.microsoft.com/office/drawing/2015/06/chart">
            <c:ext xmlns:c16="http://schemas.microsoft.com/office/drawing/2014/chart" uri="{C3380CC4-5D6E-409C-BE32-E72D297353CC}">
              <c16:uniqueId val="{00000000-EB2B-4909-B9BB-85AA1A0C9617}"/>
            </c:ext>
          </c:extLst>
        </c:ser>
        <c:ser>
          <c:idx val="1"/>
          <c:order val="1"/>
          <c:tx>
            <c:strRef>
              <c:f>'5、离在岸人民币行情'!$F$1</c:f>
              <c:strCache>
                <c:ptCount val="1"/>
                <c:pt idx="0">
                  <c:v>美元兑人民币(CFETS)</c:v>
                </c:pt>
              </c:strCache>
            </c:strRef>
          </c:tx>
          <c:spPr>
            <a:ln w="22225" cap="rnd">
              <a:solidFill>
                <a:schemeClr val="accent3"/>
              </a:solidFill>
              <a:round/>
            </a:ln>
            <a:effectLst/>
          </c:spPr>
          <c:marker>
            <c:symbol val="square"/>
            <c:size val="6"/>
            <c:spPr>
              <a:solidFill>
                <a:schemeClr val="accent3"/>
              </a:solidFill>
              <a:ln w="9525">
                <a:solidFill>
                  <a:schemeClr val="accent3"/>
                </a:solidFill>
                <a:round/>
              </a:ln>
              <a:effectLst/>
            </c:spPr>
          </c:marker>
          <c:cat>
            <c:numRef>
              <c:f>'5、离在岸人民币行情'!$A$5:$A$28</c:f>
              <c:numCache>
                <c:formatCode>yyyy\-mm\-dd</c:formatCode>
                <c:ptCount val="24"/>
                <c:pt idx="0">
                  <c:v>44123</c:v>
                </c:pt>
                <c:pt idx="1">
                  <c:v>44124</c:v>
                </c:pt>
                <c:pt idx="2">
                  <c:v>44125</c:v>
                </c:pt>
                <c:pt idx="3">
                  <c:v>44126</c:v>
                </c:pt>
                <c:pt idx="4">
                  <c:v>44127</c:v>
                </c:pt>
                <c:pt idx="5">
                  <c:v>44130</c:v>
                </c:pt>
                <c:pt idx="6">
                  <c:v>44131</c:v>
                </c:pt>
                <c:pt idx="7">
                  <c:v>44132</c:v>
                </c:pt>
                <c:pt idx="8">
                  <c:v>44133</c:v>
                </c:pt>
                <c:pt idx="9">
                  <c:v>44134</c:v>
                </c:pt>
                <c:pt idx="10">
                  <c:v>44137</c:v>
                </c:pt>
                <c:pt idx="11">
                  <c:v>44139</c:v>
                </c:pt>
                <c:pt idx="12">
                  <c:v>44140</c:v>
                </c:pt>
                <c:pt idx="13">
                  <c:v>44141</c:v>
                </c:pt>
                <c:pt idx="14">
                  <c:v>44144</c:v>
                </c:pt>
                <c:pt idx="15">
                  <c:v>44145</c:v>
                </c:pt>
                <c:pt idx="16">
                  <c:v>44146</c:v>
                </c:pt>
                <c:pt idx="17">
                  <c:v>44147</c:v>
                </c:pt>
                <c:pt idx="18">
                  <c:v>44148</c:v>
                </c:pt>
                <c:pt idx="19">
                  <c:v>44151</c:v>
                </c:pt>
                <c:pt idx="20">
                  <c:v>44152</c:v>
                </c:pt>
                <c:pt idx="21">
                  <c:v>44153</c:v>
                </c:pt>
                <c:pt idx="22">
                  <c:v>44154</c:v>
                </c:pt>
                <c:pt idx="23">
                  <c:v>44155</c:v>
                </c:pt>
              </c:numCache>
            </c:numRef>
          </c:cat>
          <c:val>
            <c:numRef>
              <c:f>'5、离在岸人民币行情'!$G$5:$G$28</c:f>
              <c:numCache>
                <c:formatCode>0.0000</c:formatCode>
                <c:ptCount val="24"/>
                <c:pt idx="0">
                  <c:v>6.6935000000000002</c:v>
                </c:pt>
                <c:pt idx="1">
                  <c:v>6.6818</c:v>
                </c:pt>
                <c:pt idx="2">
                  <c:v>6.6574999999999998</c:v>
                </c:pt>
                <c:pt idx="3">
                  <c:v>6.6688999999999998</c:v>
                </c:pt>
                <c:pt idx="4">
                  <c:v>6.6689999999999996</c:v>
                </c:pt>
                <c:pt idx="5">
                  <c:v>6.6985000000000001</c:v>
                </c:pt>
                <c:pt idx="6">
                  <c:v>6.7157</c:v>
                </c:pt>
                <c:pt idx="7">
                  <c:v>6.7138</c:v>
                </c:pt>
                <c:pt idx="8">
                  <c:v>6.7103999999999999</c:v>
                </c:pt>
                <c:pt idx="9">
                  <c:v>6.7001999999999997</c:v>
                </c:pt>
                <c:pt idx="10">
                  <c:v>6.7000999999999999</c:v>
                </c:pt>
                <c:pt idx="11">
                  <c:v>6.7138</c:v>
                </c:pt>
                <c:pt idx="12">
                  <c:v>6.64</c:v>
                </c:pt>
                <c:pt idx="13">
                  <c:v>6.6215000000000002</c:v>
                </c:pt>
                <c:pt idx="14">
                  <c:v>6.5728</c:v>
                </c:pt>
                <c:pt idx="15">
                  <c:v>6.6040999999999999</c:v>
                </c:pt>
                <c:pt idx="16">
                  <c:v>6.62</c:v>
                </c:pt>
                <c:pt idx="17">
                  <c:v>6.6296999999999997</c:v>
                </c:pt>
                <c:pt idx="18">
                  <c:v>6.6143999999999998</c:v>
                </c:pt>
                <c:pt idx="19">
                  <c:v>6.577</c:v>
                </c:pt>
                <c:pt idx="20">
                  <c:v>6.5579999999999998</c:v>
                </c:pt>
                <c:pt idx="21">
                  <c:v>6.5425000000000004</c:v>
                </c:pt>
                <c:pt idx="22">
                  <c:v>6.5850999999999997</c:v>
                </c:pt>
                <c:pt idx="23">
                  <c:v>6.5713999999999997</c:v>
                </c:pt>
              </c:numCache>
            </c:numRef>
          </c:val>
          <c:smooth val="0"/>
          <c:extLst xmlns:c16r2="http://schemas.microsoft.com/office/drawing/2015/06/chart">
            <c:ext xmlns:c16="http://schemas.microsoft.com/office/drawing/2014/chart" uri="{C3380CC4-5D6E-409C-BE32-E72D297353CC}">
              <c16:uniqueId val="{00000002-EB2B-4909-B9BB-85AA1A0C9617}"/>
            </c:ext>
          </c:extLst>
        </c:ser>
        <c:dLbls>
          <c:showLegendKey val="0"/>
          <c:showVal val="0"/>
          <c:showCatName val="0"/>
          <c:showSerName val="0"/>
          <c:showPercent val="0"/>
          <c:showBubbleSize val="0"/>
        </c:dLbls>
        <c:marker val="1"/>
        <c:smooth val="0"/>
        <c:axId val="-215669856"/>
        <c:axId val="-215696512"/>
      </c:lineChart>
      <c:catAx>
        <c:axId val="-215669856"/>
        <c:scaling>
          <c:orientation val="minMax"/>
        </c:scaling>
        <c:delete val="0"/>
        <c:axPos val="b"/>
        <c:numFmt formatCode="yyyy\-mm\-dd"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zh-CN"/>
          </a:p>
        </c:txPr>
        <c:crossAx val="-215696512"/>
        <c:crosses val="autoZero"/>
        <c:auto val="0"/>
        <c:lblAlgn val="ctr"/>
        <c:lblOffset val="100"/>
        <c:tickLblSkip val="1"/>
        <c:noMultiLvlLbl val="1"/>
      </c:catAx>
      <c:valAx>
        <c:axId val="-215696512"/>
        <c:scaling>
          <c:orientation val="minMax"/>
        </c:scaling>
        <c:delete val="0"/>
        <c:axPos val="l"/>
        <c:numFmt formatCode="0.0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15669856"/>
        <c:crosses val="autoZero"/>
        <c:crossBetween val="between"/>
        <c:majorUnit val="3.0000000000000006E-2"/>
        <c:minorUnit val="5.000000000000001E-3"/>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zh-CN" altLang="en-US" sz="1200" b="1"/>
              <a:t>国际原油收盘价走势</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8.6337912864861643E-2"/>
          <c:y val="0.13061453753139479"/>
          <c:w val="0.89088072875578639"/>
          <c:h val="0.57271849880651449"/>
        </c:manualLayout>
      </c:layout>
      <c:lineChart>
        <c:grouping val="standard"/>
        <c:varyColors val="0"/>
        <c:ser>
          <c:idx val="0"/>
          <c:order val="0"/>
          <c:tx>
            <c:strRef>
              <c:f>'6、原油价格'!$B$1</c:f>
              <c:strCache>
                <c:ptCount val="1"/>
                <c:pt idx="0">
                  <c:v>NYMEX原油</c:v>
                </c:pt>
              </c:strCache>
            </c:strRef>
          </c:tx>
          <c:spPr>
            <a:ln w="22225" cap="rnd">
              <a:solidFill>
                <a:schemeClr val="accent1"/>
              </a:solidFill>
              <a:round/>
            </a:ln>
            <a:effectLst/>
          </c:spPr>
          <c:marker>
            <c:symbol val="diamond"/>
            <c:size val="6"/>
            <c:spPr>
              <a:solidFill>
                <a:schemeClr val="accent1"/>
              </a:solidFill>
              <a:ln w="9525">
                <a:solidFill>
                  <a:schemeClr val="accent1"/>
                </a:solidFill>
              </a:ln>
              <a:effectLst/>
            </c:spPr>
          </c:marker>
          <c:cat>
            <c:numRef>
              <c:f>'6、原油价格'!$A$5:$A$29</c:f>
              <c:numCache>
                <c:formatCode>yyyy\-mm\-dd</c:formatCode>
                <c:ptCount val="25"/>
                <c:pt idx="0">
                  <c:v>44123</c:v>
                </c:pt>
                <c:pt idx="1">
                  <c:v>44124</c:v>
                </c:pt>
                <c:pt idx="2">
                  <c:v>44125</c:v>
                </c:pt>
                <c:pt idx="3">
                  <c:v>44126</c:v>
                </c:pt>
                <c:pt idx="4">
                  <c:v>44127</c:v>
                </c:pt>
                <c:pt idx="5">
                  <c:v>44130</c:v>
                </c:pt>
                <c:pt idx="6">
                  <c:v>44131</c:v>
                </c:pt>
                <c:pt idx="7">
                  <c:v>44132</c:v>
                </c:pt>
                <c:pt idx="8">
                  <c:v>44133</c:v>
                </c:pt>
                <c:pt idx="9">
                  <c:v>44134</c:v>
                </c:pt>
                <c:pt idx="10">
                  <c:v>44137</c:v>
                </c:pt>
                <c:pt idx="11">
                  <c:v>44138</c:v>
                </c:pt>
                <c:pt idx="12">
                  <c:v>44139</c:v>
                </c:pt>
                <c:pt idx="13">
                  <c:v>44140</c:v>
                </c:pt>
                <c:pt idx="14">
                  <c:v>44141</c:v>
                </c:pt>
                <c:pt idx="15">
                  <c:v>44144</c:v>
                </c:pt>
                <c:pt idx="16">
                  <c:v>44145</c:v>
                </c:pt>
                <c:pt idx="17">
                  <c:v>44146</c:v>
                </c:pt>
                <c:pt idx="18">
                  <c:v>44147</c:v>
                </c:pt>
                <c:pt idx="19">
                  <c:v>44148</c:v>
                </c:pt>
                <c:pt idx="20">
                  <c:v>44151</c:v>
                </c:pt>
                <c:pt idx="21">
                  <c:v>44152</c:v>
                </c:pt>
                <c:pt idx="22">
                  <c:v>44153</c:v>
                </c:pt>
                <c:pt idx="23">
                  <c:v>44154</c:v>
                </c:pt>
                <c:pt idx="24">
                  <c:v>44155</c:v>
                </c:pt>
              </c:numCache>
            </c:numRef>
          </c:cat>
          <c:val>
            <c:numRef>
              <c:f>'6、原油价格'!$E$5:$E$29</c:f>
              <c:numCache>
                <c:formatCode>0.0000</c:formatCode>
                <c:ptCount val="25"/>
                <c:pt idx="0">
                  <c:v>40.93</c:v>
                </c:pt>
                <c:pt idx="1">
                  <c:v>41.24</c:v>
                </c:pt>
                <c:pt idx="2">
                  <c:v>40</c:v>
                </c:pt>
                <c:pt idx="3">
                  <c:v>40.61</c:v>
                </c:pt>
                <c:pt idx="4">
                  <c:v>39.78</c:v>
                </c:pt>
                <c:pt idx="5">
                  <c:v>38.6</c:v>
                </c:pt>
                <c:pt idx="6">
                  <c:v>38.93</c:v>
                </c:pt>
                <c:pt idx="7">
                  <c:v>37.380000000000003</c:v>
                </c:pt>
                <c:pt idx="8">
                  <c:v>36.11</c:v>
                </c:pt>
                <c:pt idx="9">
                  <c:v>35.72</c:v>
                </c:pt>
                <c:pt idx="10">
                  <c:v>37.090000000000003</c:v>
                </c:pt>
                <c:pt idx="11">
                  <c:v>38.15</c:v>
                </c:pt>
                <c:pt idx="12">
                  <c:v>39.14</c:v>
                </c:pt>
                <c:pt idx="13">
                  <c:v>38.51</c:v>
                </c:pt>
                <c:pt idx="14">
                  <c:v>37.49</c:v>
                </c:pt>
                <c:pt idx="15">
                  <c:v>39.840000000000003</c:v>
                </c:pt>
                <c:pt idx="16">
                  <c:v>41.8</c:v>
                </c:pt>
                <c:pt idx="17">
                  <c:v>41.42</c:v>
                </c:pt>
                <c:pt idx="18">
                  <c:v>40.92</c:v>
                </c:pt>
                <c:pt idx="19">
                  <c:v>40.119999999999997</c:v>
                </c:pt>
                <c:pt idx="20">
                  <c:v>41.47</c:v>
                </c:pt>
                <c:pt idx="21">
                  <c:v>41.4</c:v>
                </c:pt>
                <c:pt idx="22">
                  <c:v>41.62</c:v>
                </c:pt>
                <c:pt idx="23">
                  <c:v>41.9</c:v>
                </c:pt>
                <c:pt idx="24">
                  <c:v>42.47</c:v>
                </c:pt>
              </c:numCache>
            </c:numRef>
          </c:val>
          <c:smooth val="0"/>
          <c:extLst xmlns:c16r2="http://schemas.microsoft.com/office/drawing/2015/06/chart">
            <c:ext xmlns:c16="http://schemas.microsoft.com/office/drawing/2014/chart" uri="{C3380CC4-5D6E-409C-BE32-E72D297353CC}">
              <c16:uniqueId val="{00000000-11AE-4513-BDE4-6340E63D0DD1}"/>
            </c:ext>
          </c:extLst>
        </c:ser>
        <c:ser>
          <c:idx val="1"/>
          <c:order val="1"/>
          <c:tx>
            <c:strRef>
              <c:f>'6、原油价格'!$K$1</c:f>
              <c:strCache>
                <c:ptCount val="1"/>
                <c:pt idx="0">
                  <c:v>ICE布油</c:v>
                </c:pt>
              </c:strCache>
            </c:strRef>
          </c:tx>
          <c:spPr>
            <a:ln w="28575" cap="rnd">
              <a:solidFill>
                <a:schemeClr val="bg2">
                  <a:lumMod val="75000"/>
                </a:schemeClr>
              </a:solidFill>
              <a:round/>
            </a:ln>
            <a:effectLst/>
          </c:spPr>
          <c:marker>
            <c:symbol val="square"/>
            <c:size val="6"/>
            <c:spPr>
              <a:solidFill>
                <a:schemeClr val="bg2">
                  <a:lumMod val="75000"/>
                </a:schemeClr>
              </a:solidFill>
              <a:ln w="9525">
                <a:solidFill>
                  <a:schemeClr val="bg2">
                    <a:lumMod val="75000"/>
                  </a:schemeClr>
                </a:solidFill>
              </a:ln>
              <a:effectLst/>
            </c:spPr>
          </c:marker>
          <c:cat>
            <c:numRef>
              <c:f>'6、原油价格'!$A$5:$A$29</c:f>
              <c:numCache>
                <c:formatCode>yyyy\-mm\-dd</c:formatCode>
                <c:ptCount val="25"/>
                <c:pt idx="0">
                  <c:v>44123</c:v>
                </c:pt>
                <c:pt idx="1">
                  <c:v>44124</c:v>
                </c:pt>
                <c:pt idx="2">
                  <c:v>44125</c:v>
                </c:pt>
                <c:pt idx="3">
                  <c:v>44126</c:v>
                </c:pt>
                <c:pt idx="4">
                  <c:v>44127</c:v>
                </c:pt>
                <c:pt idx="5">
                  <c:v>44130</c:v>
                </c:pt>
                <c:pt idx="6">
                  <c:v>44131</c:v>
                </c:pt>
                <c:pt idx="7">
                  <c:v>44132</c:v>
                </c:pt>
                <c:pt idx="8">
                  <c:v>44133</c:v>
                </c:pt>
                <c:pt idx="9">
                  <c:v>44134</c:v>
                </c:pt>
                <c:pt idx="10">
                  <c:v>44137</c:v>
                </c:pt>
                <c:pt idx="11">
                  <c:v>44138</c:v>
                </c:pt>
                <c:pt idx="12">
                  <c:v>44139</c:v>
                </c:pt>
                <c:pt idx="13">
                  <c:v>44140</c:v>
                </c:pt>
                <c:pt idx="14">
                  <c:v>44141</c:v>
                </c:pt>
                <c:pt idx="15">
                  <c:v>44144</c:v>
                </c:pt>
                <c:pt idx="16">
                  <c:v>44145</c:v>
                </c:pt>
                <c:pt idx="17">
                  <c:v>44146</c:v>
                </c:pt>
                <c:pt idx="18">
                  <c:v>44147</c:v>
                </c:pt>
                <c:pt idx="19">
                  <c:v>44148</c:v>
                </c:pt>
                <c:pt idx="20">
                  <c:v>44151</c:v>
                </c:pt>
                <c:pt idx="21">
                  <c:v>44152</c:v>
                </c:pt>
                <c:pt idx="22">
                  <c:v>44153</c:v>
                </c:pt>
                <c:pt idx="23">
                  <c:v>44154</c:v>
                </c:pt>
                <c:pt idx="24">
                  <c:v>44155</c:v>
                </c:pt>
              </c:numCache>
            </c:numRef>
          </c:cat>
          <c:val>
            <c:numRef>
              <c:f>'6、原油价格'!$N$5:$N$29</c:f>
              <c:numCache>
                <c:formatCode>0.0000</c:formatCode>
                <c:ptCount val="25"/>
                <c:pt idx="0">
                  <c:v>42.46</c:v>
                </c:pt>
                <c:pt idx="1">
                  <c:v>42.8</c:v>
                </c:pt>
                <c:pt idx="2">
                  <c:v>41.71</c:v>
                </c:pt>
                <c:pt idx="3">
                  <c:v>42.44</c:v>
                </c:pt>
                <c:pt idx="4">
                  <c:v>41.59</c:v>
                </c:pt>
                <c:pt idx="5">
                  <c:v>40.81</c:v>
                </c:pt>
                <c:pt idx="6">
                  <c:v>41.1</c:v>
                </c:pt>
                <c:pt idx="7">
                  <c:v>39.54</c:v>
                </c:pt>
                <c:pt idx="8">
                  <c:v>38.11</c:v>
                </c:pt>
                <c:pt idx="9">
                  <c:v>37.86</c:v>
                </c:pt>
                <c:pt idx="10">
                  <c:v>39.24</c:v>
                </c:pt>
                <c:pt idx="11">
                  <c:v>40.159999999999997</c:v>
                </c:pt>
                <c:pt idx="12">
                  <c:v>41.2</c:v>
                </c:pt>
                <c:pt idx="13">
                  <c:v>40.799999999999997</c:v>
                </c:pt>
                <c:pt idx="14">
                  <c:v>39.6</c:v>
                </c:pt>
                <c:pt idx="15">
                  <c:v>42.02</c:v>
                </c:pt>
                <c:pt idx="16">
                  <c:v>44.05</c:v>
                </c:pt>
                <c:pt idx="17">
                  <c:v>43.77</c:v>
                </c:pt>
                <c:pt idx="18">
                  <c:v>43.27</c:v>
                </c:pt>
                <c:pt idx="19">
                  <c:v>42.63</c:v>
                </c:pt>
                <c:pt idx="20">
                  <c:v>43.89</c:v>
                </c:pt>
                <c:pt idx="21">
                  <c:v>43.78</c:v>
                </c:pt>
                <c:pt idx="22">
                  <c:v>44.13</c:v>
                </c:pt>
                <c:pt idx="23">
                  <c:v>44.17</c:v>
                </c:pt>
                <c:pt idx="24">
                  <c:v>45.24</c:v>
                </c:pt>
              </c:numCache>
            </c:numRef>
          </c:val>
          <c:smooth val="0"/>
          <c:extLst xmlns:c16r2="http://schemas.microsoft.com/office/drawing/2015/06/chart">
            <c:ext xmlns:c16="http://schemas.microsoft.com/office/drawing/2014/chart" uri="{C3380CC4-5D6E-409C-BE32-E72D297353CC}">
              <c16:uniqueId val="{00000001-11AE-4513-BDE4-6340E63D0DD1}"/>
            </c:ext>
          </c:extLst>
        </c:ser>
        <c:dLbls>
          <c:showLegendKey val="0"/>
          <c:showVal val="0"/>
          <c:showCatName val="0"/>
          <c:showSerName val="0"/>
          <c:showPercent val="0"/>
          <c:showBubbleSize val="0"/>
        </c:dLbls>
        <c:marker val="1"/>
        <c:smooth val="0"/>
        <c:axId val="-215684544"/>
        <c:axId val="-215668224"/>
      </c:lineChart>
      <c:catAx>
        <c:axId val="-215684544"/>
        <c:scaling>
          <c:orientation val="minMax"/>
        </c:scaling>
        <c:delete val="0"/>
        <c:axPos val="b"/>
        <c:numFmt formatCode="yyyy\-mm\-dd"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15668224"/>
        <c:crosses val="autoZero"/>
        <c:auto val="0"/>
        <c:lblAlgn val="ctr"/>
        <c:lblOffset val="100"/>
        <c:noMultiLvlLbl val="0"/>
      </c:catAx>
      <c:valAx>
        <c:axId val="-215668224"/>
        <c:scaling>
          <c:orientation val="minMax"/>
          <c:max val="46"/>
          <c:min val="34"/>
        </c:scaling>
        <c:delete val="0"/>
        <c:axPos val="l"/>
        <c:majorGridlines>
          <c:spPr>
            <a:ln w="9525" cap="flat" cmpd="sng" algn="ctr">
              <a:solidFill>
                <a:schemeClr val="tx1">
                  <a:lumMod val="15000"/>
                  <a:lumOff val="85000"/>
                </a:schemeClr>
              </a:solidFill>
              <a:round/>
            </a:ln>
            <a:effectLst/>
          </c:spPr>
        </c:majorGridlines>
        <c:numFmt formatCode="0.00_);[Red]\(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15684544"/>
        <c:crosses val="autoZero"/>
        <c:crossBetween val="between"/>
        <c:majorUnit val="2"/>
      </c:valAx>
      <c:spPr>
        <a:noFill/>
        <a:ln>
          <a:noFill/>
        </a:ln>
        <a:effectLst/>
      </c:spPr>
    </c:plotArea>
    <c:legend>
      <c:legendPos val="b"/>
      <c:layout>
        <c:manualLayout>
          <c:xMode val="edge"/>
          <c:yMode val="edge"/>
          <c:x val="9.0682396802558213E-2"/>
          <c:y val="0.91812064032536478"/>
          <c:w val="0.84417804024496945"/>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sz="1100" b="1"/>
              <a:t>黄金价格</a:t>
            </a:r>
            <a:r>
              <a:rPr lang="en-US" altLang="zh-CN" sz="1100" b="1"/>
              <a:t>K</a:t>
            </a:r>
            <a:r>
              <a:rPr lang="zh-CN" altLang="en-US" sz="1100" b="1"/>
              <a:t>线图</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tockChart>
        <c:ser>
          <c:idx val="0"/>
          <c:order val="0"/>
          <c:tx>
            <c:strRef>
              <c:f>'7、黄金价格'!$B$4</c:f>
              <c:strCache>
                <c:ptCount val="1"/>
                <c:pt idx="0">
                  <c:v>open</c:v>
                </c:pt>
              </c:strCache>
            </c:strRef>
          </c:tx>
          <c:spPr>
            <a:ln w="19050" cap="rnd">
              <a:noFill/>
              <a:round/>
            </a:ln>
            <a:effectLst/>
          </c:spPr>
          <c:marker>
            <c:symbol val="none"/>
          </c:marker>
          <c:cat>
            <c:numRef>
              <c:f>'7、黄金价格'!$A$5:$A$29</c:f>
              <c:numCache>
                <c:formatCode>yyyy\-mm\-dd</c:formatCode>
                <c:ptCount val="25"/>
                <c:pt idx="0">
                  <c:v>44123</c:v>
                </c:pt>
                <c:pt idx="1">
                  <c:v>44124</c:v>
                </c:pt>
                <c:pt idx="2">
                  <c:v>44125</c:v>
                </c:pt>
                <c:pt idx="3">
                  <c:v>44126</c:v>
                </c:pt>
                <c:pt idx="4">
                  <c:v>44127</c:v>
                </c:pt>
                <c:pt idx="5">
                  <c:v>44130</c:v>
                </c:pt>
                <c:pt idx="6">
                  <c:v>44131</c:v>
                </c:pt>
                <c:pt idx="7">
                  <c:v>44132</c:v>
                </c:pt>
                <c:pt idx="8">
                  <c:v>44133</c:v>
                </c:pt>
                <c:pt idx="9">
                  <c:v>44134</c:v>
                </c:pt>
                <c:pt idx="10">
                  <c:v>44137</c:v>
                </c:pt>
                <c:pt idx="11">
                  <c:v>44138</c:v>
                </c:pt>
                <c:pt idx="12">
                  <c:v>44139</c:v>
                </c:pt>
                <c:pt idx="13">
                  <c:v>44140</c:v>
                </c:pt>
                <c:pt idx="14">
                  <c:v>44141</c:v>
                </c:pt>
                <c:pt idx="15">
                  <c:v>44144</c:v>
                </c:pt>
                <c:pt idx="16">
                  <c:v>44145</c:v>
                </c:pt>
                <c:pt idx="17">
                  <c:v>44146</c:v>
                </c:pt>
                <c:pt idx="18">
                  <c:v>44147</c:v>
                </c:pt>
                <c:pt idx="19">
                  <c:v>44148</c:v>
                </c:pt>
                <c:pt idx="20">
                  <c:v>44151</c:v>
                </c:pt>
                <c:pt idx="21">
                  <c:v>44152</c:v>
                </c:pt>
                <c:pt idx="22">
                  <c:v>44153</c:v>
                </c:pt>
                <c:pt idx="23">
                  <c:v>44154</c:v>
                </c:pt>
                <c:pt idx="24">
                  <c:v>44155</c:v>
                </c:pt>
              </c:numCache>
            </c:numRef>
          </c:cat>
          <c:val>
            <c:numRef>
              <c:f>'7、黄金价格'!$B$5:$B$29</c:f>
              <c:numCache>
                <c:formatCode>0.0000</c:formatCode>
                <c:ptCount val="25"/>
                <c:pt idx="0">
                  <c:v>1903.2</c:v>
                </c:pt>
                <c:pt idx="1">
                  <c:v>1906.4</c:v>
                </c:pt>
                <c:pt idx="2">
                  <c:v>1911.6</c:v>
                </c:pt>
                <c:pt idx="3">
                  <c:v>1927.4</c:v>
                </c:pt>
                <c:pt idx="4">
                  <c:v>1906.5</c:v>
                </c:pt>
                <c:pt idx="5">
                  <c:v>1906</c:v>
                </c:pt>
                <c:pt idx="6">
                  <c:v>1904.4</c:v>
                </c:pt>
                <c:pt idx="7">
                  <c:v>1909.8</c:v>
                </c:pt>
                <c:pt idx="8">
                  <c:v>1877.5</c:v>
                </c:pt>
                <c:pt idx="9">
                  <c:v>1867.9</c:v>
                </c:pt>
                <c:pt idx="10">
                  <c:v>1877</c:v>
                </c:pt>
                <c:pt idx="11">
                  <c:v>1896.4</c:v>
                </c:pt>
                <c:pt idx="12">
                  <c:v>1910.3</c:v>
                </c:pt>
                <c:pt idx="13">
                  <c:v>1903.4</c:v>
                </c:pt>
                <c:pt idx="14">
                  <c:v>1950</c:v>
                </c:pt>
                <c:pt idx="15">
                  <c:v>1956</c:v>
                </c:pt>
                <c:pt idx="16">
                  <c:v>1864.1</c:v>
                </c:pt>
                <c:pt idx="17">
                  <c:v>1876.1</c:v>
                </c:pt>
                <c:pt idx="18">
                  <c:v>1863.9</c:v>
                </c:pt>
                <c:pt idx="19">
                  <c:v>1875.6</c:v>
                </c:pt>
                <c:pt idx="20">
                  <c:v>1886.6</c:v>
                </c:pt>
                <c:pt idx="21">
                  <c:v>1888.2</c:v>
                </c:pt>
                <c:pt idx="22">
                  <c:v>1879.5</c:v>
                </c:pt>
                <c:pt idx="23">
                  <c:v>1872</c:v>
                </c:pt>
                <c:pt idx="24">
                  <c:v>1864.8</c:v>
                </c:pt>
              </c:numCache>
            </c:numRef>
          </c:val>
          <c:smooth val="0"/>
          <c:extLst xmlns:c16r2="http://schemas.microsoft.com/office/drawing/2015/06/chart">
            <c:ext xmlns:c16="http://schemas.microsoft.com/office/drawing/2014/chart" uri="{C3380CC4-5D6E-409C-BE32-E72D297353CC}">
              <c16:uniqueId val="{00000000-3AB2-4F63-A1F0-C325BA66EDF0}"/>
            </c:ext>
          </c:extLst>
        </c:ser>
        <c:ser>
          <c:idx val="1"/>
          <c:order val="1"/>
          <c:tx>
            <c:strRef>
              <c:f>'7、黄金价格'!$C$4</c:f>
              <c:strCache>
                <c:ptCount val="1"/>
                <c:pt idx="0">
                  <c:v>high</c:v>
                </c:pt>
              </c:strCache>
            </c:strRef>
          </c:tx>
          <c:spPr>
            <a:ln w="19050" cap="rnd">
              <a:noFill/>
              <a:round/>
            </a:ln>
            <a:effectLst/>
          </c:spPr>
          <c:marker>
            <c:symbol val="none"/>
          </c:marker>
          <c:cat>
            <c:numRef>
              <c:f>'7、黄金价格'!$A$5:$A$29</c:f>
              <c:numCache>
                <c:formatCode>yyyy\-mm\-dd</c:formatCode>
                <c:ptCount val="25"/>
                <c:pt idx="0">
                  <c:v>44123</c:v>
                </c:pt>
                <c:pt idx="1">
                  <c:v>44124</c:v>
                </c:pt>
                <c:pt idx="2">
                  <c:v>44125</c:v>
                </c:pt>
                <c:pt idx="3">
                  <c:v>44126</c:v>
                </c:pt>
                <c:pt idx="4">
                  <c:v>44127</c:v>
                </c:pt>
                <c:pt idx="5">
                  <c:v>44130</c:v>
                </c:pt>
                <c:pt idx="6">
                  <c:v>44131</c:v>
                </c:pt>
                <c:pt idx="7">
                  <c:v>44132</c:v>
                </c:pt>
                <c:pt idx="8">
                  <c:v>44133</c:v>
                </c:pt>
                <c:pt idx="9">
                  <c:v>44134</c:v>
                </c:pt>
                <c:pt idx="10">
                  <c:v>44137</c:v>
                </c:pt>
                <c:pt idx="11">
                  <c:v>44138</c:v>
                </c:pt>
                <c:pt idx="12">
                  <c:v>44139</c:v>
                </c:pt>
                <c:pt idx="13">
                  <c:v>44140</c:v>
                </c:pt>
                <c:pt idx="14">
                  <c:v>44141</c:v>
                </c:pt>
                <c:pt idx="15">
                  <c:v>44144</c:v>
                </c:pt>
                <c:pt idx="16">
                  <c:v>44145</c:v>
                </c:pt>
                <c:pt idx="17">
                  <c:v>44146</c:v>
                </c:pt>
                <c:pt idx="18">
                  <c:v>44147</c:v>
                </c:pt>
                <c:pt idx="19">
                  <c:v>44148</c:v>
                </c:pt>
                <c:pt idx="20">
                  <c:v>44151</c:v>
                </c:pt>
                <c:pt idx="21">
                  <c:v>44152</c:v>
                </c:pt>
                <c:pt idx="22">
                  <c:v>44153</c:v>
                </c:pt>
                <c:pt idx="23">
                  <c:v>44154</c:v>
                </c:pt>
                <c:pt idx="24">
                  <c:v>44155</c:v>
                </c:pt>
              </c:numCache>
            </c:numRef>
          </c:cat>
          <c:val>
            <c:numRef>
              <c:f>'7、黄金价格'!$C$5:$C$29</c:f>
              <c:numCache>
                <c:formatCode>0.0000</c:formatCode>
                <c:ptCount val="25"/>
                <c:pt idx="0">
                  <c:v>1923.4</c:v>
                </c:pt>
                <c:pt idx="1">
                  <c:v>1917.6</c:v>
                </c:pt>
                <c:pt idx="2">
                  <c:v>1936</c:v>
                </c:pt>
                <c:pt idx="3">
                  <c:v>1929.4</c:v>
                </c:pt>
                <c:pt idx="4">
                  <c:v>1917.3</c:v>
                </c:pt>
                <c:pt idx="5">
                  <c:v>1911.1</c:v>
                </c:pt>
                <c:pt idx="6">
                  <c:v>1913.8</c:v>
                </c:pt>
                <c:pt idx="7">
                  <c:v>1912.6</c:v>
                </c:pt>
                <c:pt idx="8">
                  <c:v>1885.1</c:v>
                </c:pt>
                <c:pt idx="9">
                  <c:v>1890.9</c:v>
                </c:pt>
                <c:pt idx="10">
                  <c:v>1897.1</c:v>
                </c:pt>
                <c:pt idx="11">
                  <c:v>1912.2</c:v>
                </c:pt>
                <c:pt idx="12">
                  <c:v>1917.9</c:v>
                </c:pt>
                <c:pt idx="13">
                  <c:v>1954.3</c:v>
                </c:pt>
                <c:pt idx="14">
                  <c:v>1961.8</c:v>
                </c:pt>
                <c:pt idx="15">
                  <c:v>1966.1</c:v>
                </c:pt>
                <c:pt idx="16">
                  <c:v>1888.9</c:v>
                </c:pt>
                <c:pt idx="17">
                  <c:v>1882.5</c:v>
                </c:pt>
                <c:pt idx="18">
                  <c:v>1883</c:v>
                </c:pt>
                <c:pt idx="19">
                  <c:v>1895.8</c:v>
                </c:pt>
                <c:pt idx="20">
                  <c:v>1898</c:v>
                </c:pt>
                <c:pt idx="21">
                  <c:v>1892.7</c:v>
                </c:pt>
                <c:pt idx="22">
                  <c:v>1884.2</c:v>
                </c:pt>
                <c:pt idx="23">
                  <c:v>1872.6</c:v>
                </c:pt>
                <c:pt idx="24">
                  <c:v>1879.2</c:v>
                </c:pt>
              </c:numCache>
            </c:numRef>
          </c:val>
          <c:smooth val="0"/>
          <c:extLst xmlns:c16r2="http://schemas.microsoft.com/office/drawing/2015/06/chart">
            <c:ext xmlns:c16="http://schemas.microsoft.com/office/drawing/2014/chart" uri="{C3380CC4-5D6E-409C-BE32-E72D297353CC}">
              <c16:uniqueId val="{00000001-3AB2-4F63-A1F0-C325BA66EDF0}"/>
            </c:ext>
          </c:extLst>
        </c:ser>
        <c:ser>
          <c:idx val="2"/>
          <c:order val="2"/>
          <c:tx>
            <c:strRef>
              <c:f>'7、黄金价格'!$D$4</c:f>
              <c:strCache>
                <c:ptCount val="1"/>
                <c:pt idx="0">
                  <c:v>low</c:v>
                </c:pt>
              </c:strCache>
            </c:strRef>
          </c:tx>
          <c:spPr>
            <a:ln w="19050" cap="rnd">
              <a:noFill/>
              <a:round/>
            </a:ln>
            <a:effectLst/>
          </c:spPr>
          <c:marker>
            <c:symbol val="none"/>
          </c:marker>
          <c:dPt>
            <c:idx val="22"/>
            <c:marker>
              <c:symbol val="none"/>
            </c:marker>
            <c:bubble3D val="0"/>
            <c:spPr>
              <a:ln w="25400" cap="rnd">
                <a:noFill/>
                <a:round/>
              </a:ln>
              <a:effectLst/>
            </c:spPr>
            <c:extLst xmlns:c16r2="http://schemas.microsoft.com/office/drawing/2015/06/chart">
              <c:ext xmlns:c16="http://schemas.microsoft.com/office/drawing/2014/chart" uri="{C3380CC4-5D6E-409C-BE32-E72D297353CC}">
                <c16:uniqueId val="{00000001-A50E-4FA5-A686-2B2C85A3FDE8}"/>
              </c:ext>
            </c:extLst>
          </c:dPt>
          <c:cat>
            <c:numRef>
              <c:f>'7、黄金价格'!$A$5:$A$29</c:f>
              <c:numCache>
                <c:formatCode>yyyy\-mm\-dd</c:formatCode>
                <c:ptCount val="25"/>
                <c:pt idx="0">
                  <c:v>44123</c:v>
                </c:pt>
                <c:pt idx="1">
                  <c:v>44124</c:v>
                </c:pt>
                <c:pt idx="2">
                  <c:v>44125</c:v>
                </c:pt>
                <c:pt idx="3">
                  <c:v>44126</c:v>
                </c:pt>
                <c:pt idx="4">
                  <c:v>44127</c:v>
                </c:pt>
                <c:pt idx="5">
                  <c:v>44130</c:v>
                </c:pt>
                <c:pt idx="6">
                  <c:v>44131</c:v>
                </c:pt>
                <c:pt idx="7">
                  <c:v>44132</c:v>
                </c:pt>
                <c:pt idx="8">
                  <c:v>44133</c:v>
                </c:pt>
                <c:pt idx="9">
                  <c:v>44134</c:v>
                </c:pt>
                <c:pt idx="10">
                  <c:v>44137</c:v>
                </c:pt>
                <c:pt idx="11">
                  <c:v>44138</c:v>
                </c:pt>
                <c:pt idx="12">
                  <c:v>44139</c:v>
                </c:pt>
                <c:pt idx="13">
                  <c:v>44140</c:v>
                </c:pt>
                <c:pt idx="14">
                  <c:v>44141</c:v>
                </c:pt>
                <c:pt idx="15">
                  <c:v>44144</c:v>
                </c:pt>
                <c:pt idx="16">
                  <c:v>44145</c:v>
                </c:pt>
                <c:pt idx="17">
                  <c:v>44146</c:v>
                </c:pt>
                <c:pt idx="18">
                  <c:v>44147</c:v>
                </c:pt>
                <c:pt idx="19">
                  <c:v>44148</c:v>
                </c:pt>
                <c:pt idx="20">
                  <c:v>44151</c:v>
                </c:pt>
                <c:pt idx="21">
                  <c:v>44152</c:v>
                </c:pt>
                <c:pt idx="22">
                  <c:v>44153</c:v>
                </c:pt>
                <c:pt idx="23">
                  <c:v>44154</c:v>
                </c:pt>
                <c:pt idx="24">
                  <c:v>44155</c:v>
                </c:pt>
              </c:numCache>
            </c:numRef>
          </c:cat>
          <c:val>
            <c:numRef>
              <c:f>'7、黄金价格'!$D$5:$D$29</c:f>
              <c:numCache>
                <c:formatCode>0.0000</c:formatCode>
                <c:ptCount val="25"/>
                <c:pt idx="0">
                  <c:v>1900.2</c:v>
                </c:pt>
                <c:pt idx="1">
                  <c:v>1896.6</c:v>
                </c:pt>
                <c:pt idx="2">
                  <c:v>1911.6</c:v>
                </c:pt>
                <c:pt idx="3">
                  <c:v>1894.2</c:v>
                </c:pt>
                <c:pt idx="4">
                  <c:v>1895.2</c:v>
                </c:pt>
                <c:pt idx="5">
                  <c:v>1892.5</c:v>
                </c:pt>
                <c:pt idx="6">
                  <c:v>1898.7</c:v>
                </c:pt>
                <c:pt idx="7">
                  <c:v>1869.1</c:v>
                </c:pt>
                <c:pt idx="8">
                  <c:v>1859.2</c:v>
                </c:pt>
                <c:pt idx="9">
                  <c:v>1863.3</c:v>
                </c:pt>
                <c:pt idx="10">
                  <c:v>1873.3</c:v>
                </c:pt>
                <c:pt idx="11">
                  <c:v>1887.6</c:v>
                </c:pt>
                <c:pt idx="12">
                  <c:v>1881.8</c:v>
                </c:pt>
                <c:pt idx="13">
                  <c:v>1902.2</c:v>
                </c:pt>
                <c:pt idx="14">
                  <c:v>1937.2</c:v>
                </c:pt>
                <c:pt idx="15">
                  <c:v>1848</c:v>
                </c:pt>
                <c:pt idx="16">
                  <c:v>1858.9</c:v>
                </c:pt>
                <c:pt idx="17">
                  <c:v>1853.9</c:v>
                </c:pt>
                <c:pt idx="18">
                  <c:v>1860.7</c:v>
                </c:pt>
                <c:pt idx="19">
                  <c:v>1872.1</c:v>
                </c:pt>
                <c:pt idx="20">
                  <c:v>1861.5</c:v>
                </c:pt>
                <c:pt idx="21">
                  <c:v>1876.3</c:v>
                </c:pt>
                <c:pt idx="22">
                  <c:v>1860.3</c:v>
                </c:pt>
                <c:pt idx="23">
                  <c:v>1850</c:v>
                </c:pt>
                <c:pt idx="24">
                  <c:v>1859.1</c:v>
                </c:pt>
              </c:numCache>
            </c:numRef>
          </c:val>
          <c:smooth val="0"/>
          <c:extLst xmlns:c16r2="http://schemas.microsoft.com/office/drawing/2015/06/chart">
            <c:ext xmlns:c16="http://schemas.microsoft.com/office/drawing/2014/chart" uri="{C3380CC4-5D6E-409C-BE32-E72D297353CC}">
              <c16:uniqueId val="{00000002-3AB2-4F63-A1F0-C325BA66EDF0}"/>
            </c:ext>
          </c:extLst>
        </c:ser>
        <c:ser>
          <c:idx val="3"/>
          <c:order val="3"/>
          <c:tx>
            <c:strRef>
              <c:f>'7、黄金价格'!$E$4</c:f>
              <c:strCache>
                <c:ptCount val="1"/>
                <c:pt idx="0">
                  <c:v>close</c:v>
                </c:pt>
              </c:strCache>
            </c:strRef>
          </c:tx>
          <c:spPr>
            <a:ln w="19050" cap="rnd">
              <a:noFill/>
              <a:round/>
            </a:ln>
            <a:effectLst/>
          </c:spPr>
          <c:marker>
            <c:symbol val="none"/>
          </c:marker>
          <c:cat>
            <c:numRef>
              <c:f>'7、黄金价格'!$A$5:$A$29</c:f>
              <c:numCache>
                <c:formatCode>yyyy\-mm\-dd</c:formatCode>
                <c:ptCount val="25"/>
                <c:pt idx="0">
                  <c:v>44123</c:v>
                </c:pt>
                <c:pt idx="1">
                  <c:v>44124</c:v>
                </c:pt>
                <c:pt idx="2">
                  <c:v>44125</c:v>
                </c:pt>
                <c:pt idx="3">
                  <c:v>44126</c:v>
                </c:pt>
                <c:pt idx="4">
                  <c:v>44127</c:v>
                </c:pt>
                <c:pt idx="5">
                  <c:v>44130</c:v>
                </c:pt>
                <c:pt idx="6">
                  <c:v>44131</c:v>
                </c:pt>
                <c:pt idx="7">
                  <c:v>44132</c:v>
                </c:pt>
                <c:pt idx="8">
                  <c:v>44133</c:v>
                </c:pt>
                <c:pt idx="9">
                  <c:v>44134</c:v>
                </c:pt>
                <c:pt idx="10">
                  <c:v>44137</c:v>
                </c:pt>
                <c:pt idx="11">
                  <c:v>44138</c:v>
                </c:pt>
                <c:pt idx="12">
                  <c:v>44139</c:v>
                </c:pt>
                <c:pt idx="13">
                  <c:v>44140</c:v>
                </c:pt>
                <c:pt idx="14">
                  <c:v>44141</c:v>
                </c:pt>
                <c:pt idx="15">
                  <c:v>44144</c:v>
                </c:pt>
                <c:pt idx="16">
                  <c:v>44145</c:v>
                </c:pt>
                <c:pt idx="17">
                  <c:v>44146</c:v>
                </c:pt>
                <c:pt idx="18">
                  <c:v>44147</c:v>
                </c:pt>
                <c:pt idx="19">
                  <c:v>44148</c:v>
                </c:pt>
                <c:pt idx="20">
                  <c:v>44151</c:v>
                </c:pt>
                <c:pt idx="21">
                  <c:v>44152</c:v>
                </c:pt>
                <c:pt idx="22">
                  <c:v>44153</c:v>
                </c:pt>
                <c:pt idx="23">
                  <c:v>44154</c:v>
                </c:pt>
                <c:pt idx="24">
                  <c:v>44155</c:v>
                </c:pt>
              </c:numCache>
            </c:numRef>
          </c:cat>
          <c:val>
            <c:numRef>
              <c:f>'7、黄金价格'!$E$5:$E$29</c:f>
              <c:numCache>
                <c:formatCode>0.0000</c:formatCode>
                <c:ptCount val="25"/>
                <c:pt idx="0">
                  <c:v>1906.9</c:v>
                </c:pt>
                <c:pt idx="1">
                  <c:v>1909.4</c:v>
                </c:pt>
                <c:pt idx="2">
                  <c:v>1927.7</c:v>
                </c:pt>
                <c:pt idx="3">
                  <c:v>1906.5</c:v>
                </c:pt>
                <c:pt idx="4">
                  <c:v>1903.4</c:v>
                </c:pt>
                <c:pt idx="5">
                  <c:v>1904.5</c:v>
                </c:pt>
                <c:pt idx="6">
                  <c:v>1910</c:v>
                </c:pt>
                <c:pt idx="7">
                  <c:v>1877.4</c:v>
                </c:pt>
                <c:pt idx="8">
                  <c:v>1867.9</c:v>
                </c:pt>
                <c:pt idx="9">
                  <c:v>1878.8</c:v>
                </c:pt>
                <c:pt idx="10">
                  <c:v>1896.5</c:v>
                </c:pt>
                <c:pt idx="11">
                  <c:v>1910.6</c:v>
                </c:pt>
                <c:pt idx="12">
                  <c:v>1902.8</c:v>
                </c:pt>
                <c:pt idx="13">
                  <c:v>1951.1</c:v>
                </c:pt>
                <c:pt idx="14">
                  <c:v>1951.5</c:v>
                </c:pt>
                <c:pt idx="15">
                  <c:v>1862.3</c:v>
                </c:pt>
                <c:pt idx="16">
                  <c:v>1876</c:v>
                </c:pt>
                <c:pt idx="17">
                  <c:v>1863.8</c:v>
                </c:pt>
                <c:pt idx="18">
                  <c:v>1875.8</c:v>
                </c:pt>
                <c:pt idx="19">
                  <c:v>1888.2</c:v>
                </c:pt>
                <c:pt idx="20">
                  <c:v>1887.9</c:v>
                </c:pt>
                <c:pt idx="21">
                  <c:v>1879.2</c:v>
                </c:pt>
                <c:pt idx="22">
                  <c:v>1871</c:v>
                </c:pt>
                <c:pt idx="23">
                  <c:v>1864.6</c:v>
                </c:pt>
                <c:pt idx="24">
                  <c:v>1869.6</c:v>
                </c:pt>
              </c:numCache>
            </c:numRef>
          </c:val>
          <c:smooth val="0"/>
          <c:extLst xmlns:c16r2="http://schemas.microsoft.com/office/drawing/2015/06/chart">
            <c:ext xmlns:c16="http://schemas.microsoft.com/office/drawing/2014/chart" uri="{C3380CC4-5D6E-409C-BE32-E72D297353CC}">
              <c16:uniqueId val="{00000003-3AB2-4F63-A1F0-C325BA66EDF0}"/>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upDownBars>
          <c:gapWidth val="150"/>
          <c:upBars>
            <c:spPr>
              <a:solidFill>
                <a:schemeClr val="bg1"/>
              </a:solidFill>
              <a:ln w="9525" cap="flat" cmpd="sng" algn="ctr">
                <a:solidFill>
                  <a:sysClr val="windowText" lastClr="000000"/>
                </a:solidFill>
                <a:round/>
              </a:ln>
              <a:effectLst/>
            </c:spPr>
          </c:upBars>
          <c:downBars>
            <c:spPr>
              <a:solidFill>
                <a:schemeClr val="bg2">
                  <a:lumMod val="10000"/>
                </a:schemeClr>
              </a:solidFill>
              <a:ln w="9525" cap="flat" cmpd="sng" algn="ctr">
                <a:solidFill>
                  <a:schemeClr val="tx1"/>
                </a:solidFill>
                <a:round/>
              </a:ln>
              <a:effectLst/>
            </c:spPr>
          </c:downBars>
        </c:upDownBars>
        <c:axId val="-215692160"/>
        <c:axId val="-215667136"/>
      </c:stockChart>
      <c:catAx>
        <c:axId val="-215692160"/>
        <c:scaling>
          <c:orientation val="minMax"/>
        </c:scaling>
        <c:delete val="0"/>
        <c:axPos val="b"/>
        <c:numFmt formatCode="yyyy\-mm\-dd"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15667136"/>
        <c:crosses val="autoZero"/>
        <c:auto val="0"/>
        <c:lblAlgn val="ctr"/>
        <c:lblOffset val="100"/>
        <c:noMultiLvlLbl val="0"/>
      </c:catAx>
      <c:valAx>
        <c:axId val="-215667136"/>
        <c:scaling>
          <c:orientation val="minMax"/>
          <c:max val="1980"/>
          <c:min val="1840"/>
        </c:scaling>
        <c:delete val="0"/>
        <c:axPos val="l"/>
        <c:majorGridlines>
          <c:spPr>
            <a:ln w="9525" cap="flat" cmpd="sng" algn="ctr">
              <a:solidFill>
                <a:schemeClr val="accent3">
                  <a:lumMod val="60000"/>
                  <a:lumOff val="40000"/>
                </a:schemeClr>
              </a:solidFill>
              <a:round/>
            </a:ln>
            <a:effectLst/>
          </c:spPr>
        </c:majorGridlines>
        <c:numFmt formatCode="0.0000" sourceLinked="1"/>
        <c:majorTickMark val="none"/>
        <c:minorTickMark val="none"/>
        <c:tickLblPos val="nextTo"/>
        <c:spPr>
          <a:solidFill>
            <a:schemeClr val="bg1"/>
          </a:solid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15692160"/>
        <c:crosses val="autoZero"/>
        <c:crossBetween val="between"/>
        <c:majorUnit val="20"/>
        <c:min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0.00833</cdr:x>
      <cdr:y>0.04011</cdr:y>
    </cdr:from>
    <cdr:to>
      <cdr:x>0.17292</cdr:x>
      <cdr:y>0.1314</cdr:y>
    </cdr:to>
    <cdr:sp macro="" textlink="">
      <cdr:nvSpPr>
        <cdr:cNvPr id="3" name="文本框 2"/>
        <cdr:cNvSpPr txBox="1"/>
      </cdr:nvSpPr>
      <cdr:spPr>
        <a:xfrm xmlns:a="http://schemas.openxmlformats.org/drawingml/2006/main">
          <a:off x="38100" y="138113"/>
          <a:ext cx="752475"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1100"/>
            <a:t>（</a:t>
          </a:r>
          <a:r>
            <a:rPr lang="en-US" altLang="zh-CN" sz="1100"/>
            <a:t>%</a:t>
          </a:r>
          <a:r>
            <a:rPr lang="zh-CN" altLang="en-US" sz="1100"/>
            <a:t>）</a:t>
          </a:r>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4DD8E-E7CC-4365-BED4-3A88A80F1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991</Words>
  <Characters>5654</Characters>
  <Application>Microsoft Office Word</Application>
  <DocSecurity>0</DocSecurity>
  <Lines>47</Lines>
  <Paragraphs>13</Paragraphs>
  <ScaleCrop>false</ScaleCrop>
  <Company>联合资信评估有限公司</Company>
  <LinksUpToDate>false</LinksUpToDate>
  <CharactersWithSpaces>6632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WQ</dc:creator>
  <cp:keywords/>
  <dc:description/>
  <cp:lastModifiedBy>胡 前方</cp:lastModifiedBy>
  <cp:revision>3</cp:revision>
  <cp:lastPrinted>2020-11-02T06:56:00Z</cp:lastPrinted>
  <dcterms:created xsi:type="dcterms:W3CDTF">2020-11-23T07:49:00Z</dcterms:created>
  <dcterms:modified xsi:type="dcterms:W3CDTF">2020-11-23T07:49:00Z</dcterms:modified>
</cp:coreProperties>
</file>