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773" w:rsidRPr="009504A5" w:rsidRDefault="00320773" w:rsidP="00320773">
      <w:pPr>
        <w:widowControl/>
        <w:spacing w:before="100" w:beforeAutospacing="1" w:after="100" w:afterAutospacing="1"/>
        <w:jc w:val="center"/>
        <w:rPr>
          <w:rFonts w:ascii="宋体" w:eastAsia="宋体" w:hAnsi="宋体" w:cs="宋体"/>
          <w:b/>
          <w:kern w:val="0"/>
          <w:szCs w:val="21"/>
        </w:rPr>
      </w:pPr>
      <w:bookmarkStart w:id="0" w:name="_GoBack"/>
      <w:proofErr w:type="gramStart"/>
      <w:r w:rsidRPr="009504A5">
        <w:rPr>
          <w:rFonts w:ascii="inherit" w:hAnsi="inherit"/>
          <w:b/>
          <w:color w:val="555555"/>
        </w:rPr>
        <w:t>标普项目</w:t>
      </w:r>
      <w:proofErr w:type="gramEnd"/>
      <w:r w:rsidRPr="009504A5">
        <w:rPr>
          <w:rFonts w:ascii="inherit" w:hAnsi="inherit"/>
          <w:b/>
          <w:color w:val="555555"/>
        </w:rPr>
        <w:t>融资产品评级方法初探</w:t>
      </w:r>
    </w:p>
    <w:bookmarkEnd w:id="0"/>
    <w:p w:rsidR="00320773" w:rsidRPr="00320773" w:rsidRDefault="00320773" w:rsidP="00320773">
      <w:pPr>
        <w:widowControl/>
        <w:spacing w:before="100" w:beforeAutospacing="1" w:after="100" w:afterAutospacing="1"/>
        <w:jc w:val="left"/>
        <w:rPr>
          <w:rFonts w:ascii="宋体" w:eastAsia="宋体" w:hAnsi="宋体" w:cs="宋体"/>
          <w:kern w:val="0"/>
          <w:szCs w:val="21"/>
        </w:rPr>
      </w:pPr>
      <w:r w:rsidRPr="00320773">
        <w:rPr>
          <w:rFonts w:ascii="Times New Roman" w:eastAsia="宋体" w:hAnsi="Times New Roman" w:cs="Times New Roman"/>
          <w:kern w:val="0"/>
          <w:szCs w:val="21"/>
        </w:rPr>
        <w:t>2014</w:t>
      </w:r>
      <w:r w:rsidRPr="00320773">
        <w:rPr>
          <w:rFonts w:ascii="宋体" w:eastAsia="宋体" w:hAnsi="宋体" w:cs="宋体" w:hint="eastAsia"/>
          <w:kern w:val="0"/>
          <w:szCs w:val="21"/>
        </w:rPr>
        <w:t>年</w:t>
      </w:r>
      <w:r w:rsidRPr="00320773">
        <w:rPr>
          <w:rFonts w:ascii="Times New Roman" w:eastAsia="宋体" w:hAnsi="Times New Roman" w:cs="Times New Roman"/>
          <w:kern w:val="0"/>
          <w:szCs w:val="21"/>
        </w:rPr>
        <w:t xml:space="preserve">7 </w:t>
      </w:r>
      <w:r w:rsidRPr="00320773">
        <w:rPr>
          <w:rFonts w:ascii="宋体" w:eastAsia="宋体" w:hAnsi="宋体" w:cs="宋体" w:hint="eastAsia"/>
          <w:kern w:val="0"/>
          <w:szCs w:val="21"/>
        </w:rPr>
        <w:t>月</w:t>
      </w:r>
      <w:r w:rsidRPr="00320773">
        <w:rPr>
          <w:rFonts w:ascii="Times New Roman" w:eastAsia="宋体" w:hAnsi="Times New Roman" w:cs="Times New Roman"/>
          <w:kern w:val="0"/>
          <w:szCs w:val="21"/>
        </w:rPr>
        <w:t xml:space="preserve">13 </w:t>
      </w:r>
      <w:r w:rsidRPr="00320773">
        <w:rPr>
          <w:rFonts w:ascii="宋体" w:eastAsia="宋体" w:hAnsi="宋体" w:cs="宋体" w:hint="eastAsia"/>
          <w:kern w:val="0"/>
          <w:szCs w:val="21"/>
        </w:rPr>
        <w:t>日，中国银行间交易商协会正式对外发布《银行间债券市场非金融企业项目收益票据业务指引》。随后，郑州</w:t>
      </w:r>
      <w:proofErr w:type="gramStart"/>
      <w:r w:rsidRPr="00320773">
        <w:rPr>
          <w:rFonts w:ascii="宋体" w:eastAsia="宋体" w:hAnsi="宋体" w:cs="宋体" w:hint="eastAsia"/>
          <w:kern w:val="0"/>
          <w:szCs w:val="21"/>
        </w:rPr>
        <w:t>交投地坤实业</w:t>
      </w:r>
      <w:proofErr w:type="gramEnd"/>
      <w:r w:rsidRPr="00320773">
        <w:rPr>
          <w:rFonts w:ascii="宋体" w:eastAsia="宋体" w:hAnsi="宋体" w:cs="宋体" w:hint="eastAsia"/>
          <w:kern w:val="0"/>
          <w:szCs w:val="21"/>
        </w:rPr>
        <w:t>有限公司的项目收益票据</w:t>
      </w:r>
      <w:r w:rsidRPr="00320773">
        <w:rPr>
          <w:rFonts w:ascii="Times New Roman" w:eastAsia="宋体" w:hAnsi="Times New Roman" w:cs="Times New Roman"/>
          <w:kern w:val="0"/>
          <w:szCs w:val="21"/>
          <w:vertAlign w:val="superscript"/>
        </w:rPr>
        <w:t xml:space="preserve">1 </w:t>
      </w:r>
      <w:r w:rsidRPr="00320773">
        <w:rPr>
          <w:rFonts w:ascii="宋体" w:eastAsia="宋体" w:hAnsi="宋体" w:cs="宋体" w:hint="eastAsia"/>
          <w:kern w:val="0"/>
          <w:szCs w:val="21"/>
        </w:rPr>
        <w:t>注册成功，标志着我国项目收益票据正式开闸；</w:t>
      </w:r>
      <w:r w:rsidRPr="00320773">
        <w:rPr>
          <w:rFonts w:ascii="Times New Roman" w:eastAsia="宋体" w:hAnsi="Times New Roman" w:cs="Times New Roman"/>
          <w:kern w:val="0"/>
          <w:szCs w:val="21"/>
        </w:rPr>
        <w:t xml:space="preserve">2014 </w:t>
      </w:r>
      <w:r w:rsidRPr="00320773">
        <w:rPr>
          <w:rFonts w:ascii="宋体" w:eastAsia="宋体" w:hAnsi="宋体" w:cs="宋体" w:hint="eastAsia"/>
          <w:kern w:val="0"/>
          <w:szCs w:val="21"/>
        </w:rPr>
        <w:t>年</w:t>
      </w:r>
      <w:r w:rsidRPr="00320773">
        <w:rPr>
          <w:rFonts w:ascii="Times New Roman" w:eastAsia="宋体" w:hAnsi="Times New Roman" w:cs="Times New Roman"/>
          <w:kern w:val="0"/>
          <w:szCs w:val="21"/>
        </w:rPr>
        <w:t xml:space="preserve">11 </w:t>
      </w:r>
      <w:r w:rsidRPr="00320773">
        <w:rPr>
          <w:rFonts w:ascii="宋体" w:eastAsia="宋体" w:hAnsi="宋体" w:cs="宋体" w:hint="eastAsia"/>
          <w:kern w:val="0"/>
          <w:szCs w:val="21"/>
        </w:rPr>
        <w:t>月</w:t>
      </w:r>
      <w:r w:rsidRPr="00320773">
        <w:rPr>
          <w:rFonts w:ascii="Times New Roman" w:eastAsia="宋体" w:hAnsi="Times New Roman" w:cs="Times New Roman"/>
          <w:kern w:val="0"/>
          <w:szCs w:val="21"/>
        </w:rPr>
        <w:t xml:space="preserve">18 </w:t>
      </w:r>
      <w:r w:rsidRPr="00320773">
        <w:rPr>
          <w:rFonts w:ascii="宋体" w:eastAsia="宋体" w:hAnsi="宋体" w:cs="宋体" w:hint="eastAsia"/>
          <w:kern w:val="0"/>
          <w:szCs w:val="21"/>
        </w:rPr>
        <w:t>日，广州市第四资源热力电厂垃圾焚烧发电项目收益债</w:t>
      </w:r>
      <w:r w:rsidRPr="00320773">
        <w:rPr>
          <w:rFonts w:ascii="Times New Roman" w:eastAsia="宋体" w:hAnsi="Times New Roman" w:cs="Times New Roman"/>
          <w:kern w:val="0"/>
          <w:szCs w:val="21"/>
          <w:vertAlign w:val="superscript"/>
        </w:rPr>
        <w:t>2</w:t>
      </w:r>
      <w:r w:rsidRPr="00320773">
        <w:rPr>
          <w:rFonts w:ascii="Times New Roman" w:eastAsia="宋体" w:hAnsi="Times New Roman" w:cs="Times New Roman"/>
          <w:kern w:val="0"/>
          <w:szCs w:val="21"/>
        </w:rPr>
        <w:t xml:space="preserve">“14 </w:t>
      </w:r>
      <w:r w:rsidRPr="00320773">
        <w:rPr>
          <w:rFonts w:ascii="宋体" w:eastAsia="宋体" w:hAnsi="宋体" w:cs="宋体" w:hint="eastAsia"/>
          <w:kern w:val="0"/>
          <w:szCs w:val="21"/>
        </w:rPr>
        <w:t>穗热电债</w:t>
      </w:r>
      <w:r w:rsidRPr="00320773">
        <w:rPr>
          <w:rFonts w:ascii="Times New Roman" w:eastAsia="宋体" w:hAnsi="Times New Roman" w:cs="Times New Roman"/>
          <w:kern w:val="0"/>
          <w:szCs w:val="21"/>
        </w:rPr>
        <w:t>”</w:t>
      </w:r>
      <w:r w:rsidRPr="00320773">
        <w:rPr>
          <w:rFonts w:ascii="宋体" w:eastAsia="宋体" w:hAnsi="宋体" w:cs="宋体" w:hint="eastAsia"/>
          <w:kern w:val="0"/>
          <w:szCs w:val="21"/>
        </w:rPr>
        <w:t>成功发行，标志着</w:t>
      </w:r>
      <w:proofErr w:type="gramStart"/>
      <w:r w:rsidRPr="00320773">
        <w:rPr>
          <w:rFonts w:ascii="宋体" w:eastAsia="宋体" w:hAnsi="宋体" w:cs="宋体" w:hint="eastAsia"/>
          <w:kern w:val="0"/>
          <w:szCs w:val="21"/>
        </w:rPr>
        <w:t>由发改委</w:t>
      </w:r>
      <w:proofErr w:type="gramEnd"/>
      <w:r w:rsidRPr="00320773">
        <w:rPr>
          <w:rFonts w:ascii="宋体" w:eastAsia="宋体" w:hAnsi="宋体" w:cs="宋体" w:hint="eastAsia"/>
          <w:kern w:val="0"/>
          <w:szCs w:val="21"/>
        </w:rPr>
        <w:t>主导的项目收益</w:t>
      </w:r>
      <w:proofErr w:type="gramStart"/>
      <w:r w:rsidRPr="00320773">
        <w:rPr>
          <w:rFonts w:ascii="宋体" w:eastAsia="宋体" w:hAnsi="宋体" w:cs="宋体" w:hint="eastAsia"/>
          <w:kern w:val="0"/>
          <w:szCs w:val="21"/>
        </w:rPr>
        <w:t>债正式</w:t>
      </w:r>
      <w:proofErr w:type="gramEnd"/>
      <w:r w:rsidRPr="00320773">
        <w:rPr>
          <w:rFonts w:ascii="宋体" w:eastAsia="宋体" w:hAnsi="宋体" w:cs="宋体" w:hint="eastAsia"/>
          <w:kern w:val="0"/>
          <w:szCs w:val="21"/>
        </w:rPr>
        <w:t xml:space="preserve">开启。 </w:t>
      </w:r>
    </w:p>
    <w:p w:rsidR="00320773" w:rsidRPr="00320773" w:rsidRDefault="00320773" w:rsidP="00320773">
      <w:pPr>
        <w:widowControl/>
        <w:spacing w:before="120" w:after="120"/>
        <w:ind w:firstLine="560"/>
        <w:jc w:val="left"/>
        <w:rPr>
          <w:rFonts w:ascii="宋体" w:eastAsia="宋体" w:hAnsi="宋体" w:cs="宋体" w:hint="eastAsia"/>
          <w:kern w:val="0"/>
          <w:sz w:val="24"/>
          <w:szCs w:val="24"/>
        </w:rPr>
      </w:pPr>
      <w:r w:rsidRPr="00320773">
        <w:rPr>
          <w:rFonts w:ascii="宋体" w:eastAsia="宋体" w:hAnsi="宋体" w:cs="宋体" w:hint="eastAsia"/>
          <w:kern w:val="0"/>
          <w:szCs w:val="21"/>
        </w:rPr>
        <w:t>由于该类债券在我国属于首发，投资者对该类产品的认识和风险识别能力不强，各评级机构对于该类债券的评级经验也不够丰富。本文主要对</w:t>
      </w:r>
      <w:proofErr w:type="gramStart"/>
      <w:r w:rsidRPr="00320773">
        <w:rPr>
          <w:rFonts w:ascii="宋体" w:eastAsia="宋体" w:hAnsi="宋体" w:cs="宋体" w:hint="eastAsia"/>
          <w:kern w:val="0"/>
          <w:szCs w:val="21"/>
        </w:rPr>
        <w:t>标普项目</w:t>
      </w:r>
      <w:proofErr w:type="gramEnd"/>
      <w:r w:rsidRPr="00320773">
        <w:rPr>
          <w:rFonts w:ascii="宋体" w:eastAsia="宋体" w:hAnsi="宋体" w:cs="宋体" w:hint="eastAsia"/>
          <w:kern w:val="0"/>
          <w:szCs w:val="21"/>
        </w:rPr>
        <w:t>融资产品（</w:t>
      </w:r>
      <w:r w:rsidRPr="00320773">
        <w:rPr>
          <w:rFonts w:ascii="Times New Roman" w:eastAsia="宋体" w:hAnsi="Times New Roman" w:cs="Times New Roman"/>
          <w:kern w:val="0"/>
          <w:szCs w:val="21"/>
        </w:rPr>
        <w:t>Project Finance</w:t>
      </w:r>
      <w:r w:rsidRPr="00320773">
        <w:rPr>
          <w:rFonts w:ascii="宋体" w:eastAsia="宋体" w:hAnsi="宋体" w:cs="宋体" w:hint="eastAsia"/>
          <w:kern w:val="0"/>
          <w:szCs w:val="21"/>
        </w:rPr>
        <w:t>）评级准则进行介绍，希望有助于投资者更加细致全面地分析项目融资产品中的风险因素，同时也希望能够对国内评级机构在制定相关评级准则时提供一定的借鉴。</w:t>
      </w:r>
    </w:p>
    <w:p w:rsidR="00320773" w:rsidRPr="00320773" w:rsidRDefault="00320773" w:rsidP="00320773">
      <w:pPr>
        <w:widowControl/>
        <w:spacing w:before="120" w:after="120"/>
        <w:jc w:val="left"/>
        <w:rPr>
          <w:rFonts w:ascii="宋体" w:eastAsia="宋体" w:hAnsi="宋体" w:cs="宋体"/>
          <w:kern w:val="0"/>
          <w:sz w:val="24"/>
          <w:szCs w:val="24"/>
        </w:rPr>
      </w:pPr>
      <w:r w:rsidRPr="00320773">
        <w:rPr>
          <w:rFonts w:ascii="宋体" w:eastAsia="宋体" w:hAnsi="宋体" w:cs="宋体" w:hint="eastAsia"/>
          <w:kern w:val="0"/>
          <w:szCs w:val="21"/>
        </w:rPr>
        <w:t>一、</w:t>
      </w:r>
      <w:proofErr w:type="gramStart"/>
      <w:r w:rsidRPr="00320773">
        <w:rPr>
          <w:rFonts w:ascii="宋体" w:eastAsia="宋体" w:hAnsi="宋体" w:cs="宋体" w:hint="eastAsia"/>
          <w:kern w:val="0"/>
          <w:szCs w:val="21"/>
        </w:rPr>
        <w:t>标普项目</w:t>
      </w:r>
      <w:proofErr w:type="gramEnd"/>
      <w:r w:rsidRPr="00320773">
        <w:rPr>
          <w:rFonts w:ascii="宋体" w:eastAsia="宋体" w:hAnsi="宋体" w:cs="宋体" w:hint="eastAsia"/>
          <w:kern w:val="0"/>
          <w:szCs w:val="21"/>
        </w:rPr>
        <w:t>融资产品评级准则的适用范围</w:t>
      </w:r>
    </w:p>
    <w:p w:rsidR="00320773" w:rsidRPr="00320773" w:rsidRDefault="00320773" w:rsidP="00320773">
      <w:pPr>
        <w:widowControl/>
        <w:spacing w:before="120" w:after="120"/>
        <w:ind w:firstLine="560"/>
        <w:jc w:val="left"/>
        <w:rPr>
          <w:rFonts w:ascii="宋体" w:eastAsia="宋体" w:hAnsi="宋体" w:cs="宋体"/>
          <w:kern w:val="0"/>
          <w:sz w:val="24"/>
          <w:szCs w:val="24"/>
        </w:rPr>
      </w:pPr>
      <w:proofErr w:type="gramStart"/>
      <w:r w:rsidRPr="00320773">
        <w:rPr>
          <w:rFonts w:ascii="宋体" w:eastAsia="宋体" w:hAnsi="宋体" w:cs="宋体" w:hint="eastAsia"/>
          <w:kern w:val="0"/>
          <w:szCs w:val="21"/>
        </w:rPr>
        <w:t>标普认为</w:t>
      </w:r>
      <w:proofErr w:type="gramEnd"/>
      <w:r w:rsidRPr="00320773">
        <w:rPr>
          <w:rFonts w:ascii="宋体" w:eastAsia="宋体" w:hAnsi="宋体" w:cs="宋体" w:hint="eastAsia"/>
          <w:kern w:val="0"/>
          <w:szCs w:val="21"/>
        </w:rPr>
        <w:t>项目融资产品的评级准则只有在下列条件都满足时才能适用：一是从项目本身来看，受评主体必须采用项目架构，债券是其主要的资金来源，且其发行的债券需要以自身的主要资产为担保，</w:t>
      </w:r>
      <w:proofErr w:type="gramStart"/>
      <w:r w:rsidRPr="00320773">
        <w:rPr>
          <w:rFonts w:ascii="宋体" w:eastAsia="宋体" w:hAnsi="宋体" w:cs="宋体" w:hint="eastAsia"/>
          <w:kern w:val="0"/>
          <w:szCs w:val="21"/>
        </w:rPr>
        <w:t>通常该</w:t>
      </w:r>
      <w:proofErr w:type="gramEnd"/>
      <w:r w:rsidRPr="00320773">
        <w:rPr>
          <w:rFonts w:ascii="宋体" w:eastAsia="宋体" w:hAnsi="宋体" w:cs="宋体" w:hint="eastAsia"/>
          <w:kern w:val="0"/>
          <w:szCs w:val="21"/>
        </w:rPr>
        <w:t>主要资产具有特定的使用期限。二是从债权人的角度看，债权人对项目的股东没有追索权，债券的本息能否偿还将完全依赖于项目自身的现金流，债权人需要承担运营风险，债权人对项目未来的融资方案和项目资金的使用有较大的话语权。</w:t>
      </w:r>
    </w:p>
    <w:p w:rsidR="00320773" w:rsidRPr="00320773" w:rsidRDefault="00320773" w:rsidP="00320773">
      <w:pPr>
        <w:widowControl/>
        <w:spacing w:before="120" w:after="120"/>
        <w:ind w:firstLine="560"/>
        <w:jc w:val="left"/>
        <w:rPr>
          <w:rFonts w:ascii="宋体" w:eastAsia="宋体" w:hAnsi="宋体" w:cs="宋体"/>
          <w:kern w:val="0"/>
          <w:sz w:val="24"/>
          <w:szCs w:val="24"/>
        </w:rPr>
      </w:pPr>
      <w:r w:rsidRPr="00320773">
        <w:rPr>
          <w:rFonts w:ascii="宋体" w:eastAsia="宋体" w:hAnsi="宋体" w:cs="宋体" w:hint="eastAsia"/>
          <w:kern w:val="0"/>
          <w:szCs w:val="21"/>
        </w:rPr>
        <w:t>项目融资产品评级将主要考虑项目依靠自身收入按时偿还债务本息的能力，与传统的公司债券评级不同，项目融资产品评级无发行人主体评级，只有针对不同优先级债券的债项评级。</w:t>
      </w:r>
    </w:p>
    <w:p w:rsidR="00320773" w:rsidRPr="00320773" w:rsidRDefault="00320773" w:rsidP="00320773">
      <w:pPr>
        <w:widowControl/>
        <w:spacing w:before="120" w:after="120"/>
        <w:jc w:val="left"/>
        <w:rPr>
          <w:rFonts w:ascii="宋体" w:eastAsia="宋体" w:hAnsi="宋体" w:cs="宋体"/>
          <w:kern w:val="0"/>
          <w:sz w:val="24"/>
          <w:szCs w:val="24"/>
        </w:rPr>
      </w:pPr>
      <w:r w:rsidRPr="00320773">
        <w:rPr>
          <w:rFonts w:ascii="宋体" w:eastAsia="宋体" w:hAnsi="宋体" w:cs="宋体" w:hint="eastAsia"/>
          <w:kern w:val="0"/>
          <w:szCs w:val="21"/>
        </w:rPr>
        <w:t>二、</w:t>
      </w:r>
      <w:proofErr w:type="gramStart"/>
      <w:r w:rsidRPr="00320773">
        <w:rPr>
          <w:rFonts w:ascii="宋体" w:eastAsia="宋体" w:hAnsi="宋体" w:cs="宋体" w:hint="eastAsia"/>
          <w:kern w:val="0"/>
          <w:szCs w:val="21"/>
        </w:rPr>
        <w:t>标普项目</w:t>
      </w:r>
      <w:proofErr w:type="gramEnd"/>
      <w:r w:rsidRPr="00320773">
        <w:rPr>
          <w:rFonts w:ascii="宋体" w:eastAsia="宋体" w:hAnsi="宋体" w:cs="宋体" w:hint="eastAsia"/>
          <w:kern w:val="0"/>
          <w:szCs w:val="21"/>
        </w:rPr>
        <w:t>融资产品评级方法</w:t>
      </w:r>
    </w:p>
    <w:p w:rsidR="00320773" w:rsidRPr="00320773" w:rsidRDefault="00320773" w:rsidP="00320773">
      <w:pPr>
        <w:widowControl/>
        <w:spacing w:before="120" w:after="120"/>
        <w:jc w:val="left"/>
        <w:rPr>
          <w:rFonts w:ascii="宋体" w:eastAsia="宋体" w:hAnsi="宋体" w:cs="宋体"/>
          <w:kern w:val="0"/>
          <w:sz w:val="24"/>
          <w:szCs w:val="24"/>
        </w:rPr>
      </w:pPr>
      <w:r w:rsidRPr="00320773">
        <w:rPr>
          <w:rFonts w:ascii="Times New Roman" w:eastAsia="宋体" w:hAnsi="Times New Roman" w:cs="Times New Roman"/>
          <w:kern w:val="0"/>
          <w:szCs w:val="21"/>
        </w:rPr>
        <w:t xml:space="preserve">1. </w:t>
      </w:r>
      <w:r w:rsidRPr="00320773">
        <w:rPr>
          <w:rFonts w:ascii="宋体" w:eastAsia="宋体" w:hAnsi="宋体" w:cs="宋体" w:hint="eastAsia"/>
          <w:kern w:val="0"/>
          <w:szCs w:val="21"/>
        </w:rPr>
        <w:t>评级框架</w:t>
      </w:r>
    </w:p>
    <w:p w:rsidR="00320773" w:rsidRPr="00320773" w:rsidRDefault="00320773" w:rsidP="00320773">
      <w:pPr>
        <w:widowControl/>
        <w:spacing w:before="120" w:after="120"/>
        <w:ind w:firstLine="560"/>
        <w:jc w:val="left"/>
        <w:rPr>
          <w:rFonts w:ascii="宋体" w:eastAsia="宋体" w:hAnsi="宋体" w:cs="宋体"/>
          <w:kern w:val="0"/>
          <w:sz w:val="24"/>
          <w:szCs w:val="24"/>
        </w:rPr>
      </w:pPr>
      <w:proofErr w:type="gramStart"/>
      <w:r w:rsidRPr="00320773">
        <w:rPr>
          <w:rFonts w:ascii="宋体" w:eastAsia="宋体" w:hAnsi="宋体" w:cs="宋体" w:hint="eastAsia"/>
          <w:kern w:val="0"/>
          <w:szCs w:val="21"/>
        </w:rPr>
        <w:t>标普在</w:t>
      </w:r>
      <w:proofErr w:type="gramEnd"/>
      <w:r w:rsidRPr="00320773">
        <w:rPr>
          <w:rFonts w:ascii="宋体" w:eastAsia="宋体" w:hAnsi="宋体" w:cs="宋体" w:hint="eastAsia"/>
          <w:kern w:val="0"/>
          <w:szCs w:val="21"/>
        </w:rPr>
        <w:t>评定项目融资产品风险等级的时候，会从建设风险和运营风险两个角度进行分析，并分别评定这两个风险的信用等级，将较低者作为整个项目融资产品的风险等级，再根据项目结构、政府影响等因素对项目融资产品的风险等级进行调整，并确定最终的债项级别。</w:t>
      </w:r>
    </w:p>
    <w:p w:rsidR="00320773" w:rsidRPr="00320773" w:rsidRDefault="00320773" w:rsidP="00320773">
      <w:pPr>
        <w:widowControl/>
        <w:spacing w:before="120" w:after="120"/>
        <w:ind w:firstLine="560"/>
        <w:jc w:val="left"/>
        <w:rPr>
          <w:rFonts w:ascii="宋体" w:eastAsia="宋体" w:hAnsi="宋体" w:cs="宋体"/>
          <w:kern w:val="0"/>
          <w:sz w:val="24"/>
          <w:szCs w:val="24"/>
        </w:rPr>
      </w:pPr>
      <w:r w:rsidRPr="00320773">
        <w:rPr>
          <w:rFonts w:ascii="宋体" w:eastAsia="宋体" w:hAnsi="宋体" w:cs="宋体" w:hint="eastAsia"/>
          <w:kern w:val="0"/>
          <w:szCs w:val="21"/>
        </w:rPr>
        <w:t>一般来说，根据项目融资产品的定义和特点，项目融资产品所对应的债券由项目资产和收入提供担保，该类债务的偿还风险与项目融资本身的风险等同，因此，此类高级有担保债券的债项级别与项目融资产品的风险等级一致。若存在第三方担保等情况，</w:t>
      </w:r>
      <w:proofErr w:type="gramStart"/>
      <w:r w:rsidRPr="00320773">
        <w:rPr>
          <w:rFonts w:ascii="宋体" w:eastAsia="宋体" w:hAnsi="宋体" w:cs="宋体" w:hint="eastAsia"/>
          <w:kern w:val="0"/>
          <w:szCs w:val="21"/>
        </w:rPr>
        <w:t>则该债项</w:t>
      </w:r>
      <w:proofErr w:type="gramEnd"/>
      <w:r w:rsidRPr="00320773">
        <w:rPr>
          <w:rFonts w:ascii="宋体" w:eastAsia="宋体" w:hAnsi="宋体" w:cs="宋体" w:hint="eastAsia"/>
          <w:kern w:val="0"/>
          <w:szCs w:val="21"/>
        </w:rPr>
        <w:t>级别也可能高于项目融资产品的风险等级。</w:t>
      </w:r>
    </w:p>
    <w:p w:rsidR="00320773" w:rsidRPr="00320773" w:rsidRDefault="00320773" w:rsidP="00320773">
      <w:pPr>
        <w:widowControl/>
        <w:spacing w:before="120" w:after="120"/>
        <w:jc w:val="left"/>
        <w:rPr>
          <w:rFonts w:ascii="宋体" w:eastAsia="宋体" w:hAnsi="宋体" w:cs="宋体"/>
          <w:kern w:val="0"/>
          <w:sz w:val="24"/>
          <w:szCs w:val="24"/>
        </w:rPr>
      </w:pPr>
      <w:r w:rsidRPr="00320773">
        <w:rPr>
          <w:rFonts w:ascii="Times New Roman" w:eastAsia="宋体" w:hAnsi="Times New Roman" w:cs="Times New Roman"/>
          <w:kern w:val="0"/>
          <w:szCs w:val="21"/>
        </w:rPr>
        <w:t xml:space="preserve">2. </w:t>
      </w:r>
      <w:r w:rsidRPr="00320773">
        <w:rPr>
          <w:rFonts w:ascii="宋体" w:eastAsia="宋体" w:hAnsi="宋体" w:cs="宋体" w:hint="eastAsia"/>
          <w:kern w:val="0"/>
          <w:szCs w:val="21"/>
        </w:rPr>
        <w:t>建设风险分析</w:t>
      </w:r>
    </w:p>
    <w:p w:rsidR="00320773" w:rsidRPr="00320773" w:rsidRDefault="00320773" w:rsidP="00320773">
      <w:pPr>
        <w:widowControl/>
        <w:spacing w:before="120" w:after="120"/>
        <w:ind w:firstLine="560"/>
        <w:jc w:val="left"/>
        <w:rPr>
          <w:rFonts w:ascii="宋体" w:eastAsia="宋体" w:hAnsi="宋体" w:cs="宋体"/>
          <w:kern w:val="0"/>
          <w:sz w:val="24"/>
          <w:szCs w:val="24"/>
        </w:rPr>
      </w:pPr>
      <w:r w:rsidRPr="00320773">
        <w:rPr>
          <w:rFonts w:ascii="宋体" w:eastAsia="宋体" w:hAnsi="宋体" w:cs="宋体" w:hint="eastAsia"/>
          <w:kern w:val="0"/>
          <w:szCs w:val="21"/>
        </w:rPr>
        <w:t>建设风险分析主要是考察能否在规定的时间和资金预算范围内完成项目，并且该项目完成后是否符合设计者和使用者的要求。</w:t>
      </w:r>
      <w:proofErr w:type="gramStart"/>
      <w:r w:rsidRPr="00320773">
        <w:rPr>
          <w:rFonts w:ascii="宋体" w:eastAsia="宋体" w:hAnsi="宋体" w:cs="宋体" w:hint="eastAsia"/>
          <w:kern w:val="0"/>
          <w:szCs w:val="21"/>
        </w:rPr>
        <w:t>标普首先</w:t>
      </w:r>
      <w:proofErr w:type="gramEnd"/>
      <w:r w:rsidRPr="00320773">
        <w:rPr>
          <w:rFonts w:ascii="宋体" w:eastAsia="宋体" w:hAnsi="宋体" w:cs="宋体" w:hint="eastAsia"/>
          <w:kern w:val="0"/>
          <w:szCs w:val="21"/>
        </w:rPr>
        <w:t>从技术设计风险和施工风险两个因素进行评估，对建设风险的信用等级进行初步评定，然后再考虑项目的管理能力、财务风险、交易对手风险等对建设风险的信用等级进行调整，确定建设风险最终的信用等级。</w:t>
      </w:r>
    </w:p>
    <w:p w:rsidR="00320773" w:rsidRPr="00320773" w:rsidRDefault="00320773" w:rsidP="00320773">
      <w:pPr>
        <w:widowControl/>
        <w:spacing w:beforeLines="50" w:before="156" w:afterLines="50" w:after="156"/>
        <w:jc w:val="left"/>
        <w:rPr>
          <w:rFonts w:ascii="宋体" w:eastAsia="宋体" w:hAnsi="宋体" w:cs="宋体"/>
          <w:kern w:val="0"/>
          <w:sz w:val="24"/>
          <w:szCs w:val="24"/>
        </w:rPr>
      </w:pPr>
      <w:r w:rsidRPr="00320773">
        <w:rPr>
          <w:rFonts w:ascii="宋体" w:eastAsia="宋体" w:hAnsi="宋体" w:cs="宋体" w:hint="eastAsia"/>
          <w:kern w:val="0"/>
          <w:szCs w:val="21"/>
        </w:rPr>
        <w:t>（</w:t>
      </w:r>
      <w:r w:rsidRPr="00320773">
        <w:rPr>
          <w:rFonts w:ascii="Times New Roman" w:eastAsia="宋体" w:hAnsi="Times New Roman" w:cs="Times New Roman"/>
          <w:kern w:val="0"/>
          <w:szCs w:val="21"/>
        </w:rPr>
        <w:t>1</w:t>
      </w:r>
      <w:r w:rsidRPr="00320773">
        <w:rPr>
          <w:rFonts w:ascii="宋体" w:eastAsia="宋体" w:hAnsi="宋体" w:cs="宋体" w:hint="eastAsia"/>
          <w:kern w:val="0"/>
          <w:szCs w:val="21"/>
        </w:rPr>
        <w:t>）技术设计风险</w:t>
      </w:r>
    </w:p>
    <w:p w:rsidR="00320773" w:rsidRPr="00320773" w:rsidRDefault="00320773" w:rsidP="00320773">
      <w:pPr>
        <w:widowControl/>
        <w:spacing w:beforeLines="50" w:before="156" w:afterLines="50" w:after="156"/>
        <w:ind w:firstLineChars="200" w:firstLine="420"/>
        <w:jc w:val="left"/>
        <w:rPr>
          <w:rFonts w:ascii="宋体" w:eastAsia="宋体" w:hAnsi="宋体" w:cs="宋体"/>
          <w:kern w:val="0"/>
          <w:sz w:val="24"/>
          <w:szCs w:val="24"/>
        </w:rPr>
      </w:pPr>
      <w:r w:rsidRPr="00320773">
        <w:rPr>
          <w:rFonts w:ascii="宋体" w:eastAsia="宋体" w:hAnsi="宋体" w:cs="宋体" w:hint="eastAsia"/>
          <w:kern w:val="0"/>
          <w:szCs w:val="21"/>
        </w:rPr>
        <w:t>技术设计风险评估主要考虑技术和设计的选择，既要满足使用要求，又要将成本控制在预算的范围内，可以从技术水平和设计变动风险两方面进行分析。</w:t>
      </w:r>
    </w:p>
    <w:p w:rsidR="00320773" w:rsidRPr="00320773" w:rsidRDefault="00320773" w:rsidP="00320773">
      <w:pPr>
        <w:widowControl/>
        <w:spacing w:beforeLines="50" w:before="156" w:afterLines="50" w:after="156"/>
        <w:ind w:firstLineChars="200" w:firstLine="420"/>
        <w:jc w:val="left"/>
        <w:rPr>
          <w:rFonts w:ascii="宋体" w:eastAsia="宋体" w:hAnsi="宋体" w:cs="宋体"/>
          <w:kern w:val="0"/>
          <w:sz w:val="24"/>
          <w:szCs w:val="24"/>
        </w:rPr>
      </w:pPr>
      <w:r w:rsidRPr="00320773">
        <w:rPr>
          <w:rFonts w:ascii="宋体" w:eastAsia="宋体" w:hAnsi="宋体" w:cs="宋体" w:hint="eastAsia"/>
          <w:kern w:val="0"/>
          <w:szCs w:val="21"/>
        </w:rPr>
        <w:lastRenderedPageBreak/>
        <w:t>对于技术水平的评估，主要是考察技术在实际中的运用情况以及该技术能否满足合同和使用者的要求。一般来说，项目中所采用的技术在实际中得到的运用越广泛，且该技术能够较好地满足合同和使用者的需求，则对技术水平的评估就越强。</w:t>
      </w:r>
    </w:p>
    <w:p w:rsidR="00320773" w:rsidRPr="00320773" w:rsidRDefault="00320773" w:rsidP="00320773">
      <w:pPr>
        <w:widowControl/>
        <w:spacing w:beforeLines="50" w:before="156" w:afterLines="50" w:after="156"/>
        <w:ind w:firstLineChars="200" w:firstLine="420"/>
        <w:jc w:val="left"/>
        <w:rPr>
          <w:rFonts w:ascii="宋体" w:eastAsia="宋体" w:hAnsi="宋体" w:cs="宋体"/>
          <w:kern w:val="0"/>
          <w:sz w:val="24"/>
          <w:szCs w:val="24"/>
        </w:rPr>
      </w:pPr>
      <w:r w:rsidRPr="00320773">
        <w:rPr>
          <w:rFonts w:ascii="宋体" w:eastAsia="宋体" w:hAnsi="宋体" w:cs="宋体" w:hint="eastAsia"/>
          <w:kern w:val="0"/>
          <w:szCs w:val="21"/>
        </w:rPr>
        <w:t>设计变动风险主要是衡量项目最终的建设成本会否超过项目的预算，</w:t>
      </w:r>
      <w:proofErr w:type="gramStart"/>
      <w:r w:rsidRPr="00320773">
        <w:rPr>
          <w:rFonts w:ascii="宋体" w:eastAsia="宋体" w:hAnsi="宋体" w:cs="宋体" w:hint="eastAsia"/>
          <w:kern w:val="0"/>
          <w:szCs w:val="21"/>
        </w:rPr>
        <w:t>标普主要</w:t>
      </w:r>
      <w:proofErr w:type="gramEnd"/>
      <w:r w:rsidRPr="00320773">
        <w:rPr>
          <w:rFonts w:ascii="宋体" w:eastAsia="宋体" w:hAnsi="宋体" w:cs="宋体" w:hint="eastAsia"/>
          <w:kern w:val="0"/>
          <w:szCs w:val="21"/>
        </w:rPr>
        <w:t>从设计的完成情况和设计的复杂性来分析。对于设计的完成情况，若该项目的全部设计或者主要设计均已完成，且对建设成本能够较合理地估计，未来成本变动的可能性较小，或者成本变动的额外支出能够由第三方承担，则设计的完成情况较好；对于设计的繁杂性，主要是考虑设计的复杂程度对成本的影响，若该设计已经在很多项目中采用，且其建设成本较为固定，则此类设计在项目建设中的改动就会比较少，项目成本的变动也较小。</w:t>
      </w:r>
    </w:p>
    <w:p w:rsidR="00320773" w:rsidRPr="00320773" w:rsidRDefault="00320773" w:rsidP="00320773">
      <w:pPr>
        <w:widowControl/>
        <w:spacing w:beforeLines="50" w:before="156" w:afterLines="50" w:after="156"/>
        <w:jc w:val="left"/>
        <w:rPr>
          <w:rFonts w:ascii="宋体" w:eastAsia="宋体" w:hAnsi="宋体" w:cs="宋体"/>
          <w:kern w:val="0"/>
          <w:sz w:val="24"/>
          <w:szCs w:val="24"/>
        </w:rPr>
      </w:pPr>
      <w:r w:rsidRPr="00320773">
        <w:rPr>
          <w:rFonts w:ascii="宋体" w:eastAsia="宋体" w:hAnsi="宋体" w:cs="宋体" w:hint="eastAsia"/>
          <w:kern w:val="0"/>
          <w:szCs w:val="21"/>
        </w:rPr>
        <w:t>（</w:t>
      </w:r>
      <w:r w:rsidRPr="00320773">
        <w:rPr>
          <w:rFonts w:ascii="Times New Roman" w:eastAsia="宋体" w:hAnsi="Times New Roman" w:cs="Times New Roman"/>
          <w:kern w:val="0"/>
          <w:szCs w:val="21"/>
        </w:rPr>
        <w:t>2</w:t>
      </w:r>
      <w:r w:rsidRPr="00320773">
        <w:rPr>
          <w:rFonts w:ascii="宋体" w:eastAsia="宋体" w:hAnsi="宋体" w:cs="宋体" w:hint="eastAsia"/>
          <w:kern w:val="0"/>
          <w:szCs w:val="21"/>
        </w:rPr>
        <w:t>）施工风险</w:t>
      </w:r>
    </w:p>
    <w:p w:rsidR="00320773" w:rsidRPr="00320773" w:rsidRDefault="00320773" w:rsidP="00320773">
      <w:pPr>
        <w:widowControl/>
        <w:spacing w:beforeLines="50" w:before="156" w:afterLines="50" w:after="156"/>
        <w:ind w:firstLineChars="200" w:firstLine="420"/>
        <w:jc w:val="left"/>
        <w:rPr>
          <w:rFonts w:ascii="宋体" w:eastAsia="宋体" w:hAnsi="宋体" w:cs="宋体"/>
          <w:kern w:val="0"/>
          <w:sz w:val="24"/>
          <w:szCs w:val="24"/>
        </w:rPr>
      </w:pPr>
      <w:r w:rsidRPr="00320773">
        <w:rPr>
          <w:rFonts w:ascii="宋体" w:eastAsia="宋体" w:hAnsi="宋体" w:cs="宋体" w:hint="eastAsia"/>
          <w:kern w:val="0"/>
          <w:szCs w:val="21"/>
        </w:rPr>
        <w:t>施工风险的评估主要从建设的困难程度和合作</w:t>
      </w:r>
      <w:proofErr w:type="gramStart"/>
      <w:r w:rsidRPr="00320773">
        <w:rPr>
          <w:rFonts w:ascii="宋体" w:eastAsia="宋体" w:hAnsi="宋体" w:cs="宋体" w:hint="eastAsia"/>
          <w:kern w:val="0"/>
          <w:szCs w:val="21"/>
        </w:rPr>
        <w:t>方水平</w:t>
      </w:r>
      <w:proofErr w:type="gramEnd"/>
      <w:r w:rsidRPr="00320773">
        <w:rPr>
          <w:rFonts w:ascii="宋体" w:eastAsia="宋体" w:hAnsi="宋体" w:cs="宋体" w:hint="eastAsia"/>
          <w:kern w:val="0"/>
          <w:szCs w:val="21"/>
        </w:rPr>
        <w:t>两方面来考虑，会对各合作方的合同内容进行分析，特别是与项目的预计完成日期、项目缓冲期、项目预算等有关的合同条款，借此判断各合作方对项目未来的收益的影响程度。</w:t>
      </w:r>
    </w:p>
    <w:p w:rsidR="00320773" w:rsidRPr="00320773" w:rsidRDefault="00320773" w:rsidP="00320773">
      <w:pPr>
        <w:widowControl/>
        <w:spacing w:beforeLines="50" w:before="156" w:afterLines="50" w:after="156"/>
        <w:ind w:firstLineChars="200" w:firstLine="420"/>
        <w:jc w:val="left"/>
        <w:rPr>
          <w:rFonts w:ascii="宋体" w:eastAsia="宋体" w:hAnsi="宋体" w:cs="宋体"/>
          <w:kern w:val="0"/>
          <w:sz w:val="24"/>
          <w:szCs w:val="24"/>
        </w:rPr>
      </w:pPr>
      <w:proofErr w:type="gramStart"/>
      <w:r w:rsidRPr="00320773">
        <w:rPr>
          <w:rFonts w:ascii="宋体" w:eastAsia="宋体" w:hAnsi="宋体" w:cs="宋体" w:hint="eastAsia"/>
          <w:kern w:val="0"/>
          <w:szCs w:val="21"/>
        </w:rPr>
        <w:t>标普将</w:t>
      </w:r>
      <w:proofErr w:type="gramEnd"/>
      <w:r w:rsidRPr="00320773">
        <w:rPr>
          <w:rFonts w:ascii="宋体" w:eastAsia="宋体" w:hAnsi="宋体" w:cs="宋体" w:hint="eastAsia"/>
          <w:kern w:val="0"/>
          <w:szCs w:val="21"/>
        </w:rPr>
        <w:t>项目的困难程度分为</w:t>
      </w:r>
      <w:r w:rsidRPr="00320773">
        <w:rPr>
          <w:rFonts w:ascii="Times New Roman" w:eastAsia="宋体" w:hAnsi="Times New Roman" w:cs="Times New Roman"/>
          <w:kern w:val="0"/>
          <w:szCs w:val="21"/>
        </w:rPr>
        <w:t xml:space="preserve">5 </w:t>
      </w:r>
      <w:proofErr w:type="gramStart"/>
      <w:r w:rsidRPr="00320773">
        <w:rPr>
          <w:rFonts w:ascii="宋体" w:eastAsia="宋体" w:hAnsi="宋体" w:cs="宋体" w:hint="eastAsia"/>
          <w:kern w:val="0"/>
          <w:szCs w:val="21"/>
        </w:rPr>
        <w:t>个</w:t>
      </w:r>
      <w:proofErr w:type="gramEnd"/>
      <w:r w:rsidRPr="00320773">
        <w:rPr>
          <w:rFonts w:ascii="宋体" w:eastAsia="宋体" w:hAnsi="宋体" w:cs="宋体" w:hint="eastAsia"/>
          <w:kern w:val="0"/>
          <w:szCs w:val="21"/>
        </w:rPr>
        <w:t>等级，从</w:t>
      </w:r>
      <w:r w:rsidRPr="00320773">
        <w:rPr>
          <w:rFonts w:ascii="Times New Roman" w:eastAsia="宋体" w:hAnsi="Times New Roman" w:cs="Times New Roman"/>
          <w:kern w:val="0"/>
          <w:szCs w:val="21"/>
        </w:rPr>
        <w:t>1</w:t>
      </w:r>
      <w:r w:rsidRPr="00320773">
        <w:rPr>
          <w:rFonts w:ascii="宋体" w:eastAsia="宋体" w:hAnsi="宋体" w:cs="宋体" w:hint="eastAsia"/>
          <w:kern w:val="0"/>
          <w:szCs w:val="21"/>
        </w:rPr>
        <w:t>到</w:t>
      </w:r>
      <w:r w:rsidRPr="00320773">
        <w:rPr>
          <w:rFonts w:ascii="Times New Roman" w:eastAsia="宋体" w:hAnsi="Times New Roman" w:cs="Times New Roman"/>
          <w:kern w:val="0"/>
          <w:szCs w:val="21"/>
        </w:rPr>
        <w:t xml:space="preserve">5 </w:t>
      </w:r>
      <w:r w:rsidRPr="00320773">
        <w:rPr>
          <w:rFonts w:ascii="宋体" w:eastAsia="宋体" w:hAnsi="宋体" w:cs="宋体" w:hint="eastAsia"/>
          <w:kern w:val="0"/>
          <w:szCs w:val="21"/>
        </w:rPr>
        <w:t>建设的困难程度逐渐增加。对于学校、医院等项目的建设，一般为</w:t>
      </w:r>
      <w:r w:rsidRPr="00320773">
        <w:rPr>
          <w:rFonts w:ascii="Times New Roman" w:eastAsia="宋体" w:hAnsi="Times New Roman" w:cs="Times New Roman"/>
          <w:kern w:val="0"/>
          <w:szCs w:val="21"/>
        </w:rPr>
        <w:t xml:space="preserve">1 </w:t>
      </w:r>
      <w:r w:rsidRPr="00320773">
        <w:rPr>
          <w:rFonts w:ascii="宋体" w:eastAsia="宋体" w:hAnsi="宋体" w:cs="宋体" w:hint="eastAsia"/>
          <w:kern w:val="0"/>
          <w:szCs w:val="21"/>
        </w:rPr>
        <w:t>或</w:t>
      </w:r>
      <w:r w:rsidRPr="00320773">
        <w:rPr>
          <w:rFonts w:ascii="Times New Roman" w:eastAsia="宋体" w:hAnsi="Times New Roman" w:cs="Times New Roman"/>
          <w:kern w:val="0"/>
          <w:szCs w:val="21"/>
        </w:rPr>
        <w:t>2</w:t>
      </w:r>
      <w:r w:rsidRPr="00320773">
        <w:rPr>
          <w:rFonts w:ascii="宋体" w:eastAsia="宋体" w:hAnsi="宋体" w:cs="宋体" w:hint="eastAsia"/>
          <w:kern w:val="0"/>
          <w:szCs w:val="21"/>
        </w:rPr>
        <w:t>；空地上建设的高速公路、发电厂、隧道和桥梁等，一般为</w:t>
      </w:r>
      <w:r w:rsidRPr="00320773">
        <w:rPr>
          <w:rFonts w:ascii="Times New Roman" w:eastAsia="宋体" w:hAnsi="Times New Roman" w:cs="Times New Roman"/>
          <w:kern w:val="0"/>
          <w:szCs w:val="21"/>
        </w:rPr>
        <w:t xml:space="preserve">3 </w:t>
      </w:r>
      <w:r w:rsidRPr="00320773">
        <w:rPr>
          <w:rFonts w:ascii="宋体" w:eastAsia="宋体" w:hAnsi="宋体" w:cs="宋体" w:hint="eastAsia"/>
          <w:kern w:val="0"/>
          <w:szCs w:val="21"/>
        </w:rPr>
        <w:t>或</w:t>
      </w:r>
      <w:r w:rsidRPr="00320773">
        <w:rPr>
          <w:rFonts w:ascii="Times New Roman" w:eastAsia="宋体" w:hAnsi="Times New Roman" w:cs="Times New Roman"/>
          <w:kern w:val="0"/>
          <w:szCs w:val="21"/>
        </w:rPr>
        <w:t>4</w:t>
      </w:r>
      <w:r w:rsidRPr="00320773">
        <w:rPr>
          <w:rFonts w:ascii="宋体" w:eastAsia="宋体" w:hAnsi="宋体" w:cs="宋体" w:hint="eastAsia"/>
          <w:kern w:val="0"/>
          <w:szCs w:val="21"/>
        </w:rPr>
        <w:t>；较复杂的炼化厂和采矿厂，一般为</w:t>
      </w:r>
      <w:r w:rsidRPr="00320773">
        <w:rPr>
          <w:rFonts w:ascii="Times New Roman" w:eastAsia="宋体" w:hAnsi="Times New Roman" w:cs="Times New Roman"/>
          <w:kern w:val="0"/>
          <w:szCs w:val="21"/>
        </w:rPr>
        <w:t>5</w:t>
      </w:r>
      <w:r w:rsidRPr="00320773">
        <w:rPr>
          <w:rFonts w:ascii="宋体" w:eastAsia="宋体" w:hAnsi="宋体" w:cs="宋体" w:hint="eastAsia"/>
          <w:kern w:val="0"/>
          <w:szCs w:val="21"/>
        </w:rPr>
        <w:t>。</w:t>
      </w:r>
    </w:p>
    <w:p w:rsidR="00320773" w:rsidRPr="00320773" w:rsidRDefault="00320773" w:rsidP="00320773">
      <w:pPr>
        <w:widowControl/>
        <w:spacing w:beforeLines="50" w:before="156" w:afterLines="50" w:after="156"/>
        <w:ind w:firstLineChars="200" w:firstLine="420"/>
        <w:jc w:val="left"/>
        <w:rPr>
          <w:rFonts w:ascii="宋体" w:eastAsia="宋体" w:hAnsi="宋体" w:cs="宋体"/>
          <w:kern w:val="0"/>
          <w:sz w:val="24"/>
          <w:szCs w:val="24"/>
        </w:rPr>
      </w:pPr>
      <w:r w:rsidRPr="00320773">
        <w:rPr>
          <w:rFonts w:ascii="宋体" w:eastAsia="宋体" w:hAnsi="宋体" w:cs="宋体" w:hint="eastAsia"/>
          <w:kern w:val="0"/>
          <w:szCs w:val="21"/>
        </w:rPr>
        <w:t>合作</w:t>
      </w:r>
      <w:proofErr w:type="gramStart"/>
      <w:r w:rsidRPr="00320773">
        <w:rPr>
          <w:rFonts w:ascii="宋体" w:eastAsia="宋体" w:hAnsi="宋体" w:cs="宋体" w:hint="eastAsia"/>
          <w:kern w:val="0"/>
          <w:szCs w:val="21"/>
        </w:rPr>
        <w:t>方水平</w:t>
      </w:r>
      <w:proofErr w:type="gramEnd"/>
      <w:r w:rsidRPr="00320773">
        <w:rPr>
          <w:rFonts w:ascii="宋体" w:eastAsia="宋体" w:hAnsi="宋体" w:cs="宋体" w:hint="eastAsia"/>
          <w:kern w:val="0"/>
          <w:szCs w:val="21"/>
        </w:rPr>
        <w:t>的评估包括两个方面：一是合作</w:t>
      </w:r>
      <w:proofErr w:type="gramStart"/>
      <w:r w:rsidRPr="00320773">
        <w:rPr>
          <w:rFonts w:ascii="宋体" w:eastAsia="宋体" w:hAnsi="宋体" w:cs="宋体" w:hint="eastAsia"/>
          <w:kern w:val="0"/>
          <w:szCs w:val="21"/>
        </w:rPr>
        <w:t>方能否</w:t>
      </w:r>
      <w:proofErr w:type="gramEnd"/>
      <w:r w:rsidRPr="00320773">
        <w:rPr>
          <w:rFonts w:ascii="宋体" w:eastAsia="宋体" w:hAnsi="宋体" w:cs="宋体" w:hint="eastAsia"/>
          <w:kern w:val="0"/>
          <w:szCs w:val="21"/>
        </w:rPr>
        <w:t>及时完工的能力和过往经验，主要从项目的类型、规模、地点，以及合作方参与人员的经验、风险和质量管理体系、过去与工人关系的和谐程度等方面进行评估，将合作方的经验水平分为四个等级，对类似项目很有经验、对类似项目有经验、有经验但无类似项目经验、基本没有经验；二是施工风险对合作方的转移程度，主要考虑超过预算的成本部分或者超过预计时间后产生的成本是否已经转移给合作方，</w:t>
      </w:r>
      <w:proofErr w:type="gramStart"/>
      <w:r w:rsidRPr="00320773">
        <w:rPr>
          <w:rFonts w:ascii="宋体" w:eastAsia="宋体" w:hAnsi="宋体" w:cs="宋体" w:hint="eastAsia"/>
          <w:kern w:val="0"/>
          <w:szCs w:val="21"/>
        </w:rPr>
        <w:t>若合同</w:t>
      </w:r>
      <w:proofErr w:type="gramEnd"/>
      <w:r w:rsidRPr="00320773">
        <w:rPr>
          <w:rFonts w:ascii="宋体" w:eastAsia="宋体" w:hAnsi="宋体" w:cs="宋体" w:hint="eastAsia"/>
          <w:kern w:val="0"/>
          <w:szCs w:val="21"/>
        </w:rPr>
        <w:t>属于总包合同（也叫一揽子合同或交钥匙合同），</w:t>
      </w:r>
      <w:proofErr w:type="gramStart"/>
      <w:r w:rsidRPr="00320773">
        <w:rPr>
          <w:rFonts w:ascii="宋体" w:eastAsia="宋体" w:hAnsi="宋体" w:cs="宋体" w:hint="eastAsia"/>
          <w:kern w:val="0"/>
          <w:szCs w:val="21"/>
        </w:rPr>
        <w:t>则施工</w:t>
      </w:r>
      <w:proofErr w:type="gramEnd"/>
      <w:r w:rsidRPr="00320773">
        <w:rPr>
          <w:rFonts w:ascii="宋体" w:eastAsia="宋体" w:hAnsi="宋体" w:cs="宋体" w:hint="eastAsia"/>
          <w:kern w:val="0"/>
          <w:szCs w:val="21"/>
        </w:rPr>
        <w:t>风险对合作方的转移程度较高，</w:t>
      </w:r>
      <w:proofErr w:type="gramStart"/>
      <w:r w:rsidRPr="00320773">
        <w:rPr>
          <w:rFonts w:ascii="宋体" w:eastAsia="宋体" w:hAnsi="宋体" w:cs="宋体" w:hint="eastAsia"/>
          <w:kern w:val="0"/>
          <w:szCs w:val="21"/>
        </w:rPr>
        <w:t>若合同</w:t>
      </w:r>
      <w:proofErr w:type="gramEnd"/>
      <w:r w:rsidRPr="00320773">
        <w:rPr>
          <w:rFonts w:ascii="宋体" w:eastAsia="宋体" w:hAnsi="宋体" w:cs="宋体" w:hint="eastAsia"/>
          <w:kern w:val="0"/>
          <w:szCs w:val="21"/>
        </w:rPr>
        <w:t>的定价方式是按照合作方的实际工时来确定的，</w:t>
      </w:r>
      <w:proofErr w:type="gramStart"/>
      <w:r w:rsidRPr="00320773">
        <w:rPr>
          <w:rFonts w:ascii="宋体" w:eastAsia="宋体" w:hAnsi="宋体" w:cs="宋体" w:hint="eastAsia"/>
          <w:kern w:val="0"/>
          <w:szCs w:val="21"/>
        </w:rPr>
        <w:t>则施工</w:t>
      </w:r>
      <w:proofErr w:type="gramEnd"/>
      <w:r w:rsidRPr="00320773">
        <w:rPr>
          <w:rFonts w:ascii="宋体" w:eastAsia="宋体" w:hAnsi="宋体" w:cs="宋体" w:hint="eastAsia"/>
          <w:kern w:val="0"/>
          <w:szCs w:val="21"/>
        </w:rPr>
        <w:t>风险对合作方的转移程度较弱。通过对合作方的经验和风险转移程度的分析，可以对合作</w:t>
      </w:r>
      <w:proofErr w:type="gramStart"/>
      <w:r w:rsidRPr="00320773">
        <w:rPr>
          <w:rFonts w:ascii="宋体" w:eastAsia="宋体" w:hAnsi="宋体" w:cs="宋体" w:hint="eastAsia"/>
          <w:kern w:val="0"/>
          <w:szCs w:val="21"/>
        </w:rPr>
        <w:t>方水平</w:t>
      </w:r>
      <w:proofErr w:type="gramEnd"/>
      <w:r w:rsidRPr="00320773">
        <w:rPr>
          <w:rFonts w:ascii="宋体" w:eastAsia="宋体" w:hAnsi="宋体" w:cs="宋体" w:hint="eastAsia"/>
          <w:kern w:val="0"/>
          <w:szCs w:val="21"/>
        </w:rPr>
        <w:t>进行评估，若合作方对类似项目很有经验且合同的风险转移程度较高，则合作</w:t>
      </w:r>
      <w:proofErr w:type="gramStart"/>
      <w:r w:rsidRPr="00320773">
        <w:rPr>
          <w:rFonts w:ascii="宋体" w:eastAsia="宋体" w:hAnsi="宋体" w:cs="宋体" w:hint="eastAsia"/>
          <w:kern w:val="0"/>
          <w:szCs w:val="21"/>
        </w:rPr>
        <w:t>方水平</w:t>
      </w:r>
      <w:proofErr w:type="gramEnd"/>
      <w:r w:rsidRPr="00320773">
        <w:rPr>
          <w:rFonts w:ascii="宋体" w:eastAsia="宋体" w:hAnsi="宋体" w:cs="宋体" w:hint="eastAsia"/>
          <w:kern w:val="0"/>
          <w:szCs w:val="21"/>
        </w:rPr>
        <w:t>就会被评估为较强。</w:t>
      </w:r>
    </w:p>
    <w:p w:rsidR="00320773" w:rsidRPr="00320773" w:rsidRDefault="00320773" w:rsidP="00320773">
      <w:pPr>
        <w:widowControl/>
        <w:spacing w:beforeLines="50" w:before="156" w:afterLines="50" w:after="156"/>
        <w:jc w:val="left"/>
        <w:rPr>
          <w:rFonts w:ascii="宋体" w:eastAsia="宋体" w:hAnsi="宋体" w:cs="宋体"/>
          <w:kern w:val="0"/>
          <w:sz w:val="24"/>
          <w:szCs w:val="24"/>
        </w:rPr>
      </w:pPr>
      <w:r w:rsidRPr="00320773">
        <w:rPr>
          <w:rFonts w:ascii="宋体" w:eastAsia="宋体" w:hAnsi="宋体" w:cs="宋体" w:hint="eastAsia"/>
          <w:kern w:val="0"/>
          <w:szCs w:val="21"/>
        </w:rPr>
        <w:t>（</w:t>
      </w:r>
      <w:r w:rsidRPr="00320773">
        <w:rPr>
          <w:rFonts w:ascii="Times New Roman" w:eastAsia="宋体" w:hAnsi="Times New Roman" w:cs="Times New Roman"/>
          <w:kern w:val="0"/>
          <w:szCs w:val="21"/>
        </w:rPr>
        <w:t>3</w:t>
      </w:r>
      <w:r w:rsidRPr="00320773">
        <w:rPr>
          <w:rFonts w:ascii="宋体" w:eastAsia="宋体" w:hAnsi="宋体" w:cs="宋体" w:hint="eastAsia"/>
          <w:kern w:val="0"/>
          <w:szCs w:val="21"/>
        </w:rPr>
        <w:t>）对建设风险的信用等级进行调整</w:t>
      </w:r>
    </w:p>
    <w:p w:rsidR="00320773" w:rsidRPr="00320773" w:rsidRDefault="00320773" w:rsidP="00320773">
      <w:pPr>
        <w:widowControl/>
        <w:spacing w:beforeLines="50" w:before="156" w:afterLines="50" w:after="156"/>
        <w:ind w:firstLineChars="200" w:firstLine="420"/>
        <w:jc w:val="left"/>
        <w:rPr>
          <w:rFonts w:ascii="宋体" w:eastAsia="宋体" w:hAnsi="宋体" w:cs="宋体"/>
          <w:kern w:val="0"/>
          <w:sz w:val="24"/>
          <w:szCs w:val="24"/>
        </w:rPr>
      </w:pPr>
      <w:r w:rsidRPr="00320773">
        <w:rPr>
          <w:rFonts w:ascii="宋体" w:eastAsia="宋体" w:hAnsi="宋体" w:cs="宋体" w:hint="eastAsia"/>
          <w:kern w:val="0"/>
          <w:szCs w:val="21"/>
        </w:rPr>
        <w:t>通过对技术设计风险和施工风险两个因素进行评估，可以初步评定出建设风险的信用等级。一般情况下，由于建设施工存在一些特有的风险，比如恶劣的天气、不可抗力以及项目预算难于准确估计等情况，</w:t>
      </w:r>
      <w:proofErr w:type="gramStart"/>
      <w:r w:rsidRPr="00320773">
        <w:rPr>
          <w:rFonts w:ascii="宋体" w:eastAsia="宋体" w:hAnsi="宋体" w:cs="宋体" w:hint="eastAsia"/>
          <w:kern w:val="0"/>
          <w:szCs w:val="21"/>
        </w:rPr>
        <w:t>标普认为</w:t>
      </w:r>
      <w:proofErr w:type="gramEnd"/>
      <w:r w:rsidRPr="00320773">
        <w:rPr>
          <w:rFonts w:ascii="宋体" w:eastAsia="宋体" w:hAnsi="宋体" w:cs="宋体" w:hint="eastAsia"/>
          <w:kern w:val="0"/>
          <w:szCs w:val="21"/>
        </w:rPr>
        <w:t>初步评定的建设风险信用等级不会超过</w:t>
      </w:r>
      <w:r w:rsidRPr="00320773">
        <w:rPr>
          <w:rFonts w:ascii="Times New Roman" w:eastAsia="宋体" w:hAnsi="Times New Roman" w:cs="Times New Roman"/>
          <w:kern w:val="0"/>
          <w:szCs w:val="21"/>
        </w:rPr>
        <w:t>A+</w:t>
      </w:r>
      <w:r w:rsidRPr="00320773">
        <w:rPr>
          <w:rFonts w:ascii="宋体" w:eastAsia="宋体" w:hAnsi="宋体" w:cs="宋体" w:hint="eastAsia"/>
          <w:kern w:val="0"/>
          <w:szCs w:val="21"/>
        </w:rPr>
        <w:t>。之后，</w:t>
      </w:r>
      <w:proofErr w:type="gramStart"/>
      <w:r w:rsidRPr="00320773">
        <w:rPr>
          <w:rFonts w:ascii="宋体" w:eastAsia="宋体" w:hAnsi="宋体" w:cs="宋体" w:hint="eastAsia"/>
          <w:kern w:val="0"/>
          <w:szCs w:val="21"/>
        </w:rPr>
        <w:t>标普会</w:t>
      </w:r>
      <w:proofErr w:type="gramEnd"/>
      <w:r w:rsidRPr="00320773">
        <w:rPr>
          <w:rFonts w:ascii="宋体" w:eastAsia="宋体" w:hAnsi="宋体" w:cs="宋体" w:hint="eastAsia"/>
          <w:kern w:val="0"/>
          <w:szCs w:val="21"/>
        </w:rPr>
        <w:t>考虑项目管理水平、财务风险和交易对手风险等调整因素，对初步评定的建设风险信用等级进行调整。</w:t>
      </w:r>
    </w:p>
    <w:p w:rsidR="00320773" w:rsidRPr="00320773" w:rsidRDefault="00320773" w:rsidP="00320773">
      <w:pPr>
        <w:widowControl/>
        <w:spacing w:beforeLines="50" w:before="156" w:afterLines="50" w:after="156"/>
        <w:ind w:firstLineChars="200" w:firstLine="420"/>
        <w:jc w:val="left"/>
        <w:rPr>
          <w:rFonts w:ascii="宋体" w:eastAsia="宋体" w:hAnsi="宋体" w:cs="宋体"/>
          <w:kern w:val="0"/>
          <w:sz w:val="24"/>
          <w:szCs w:val="24"/>
        </w:rPr>
      </w:pPr>
      <w:r w:rsidRPr="00320773">
        <w:rPr>
          <w:rFonts w:ascii="宋体" w:eastAsia="宋体" w:hAnsi="宋体" w:cs="宋体" w:hint="eastAsia"/>
          <w:kern w:val="0"/>
          <w:szCs w:val="21"/>
        </w:rPr>
        <w:t>项目管理水平的评估主要是对项目管理</w:t>
      </w:r>
      <w:proofErr w:type="gramStart"/>
      <w:r w:rsidRPr="00320773">
        <w:rPr>
          <w:rFonts w:ascii="宋体" w:eastAsia="宋体" w:hAnsi="宋体" w:cs="宋体" w:hint="eastAsia"/>
          <w:kern w:val="0"/>
          <w:szCs w:val="21"/>
        </w:rPr>
        <w:t>方能力</w:t>
      </w:r>
      <w:proofErr w:type="gramEnd"/>
      <w:r w:rsidRPr="00320773">
        <w:rPr>
          <w:rFonts w:ascii="宋体" w:eastAsia="宋体" w:hAnsi="宋体" w:cs="宋体" w:hint="eastAsia"/>
          <w:kern w:val="0"/>
          <w:szCs w:val="21"/>
        </w:rPr>
        <w:t>的评估，从以下七个因素考虑：现金管理水平、设计控制、项目许可的取得、项目管理经验、预算执行情况、建设缓冲期和争议解决能力。项目的管理方在这七个方面的评价越高，则级别向上调整的可能性越大。</w:t>
      </w:r>
    </w:p>
    <w:p w:rsidR="00320773" w:rsidRPr="00320773" w:rsidRDefault="00320773" w:rsidP="00320773">
      <w:pPr>
        <w:widowControl/>
        <w:spacing w:beforeLines="50" w:before="156" w:afterLines="50" w:after="156"/>
        <w:ind w:firstLineChars="200" w:firstLine="420"/>
        <w:jc w:val="left"/>
        <w:rPr>
          <w:rFonts w:ascii="宋体" w:eastAsia="宋体" w:hAnsi="宋体" w:cs="宋体"/>
          <w:kern w:val="0"/>
          <w:sz w:val="24"/>
          <w:szCs w:val="24"/>
        </w:rPr>
      </w:pPr>
      <w:r w:rsidRPr="00320773">
        <w:rPr>
          <w:rFonts w:ascii="宋体" w:eastAsia="宋体" w:hAnsi="宋体" w:cs="宋体" w:hint="eastAsia"/>
          <w:kern w:val="0"/>
          <w:szCs w:val="21"/>
        </w:rPr>
        <w:t>财务风险分析主要从资金的充足程度和资金来源的稳定性两方面进行分析。资金的充足程度主要是考虑在经济平稳和经济下行</w:t>
      </w:r>
      <w:r w:rsidRPr="00320773">
        <w:rPr>
          <w:rFonts w:ascii="Times New Roman" w:eastAsia="宋体" w:hAnsi="Times New Roman" w:cs="Times New Roman"/>
          <w:kern w:val="0"/>
          <w:szCs w:val="21"/>
          <w:vertAlign w:val="superscript"/>
        </w:rPr>
        <w:t>3</w:t>
      </w:r>
      <w:r w:rsidRPr="00320773">
        <w:rPr>
          <w:rFonts w:ascii="Times New Roman" w:eastAsia="宋体" w:hAnsi="Times New Roman" w:cs="Times New Roman"/>
          <w:kern w:val="0"/>
          <w:szCs w:val="21"/>
        </w:rPr>
        <w:t xml:space="preserve"> </w:t>
      </w:r>
      <w:r w:rsidRPr="00320773">
        <w:rPr>
          <w:rFonts w:ascii="宋体" w:eastAsia="宋体" w:hAnsi="宋体" w:cs="宋体" w:hint="eastAsia"/>
          <w:kern w:val="0"/>
          <w:szCs w:val="21"/>
        </w:rPr>
        <w:t>两种情况下，资金对项目支出的覆盖情况；资金来源的稳定性主要是根据资金来源的稳定程度，计算来源相对稳定的资金与项目支出的覆盖情况。一般来说，即使在经济下行的情况下，稳定的资金来源也可以涵盖所有的项目</w:t>
      </w:r>
      <w:r w:rsidRPr="00320773">
        <w:rPr>
          <w:rFonts w:ascii="宋体" w:eastAsia="宋体" w:hAnsi="宋体" w:cs="宋体" w:hint="eastAsia"/>
          <w:kern w:val="0"/>
          <w:szCs w:val="21"/>
        </w:rPr>
        <w:lastRenderedPageBreak/>
        <w:t>支出，则</w:t>
      </w:r>
      <w:proofErr w:type="gramStart"/>
      <w:r w:rsidRPr="00320773">
        <w:rPr>
          <w:rFonts w:ascii="宋体" w:eastAsia="宋体" w:hAnsi="宋体" w:cs="宋体" w:hint="eastAsia"/>
          <w:kern w:val="0"/>
          <w:szCs w:val="21"/>
        </w:rPr>
        <w:t>标普认为</w:t>
      </w:r>
      <w:proofErr w:type="gramEnd"/>
      <w:r w:rsidRPr="00320773">
        <w:rPr>
          <w:rFonts w:ascii="宋体" w:eastAsia="宋体" w:hAnsi="宋体" w:cs="宋体" w:hint="eastAsia"/>
          <w:kern w:val="0"/>
          <w:szCs w:val="21"/>
        </w:rPr>
        <w:t>财务风险相对较小，不需要对级别进行调整，否则需要对初步评定的建设风险信用等级进行调减。</w:t>
      </w:r>
    </w:p>
    <w:p w:rsidR="00320773" w:rsidRPr="00320773" w:rsidRDefault="00320773" w:rsidP="00320773">
      <w:pPr>
        <w:widowControl/>
        <w:spacing w:beforeLines="50" w:before="156" w:afterLines="50" w:after="156"/>
        <w:ind w:firstLineChars="200" w:firstLine="420"/>
        <w:jc w:val="left"/>
        <w:rPr>
          <w:rFonts w:ascii="宋体" w:eastAsia="宋体" w:hAnsi="宋体" w:cs="宋体"/>
          <w:kern w:val="0"/>
          <w:sz w:val="24"/>
          <w:szCs w:val="24"/>
        </w:rPr>
      </w:pPr>
      <w:r w:rsidRPr="00320773">
        <w:rPr>
          <w:rFonts w:ascii="宋体" w:eastAsia="宋体" w:hAnsi="宋体" w:cs="宋体" w:hint="eastAsia"/>
          <w:kern w:val="0"/>
          <w:szCs w:val="21"/>
        </w:rPr>
        <w:t>在项目建设期，若通过合同将项目风险转移给建筑施工方和设备供应方等交易对手，且存在某个交易对手级别低于初步评定的建设风险信用等级的情况，则建设风险的最终级别就会等同于较低的交易对手级别。例如建筑施工方或设备供应方具有不可替代性，则其交易对手级别与主体级别一致；否则，可能会与其主体级别不同。</w:t>
      </w:r>
    </w:p>
    <w:p w:rsidR="00320773" w:rsidRPr="00320773" w:rsidRDefault="00320773" w:rsidP="00320773">
      <w:pPr>
        <w:widowControl/>
        <w:spacing w:beforeLines="50" w:before="156" w:afterLines="50" w:after="156"/>
        <w:jc w:val="left"/>
        <w:rPr>
          <w:rFonts w:ascii="宋体" w:eastAsia="宋体" w:hAnsi="宋体" w:cs="宋体"/>
          <w:kern w:val="0"/>
          <w:sz w:val="24"/>
          <w:szCs w:val="24"/>
        </w:rPr>
      </w:pPr>
      <w:r w:rsidRPr="00320773">
        <w:rPr>
          <w:rFonts w:ascii="Times New Roman" w:eastAsia="宋体" w:hAnsi="Times New Roman" w:cs="Times New Roman"/>
          <w:kern w:val="0"/>
          <w:szCs w:val="21"/>
        </w:rPr>
        <w:t xml:space="preserve">3. </w:t>
      </w:r>
      <w:r w:rsidRPr="00320773">
        <w:rPr>
          <w:rFonts w:ascii="宋体" w:eastAsia="宋体" w:hAnsi="宋体" w:cs="宋体" w:hint="eastAsia"/>
          <w:kern w:val="0"/>
          <w:szCs w:val="21"/>
        </w:rPr>
        <w:t>运营风险分析</w:t>
      </w:r>
    </w:p>
    <w:p w:rsidR="00320773" w:rsidRPr="00320773" w:rsidRDefault="00320773" w:rsidP="00320773">
      <w:pPr>
        <w:widowControl/>
        <w:spacing w:beforeLines="50" w:before="156" w:afterLines="50" w:after="156"/>
        <w:ind w:firstLineChars="200" w:firstLine="420"/>
        <w:jc w:val="left"/>
        <w:rPr>
          <w:rFonts w:ascii="宋体" w:eastAsia="宋体" w:hAnsi="宋体" w:cs="宋体"/>
          <w:kern w:val="0"/>
          <w:sz w:val="24"/>
          <w:szCs w:val="24"/>
        </w:rPr>
      </w:pPr>
      <w:r w:rsidRPr="00320773">
        <w:rPr>
          <w:rFonts w:ascii="宋体" w:eastAsia="宋体" w:hAnsi="宋体" w:cs="宋体" w:hint="eastAsia"/>
          <w:kern w:val="0"/>
          <w:szCs w:val="21"/>
        </w:rPr>
        <w:t>对于项目运营期，</w:t>
      </w:r>
      <w:proofErr w:type="gramStart"/>
      <w:r w:rsidRPr="00320773">
        <w:rPr>
          <w:rFonts w:ascii="宋体" w:eastAsia="宋体" w:hAnsi="宋体" w:cs="宋体" w:hint="eastAsia"/>
          <w:kern w:val="0"/>
          <w:szCs w:val="21"/>
        </w:rPr>
        <w:t>标普将</w:t>
      </w:r>
      <w:proofErr w:type="gramEnd"/>
      <w:r w:rsidRPr="00320773">
        <w:rPr>
          <w:rFonts w:ascii="宋体" w:eastAsia="宋体" w:hAnsi="宋体" w:cs="宋体" w:hint="eastAsia"/>
          <w:kern w:val="0"/>
          <w:szCs w:val="21"/>
        </w:rPr>
        <w:t>主要分析项目在运营期现金流是否充足，能否满足项目运营和债务偿还等方面，通过分析项目运营的稳定性和现金流量债务比两个因素，对运营风险的信用等级进行初步评定，再根据其他财务因素、类比项目级别和交易对手风险等因素进行调整，得到运营风险最终的信用等级。</w:t>
      </w:r>
    </w:p>
    <w:p w:rsidR="00320773" w:rsidRPr="00320773" w:rsidRDefault="00320773" w:rsidP="00320773">
      <w:pPr>
        <w:widowControl/>
        <w:spacing w:beforeLines="50" w:before="156" w:afterLines="50" w:after="156"/>
        <w:jc w:val="left"/>
        <w:rPr>
          <w:rFonts w:ascii="宋体" w:eastAsia="宋体" w:hAnsi="宋体" w:cs="宋体"/>
          <w:kern w:val="0"/>
          <w:sz w:val="24"/>
          <w:szCs w:val="24"/>
        </w:rPr>
      </w:pPr>
      <w:r w:rsidRPr="00320773">
        <w:rPr>
          <w:rFonts w:ascii="宋体" w:eastAsia="宋体" w:hAnsi="宋体" w:cs="宋体" w:hint="eastAsia"/>
          <w:kern w:val="0"/>
          <w:szCs w:val="21"/>
        </w:rPr>
        <w:t>（</w:t>
      </w:r>
      <w:r w:rsidRPr="00320773">
        <w:rPr>
          <w:rFonts w:ascii="Times New Roman" w:eastAsia="宋体" w:hAnsi="Times New Roman" w:cs="Times New Roman"/>
          <w:kern w:val="0"/>
          <w:szCs w:val="21"/>
        </w:rPr>
        <w:t>1</w:t>
      </w:r>
      <w:r w:rsidRPr="00320773">
        <w:rPr>
          <w:rFonts w:ascii="宋体" w:eastAsia="宋体" w:hAnsi="宋体" w:cs="宋体" w:hint="eastAsia"/>
          <w:kern w:val="0"/>
          <w:szCs w:val="21"/>
        </w:rPr>
        <w:t>）项目运营稳定性分析</w:t>
      </w:r>
    </w:p>
    <w:p w:rsidR="00320773" w:rsidRPr="00320773" w:rsidRDefault="00320773" w:rsidP="00320773">
      <w:pPr>
        <w:widowControl/>
        <w:spacing w:beforeLines="50" w:before="156" w:afterLines="50" w:after="156"/>
        <w:ind w:firstLineChars="200" w:firstLine="420"/>
        <w:jc w:val="left"/>
        <w:rPr>
          <w:rFonts w:ascii="宋体" w:eastAsia="宋体" w:hAnsi="宋体" w:cs="宋体"/>
          <w:kern w:val="0"/>
          <w:sz w:val="24"/>
          <w:szCs w:val="24"/>
        </w:rPr>
      </w:pPr>
      <w:proofErr w:type="gramStart"/>
      <w:r w:rsidRPr="00320773">
        <w:rPr>
          <w:rFonts w:ascii="宋体" w:eastAsia="宋体" w:hAnsi="宋体" w:cs="宋体" w:hint="eastAsia"/>
          <w:kern w:val="0"/>
          <w:szCs w:val="21"/>
        </w:rPr>
        <w:t>标普对</w:t>
      </w:r>
      <w:proofErr w:type="gramEnd"/>
      <w:r w:rsidRPr="00320773">
        <w:rPr>
          <w:rFonts w:ascii="宋体" w:eastAsia="宋体" w:hAnsi="宋体" w:cs="宋体" w:hint="eastAsia"/>
          <w:kern w:val="0"/>
          <w:szCs w:val="21"/>
        </w:rPr>
        <w:t>项目运行稳定性的分析主要考虑经营风险，并结合市场风险和国家风险，并将项目运营稳定性按照</w:t>
      </w:r>
      <w:r w:rsidRPr="00320773">
        <w:rPr>
          <w:rFonts w:ascii="Times New Roman" w:eastAsia="宋体" w:hAnsi="Times New Roman" w:cs="Times New Roman"/>
          <w:kern w:val="0"/>
          <w:szCs w:val="21"/>
        </w:rPr>
        <w:t xml:space="preserve">1-12 </w:t>
      </w:r>
      <w:r w:rsidRPr="00320773">
        <w:rPr>
          <w:rFonts w:ascii="宋体" w:eastAsia="宋体" w:hAnsi="宋体" w:cs="宋体" w:hint="eastAsia"/>
          <w:kern w:val="0"/>
          <w:szCs w:val="21"/>
        </w:rPr>
        <w:t>分进行分类，</w:t>
      </w:r>
      <w:r w:rsidRPr="00320773">
        <w:rPr>
          <w:rFonts w:ascii="Times New Roman" w:eastAsia="宋体" w:hAnsi="Times New Roman" w:cs="Times New Roman"/>
          <w:kern w:val="0"/>
          <w:szCs w:val="21"/>
        </w:rPr>
        <w:t xml:space="preserve">1 </w:t>
      </w:r>
      <w:r w:rsidRPr="00320773">
        <w:rPr>
          <w:rFonts w:ascii="宋体" w:eastAsia="宋体" w:hAnsi="宋体" w:cs="宋体" w:hint="eastAsia"/>
          <w:kern w:val="0"/>
          <w:szCs w:val="21"/>
        </w:rPr>
        <w:t>分代表最稳定，</w:t>
      </w:r>
      <w:r w:rsidRPr="00320773">
        <w:rPr>
          <w:rFonts w:ascii="Times New Roman" w:eastAsia="宋体" w:hAnsi="Times New Roman" w:cs="Times New Roman"/>
          <w:kern w:val="0"/>
          <w:szCs w:val="21"/>
        </w:rPr>
        <w:t xml:space="preserve">12 </w:t>
      </w:r>
      <w:r w:rsidRPr="00320773">
        <w:rPr>
          <w:rFonts w:ascii="宋体" w:eastAsia="宋体" w:hAnsi="宋体" w:cs="宋体" w:hint="eastAsia"/>
          <w:kern w:val="0"/>
          <w:szCs w:val="21"/>
        </w:rPr>
        <w:t>分代表最不稳定。</w:t>
      </w:r>
    </w:p>
    <w:p w:rsidR="00320773" w:rsidRPr="00320773" w:rsidRDefault="00320773" w:rsidP="00320773">
      <w:pPr>
        <w:widowControl/>
        <w:spacing w:beforeLines="50" w:before="156" w:afterLines="50" w:after="156"/>
        <w:ind w:firstLineChars="200" w:firstLine="420"/>
        <w:jc w:val="left"/>
        <w:rPr>
          <w:rFonts w:ascii="宋体" w:eastAsia="宋体" w:hAnsi="宋体" w:cs="宋体"/>
          <w:kern w:val="0"/>
          <w:sz w:val="24"/>
          <w:szCs w:val="24"/>
        </w:rPr>
      </w:pPr>
      <w:proofErr w:type="gramStart"/>
      <w:r w:rsidRPr="00320773">
        <w:rPr>
          <w:rFonts w:ascii="宋体" w:eastAsia="宋体" w:hAnsi="宋体" w:cs="宋体" w:hint="eastAsia"/>
          <w:kern w:val="0"/>
          <w:szCs w:val="21"/>
        </w:rPr>
        <w:t>标普认为</w:t>
      </w:r>
      <w:proofErr w:type="gramEnd"/>
      <w:r w:rsidRPr="00320773">
        <w:rPr>
          <w:rFonts w:ascii="宋体" w:eastAsia="宋体" w:hAnsi="宋体" w:cs="宋体" w:hint="eastAsia"/>
          <w:kern w:val="0"/>
          <w:szCs w:val="21"/>
        </w:rPr>
        <w:t>项目的经营风险主要与该项目在运营期内维护和修理的复杂程度有关。一般来说，建筑物的维护较为简单，经营风险较低；一般的电器设备等的维护往往需要专业技术人员的参与，经营风险一般；</w:t>
      </w:r>
      <w:proofErr w:type="gramStart"/>
      <w:r w:rsidRPr="00320773">
        <w:rPr>
          <w:rFonts w:ascii="宋体" w:eastAsia="宋体" w:hAnsi="宋体" w:cs="宋体" w:hint="eastAsia"/>
          <w:kern w:val="0"/>
          <w:szCs w:val="21"/>
        </w:rPr>
        <w:t>若项目</w:t>
      </w:r>
      <w:proofErr w:type="gramEnd"/>
      <w:r w:rsidRPr="00320773">
        <w:rPr>
          <w:rFonts w:ascii="宋体" w:eastAsia="宋体" w:hAnsi="宋体" w:cs="宋体" w:hint="eastAsia"/>
          <w:kern w:val="0"/>
          <w:szCs w:val="21"/>
        </w:rPr>
        <w:t>存在复杂的电器设备或者涉及到工业设计，则经营风险的评估就会较高。除此之外，</w:t>
      </w:r>
      <w:proofErr w:type="gramStart"/>
      <w:r w:rsidRPr="00320773">
        <w:rPr>
          <w:rFonts w:ascii="宋体" w:eastAsia="宋体" w:hAnsi="宋体" w:cs="宋体" w:hint="eastAsia"/>
          <w:kern w:val="0"/>
          <w:szCs w:val="21"/>
        </w:rPr>
        <w:t>标普在</w:t>
      </w:r>
      <w:proofErr w:type="gramEnd"/>
      <w:r w:rsidRPr="00320773">
        <w:rPr>
          <w:rFonts w:ascii="宋体" w:eastAsia="宋体" w:hAnsi="宋体" w:cs="宋体" w:hint="eastAsia"/>
          <w:kern w:val="0"/>
          <w:szCs w:val="21"/>
        </w:rPr>
        <w:t>评估经营风险的时候，还会考虑许多其他因素，包括备用设施、经营杠杆、维护管理、运用技术、其他项目运营风险（如劳动力短缺或维护成本出现非预期增加）、项目运行标准以及原材料的稀缺程度，来对经营风险进行调整。</w:t>
      </w:r>
    </w:p>
    <w:p w:rsidR="00320773" w:rsidRPr="00320773" w:rsidRDefault="00320773" w:rsidP="00320773">
      <w:pPr>
        <w:widowControl/>
        <w:spacing w:beforeLines="50" w:before="156" w:afterLines="50" w:after="156"/>
        <w:ind w:firstLineChars="200" w:firstLine="420"/>
        <w:jc w:val="left"/>
        <w:rPr>
          <w:rFonts w:ascii="宋体" w:eastAsia="宋体" w:hAnsi="宋体" w:cs="宋体"/>
          <w:kern w:val="0"/>
          <w:sz w:val="24"/>
          <w:szCs w:val="24"/>
        </w:rPr>
      </w:pPr>
      <w:r w:rsidRPr="00320773">
        <w:rPr>
          <w:rFonts w:ascii="宋体" w:eastAsia="宋体" w:hAnsi="宋体" w:cs="宋体" w:hint="eastAsia"/>
          <w:kern w:val="0"/>
          <w:szCs w:val="21"/>
        </w:rPr>
        <w:t>市场风险主要指市场经济下行时产品售价或者销量受到重大影响的风险。</w:t>
      </w:r>
      <w:proofErr w:type="gramStart"/>
      <w:r w:rsidRPr="00320773">
        <w:rPr>
          <w:rFonts w:ascii="宋体" w:eastAsia="宋体" w:hAnsi="宋体" w:cs="宋体" w:hint="eastAsia"/>
          <w:kern w:val="0"/>
          <w:szCs w:val="21"/>
        </w:rPr>
        <w:t>标普认为</w:t>
      </w:r>
      <w:proofErr w:type="gramEnd"/>
      <w:r w:rsidRPr="00320773">
        <w:rPr>
          <w:rFonts w:ascii="宋体" w:eastAsia="宋体" w:hAnsi="宋体" w:cs="宋体" w:hint="eastAsia"/>
          <w:kern w:val="0"/>
          <w:szCs w:val="21"/>
        </w:rPr>
        <w:t>，只有当市场风险对债权人的现金流的影响程度达到</w:t>
      </w:r>
      <w:r w:rsidRPr="00320773">
        <w:rPr>
          <w:rFonts w:ascii="Times New Roman" w:eastAsia="宋体" w:hAnsi="Times New Roman" w:cs="Times New Roman"/>
          <w:kern w:val="0"/>
          <w:szCs w:val="21"/>
        </w:rPr>
        <w:t>5%</w:t>
      </w:r>
      <w:r w:rsidRPr="00320773">
        <w:rPr>
          <w:rFonts w:ascii="宋体" w:eastAsia="宋体" w:hAnsi="宋体" w:cs="宋体" w:hint="eastAsia"/>
          <w:kern w:val="0"/>
          <w:szCs w:val="21"/>
        </w:rPr>
        <w:t>或以上时，才需要对市场风险进行分析。因此，并不是所有的项目运营稳定性分析都需要分析市场风险。</w:t>
      </w:r>
      <w:proofErr w:type="gramStart"/>
      <w:r w:rsidRPr="00320773">
        <w:rPr>
          <w:rFonts w:ascii="宋体" w:eastAsia="宋体" w:hAnsi="宋体" w:cs="宋体" w:hint="eastAsia"/>
          <w:kern w:val="0"/>
          <w:szCs w:val="21"/>
        </w:rPr>
        <w:t>标普对于</w:t>
      </w:r>
      <w:proofErr w:type="gramEnd"/>
      <w:r w:rsidRPr="00320773">
        <w:rPr>
          <w:rFonts w:ascii="宋体" w:eastAsia="宋体" w:hAnsi="宋体" w:cs="宋体" w:hint="eastAsia"/>
          <w:kern w:val="0"/>
          <w:szCs w:val="21"/>
        </w:rPr>
        <w:t>市场风险的分析主要考虑市场竞争程度和项目的竞争力两方面。项目的竞争力越强，市场的竞争程度越低，则项目所面临的市场风险就越小。</w:t>
      </w:r>
    </w:p>
    <w:p w:rsidR="00320773" w:rsidRPr="00320773" w:rsidRDefault="00320773" w:rsidP="00320773">
      <w:pPr>
        <w:widowControl/>
        <w:spacing w:beforeLines="50" w:before="156" w:afterLines="50" w:after="156"/>
        <w:ind w:firstLineChars="200" w:firstLine="420"/>
        <w:jc w:val="left"/>
        <w:rPr>
          <w:rFonts w:ascii="宋体" w:eastAsia="宋体" w:hAnsi="宋体" w:cs="宋体"/>
          <w:kern w:val="0"/>
          <w:sz w:val="24"/>
          <w:szCs w:val="24"/>
        </w:rPr>
      </w:pPr>
      <w:r w:rsidRPr="00320773">
        <w:rPr>
          <w:rFonts w:ascii="宋体" w:eastAsia="宋体" w:hAnsi="宋体" w:cs="宋体" w:hint="eastAsia"/>
          <w:kern w:val="0"/>
          <w:szCs w:val="21"/>
        </w:rPr>
        <w:t>国家风险主要是反映项目所在不同国家或地区所带来的风险，</w:t>
      </w:r>
      <w:proofErr w:type="gramStart"/>
      <w:r w:rsidRPr="00320773">
        <w:rPr>
          <w:rFonts w:ascii="宋体" w:eastAsia="宋体" w:hAnsi="宋体" w:cs="宋体" w:hint="eastAsia"/>
          <w:kern w:val="0"/>
          <w:szCs w:val="21"/>
        </w:rPr>
        <w:t>标普将</w:t>
      </w:r>
      <w:proofErr w:type="gramEnd"/>
      <w:r w:rsidRPr="00320773">
        <w:rPr>
          <w:rFonts w:ascii="宋体" w:eastAsia="宋体" w:hAnsi="宋体" w:cs="宋体" w:hint="eastAsia"/>
          <w:kern w:val="0"/>
          <w:szCs w:val="21"/>
        </w:rPr>
        <w:t>主要从经济风险、政治风险、金融系统风险和法律风险等四个方面对国家风险进行分析，并根据国家风险对项目运营稳定性的打分进行调整，调整后的项目运营稳定性得分仍在</w:t>
      </w:r>
      <w:r w:rsidRPr="00320773">
        <w:rPr>
          <w:rFonts w:ascii="Times New Roman" w:eastAsia="宋体" w:hAnsi="Times New Roman" w:cs="Times New Roman"/>
          <w:kern w:val="0"/>
          <w:szCs w:val="21"/>
        </w:rPr>
        <w:t xml:space="preserve">1-12 </w:t>
      </w:r>
      <w:r w:rsidRPr="00320773">
        <w:rPr>
          <w:rFonts w:ascii="宋体" w:eastAsia="宋体" w:hAnsi="宋体" w:cs="宋体" w:hint="eastAsia"/>
          <w:kern w:val="0"/>
          <w:szCs w:val="21"/>
        </w:rPr>
        <w:t>分之间。</w:t>
      </w:r>
    </w:p>
    <w:p w:rsidR="00320773" w:rsidRPr="00320773" w:rsidRDefault="00320773" w:rsidP="00320773">
      <w:pPr>
        <w:widowControl/>
        <w:spacing w:beforeLines="50" w:before="156" w:afterLines="50" w:after="156"/>
        <w:jc w:val="left"/>
        <w:rPr>
          <w:rFonts w:ascii="宋体" w:eastAsia="宋体" w:hAnsi="宋体" w:cs="宋体"/>
          <w:kern w:val="0"/>
          <w:sz w:val="24"/>
          <w:szCs w:val="24"/>
        </w:rPr>
      </w:pPr>
      <w:r w:rsidRPr="00320773">
        <w:rPr>
          <w:rFonts w:ascii="宋体" w:eastAsia="宋体" w:hAnsi="宋体" w:cs="宋体" w:hint="eastAsia"/>
          <w:kern w:val="0"/>
          <w:szCs w:val="21"/>
        </w:rPr>
        <w:t>（</w:t>
      </w:r>
      <w:r w:rsidRPr="00320773">
        <w:rPr>
          <w:rFonts w:ascii="Times New Roman" w:eastAsia="宋体" w:hAnsi="Times New Roman" w:cs="Times New Roman"/>
          <w:kern w:val="0"/>
          <w:szCs w:val="21"/>
        </w:rPr>
        <w:t>2</w:t>
      </w:r>
      <w:r w:rsidRPr="00320773">
        <w:rPr>
          <w:rFonts w:ascii="宋体" w:eastAsia="宋体" w:hAnsi="宋体" w:cs="宋体" w:hint="eastAsia"/>
          <w:kern w:val="0"/>
          <w:szCs w:val="21"/>
        </w:rPr>
        <w:t>）现金流量债务比</w:t>
      </w:r>
    </w:p>
    <w:p w:rsidR="00320773" w:rsidRPr="00320773" w:rsidRDefault="00320773" w:rsidP="00320773">
      <w:pPr>
        <w:widowControl/>
        <w:spacing w:before="100" w:beforeAutospacing="1" w:after="100" w:afterAutospacing="1"/>
        <w:jc w:val="left"/>
        <w:rPr>
          <w:rFonts w:ascii="宋体" w:eastAsia="宋体" w:hAnsi="宋体" w:cs="宋体"/>
          <w:kern w:val="0"/>
          <w:szCs w:val="21"/>
        </w:rPr>
      </w:pPr>
      <w:r w:rsidRPr="00320773">
        <w:rPr>
          <w:rFonts w:ascii="宋体" w:eastAsia="宋体" w:hAnsi="宋体" w:cs="宋体" w:hint="eastAsia"/>
          <w:kern w:val="0"/>
          <w:szCs w:val="21"/>
        </w:rPr>
        <w:t>现金流量债务比是指项目的未来现金净流量与未来的待偿债务额之间的比值。</w:t>
      </w:r>
      <w:proofErr w:type="gramStart"/>
      <w:r w:rsidRPr="00320773">
        <w:rPr>
          <w:rFonts w:ascii="宋体" w:eastAsia="宋体" w:hAnsi="宋体" w:cs="宋体" w:hint="eastAsia"/>
          <w:kern w:val="0"/>
          <w:szCs w:val="21"/>
        </w:rPr>
        <w:t>标普会</w:t>
      </w:r>
      <w:proofErr w:type="gramEnd"/>
      <w:r w:rsidRPr="00320773">
        <w:rPr>
          <w:rFonts w:ascii="宋体" w:eastAsia="宋体" w:hAnsi="宋体" w:cs="宋体" w:hint="eastAsia"/>
          <w:kern w:val="0"/>
          <w:szCs w:val="21"/>
        </w:rPr>
        <w:t>将现金流量债务比和项目运营稳定性相结合，对运营风险的信用等级进行初步评定。项目运营的稳定性越好，现金流量债务比越高，则评定出的运营风险的信用等级越高（见表</w:t>
      </w:r>
      <w:r w:rsidRPr="00320773">
        <w:rPr>
          <w:rFonts w:ascii="Times New Roman" w:eastAsia="宋体" w:hAnsi="Times New Roman" w:cs="Times New Roman"/>
          <w:kern w:val="0"/>
          <w:szCs w:val="21"/>
        </w:rPr>
        <w:t>1</w:t>
      </w:r>
      <w:r w:rsidRPr="00320773">
        <w:rPr>
          <w:rFonts w:ascii="宋体" w:eastAsia="宋体" w:hAnsi="宋体" w:cs="宋体" w:hint="eastAsia"/>
          <w:kern w:val="0"/>
          <w:szCs w:val="21"/>
        </w:rPr>
        <w:t>）。</w:t>
      </w:r>
    </w:p>
    <w:p w:rsidR="00320773" w:rsidRPr="00320773" w:rsidRDefault="00320773" w:rsidP="00320773">
      <w:pPr>
        <w:widowControl/>
        <w:spacing w:before="100" w:beforeAutospacing="1" w:after="100" w:afterAutospacing="1"/>
        <w:jc w:val="center"/>
        <w:rPr>
          <w:rFonts w:ascii="宋体" w:eastAsia="宋体" w:hAnsi="宋体" w:cs="宋体" w:hint="eastAsia"/>
          <w:kern w:val="0"/>
          <w:szCs w:val="21"/>
        </w:rPr>
      </w:pPr>
      <w:r w:rsidRPr="00320773">
        <w:rPr>
          <w:rFonts w:ascii="宋体" w:eastAsia="宋体" w:hAnsi="宋体" w:cs="宋体"/>
          <w:noProof/>
          <w:kern w:val="0"/>
          <w:szCs w:val="21"/>
        </w:rPr>
        <w:lastRenderedPageBreak/>
        <w:drawing>
          <wp:inline distT="0" distB="0" distL="0" distR="0">
            <wp:extent cx="4276725" cy="1571625"/>
            <wp:effectExtent l="0" t="0" r="9525" b="9525"/>
            <wp:docPr id="1" name="图片 1" descr="http://lhcis.com/LHXY/wwwroot/lhxy/upload/Image/mrtp/2015/05/1_3617875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hcis.com/LHXY/wwwroot/lhxy/upload/Image/mrtp/2015/05/1_361787590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76725" cy="1571625"/>
                    </a:xfrm>
                    <a:prstGeom prst="rect">
                      <a:avLst/>
                    </a:prstGeom>
                    <a:noFill/>
                    <a:ln>
                      <a:noFill/>
                    </a:ln>
                  </pic:spPr>
                </pic:pic>
              </a:graphicData>
            </a:graphic>
          </wp:inline>
        </w:drawing>
      </w:r>
    </w:p>
    <w:p w:rsidR="00320773" w:rsidRPr="00320773" w:rsidRDefault="00320773" w:rsidP="00320773">
      <w:pPr>
        <w:widowControl/>
        <w:spacing w:beforeLines="50" w:before="156" w:afterLines="50" w:after="156"/>
        <w:jc w:val="left"/>
        <w:rPr>
          <w:rFonts w:ascii="宋体" w:eastAsia="宋体" w:hAnsi="宋体" w:cs="宋体" w:hint="eastAsia"/>
          <w:kern w:val="0"/>
          <w:sz w:val="24"/>
          <w:szCs w:val="24"/>
        </w:rPr>
      </w:pPr>
      <w:r w:rsidRPr="00320773">
        <w:rPr>
          <w:rFonts w:ascii="宋体" w:eastAsia="宋体" w:hAnsi="宋体" w:cs="宋体" w:hint="eastAsia"/>
          <w:kern w:val="0"/>
          <w:szCs w:val="21"/>
        </w:rPr>
        <w:t>（</w:t>
      </w:r>
      <w:r w:rsidRPr="00320773">
        <w:rPr>
          <w:rFonts w:ascii="Times New Roman" w:eastAsia="宋体" w:hAnsi="Times New Roman" w:cs="Times New Roman"/>
          <w:kern w:val="0"/>
          <w:szCs w:val="21"/>
        </w:rPr>
        <w:t>3</w:t>
      </w:r>
      <w:r w:rsidRPr="00320773">
        <w:rPr>
          <w:rFonts w:ascii="宋体" w:eastAsia="宋体" w:hAnsi="宋体" w:cs="宋体" w:hint="eastAsia"/>
          <w:kern w:val="0"/>
          <w:szCs w:val="21"/>
        </w:rPr>
        <w:t>）对运营风险信用等级的调整</w:t>
      </w:r>
    </w:p>
    <w:p w:rsidR="00320773" w:rsidRPr="00320773" w:rsidRDefault="00320773" w:rsidP="00320773">
      <w:pPr>
        <w:widowControl/>
        <w:spacing w:beforeLines="50" w:before="156" w:afterLines="50" w:after="156"/>
        <w:ind w:firstLineChars="200" w:firstLine="420"/>
        <w:jc w:val="left"/>
        <w:rPr>
          <w:rFonts w:ascii="宋体" w:eastAsia="宋体" w:hAnsi="宋体" w:cs="宋体"/>
          <w:kern w:val="0"/>
          <w:sz w:val="24"/>
          <w:szCs w:val="24"/>
        </w:rPr>
      </w:pPr>
      <w:r w:rsidRPr="00320773">
        <w:rPr>
          <w:rFonts w:ascii="宋体" w:eastAsia="宋体" w:hAnsi="宋体" w:cs="宋体" w:hint="eastAsia"/>
          <w:kern w:val="0"/>
          <w:szCs w:val="21"/>
        </w:rPr>
        <w:t>初步评定运营风险的信用等级后，还需要从其他财务因素、类比项目级别和交易对手风险等因素进行调整，才能得到运营风险最终的信用等级。</w:t>
      </w:r>
    </w:p>
    <w:p w:rsidR="00320773" w:rsidRPr="00320773" w:rsidRDefault="00320773" w:rsidP="00320773">
      <w:pPr>
        <w:widowControl/>
        <w:spacing w:before="120" w:after="120"/>
        <w:ind w:firstLine="560"/>
        <w:jc w:val="left"/>
        <w:rPr>
          <w:rFonts w:ascii="宋体" w:eastAsia="宋体" w:hAnsi="宋体" w:cs="宋体"/>
          <w:kern w:val="0"/>
          <w:sz w:val="24"/>
          <w:szCs w:val="24"/>
        </w:rPr>
      </w:pPr>
      <w:proofErr w:type="gramStart"/>
      <w:r w:rsidRPr="00320773">
        <w:rPr>
          <w:rFonts w:ascii="宋体" w:eastAsia="宋体" w:hAnsi="宋体" w:cs="宋体" w:hint="eastAsia"/>
          <w:kern w:val="0"/>
          <w:szCs w:val="21"/>
        </w:rPr>
        <w:t>标普对于</w:t>
      </w:r>
      <w:proofErr w:type="gramEnd"/>
      <w:r w:rsidRPr="00320773">
        <w:rPr>
          <w:rFonts w:ascii="宋体" w:eastAsia="宋体" w:hAnsi="宋体" w:cs="宋体" w:hint="eastAsia"/>
          <w:kern w:val="0"/>
          <w:szCs w:val="21"/>
        </w:rPr>
        <w:t>其他财务因素主要考虑经济下行风险、债务结构、流动性和再融资风险。经济下行风险主要是指在经济下行的情况对现金流量债务比的影响，若影响较小，则可以将初步评定的运营风险信用等级向上调整，否则向下调整；债务结构也会影响对现金流的预测，进而影响运营风险的信用等级，若未来现金</w:t>
      </w:r>
      <w:proofErr w:type="gramStart"/>
      <w:r w:rsidRPr="00320773">
        <w:rPr>
          <w:rFonts w:ascii="宋体" w:eastAsia="宋体" w:hAnsi="宋体" w:cs="宋体" w:hint="eastAsia"/>
          <w:kern w:val="0"/>
          <w:szCs w:val="21"/>
        </w:rPr>
        <w:t>流受到</w:t>
      </w:r>
      <w:proofErr w:type="gramEnd"/>
      <w:r w:rsidRPr="00320773">
        <w:rPr>
          <w:rFonts w:ascii="宋体" w:eastAsia="宋体" w:hAnsi="宋体" w:cs="宋体" w:hint="eastAsia"/>
          <w:kern w:val="0"/>
          <w:szCs w:val="21"/>
        </w:rPr>
        <w:t>通货膨胀的影响较大、债务的偿还需要项目具有较高的收益增长率，</w:t>
      </w:r>
      <w:proofErr w:type="gramStart"/>
      <w:r w:rsidRPr="00320773">
        <w:rPr>
          <w:rFonts w:ascii="宋体" w:eastAsia="宋体" w:hAnsi="宋体" w:cs="宋体" w:hint="eastAsia"/>
          <w:kern w:val="0"/>
          <w:szCs w:val="21"/>
        </w:rPr>
        <w:t>标普就</w:t>
      </w:r>
      <w:proofErr w:type="gramEnd"/>
      <w:r w:rsidRPr="00320773">
        <w:rPr>
          <w:rFonts w:ascii="宋体" w:eastAsia="宋体" w:hAnsi="宋体" w:cs="宋体" w:hint="eastAsia"/>
          <w:kern w:val="0"/>
          <w:szCs w:val="21"/>
        </w:rPr>
        <w:t>会将运营风险的信用等级向下调整；流动性在通常情况下会被评定为中性，运营风险</w:t>
      </w:r>
    </w:p>
    <w:p w:rsidR="00320773" w:rsidRPr="00320773" w:rsidRDefault="00320773" w:rsidP="00320773">
      <w:pPr>
        <w:widowControl/>
        <w:spacing w:before="120" w:after="120"/>
        <w:jc w:val="left"/>
        <w:rPr>
          <w:rFonts w:ascii="宋体" w:eastAsia="宋体" w:hAnsi="宋体" w:cs="宋体"/>
          <w:kern w:val="0"/>
          <w:sz w:val="24"/>
          <w:szCs w:val="24"/>
        </w:rPr>
      </w:pPr>
      <w:r w:rsidRPr="00320773">
        <w:rPr>
          <w:rFonts w:ascii="宋体" w:eastAsia="宋体" w:hAnsi="宋体" w:cs="宋体" w:hint="eastAsia"/>
          <w:kern w:val="0"/>
          <w:szCs w:val="21"/>
        </w:rPr>
        <w:t>的信用等级不做调整，但</w:t>
      </w:r>
      <w:proofErr w:type="gramStart"/>
      <w:r w:rsidRPr="00320773">
        <w:rPr>
          <w:rFonts w:ascii="宋体" w:eastAsia="宋体" w:hAnsi="宋体" w:cs="宋体" w:hint="eastAsia"/>
          <w:kern w:val="0"/>
          <w:szCs w:val="21"/>
        </w:rPr>
        <w:t>若项目</w:t>
      </w:r>
      <w:proofErr w:type="gramEnd"/>
      <w:r w:rsidRPr="00320773">
        <w:rPr>
          <w:rFonts w:ascii="宋体" w:eastAsia="宋体" w:hAnsi="宋体" w:cs="宋体" w:hint="eastAsia"/>
          <w:kern w:val="0"/>
          <w:szCs w:val="21"/>
        </w:rPr>
        <w:t>从外界筹集资金的能力较弱，且账面的现金余额与未来一年内的现金净流量之和不能满足未来一年内需要偿还的债务本息，则运营风险的信用等级受到流动性的影响不能超过</w:t>
      </w:r>
      <w:r w:rsidRPr="00320773">
        <w:rPr>
          <w:rFonts w:ascii="Times New Roman" w:eastAsia="宋体" w:hAnsi="Times New Roman" w:cs="Times New Roman"/>
          <w:kern w:val="0"/>
          <w:szCs w:val="21"/>
        </w:rPr>
        <w:t xml:space="preserve">BB+ </w:t>
      </w:r>
      <w:r w:rsidRPr="00320773">
        <w:rPr>
          <w:rFonts w:ascii="宋体" w:eastAsia="宋体" w:hAnsi="宋体" w:cs="宋体" w:hint="eastAsia"/>
          <w:kern w:val="0"/>
          <w:szCs w:val="21"/>
        </w:rPr>
        <w:t>级；再融资风险主要是考察在债务的偿还期限内，项目的资产是否需要重置，</w:t>
      </w:r>
      <w:proofErr w:type="gramStart"/>
      <w:r w:rsidRPr="00320773">
        <w:rPr>
          <w:rFonts w:ascii="宋体" w:eastAsia="宋体" w:hAnsi="宋体" w:cs="宋体" w:hint="eastAsia"/>
          <w:kern w:val="0"/>
          <w:szCs w:val="21"/>
        </w:rPr>
        <w:t>标普用</w:t>
      </w:r>
      <w:proofErr w:type="gramEnd"/>
      <w:r w:rsidRPr="00320773">
        <w:rPr>
          <w:rFonts w:ascii="宋体" w:eastAsia="宋体" w:hAnsi="宋体" w:cs="宋体" w:hint="eastAsia"/>
          <w:kern w:val="0"/>
          <w:szCs w:val="21"/>
        </w:rPr>
        <w:t>资产的净现值与债务的比值来</w:t>
      </w:r>
      <w:proofErr w:type="gramStart"/>
      <w:r w:rsidRPr="00320773">
        <w:rPr>
          <w:rFonts w:ascii="宋体" w:eastAsia="宋体" w:hAnsi="宋体" w:cs="宋体" w:hint="eastAsia"/>
          <w:kern w:val="0"/>
          <w:szCs w:val="21"/>
        </w:rPr>
        <w:t>衡量再</w:t>
      </w:r>
      <w:proofErr w:type="gramEnd"/>
      <w:r w:rsidRPr="00320773">
        <w:rPr>
          <w:rFonts w:ascii="宋体" w:eastAsia="宋体" w:hAnsi="宋体" w:cs="宋体" w:hint="eastAsia"/>
          <w:kern w:val="0"/>
          <w:szCs w:val="21"/>
        </w:rPr>
        <w:t>融资风险。比值越高，再融资风险越小，对运营风险的信用等级的影响也越小。</w:t>
      </w:r>
    </w:p>
    <w:p w:rsidR="00320773" w:rsidRPr="00320773" w:rsidRDefault="00320773" w:rsidP="00320773">
      <w:pPr>
        <w:widowControl/>
        <w:spacing w:before="120" w:after="120"/>
        <w:ind w:firstLine="560"/>
        <w:jc w:val="left"/>
        <w:rPr>
          <w:rFonts w:ascii="宋体" w:eastAsia="宋体" w:hAnsi="宋体" w:cs="宋体"/>
          <w:kern w:val="0"/>
          <w:sz w:val="24"/>
          <w:szCs w:val="24"/>
        </w:rPr>
      </w:pPr>
      <w:proofErr w:type="gramStart"/>
      <w:r w:rsidRPr="00320773">
        <w:rPr>
          <w:rFonts w:ascii="宋体" w:eastAsia="宋体" w:hAnsi="宋体" w:cs="宋体" w:hint="eastAsia"/>
          <w:kern w:val="0"/>
          <w:szCs w:val="21"/>
        </w:rPr>
        <w:t>标普在</w:t>
      </w:r>
      <w:proofErr w:type="gramEnd"/>
      <w:r w:rsidRPr="00320773">
        <w:rPr>
          <w:rFonts w:ascii="宋体" w:eastAsia="宋体" w:hAnsi="宋体" w:cs="宋体" w:hint="eastAsia"/>
          <w:kern w:val="0"/>
          <w:szCs w:val="21"/>
        </w:rPr>
        <w:t>评定运营风险信用等级时还会参照以往类似项目融资产品的评级情况，对运营风险的信用等级进行调整，一般不会超过</w:t>
      </w:r>
      <w:r w:rsidRPr="00320773">
        <w:rPr>
          <w:rFonts w:ascii="Times New Roman" w:eastAsia="宋体" w:hAnsi="Times New Roman" w:cs="Times New Roman"/>
          <w:kern w:val="0"/>
          <w:szCs w:val="21"/>
        </w:rPr>
        <w:t xml:space="preserve">1 </w:t>
      </w:r>
      <w:r w:rsidRPr="00320773">
        <w:rPr>
          <w:rFonts w:ascii="宋体" w:eastAsia="宋体" w:hAnsi="宋体" w:cs="宋体" w:hint="eastAsia"/>
          <w:kern w:val="0"/>
          <w:szCs w:val="21"/>
        </w:rPr>
        <w:t>个子级。</w:t>
      </w:r>
    </w:p>
    <w:p w:rsidR="00320773" w:rsidRPr="00320773" w:rsidRDefault="00320773" w:rsidP="00320773">
      <w:pPr>
        <w:widowControl/>
        <w:spacing w:before="120" w:after="120"/>
        <w:ind w:firstLine="560"/>
        <w:jc w:val="left"/>
        <w:rPr>
          <w:rFonts w:ascii="宋体" w:eastAsia="宋体" w:hAnsi="宋体" w:cs="宋体"/>
          <w:kern w:val="0"/>
          <w:sz w:val="24"/>
          <w:szCs w:val="24"/>
        </w:rPr>
      </w:pPr>
      <w:r w:rsidRPr="00320773">
        <w:rPr>
          <w:rFonts w:ascii="宋体" w:eastAsia="宋体" w:hAnsi="宋体" w:cs="宋体" w:hint="eastAsia"/>
          <w:kern w:val="0"/>
          <w:szCs w:val="21"/>
        </w:rPr>
        <w:t>在项目运营期，若通过合同将项目风险转移给产品或服务的购买方、修理维护的供应商和原材料供应商等交易对手，且存在某个交易对手级别低于运营风险的信用等级，则运营风险最终的信用等级就会等同于较低的交易对手级别。例如对于产品或服务的购买方，若其具有不可替代性，则交易对手级别就等同于主体级别；若存在其他的客户可以购买项目生产的产品或提供的服务，则交易对手级别将由市场风险、行业特征、销售客户的加权风险等因素决定；而对于修理维护的供应商和原材料供应商，通常具有较大的替代性，此时不考虑交易对手风险。</w:t>
      </w:r>
    </w:p>
    <w:p w:rsidR="00320773" w:rsidRPr="00320773" w:rsidRDefault="00320773" w:rsidP="00320773">
      <w:pPr>
        <w:widowControl/>
        <w:spacing w:before="120" w:after="120"/>
        <w:jc w:val="left"/>
        <w:rPr>
          <w:rFonts w:ascii="宋体" w:eastAsia="宋体" w:hAnsi="宋体" w:cs="宋体"/>
          <w:kern w:val="0"/>
          <w:sz w:val="24"/>
          <w:szCs w:val="24"/>
        </w:rPr>
      </w:pPr>
      <w:r w:rsidRPr="00320773">
        <w:rPr>
          <w:rFonts w:ascii="Times New Roman" w:eastAsia="宋体" w:hAnsi="Times New Roman" w:cs="Times New Roman"/>
          <w:kern w:val="0"/>
          <w:szCs w:val="21"/>
        </w:rPr>
        <w:t xml:space="preserve">4. </w:t>
      </w:r>
      <w:r w:rsidRPr="00320773">
        <w:rPr>
          <w:rFonts w:ascii="宋体" w:eastAsia="宋体" w:hAnsi="宋体" w:cs="宋体" w:hint="eastAsia"/>
          <w:kern w:val="0"/>
          <w:szCs w:val="21"/>
        </w:rPr>
        <w:t>项目融资产品风险等级的评定</w:t>
      </w:r>
    </w:p>
    <w:p w:rsidR="00320773" w:rsidRPr="00320773" w:rsidRDefault="00320773" w:rsidP="00320773">
      <w:pPr>
        <w:widowControl/>
        <w:spacing w:before="120" w:after="120"/>
        <w:ind w:firstLine="560"/>
        <w:jc w:val="left"/>
        <w:rPr>
          <w:rFonts w:ascii="宋体" w:eastAsia="宋体" w:hAnsi="宋体" w:cs="宋体"/>
          <w:kern w:val="0"/>
          <w:sz w:val="24"/>
          <w:szCs w:val="24"/>
        </w:rPr>
      </w:pPr>
      <w:r w:rsidRPr="00320773">
        <w:rPr>
          <w:rFonts w:ascii="宋体" w:eastAsia="宋体" w:hAnsi="宋体" w:cs="宋体" w:hint="eastAsia"/>
          <w:kern w:val="0"/>
          <w:szCs w:val="21"/>
        </w:rPr>
        <w:t>分别对建设风险和运营风险的信用等级进行评定后，</w:t>
      </w:r>
      <w:proofErr w:type="gramStart"/>
      <w:r w:rsidRPr="00320773">
        <w:rPr>
          <w:rFonts w:ascii="宋体" w:eastAsia="宋体" w:hAnsi="宋体" w:cs="宋体" w:hint="eastAsia"/>
          <w:kern w:val="0"/>
          <w:szCs w:val="21"/>
        </w:rPr>
        <w:t>标普将</w:t>
      </w:r>
      <w:proofErr w:type="gramEnd"/>
      <w:r w:rsidRPr="00320773">
        <w:rPr>
          <w:rFonts w:ascii="宋体" w:eastAsia="宋体" w:hAnsi="宋体" w:cs="宋体" w:hint="eastAsia"/>
          <w:kern w:val="0"/>
          <w:szCs w:val="21"/>
        </w:rPr>
        <w:t>两者中的较低者作为项目融资产品的风险等级，再根据项目结构、政府影响等因素对项目融资产品的风险等级进行调整，并确定最终的债项级别。</w:t>
      </w:r>
    </w:p>
    <w:p w:rsidR="00320773" w:rsidRPr="00320773" w:rsidRDefault="00320773" w:rsidP="00320773">
      <w:pPr>
        <w:widowControl/>
        <w:spacing w:before="120" w:after="120"/>
        <w:ind w:firstLine="560"/>
        <w:jc w:val="left"/>
        <w:rPr>
          <w:rFonts w:ascii="宋体" w:eastAsia="宋体" w:hAnsi="宋体" w:cs="宋体"/>
          <w:kern w:val="0"/>
          <w:sz w:val="24"/>
          <w:szCs w:val="24"/>
        </w:rPr>
      </w:pPr>
      <w:r w:rsidRPr="00320773">
        <w:rPr>
          <w:rFonts w:ascii="宋体" w:eastAsia="宋体" w:hAnsi="宋体" w:cs="宋体" w:hint="eastAsia"/>
          <w:kern w:val="0"/>
          <w:szCs w:val="21"/>
        </w:rPr>
        <w:t>对于项目结构的分析，</w:t>
      </w:r>
      <w:proofErr w:type="gramStart"/>
      <w:r w:rsidRPr="00320773">
        <w:rPr>
          <w:rFonts w:ascii="宋体" w:eastAsia="宋体" w:hAnsi="宋体" w:cs="宋体" w:hint="eastAsia"/>
          <w:kern w:val="0"/>
          <w:szCs w:val="21"/>
        </w:rPr>
        <w:t>标普主要</w:t>
      </w:r>
      <w:proofErr w:type="gramEnd"/>
      <w:r w:rsidRPr="00320773">
        <w:rPr>
          <w:rFonts w:ascii="宋体" w:eastAsia="宋体" w:hAnsi="宋体" w:cs="宋体" w:hint="eastAsia"/>
          <w:kern w:val="0"/>
          <w:szCs w:val="21"/>
        </w:rPr>
        <w:t>从项目与项目出资方的关联程度以及项目条款强弱程度两个方面来分析。</w:t>
      </w:r>
      <w:proofErr w:type="gramStart"/>
      <w:r w:rsidRPr="00320773">
        <w:rPr>
          <w:rFonts w:ascii="宋体" w:eastAsia="宋体" w:hAnsi="宋体" w:cs="宋体" w:hint="eastAsia"/>
          <w:kern w:val="0"/>
          <w:szCs w:val="21"/>
        </w:rPr>
        <w:t>标普认为</w:t>
      </w:r>
      <w:proofErr w:type="gramEnd"/>
      <w:r w:rsidRPr="00320773">
        <w:rPr>
          <w:rFonts w:ascii="宋体" w:eastAsia="宋体" w:hAnsi="宋体" w:cs="宋体" w:hint="eastAsia"/>
          <w:kern w:val="0"/>
          <w:szCs w:val="21"/>
        </w:rPr>
        <w:t>，项目融资产品的风险等级通常不会高出项目出资方的主体级别</w:t>
      </w:r>
      <w:r w:rsidRPr="00320773">
        <w:rPr>
          <w:rFonts w:ascii="Times New Roman" w:eastAsia="宋体" w:hAnsi="Times New Roman" w:cs="Times New Roman"/>
          <w:kern w:val="0"/>
          <w:szCs w:val="21"/>
        </w:rPr>
        <w:t xml:space="preserve">3 </w:t>
      </w:r>
      <w:proofErr w:type="gramStart"/>
      <w:r w:rsidRPr="00320773">
        <w:rPr>
          <w:rFonts w:ascii="宋体" w:eastAsia="宋体" w:hAnsi="宋体" w:cs="宋体" w:hint="eastAsia"/>
          <w:kern w:val="0"/>
          <w:szCs w:val="21"/>
        </w:rPr>
        <w:t>个子级</w:t>
      </w:r>
      <w:proofErr w:type="gramEnd"/>
      <w:r w:rsidRPr="00320773">
        <w:rPr>
          <w:rFonts w:ascii="宋体" w:eastAsia="宋体" w:hAnsi="宋体" w:cs="宋体" w:hint="eastAsia"/>
          <w:kern w:val="0"/>
          <w:szCs w:val="21"/>
        </w:rPr>
        <w:t>以上；</w:t>
      </w:r>
      <w:proofErr w:type="gramStart"/>
      <w:r w:rsidRPr="00320773">
        <w:rPr>
          <w:rFonts w:ascii="宋体" w:eastAsia="宋体" w:hAnsi="宋体" w:cs="宋体" w:hint="eastAsia"/>
          <w:kern w:val="0"/>
          <w:szCs w:val="21"/>
        </w:rPr>
        <w:t>若项目</w:t>
      </w:r>
      <w:proofErr w:type="gramEnd"/>
      <w:r w:rsidRPr="00320773">
        <w:rPr>
          <w:rFonts w:ascii="宋体" w:eastAsia="宋体" w:hAnsi="宋体" w:cs="宋体" w:hint="eastAsia"/>
          <w:kern w:val="0"/>
          <w:szCs w:val="21"/>
        </w:rPr>
        <w:t>融资产品中关于项目自身资产的保护条款较弱，比如资产保全、现金管理等条款不利于债权人，</w:t>
      </w:r>
      <w:proofErr w:type="gramStart"/>
      <w:r w:rsidRPr="00320773">
        <w:rPr>
          <w:rFonts w:ascii="宋体" w:eastAsia="宋体" w:hAnsi="宋体" w:cs="宋体" w:hint="eastAsia"/>
          <w:kern w:val="0"/>
          <w:szCs w:val="21"/>
        </w:rPr>
        <w:t>则标普会</w:t>
      </w:r>
      <w:proofErr w:type="gramEnd"/>
      <w:r w:rsidRPr="00320773">
        <w:rPr>
          <w:rFonts w:ascii="宋体" w:eastAsia="宋体" w:hAnsi="宋体" w:cs="宋体" w:hint="eastAsia"/>
          <w:kern w:val="0"/>
          <w:szCs w:val="21"/>
        </w:rPr>
        <w:t>将项目融资产品的风险等级向下调整。</w:t>
      </w:r>
    </w:p>
    <w:p w:rsidR="00320773" w:rsidRPr="00320773" w:rsidRDefault="00320773" w:rsidP="00320773">
      <w:pPr>
        <w:widowControl/>
        <w:spacing w:before="120" w:after="120"/>
        <w:ind w:firstLine="560"/>
        <w:jc w:val="left"/>
        <w:rPr>
          <w:rFonts w:ascii="宋体" w:eastAsia="宋体" w:hAnsi="宋体" w:cs="宋体"/>
          <w:kern w:val="0"/>
          <w:sz w:val="24"/>
          <w:szCs w:val="24"/>
        </w:rPr>
      </w:pPr>
      <w:r w:rsidRPr="00320773">
        <w:rPr>
          <w:rFonts w:ascii="宋体" w:eastAsia="宋体" w:hAnsi="宋体" w:cs="宋体" w:hint="eastAsia"/>
          <w:kern w:val="0"/>
          <w:szCs w:val="21"/>
        </w:rPr>
        <w:lastRenderedPageBreak/>
        <w:t>与政府关系密切的项目，政府的支持程度和主权级别会对项目融资产品的风险等级有所影响。</w:t>
      </w:r>
      <w:proofErr w:type="gramStart"/>
      <w:r w:rsidRPr="00320773">
        <w:rPr>
          <w:rFonts w:ascii="宋体" w:eastAsia="宋体" w:hAnsi="宋体" w:cs="宋体" w:hint="eastAsia"/>
          <w:kern w:val="0"/>
          <w:szCs w:val="21"/>
        </w:rPr>
        <w:t>标普会</w:t>
      </w:r>
      <w:proofErr w:type="gramEnd"/>
      <w:r w:rsidRPr="00320773">
        <w:rPr>
          <w:rFonts w:ascii="宋体" w:eastAsia="宋体" w:hAnsi="宋体" w:cs="宋体" w:hint="eastAsia"/>
          <w:kern w:val="0"/>
          <w:szCs w:val="21"/>
        </w:rPr>
        <w:t>从项目与国家的关系以及该项目对国家发展的重要程度两方面来考虑此项目是否能够得到国家强有力的支持，若存在，则项目融资产品的风险等级将可能会向上调整，但最高不会超过所在政府的长期本币信用等级。若某项目为投资于外国的项目，</w:t>
      </w:r>
      <w:proofErr w:type="gramStart"/>
      <w:r w:rsidRPr="00320773">
        <w:rPr>
          <w:rFonts w:ascii="宋体" w:eastAsia="宋体" w:hAnsi="宋体" w:cs="宋体" w:hint="eastAsia"/>
          <w:kern w:val="0"/>
          <w:szCs w:val="21"/>
        </w:rPr>
        <w:t>标普还</w:t>
      </w:r>
      <w:proofErr w:type="gramEnd"/>
      <w:r w:rsidRPr="00320773">
        <w:rPr>
          <w:rFonts w:ascii="宋体" w:eastAsia="宋体" w:hAnsi="宋体" w:cs="宋体" w:hint="eastAsia"/>
          <w:kern w:val="0"/>
          <w:szCs w:val="21"/>
        </w:rPr>
        <w:t>会比较项目融资产品的风险等级与其所在国家的长期外币信用等级，若前者高，</w:t>
      </w:r>
      <w:proofErr w:type="gramStart"/>
      <w:r w:rsidRPr="00320773">
        <w:rPr>
          <w:rFonts w:ascii="宋体" w:eastAsia="宋体" w:hAnsi="宋体" w:cs="宋体" w:hint="eastAsia"/>
          <w:kern w:val="0"/>
          <w:szCs w:val="21"/>
        </w:rPr>
        <w:t>则标普会</w:t>
      </w:r>
      <w:proofErr w:type="gramEnd"/>
      <w:r w:rsidRPr="00320773">
        <w:rPr>
          <w:rFonts w:ascii="宋体" w:eastAsia="宋体" w:hAnsi="宋体" w:cs="宋体" w:hint="eastAsia"/>
          <w:kern w:val="0"/>
          <w:szCs w:val="21"/>
        </w:rPr>
        <w:t>对该项目进行外币压力测试，若没有通过此测试，则项目融资产品的风险等级需要向下调整至其所在国家的长期外币信用等级。</w:t>
      </w:r>
    </w:p>
    <w:p w:rsidR="00320773" w:rsidRPr="00320773" w:rsidRDefault="00320773" w:rsidP="00320773">
      <w:pPr>
        <w:widowControl/>
        <w:spacing w:before="120" w:after="120"/>
        <w:jc w:val="left"/>
        <w:rPr>
          <w:rFonts w:ascii="宋体" w:eastAsia="宋体" w:hAnsi="宋体" w:cs="宋体"/>
          <w:kern w:val="0"/>
          <w:sz w:val="24"/>
          <w:szCs w:val="24"/>
        </w:rPr>
      </w:pPr>
      <w:r w:rsidRPr="00320773">
        <w:rPr>
          <w:rFonts w:ascii="Times New Roman" w:eastAsia="宋体" w:hAnsi="Times New Roman" w:cs="Times New Roman"/>
          <w:kern w:val="0"/>
          <w:szCs w:val="21"/>
        </w:rPr>
        <w:t xml:space="preserve">5. </w:t>
      </w:r>
      <w:r w:rsidRPr="00320773">
        <w:rPr>
          <w:rFonts w:ascii="宋体" w:eastAsia="宋体" w:hAnsi="宋体" w:cs="宋体" w:hint="eastAsia"/>
          <w:kern w:val="0"/>
          <w:szCs w:val="21"/>
        </w:rPr>
        <w:t>债项级别的评定</w:t>
      </w:r>
    </w:p>
    <w:p w:rsidR="00320773" w:rsidRPr="00320773" w:rsidRDefault="00320773" w:rsidP="00320773">
      <w:pPr>
        <w:widowControl/>
        <w:spacing w:before="120" w:after="120"/>
        <w:ind w:firstLine="560"/>
        <w:jc w:val="left"/>
        <w:rPr>
          <w:rFonts w:ascii="宋体" w:eastAsia="宋体" w:hAnsi="宋体" w:cs="宋体"/>
          <w:kern w:val="0"/>
          <w:sz w:val="24"/>
          <w:szCs w:val="24"/>
        </w:rPr>
      </w:pPr>
      <w:r w:rsidRPr="00320773">
        <w:rPr>
          <w:rFonts w:ascii="宋体" w:eastAsia="宋体" w:hAnsi="宋体" w:cs="宋体" w:hint="eastAsia"/>
          <w:kern w:val="0"/>
          <w:szCs w:val="21"/>
        </w:rPr>
        <w:t>对于项目融资产品发行的高级债券，通常由项目资产和收入提供担保，</w:t>
      </w:r>
      <w:proofErr w:type="gramStart"/>
      <w:r w:rsidRPr="00320773">
        <w:rPr>
          <w:rFonts w:ascii="宋体" w:eastAsia="宋体" w:hAnsi="宋体" w:cs="宋体" w:hint="eastAsia"/>
          <w:kern w:val="0"/>
          <w:szCs w:val="21"/>
        </w:rPr>
        <w:t>标普认为</w:t>
      </w:r>
      <w:proofErr w:type="gramEnd"/>
      <w:r w:rsidRPr="00320773">
        <w:rPr>
          <w:rFonts w:ascii="宋体" w:eastAsia="宋体" w:hAnsi="宋体" w:cs="宋体" w:hint="eastAsia"/>
          <w:kern w:val="0"/>
          <w:szCs w:val="21"/>
        </w:rPr>
        <w:t>该类债券的级别与项目融资产品的风险等级一致，但若存在第三方</w:t>
      </w:r>
      <w:proofErr w:type="gramStart"/>
      <w:r w:rsidRPr="00320773">
        <w:rPr>
          <w:rFonts w:ascii="宋体" w:eastAsia="宋体" w:hAnsi="宋体" w:cs="宋体" w:hint="eastAsia"/>
          <w:kern w:val="0"/>
          <w:szCs w:val="21"/>
        </w:rPr>
        <w:t>担保等增信</w:t>
      </w:r>
      <w:proofErr w:type="gramEnd"/>
      <w:r w:rsidRPr="00320773">
        <w:rPr>
          <w:rFonts w:ascii="宋体" w:eastAsia="宋体" w:hAnsi="宋体" w:cs="宋体" w:hint="eastAsia"/>
          <w:kern w:val="0"/>
          <w:szCs w:val="21"/>
        </w:rPr>
        <w:t>情况，</w:t>
      </w:r>
      <w:proofErr w:type="gramStart"/>
      <w:r w:rsidRPr="00320773">
        <w:rPr>
          <w:rFonts w:ascii="宋体" w:eastAsia="宋体" w:hAnsi="宋体" w:cs="宋体" w:hint="eastAsia"/>
          <w:kern w:val="0"/>
          <w:szCs w:val="21"/>
        </w:rPr>
        <w:t>则该债项</w:t>
      </w:r>
      <w:proofErr w:type="gramEnd"/>
      <w:r w:rsidRPr="00320773">
        <w:rPr>
          <w:rFonts w:ascii="宋体" w:eastAsia="宋体" w:hAnsi="宋体" w:cs="宋体" w:hint="eastAsia"/>
          <w:kern w:val="0"/>
          <w:szCs w:val="21"/>
        </w:rPr>
        <w:t>级别也可能高于项目融资产品的风险等级。</w:t>
      </w:r>
    </w:p>
    <w:p w:rsidR="00320773" w:rsidRPr="00320773" w:rsidRDefault="00320773" w:rsidP="00320773">
      <w:pPr>
        <w:widowControl/>
        <w:spacing w:before="120" w:after="120"/>
        <w:jc w:val="left"/>
        <w:rPr>
          <w:rFonts w:ascii="宋体" w:eastAsia="宋体" w:hAnsi="宋体" w:cs="宋体"/>
          <w:kern w:val="0"/>
          <w:sz w:val="24"/>
          <w:szCs w:val="24"/>
        </w:rPr>
      </w:pPr>
      <w:r w:rsidRPr="00320773">
        <w:rPr>
          <w:rFonts w:ascii="宋体" w:eastAsia="宋体" w:hAnsi="宋体" w:cs="宋体" w:hint="eastAsia"/>
          <w:kern w:val="0"/>
          <w:szCs w:val="21"/>
        </w:rPr>
        <w:t>作者：联</w:t>
      </w:r>
      <w:proofErr w:type="gramStart"/>
      <w:r w:rsidRPr="00320773">
        <w:rPr>
          <w:rFonts w:ascii="宋体" w:eastAsia="宋体" w:hAnsi="宋体" w:cs="宋体" w:hint="eastAsia"/>
          <w:kern w:val="0"/>
          <w:szCs w:val="21"/>
        </w:rPr>
        <w:t>合资信</w:t>
      </w:r>
      <w:proofErr w:type="gramEnd"/>
      <w:r w:rsidRPr="00320773">
        <w:rPr>
          <w:rFonts w:ascii="宋体" w:eastAsia="宋体" w:hAnsi="宋体" w:cs="宋体" w:hint="eastAsia"/>
          <w:kern w:val="0"/>
          <w:szCs w:val="21"/>
        </w:rPr>
        <w:t>评估有限公司</w:t>
      </w:r>
      <w:r w:rsidRPr="00320773">
        <w:rPr>
          <w:rFonts w:ascii="Times New Roman" w:eastAsia="宋体" w:hAnsi="Times New Roman" w:cs="Times New Roman"/>
          <w:kern w:val="0"/>
          <w:szCs w:val="21"/>
        </w:rPr>
        <w:t xml:space="preserve"> </w:t>
      </w:r>
      <w:r w:rsidRPr="00320773">
        <w:rPr>
          <w:rFonts w:ascii="宋体" w:eastAsia="宋体" w:hAnsi="宋体" w:cs="宋体" w:hint="eastAsia"/>
          <w:kern w:val="0"/>
          <w:szCs w:val="21"/>
        </w:rPr>
        <w:t>李</w:t>
      </w:r>
      <w:r w:rsidRPr="00320773">
        <w:rPr>
          <w:rFonts w:ascii="Times New Roman" w:eastAsia="宋体" w:hAnsi="Times New Roman" w:cs="Times New Roman"/>
          <w:kern w:val="0"/>
          <w:szCs w:val="21"/>
        </w:rPr>
        <w:t xml:space="preserve"> </w:t>
      </w:r>
      <w:r w:rsidRPr="00320773">
        <w:rPr>
          <w:rFonts w:ascii="宋体" w:eastAsia="宋体" w:hAnsi="宋体" w:cs="宋体" w:hint="eastAsia"/>
          <w:kern w:val="0"/>
          <w:szCs w:val="21"/>
        </w:rPr>
        <w:t>丹</w:t>
      </w:r>
      <w:r w:rsidRPr="00320773">
        <w:rPr>
          <w:rFonts w:ascii="Times New Roman" w:eastAsia="宋体" w:hAnsi="Times New Roman" w:cs="Times New Roman"/>
          <w:kern w:val="0"/>
          <w:szCs w:val="21"/>
        </w:rPr>
        <w:t xml:space="preserve"> </w:t>
      </w:r>
      <w:r w:rsidRPr="00320773">
        <w:rPr>
          <w:rFonts w:ascii="宋体" w:eastAsia="宋体" w:hAnsi="宋体" w:cs="宋体" w:hint="eastAsia"/>
          <w:kern w:val="0"/>
          <w:szCs w:val="21"/>
        </w:rPr>
        <w:t>常茜菲</w:t>
      </w:r>
      <w:r w:rsidRPr="00320773">
        <w:rPr>
          <w:rFonts w:ascii="Times New Roman" w:eastAsia="宋体" w:hAnsi="Times New Roman" w:cs="Times New Roman"/>
          <w:kern w:val="0"/>
          <w:szCs w:val="21"/>
        </w:rPr>
        <w:t xml:space="preserve"> </w:t>
      </w:r>
      <w:proofErr w:type="gramStart"/>
      <w:r w:rsidRPr="00320773">
        <w:rPr>
          <w:rFonts w:ascii="宋体" w:eastAsia="宋体" w:hAnsi="宋体" w:cs="宋体" w:hint="eastAsia"/>
          <w:kern w:val="0"/>
          <w:szCs w:val="21"/>
        </w:rPr>
        <w:t>聂</w:t>
      </w:r>
      <w:proofErr w:type="gramEnd"/>
      <w:r w:rsidRPr="00320773">
        <w:rPr>
          <w:rFonts w:ascii="Times New Roman" w:eastAsia="宋体" w:hAnsi="Times New Roman" w:cs="Times New Roman"/>
          <w:kern w:val="0"/>
          <w:szCs w:val="21"/>
        </w:rPr>
        <w:t xml:space="preserve"> </w:t>
      </w:r>
      <w:r w:rsidRPr="00320773">
        <w:rPr>
          <w:rFonts w:ascii="宋体" w:eastAsia="宋体" w:hAnsi="宋体" w:cs="宋体" w:hint="eastAsia"/>
          <w:kern w:val="0"/>
          <w:szCs w:val="21"/>
        </w:rPr>
        <w:t>逆</w:t>
      </w:r>
    </w:p>
    <w:p w:rsidR="00320773" w:rsidRPr="00320773" w:rsidRDefault="00320773" w:rsidP="00320773">
      <w:pPr>
        <w:widowControl/>
        <w:spacing w:before="120" w:after="120"/>
        <w:jc w:val="left"/>
        <w:rPr>
          <w:rFonts w:ascii="宋体" w:eastAsia="宋体" w:hAnsi="宋体" w:cs="宋体"/>
          <w:kern w:val="0"/>
          <w:sz w:val="24"/>
          <w:szCs w:val="24"/>
        </w:rPr>
      </w:pPr>
      <w:r w:rsidRPr="00320773">
        <w:rPr>
          <w:rFonts w:ascii="宋体" w:eastAsia="宋体" w:hAnsi="宋体" w:cs="宋体" w:hint="eastAsia"/>
          <w:kern w:val="0"/>
          <w:szCs w:val="21"/>
        </w:rPr>
        <w:t>备注：</w:t>
      </w:r>
    </w:p>
    <w:p w:rsidR="00320773" w:rsidRPr="00320773" w:rsidRDefault="00320773" w:rsidP="00320773">
      <w:pPr>
        <w:widowControl/>
        <w:spacing w:before="120" w:after="120"/>
        <w:jc w:val="left"/>
        <w:rPr>
          <w:rFonts w:ascii="宋体" w:eastAsia="宋体" w:hAnsi="宋体" w:cs="宋体"/>
          <w:kern w:val="0"/>
          <w:sz w:val="24"/>
          <w:szCs w:val="24"/>
        </w:rPr>
      </w:pPr>
      <w:r w:rsidRPr="00320773">
        <w:rPr>
          <w:rFonts w:ascii="Times New Roman" w:eastAsia="宋体" w:hAnsi="Times New Roman" w:cs="Times New Roman"/>
          <w:kern w:val="0"/>
          <w:szCs w:val="21"/>
          <w:vertAlign w:val="superscript"/>
        </w:rPr>
        <w:t xml:space="preserve">1 </w:t>
      </w:r>
      <w:r w:rsidRPr="00320773">
        <w:rPr>
          <w:rFonts w:ascii="宋体" w:eastAsia="宋体" w:hAnsi="宋体" w:cs="宋体" w:hint="eastAsia"/>
          <w:kern w:val="0"/>
          <w:szCs w:val="21"/>
        </w:rPr>
        <w:t>所谓项目收益票据，是指非金融企业在银行间债券市场发行的，募集资金用于项目建设且以项目产生的经营性现金流为主要偿债来源的债务融资工具。所称项目包括但不限于市政、交通、公用事业、教育、医疗等与城镇化建设相关的、能产生持续稳定经营性现金流的项目。</w:t>
      </w:r>
    </w:p>
    <w:p w:rsidR="00320773" w:rsidRPr="00320773" w:rsidRDefault="00320773" w:rsidP="00320773">
      <w:pPr>
        <w:widowControl/>
        <w:spacing w:before="120" w:after="120"/>
        <w:jc w:val="left"/>
        <w:rPr>
          <w:rFonts w:ascii="宋体" w:eastAsia="宋体" w:hAnsi="宋体" w:cs="宋体"/>
          <w:kern w:val="0"/>
          <w:sz w:val="24"/>
          <w:szCs w:val="24"/>
        </w:rPr>
      </w:pPr>
      <w:r w:rsidRPr="00320773">
        <w:rPr>
          <w:rFonts w:ascii="Times New Roman" w:eastAsia="宋体" w:hAnsi="Times New Roman" w:cs="Times New Roman"/>
          <w:kern w:val="0"/>
          <w:szCs w:val="21"/>
          <w:vertAlign w:val="superscript"/>
        </w:rPr>
        <w:t xml:space="preserve">2 </w:t>
      </w:r>
      <w:r w:rsidRPr="00320773">
        <w:rPr>
          <w:rFonts w:ascii="宋体" w:eastAsia="宋体" w:hAnsi="宋体" w:cs="宋体" w:hint="eastAsia"/>
          <w:kern w:val="0"/>
          <w:szCs w:val="21"/>
        </w:rPr>
        <w:t>项目收益债是以项目公司为发行主体，募集资金直接投入固定资产投资项目，项目运营收入进入专户并专项用于债券本息支付的债券。</w:t>
      </w:r>
    </w:p>
    <w:p w:rsidR="00320773" w:rsidRPr="00320773" w:rsidRDefault="00320773" w:rsidP="00320773">
      <w:pPr>
        <w:widowControl/>
        <w:spacing w:beforeLines="50" w:before="156" w:afterLines="50" w:after="156"/>
        <w:jc w:val="left"/>
        <w:rPr>
          <w:rFonts w:ascii="宋体" w:eastAsia="宋体" w:hAnsi="宋体" w:cs="宋体"/>
          <w:kern w:val="0"/>
          <w:sz w:val="24"/>
          <w:szCs w:val="24"/>
        </w:rPr>
      </w:pPr>
      <w:r w:rsidRPr="00320773">
        <w:rPr>
          <w:rFonts w:ascii="Times New Roman" w:eastAsia="宋体" w:hAnsi="Times New Roman" w:cs="Times New Roman"/>
          <w:kern w:val="0"/>
          <w:szCs w:val="21"/>
          <w:vertAlign w:val="superscript"/>
        </w:rPr>
        <w:t xml:space="preserve">3 </w:t>
      </w:r>
      <w:proofErr w:type="gramStart"/>
      <w:r w:rsidRPr="00320773">
        <w:rPr>
          <w:rFonts w:ascii="宋体" w:eastAsia="宋体" w:hAnsi="宋体" w:cs="宋体" w:hint="eastAsia"/>
          <w:kern w:val="0"/>
          <w:szCs w:val="21"/>
        </w:rPr>
        <w:t>标普在</w:t>
      </w:r>
      <w:proofErr w:type="gramEnd"/>
      <w:r w:rsidRPr="00320773">
        <w:rPr>
          <w:rFonts w:ascii="宋体" w:eastAsia="宋体" w:hAnsi="宋体" w:cs="宋体" w:hint="eastAsia"/>
          <w:kern w:val="0"/>
          <w:szCs w:val="21"/>
        </w:rPr>
        <w:t>评估经济下行时，会结合项目所在地区过去</w:t>
      </w:r>
      <w:r w:rsidRPr="00320773">
        <w:rPr>
          <w:rFonts w:ascii="Times New Roman" w:eastAsia="宋体" w:hAnsi="Times New Roman" w:cs="Times New Roman"/>
          <w:kern w:val="0"/>
          <w:szCs w:val="21"/>
        </w:rPr>
        <w:t xml:space="preserve">20 </w:t>
      </w:r>
      <w:r w:rsidRPr="00320773">
        <w:rPr>
          <w:rFonts w:ascii="宋体" w:eastAsia="宋体" w:hAnsi="宋体" w:cs="宋体" w:hint="eastAsia"/>
          <w:kern w:val="0"/>
          <w:szCs w:val="21"/>
        </w:rPr>
        <w:t>年的经济情况，比如对于美国，</w:t>
      </w:r>
      <w:proofErr w:type="gramStart"/>
      <w:r w:rsidRPr="00320773">
        <w:rPr>
          <w:rFonts w:ascii="宋体" w:eastAsia="宋体" w:hAnsi="宋体" w:cs="宋体" w:hint="eastAsia"/>
          <w:kern w:val="0"/>
          <w:szCs w:val="21"/>
        </w:rPr>
        <w:t>标普认为</w:t>
      </w:r>
      <w:proofErr w:type="gramEnd"/>
      <w:r w:rsidRPr="00320773">
        <w:rPr>
          <w:rFonts w:ascii="宋体" w:eastAsia="宋体" w:hAnsi="宋体" w:cs="宋体" w:hint="eastAsia"/>
          <w:kern w:val="0"/>
          <w:szCs w:val="21"/>
        </w:rPr>
        <w:t>若</w:t>
      </w:r>
      <w:r w:rsidRPr="00320773">
        <w:rPr>
          <w:rFonts w:ascii="Times New Roman" w:eastAsia="宋体" w:hAnsi="Times New Roman" w:cs="Times New Roman"/>
          <w:kern w:val="0"/>
          <w:szCs w:val="21"/>
        </w:rPr>
        <w:t xml:space="preserve">GDP </w:t>
      </w:r>
      <w:r w:rsidRPr="00320773">
        <w:rPr>
          <w:rFonts w:ascii="宋体" w:eastAsia="宋体" w:hAnsi="宋体" w:cs="宋体" w:hint="eastAsia"/>
          <w:kern w:val="0"/>
          <w:szCs w:val="21"/>
        </w:rPr>
        <w:t>的增长率小于</w:t>
      </w:r>
      <w:r w:rsidRPr="00320773">
        <w:rPr>
          <w:rFonts w:ascii="Times New Roman" w:eastAsia="宋体" w:hAnsi="Times New Roman" w:cs="Times New Roman"/>
          <w:kern w:val="0"/>
          <w:szCs w:val="21"/>
        </w:rPr>
        <w:t>3%</w:t>
      </w:r>
      <w:r w:rsidRPr="00320773">
        <w:rPr>
          <w:rFonts w:ascii="宋体" w:eastAsia="宋体" w:hAnsi="宋体" w:cs="宋体" w:hint="eastAsia"/>
          <w:kern w:val="0"/>
          <w:szCs w:val="21"/>
        </w:rPr>
        <w:t>，失业率达到</w:t>
      </w:r>
      <w:r w:rsidRPr="00320773">
        <w:rPr>
          <w:rFonts w:ascii="Times New Roman" w:eastAsia="宋体" w:hAnsi="Times New Roman" w:cs="Times New Roman"/>
          <w:kern w:val="0"/>
          <w:szCs w:val="21"/>
        </w:rPr>
        <w:t xml:space="preserve">10% </w:t>
      </w:r>
      <w:r w:rsidRPr="00320773">
        <w:rPr>
          <w:rFonts w:ascii="宋体" w:eastAsia="宋体" w:hAnsi="宋体" w:cs="宋体" w:hint="eastAsia"/>
          <w:kern w:val="0"/>
          <w:szCs w:val="21"/>
        </w:rPr>
        <w:t>以上，股票指数低于过去</w:t>
      </w:r>
      <w:r w:rsidRPr="00320773">
        <w:rPr>
          <w:rFonts w:ascii="Times New Roman" w:eastAsia="宋体" w:hAnsi="Times New Roman" w:cs="Times New Roman"/>
          <w:kern w:val="0"/>
          <w:szCs w:val="21"/>
        </w:rPr>
        <w:t xml:space="preserve">20 </w:t>
      </w:r>
      <w:r w:rsidRPr="00320773">
        <w:rPr>
          <w:rFonts w:ascii="宋体" w:eastAsia="宋体" w:hAnsi="宋体" w:cs="宋体" w:hint="eastAsia"/>
          <w:kern w:val="0"/>
          <w:szCs w:val="21"/>
        </w:rPr>
        <w:t>年最高值的一半，则该时期为经济下行期。</w:t>
      </w:r>
    </w:p>
    <w:p w:rsidR="00320773" w:rsidRPr="00320773" w:rsidRDefault="00320773" w:rsidP="00320773">
      <w:pPr>
        <w:widowControl/>
        <w:spacing w:before="100" w:beforeAutospacing="1" w:after="100" w:afterAutospacing="1"/>
        <w:jc w:val="left"/>
        <w:rPr>
          <w:rFonts w:ascii="宋体" w:eastAsia="宋体" w:hAnsi="宋体" w:cs="宋体"/>
          <w:kern w:val="0"/>
          <w:szCs w:val="21"/>
        </w:rPr>
      </w:pPr>
      <w:r w:rsidRPr="00320773">
        <w:rPr>
          <w:rFonts w:ascii="宋体" w:eastAsia="宋体" w:hAnsi="宋体" w:cs="宋体" w:hint="eastAsia"/>
          <w:kern w:val="0"/>
          <w:szCs w:val="21"/>
        </w:rPr>
        <w:t> </w:t>
      </w:r>
    </w:p>
    <w:p w:rsidR="00180A7E" w:rsidRPr="00320773" w:rsidRDefault="00180A7E"/>
    <w:sectPr w:rsidR="00180A7E" w:rsidRPr="003207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73"/>
    <w:rsid w:val="00180A7E"/>
    <w:rsid w:val="00320773"/>
    <w:rsid w:val="00950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C86B4-9A59-4E69-9C02-D7FCAAA95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077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9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795</Words>
  <Characters>4534</Characters>
  <Application>Microsoft Office Word</Application>
  <DocSecurity>0</DocSecurity>
  <Lines>37</Lines>
  <Paragraphs>10</Paragraphs>
  <ScaleCrop>false</ScaleCrop>
  <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XueYuan</dc:creator>
  <cp:keywords/>
  <dc:description/>
  <cp:lastModifiedBy>XueYuan</cp:lastModifiedBy>
  <cp:revision>2</cp:revision>
  <dcterms:created xsi:type="dcterms:W3CDTF">2017-09-07T07:31:00Z</dcterms:created>
  <dcterms:modified xsi:type="dcterms:W3CDTF">2017-09-07T07:31:00Z</dcterms:modified>
</cp:coreProperties>
</file>