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E0" w:rsidRPr="00E80DE0" w:rsidRDefault="00E80DE0" w:rsidP="00E80DE0">
      <w:pPr>
        <w:widowControl/>
        <w:spacing w:before="100" w:beforeAutospacing="1" w:after="100" w:afterAutospacing="1"/>
        <w:jc w:val="center"/>
        <w:rPr>
          <w:rFonts w:ascii="inherit" w:hAnsi="inherit"/>
          <w:b/>
          <w:color w:val="555555"/>
        </w:rPr>
      </w:pPr>
      <w:bookmarkStart w:id="0" w:name="_GoBack"/>
      <w:r w:rsidRPr="00E80DE0">
        <w:rPr>
          <w:rFonts w:ascii="inherit" w:hAnsi="inherit"/>
          <w:b/>
          <w:color w:val="555555"/>
        </w:rPr>
        <w:t>2014</w:t>
      </w:r>
      <w:r w:rsidRPr="00E80DE0">
        <w:rPr>
          <w:rFonts w:ascii="inherit" w:hAnsi="inherit"/>
          <w:b/>
          <w:color w:val="555555"/>
        </w:rPr>
        <w:t>年国际评级行业发展与监管动态报告</w:t>
      </w:r>
    </w:p>
    <w:bookmarkEnd w:id="0"/>
    <w:p w:rsidR="00E80DE0" w:rsidRPr="00E80DE0" w:rsidRDefault="00E80DE0" w:rsidP="00E80DE0">
      <w:pPr>
        <w:widowControl/>
        <w:spacing w:before="100" w:beforeAutospacing="1" w:after="100" w:afterAutospacing="1"/>
        <w:jc w:val="left"/>
        <w:rPr>
          <w:rFonts w:ascii="宋体" w:eastAsia="宋体" w:hAnsi="宋体" w:cs="宋体"/>
          <w:kern w:val="0"/>
          <w:szCs w:val="21"/>
        </w:rPr>
      </w:pPr>
      <w:r w:rsidRPr="00E80DE0">
        <w:rPr>
          <w:rFonts w:ascii="宋体" w:eastAsia="宋体" w:hAnsi="宋体" w:cs="宋体" w:hint="eastAsia"/>
          <w:kern w:val="0"/>
          <w:szCs w:val="21"/>
        </w:rPr>
        <w:t>一、 国际宏观经济形势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2014年，美国经济增长动力逐渐增强，欧元区经济缓慢复苏，日本经济呈现下行趋势，新兴经济体经济增速总体上有所放缓，国际主要经济体呈现经济分化趋势，具体来看：</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美国逐步退出了第三轮量化宽松货币政策（QE3），但在企业投资大幅增长、房地产市场持续回暖以及消费和出口增长等因素的共同驱动下，经济增速呈现上升态势，全年GDP增长2.39%，较上年增加0.17个百分点。2014年美国失业率为6.17%，为近三年最低水平，就业市场持续改善；CPI为1.62%，较上年略有上升，但仍然保持在较低水平。整体看，美国经济呈现出稳定增长、就业持续改善和通胀较低的良好态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2014年，欧洲央行通过下调政策利率和扩张资产购买计划等方式加大宽松货币政策力度</w:t>
      </w:r>
      <w:bookmarkStart w:id="1" w:name="_ftnref1"/>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"_ftn1"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[1]</w:t>
      </w:r>
      <w:r w:rsidRPr="00E80DE0">
        <w:rPr>
          <w:rFonts w:ascii="宋体" w:eastAsia="宋体" w:hAnsi="宋体" w:cs="宋体"/>
          <w:kern w:val="0"/>
          <w:szCs w:val="21"/>
        </w:rPr>
        <w:fldChar w:fldCharType="end"/>
      </w:r>
      <w:bookmarkEnd w:id="1"/>
      <w:r w:rsidRPr="00E80DE0">
        <w:rPr>
          <w:rFonts w:ascii="宋体" w:eastAsia="宋体" w:hAnsi="宋体" w:cs="宋体" w:hint="eastAsia"/>
          <w:kern w:val="0"/>
          <w:szCs w:val="21"/>
        </w:rPr>
        <w:t>，欧元区经济实现同比增长0.89%，好于上年-0.44%的增长速度，整体经济呈现缓慢复苏的趋势。2014年欧元区失业率居高不下，为11.61%，虽然较上年略有下降，但仍维持在较高水平。与此同时，CPI为0.44%，较上年下降0.91个百分点，存在一定的通缩风险。整体看，欧元区经济缓慢复苏，但高失业率和通</w:t>
      </w:r>
      <w:proofErr w:type="gramStart"/>
      <w:r w:rsidRPr="00E80DE0">
        <w:rPr>
          <w:rFonts w:ascii="宋体" w:eastAsia="宋体" w:hAnsi="宋体" w:cs="宋体" w:hint="eastAsia"/>
          <w:kern w:val="0"/>
          <w:szCs w:val="21"/>
        </w:rPr>
        <w:t>缩风险</w:t>
      </w:r>
      <w:proofErr w:type="gramEnd"/>
      <w:r w:rsidRPr="00E80DE0">
        <w:rPr>
          <w:rFonts w:ascii="宋体" w:eastAsia="宋体" w:hAnsi="宋体" w:cs="宋体" w:hint="eastAsia"/>
          <w:kern w:val="0"/>
          <w:szCs w:val="21"/>
        </w:rPr>
        <w:t>同时存在，经济内在增长动力不足。</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2014年，虽然日本继续推行量宽</w:t>
      </w:r>
      <w:proofErr w:type="gramStart"/>
      <w:r w:rsidRPr="00E80DE0">
        <w:rPr>
          <w:rFonts w:ascii="宋体" w:eastAsia="宋体" w:hAnsi="宋体" w:cs="宋体" w:hint="eastAsia"/>
          <w:kern w:val="0"/>
          <w:szCs w:val="21"/>
        </w:rPr>
        <w:t>及质宽的</w:t>
      </w:r>
      <w:proofErr w:type="gramEnd"/>
      <w:r w:rsidRPr="00E80DE0">
        <w:rPr>
          <w:rFonts w:ascii="宋体" w:eastAsia="宋体" w:hAnsi="宋体" w:cs="宋体" w:hint="eastAsia"/>
          <w:kern w:val="0"/>
          <w:szCs w:val="21"/>
        </w:rPr>
        <w:t>货币政策（QQE）和积极的财政政策以刺激经济增长，但受到消费税率上调和内需萎缩、投资疲弱等因素影响，经济有所下滑，全年GDP增速为-0.10%。但失业率仍较为平稳，且进一步小幅回落，2014年日本失业率为3.59%，较上年下降0.44个百分点；CPI为2.74%，较上年上升2.38个百分点，超过了日本央行制定的2%的通胀目标，但年末通胀压力已有所减小。整体看，日本经济下行，但失业率仍维持在较好水平，通胀压力有所减小。</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新兴经济体面临较大的结构调整、地缘政治风险和资本外流等压力，经济增速呈现分化趋势，巴西、俄罗斯、南非和中国GDP增速分别为0.10%、0.64%、1.52%和7.40%，均较上年有不同程度的下降，印度GDP增速为7.40%，较上年上升0.50个百分点（主要得益于政府支出的增长对于经济的刺激作用）。2014年巴西、俄罗斯、印度和南非的CPI均在5.5%以上，通胀水平仍然较高。在美元逐渐走强、地缘政治矛盾时有发生、国际油价大幅下降的背景下，新兴经济体的经济面临考验，经济增速趋缓和通胀压力有所显现。</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二、 全球债券市场</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虽然美国逐渐退出了QE，但全球流动性仍然保持较为宽松的状态，全球主要国家和地区国债收益率呈现下行趋势；与此同时，在欧元区经济复苏缓慢、日本经济下行、新兴经济体经济放缓的影响下，全球债券发行总量有所下降，但全球债券托管总额仍较上年有所增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（一）  国债收益率呈下行走势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全球主要国家和地区国债收益率总体呈下行走势。2014年，在美国经济复苏强健的背景下，欧、日等主要发达经济体的货币宽松政策释放了流动性，在一定程度上减轻了美国退出QE的影响，乌克兰、希腊等地缘政治危机提高了避险需求，导致美</w:t>
      </w:r>
      <w:proofErr w:type="gramStart"/>
      <w:r w:rsidRPr="00E80DE0">
        <w:rPr>
          <w:rFonts w:ascii="宋体" w:eastAsia="宋体" w:hAnsi="宋体" w:cs="宋体" w:hint="eastAsia"/>
          <w:kern w:val="0"/>
          <w:szCs w:val="21"/>
        </w:rPr>
        <w:t>债平均</w:t>
      </w:r>
      <w:proofErr w:type="gramEnd"/>
      <w:r w:rsidRPr="00E80DE0">
        <w:rPr>
          <w:rFonts w:ascii="宋体" w:eastAsia="宋体" w:hAnsi="宋体" w:cs="宋体" w:hint="eastAsia"/>
          <w:kern w:val="0"/>
          <w:szCs w:val="21"/>
        </w:rPr>
        <w:t>价格水平升高，而收益率水平走低。截至2014年末美国10年期国债收益率为2.17%，较年初下降83个BP。2014年，欧央行通过下调政策利率和实施扩张资产购买计划等方式维持了较为充足的流动性，德国10年期国债收益率较年初下降151个BP至0.60%，创历史新低；英国10年期国债收益率较年初降低143个BP至1.82%的历史低位；整体欧元区国债收益率较美债收益率下降幅度更大。日本也通过实施QQE推行宽松的货币政策，2014年末10年期国债收益率较年初降低41个BP至0.33%，跌破历史低位。</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w:t>
      </w:r>
      <w:r w:rsidRPr="00E80DE0">
        <w:rPr>
          <w:rFonts w:ascii="宋体" w:eastAsia="宋体" w:hAnsi="宋体" w:cs="宋体"/>
          <w:noProof/>
          <w:color w:val="0000FF"/>
          <w:kern w:val="0"/>
          <w:szCs w:val="21"/>
        </w:rPr>
        <w:drawing>
          <wp:inline distT="0" distB="0" distL="0" distR="0">
            <wp:extent cx="4286250" cy="2200275"/>
            <wp:effectExtent l="0" t="0" r="0" b="9525"/>
            <wp:docPr id="1" name="图片 1" descr="http://lhcis.com/LHXY/wwwroot/lhxy/upload/Image/mrtp/2015/11/1_3619251452.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cis.com/LHXY/wwwroot/lhxy/upload/Image/mrtp/2015/11/1_3619251452.jpg">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200275"/>
                    </a:xfrm>
                    <a:prstGeom prst="rect">
                      <a:avLst/>
                    </a:prstGeom>
                    <a:noFill/>
                    <a:ln>
                      <a:noFill/>
                    </a:ln>
                  </pic:spPr>
                </pic:pic>
              </a:graphicData>
            </a:graphic>
          </wp:inline>
        </w:drawing>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数据来源：Wind </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图1  2013-2014年主要发达经济体10年期国债收益率走势图</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（二）  债券发行情况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美国国债发行量较上年增长3.52%，而地方政府债发行量较上年变化不大。在美国经济稳步增长的背景下，其企业债券发行量连年增长，2014年企业债券发行总量为14699.12亿美元，较上年增长3.92%，增幅较为平稳。2014年美国结构融资产品发行量则出现较明显下滑，较上年下降30.59%，其中MBS降幅达到35.38%，可能是受到美国退出QE削减购买MBS</w:t>
      </w:r>
      <w:bookmarkStart w:id="2" w:name="_ftnref2"/>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"_ftn2"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[2]</w:t>
      </w:r>
      <w:r w:rsidRPr="00E80DE0">
        <w:rPr>
          <w:rFonts w:ascii="宋体" w:eastAsia="宋体" w:hAnsi="宋体" w:cs="宋体"/>
          <w:kern w:val="0"/>
          <w:szCs w:val="21"/>
        </w:rPr>
        <w:fldChar w:fldCharType="end"/>
      </w:r>
      <w:bookmarkEnd w:id="2"/>
      <w:r w:rsidRPr="00E80DE0">
        <w:rPr>
          <w:rFonts w:ascii="宋体" w:eastAsia="宋体" w:hAnsi="宋体" w:cs="宋体" w:hint="eastAsia"/>
          <w:kern w:val="0"/>
          <w:szCs w:val="21"/>
        </w:rPr>
        <w:t>的影响。</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2014年，欧元区国家国债发行量较上年有所下降，而地方政府债发行量较上年有较大幅度增长，增幅达20.52%。在欧洲经济缓慢复苏的情况下，欧元区国家企业债券发行量为</w:t>
      </w:r>
      <w:r w:rsidRPr="00E80DE0">
        <w:rPr>
          <w:rFonts w:ascii="宋体" w:eastAsia="宋体" w:hAnsi="宋体" w:cs="宋体" w:hint="eastAsia"/>
          <w:kern w:val="0"/>
          <w:szCs w:val="21"/>
        </w:rPr>
        <w:lastRenderedPageBreak/>
        <w:t>15689.19亿欧元，虽较上年增长2.26%，但仍低于2012年发行量。欧元区国家结构融资产品发行量呈现较为明显的增长趋势，发行量较上年增长20.27%。</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2014年，随着日本经济下行、政府债务水平达到历史高位，其国债和地方政府债的发行量分别下降2.86%和2.80%；企业债券共计发行10.88</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日元，较上年下降3.66%，已连续三年下降；结构融资产品共计发行2.65</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日元，较上年下降2.20%。</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表1  2014年主要经济体债券发行情况表 </w:t>
      </w:r>
    </w:p>
    <w:tbl>
      <w:tblPr>
        <w:tblW w:w="8860" w:type="dxa"/>
        <w:jc w:val="center"/>
        <w:tblCellMar>
          <w:left w:w="0" w:type="dxa"/>
          <w:right w:w="0" w:type="dxa"/>
        </w:tblCellMar>
        <w:tblLook w:val="04A0" w:firstRow="1" w:lastRow="0" w:firstColumn="1" w:lastColumn="0" w:noHBand="0" w:noVBand="1"/>
      </w:tblPr>
      <w:tblGrid>
        <w:gridCol w:w="1159"/>
        <w:gridCol w:w="1266"/>
        <w:gridCol w:w="1266"/>
        <w:gridCol w:w="1266"/>
        <w:gridCol w:w="1266"/>
        <w:gridCol w:w="1266"/>
        <w:gridCol w:w="1266"/>
        <w:gridCol w:w="1476"/>
        <w:gridCol w:w="1581"/>
        <w:gridCol w:w="1581"/>
      </w:tblGrid>
      <w:tr w:rsidR="00E80DE0" w:rsidRPr="00E80DE0" w:rsidTr="00E80DE0">
        <w:trPr>
          <w:trHeight w:val="340"/>
          <w:jc w:val="center"/>
        </w:trPr>
        <w:tc>
          <w:tcPr>
            <w:tcW w:w="1159" w:type="dxa"/>
            <w:vMerge w:val="restart"/>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债券类型</w:t>
            </w:r>
          </w:p>
        </w:tc>
        <w:tc>
          <w:tcPr>
            <w:tcW w:w="2530" w:type="dxa"/>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美国（亿美元）</w:t>
            </w:r>
          </w:p>
        </w:tc>
        <w:tc>
          <w:tcPr>
            <w:tcW w:w="2369" w:type="dxa"/>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欧洲（亿欧元）</w:t>
            </w:r>
          </w:p>
        </w:tc>
        <w:tc>
          <w:tcPr>
            <w:tcW w:w="2802" w:type="dxa"/>
            <w:gridSpan w:val="3"/>
            <w:tcBorders>
              <w:top w:val="single" w:sz="8" w:space="0" w:color="auto"/>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日本（亿日元）</w:t>
            </w:r>
          </w:p>
        </w:tc>
      </w:tr>
      <w:tr w:rsidR="00E80DE0" w:rsidRPr="00E80DE0" w:rsidTr="00E80DE0">
        <w:trPr>
          <w:trHeight w:val="340"/>
          <w:jc w:val="center"/>
        </w:trPr>
        <w:tc>
          <w:tcPr>
            <w:tcW w:w="0" w:type="auto"/>
            <w:vMerge/>
            <w:tcBorders>
              <w:top w:val="single" w:sz="8" w:space="0" w:color="auto"/>
              <w:left w:val="nil"/>
              <w:bottom w:val="single" w:sz="8" w:space="0" w:color="auto"/>
              <w:right w:val="single" w:sz="8" w:space="0" w:color="auto"/>
            </w:tcBorders>
            <w:vAlign w:val="center"/>
            <w:hideMark/>
          </w:tcPr>
          <w:p w:rsidR="00E80DE0" w:rsidRPr="00E80DE0" w:rsidRDefault="00E80DE0" w:rsidP="00E80DE0">
            <w:pPr>
              <w:widowControl/>
              <w:jc w:val="left"/>
              <w:rPr>
                <w:rFonts w:ascii="宋体" w:eastAsia="宋体" w:hAnsi="宋体" w:cs="宋体"/>
                <w:kern w:val="0"/>
                <w:szCs w:val="21"/>
              </w:rPr>
            </w:pPr>
          </w:p>
        </w:tc>
        <w:tc>
          <w:tcPr>
            <w:tcW w:w="895"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825"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810"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c>
          <w:tcPr>
            <w:tcW w:w="811"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779"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779"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c>
          <w:tcPr>
            <w:tcW w:w="929"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94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929"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2014年</w:t>
            </w:r>
          </w:p>
        </w:tc>
      </w:tr>
      <w:tr w:rsidR="00E80DE0" w:rsidRPr="00E80DE0" w:rsidTr="00E80DE0">
        <w:trPr>
          <w:trHeight w:val="340"/>
          <w:jc w:val="center"/>
        </w:trPr>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国债</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23045. 18</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21399. 76</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22153. 80</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22492. 69</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22582. 73</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21472. 54</w:t>
            </w:r>
          </w:p>
        </w:tc>
        <w:tc>
          <w:tcPr>
            <w:tcW w:w="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1722489. 03</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1810322. 01</w:t>
            </w:r>
          </w:p>
        </w:tc>
        <w:tc>
          <w:tcPr>
            <w:tcW w:w="929"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1758489. 45</w:t>
            </w:r>
          </w:p>
        </w:tc>
      </w:tr>
      <w:tr w:rsidR="00E80DE0" w:rsidRPr="00E80DE0" w:rsidTr="00E80DE0">
        <w:trPr>
          <w:trHeight w:val="340"/>
          <w:jc w:val="center"/>
        </w:trPr>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地方政府债</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3824. 12 </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3352. 47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3375. 44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3903. 18</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3516. 19</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4237. 81</w:t>
            </w:r>
          </w:p>
        </w:tc>
        <w:tc>
          <w:tcPr>
            <w:tcW w:w="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67716. 30 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70796. 23  </w:t>
            </w:r>
          </w:p>
        </w:tc>
        <w:tc>
          <w:tcPr>
            <w:tcW w:w="929"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68808. 26</w:t>
            </w:r>
          </w:p>
        </w:tc>
      </w:tr>
      <w:tr w:rsidR="00E80DE0" w:rsidRPr="00E80DE0" w:rsidTr="00E80DE0">
        <w:trPr>
          <w:trHeight w:val="340"/>
          <w:jc w:val="center"/>
        </w:trPr>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企业债</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13648. 71 </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14138. 34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14699. 12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17920. 66</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15342. 92</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15689. 19</w:t>
            </w:r>
          </w:p>
        </w:tc>
        <w:tc>
          <w:tcPr>
            <w:tcW w:w="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113823. 76</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112935. 41  </w:t>
            </w:r>
          </w:p>
        </w:tc>
        <w:tc>
          <w:tcPr>
            <w:tcW w:w="929"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108796. 65  </w:t>
            </w:r>
          </w:p>
        </w:tc>
      </w:tr>
      <w:tr w:rsidR="00E80DE0" w:rsidRPr="00E80DE0" w:rsidTr="00E80DE0">
        <w:trPr>
          <w:trHeight w:val="340"/>
          <w:jc w:val="center"/>
        </w:trPr>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结构融资产品</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22685. 16 </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21549. 41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14958. 34 </w:t>
            </w:r>
          </w:p>
        </w:tc>
        <w:tc>
          <w:tcPr>
            <w:tcW w:w="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3244. 98</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2388. 64</w:t>
            </w:r>
          </w:p>
        </w:tc>
        <w:tc>
          <w:tcPr>
            <w:tcW w:w="7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2872. 92</w:t>
            </w:r>
          </w:p>
        </w:tc>
        <w:tc>
          <w:tcPr>
            <w:tcW w:w="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28641. 00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27081. 00</w:t>
            </w:r>
          </w:p>
        </w:tc>
        <w:tc>
          <w:tcPr>
            <w:tcW w:w="929"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26486. 00</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注：1. 表中欧洲为欧元区19个国家债券统计总数，以下同，其中结构融资产品发行单位为亿美元；2. 日本结构融资产品为财政年度数据，财政年度截止日为3月31日。</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数据来源：</w:t>
      </w:r>
      <w:proofErr w:type="spellStart"/>
      <w:r w:rsidRPr="00E80DE0">
        <w:rPr>
          <w:rFonts w:ascii="宋体" w:eastAsia="宋体" w:hAnsi="宋体" w:cs="宋体" w:hint="eastAsia"/>
          <w:kern w:val="0"/>
          <w:szCs w:val="21"/>
        </w:rPr>
        <w:t>Sifma</w:t>
      </w:r>
      <w:proofErr w:type="spellEnd"/>
      <w:r w:rsidRPr="00E80DE0">
        <w:rPr>
          <w:rFonts w:ascii="宋体" w:eastAsia="宋体" w:hAnsi="宋体" w:cs="宋体" w:hint="eastAsia"/>
          <w:kern w:val="0"/>
          <w:szCs w:val="21"/>
        </w:rPr>
        <w:t>、欧盟统计局、日本证券业协会、联</w:t>
      </w:r>
      <w:proofErr w:type="gramStart"/>
      <w:r w:rsidRPr="00E80DE0">
        <w:rPr>
          <w:rFonts w:ascii="宋体" w:eastAsia="宋体" w:hAnsi="宋体" w:cs="宋体" w:hint="eastAsia"/>
          <w:kern w:val="0"/>
          <w:szCs w:val="21"/>
        </w:rPr>
        <w:t>合资信</w:t>
      </w:r>
      <w:proofErr w:type="gramEnd"/>
      <w:r w:rsidRPr="00E80DE0">
        <w:rPr>
          <w:rFonts w:ascii="宋体" w:eastAsia="宋体" w:hAnsi="宋体" w:cs="宋体" w:hint="eastAsia"/>
          <w:kern w:val="0"/>
          <w:szCs w:val="21"/>
        </w:rPr>
        <w:t>整理。</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（三）  债券托管情况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截至2014年末，美国债券托管总额为38.99</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美元，较上年增长3.21%，除地方政府债托管额略有下降外，企业债券、国债、结构融资产品托管额均有所增加，其中企业债和国债托管额较上年末分别增长5.13%和5.49%。</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截至2014年末，欧元区国家债券托管总额为18.33</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欧元，托管总额较上年略有下降。除结构融资产品托管额较上年末下降了5.81%外，其他券种托管额均略有增加，其中企业债券托管额较上年增长3.60%，增幅最多。</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截至2014年末，日本债券托管总额为1102.76</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日元，较上年小幅增长2.12%。其中，企业债券托管额较上年末下降2.43%，国债、地方政府债托管额较上年分别增长2.63%和2.10%，结构融资产品托管额也小幅增加。</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表2  2014年主要经济体债券托管情况表</w:t>
      </w:r>
    </w:p>
    <w:tbl>
      <w:tblPr>
        <w:tblW w:w="9271" w:type="dxa"/>
        <w:jc w:val="center"/>
        <w:tblCellMar>
          <w:left w:w="0" w:type="dxa"/>
          <w:right w:w="0" w:type="dxa"/>
        </w:tblCellMar>
        <w:tblLook w:val="04A0" w:firstRow="1" w:lastRow="0" w:firstColumn="1" w:lastColumn="0" w:noHBand="0" w:noVBand="1"/>
      </w:tblPr>
      <w:tblGrid>
        <w:gridCol w:w="1135"/>
        <w:gridCol w:w="1161"/>
        <w:gridCol w:w="1161"/>
        <w:gridCol w:w="1161"/>
        <w:gridCol w:w="1161"/>
        <w:gridCol w:w="1161"/>
        <w:gridCol w:w="1161"/>
        <w:gridCol w:w="1371"/>
        <w:gridCol w:w="1581"/>
        <w:gridCol w:w="1371"/>
      </w:tblGrid>
      <w:tr w:rsidR="00E80DE0" w:rsidRPr="00E80DE0" w:rsidTr="00E80DE0">
        <w:trPr>
          <w:trHeight w:val="340"/>
          <w:jc w:val="center"/>
        </w:trPr>
        <w:tc>
          <w:tcPr>
            <w:tcW w:w="1135" w:type="dxa"/>
            <w:vMerge w:val="restart"/>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债券类型</w:t>
            </w:r>
          </w:p>
        </w:tc>
        <w:tc>
          <w:tcPr>
            <w:tcW w:w="2562" w:type="dxa"/>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美国（亿美元）</w:t>
            </w:r>
          </w:p>
        </w:tc>
        <w:tc>
          <w:tcPr>
            <w:tcW w:w="2562" w:type="dxa"/>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欧洲（亿欧元）</w:t>
            </w:r>
          </w:p>
        </w:tc>
        <w:tc>
          <w:tcPr>
            <w:tcW w:w="3012" w:type="dxa"/>
            <w:gridSpan w:val="3"/>
            <w:tcBorders>
              <w:top w:val="single" w:sz="8" w:space="0" w:color="auto"/>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日本（亿日元）</w:t>
            </w:r>
          </w:p>
        </w:tc>
      </w:tr>
      <w:tr w:rsidR="00E80DE0" w:rsidRPr="00E80DE0" w:rsidTr="00E80DE0">
        <w:trPr>
          <w:trHeight w:val="340"/>
          <w:jc w:val="center"/>
        </w:trPr>
        <w:tc>
          <w:tcPr>
            <w:tcW w:w="0" w:type="auto"/>
            <w:vMerge/>
            <w:tcBorders>
              <w:top w:val="single" w:sz="8" w:space="0" w:color="auto"/>
              <w:left w:val="nil"/>
              <w:bottom w:val="single" w:sz="8" w:space="0" w:color="auto"/>
              <w:right w:val="single" w:sz="8" w:space="0" w:color="auto"/>
            </w:tcBorders>
            <w:vAlign w:val="center"/>
            <w:hideMark/>
          </w:tcPr>
          <w:p w:rsidR="00E80DE0" w:rsidRPr="00E80DE0" w:rsidRDefault="00E80DE0" w:rsidP="00E80DE0">
            <w:pPr>
              <w:widowControl/>
              <w:jc w:val="left"/>
              <w:rPr>
                <w:rFonts w:ascii="宋体" w:eastAsia="宋体" w:hAnsi="宋体" w:cs="宋体"/>
                <w:kern w:val="0"/>
                <w:szCs w:val="21"/>
              </w:rPr>
            </w:pP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85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c>
          <w:tcPr>
            <w:tcW w:w="100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1004"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1004"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国债</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110460.91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118544.35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125047.82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63161.08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65977.90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68236.66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8044118.15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8429598.06 </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8651377.78 </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lastRenderedPageBreak/>
              <w:t>地方政府债</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37144.33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36712.25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36523.81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6904.34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6797.60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6930.15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543794.43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569427. 58 </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581398.94 </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企业债</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70505.00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74579.00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78403.00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42446.68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42276.43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43797.00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747280.59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728889. 08 </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711153.17 </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结构融资产品</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100683.17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99723.36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100647.61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23117.95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20262.58 </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19084.82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280504.00</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280922. 00</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281144.00</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其他</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47074.4</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48238.03</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49319.36</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53963.31</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48821.91</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45270.45</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776655.34</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789819. 56</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802538.32</w:t>
            </w:r>
          </w:p>
        </w:tc>
      </w:tr>
      <w:tr w:rsidR="00E80DE0" w:rsidRPr="00E80DE0" w:rsidTr="00E80DE0">
        <w:trPr>
          <w:trHeight w:val="340"/>
          <w:jc w:val="center"/>
        </w:trPr>
        <w:tc>
          <w:tcPr>
            <w:tcW w:w="1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合计</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365867.81</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377796.99</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389941.60</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189593.36</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184136.42</w:t>
            </w:r>
          </w:p>
        </w:tc>
        <w:tc>
          <w:tcPr>
            <w:tcW w:w="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183319.08</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10392352.51</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10798656. 28</w:t>
            </w:r>
          </w:p>
        </w:tc>
        <w:tc>
          <w:tcPr>
            <w:tcW w:w="1004" w:type="dxa"/>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11027612.21</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注：1. 表中欧洲结构融资产品发行单位为亿美元；2. 日本结构融资产品为财政年度数据，财政年度截止日为3月31日；3. 合计数据为各经济体全部债券托管额的合计，包括但不限于企业债、国债、地方政府债和结构融资产品。</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数据来源：美国证券业及金融市场协会(</w:t>
      </w:r>
      <w:proofErr w:type="spellStart"/>
      <w:r w:rsidRPr="00E80DE0">
        <w:rPr>
          <w:rFonts w:ascii="宋体" w:eastAsia="宋体" w:hAnsi="宋体" w:cs="宋体" w:hint="eastAsia"/>
          <w:kern w:val="0"/>
          <w:szCs w:val="21"/>
        </w:rPr>
        <w:t>Sifma</w:t>
      </w:r>
      <w:proofErr w:type="spellEnd"/>
      <w:r w:rsidRPr="00E80DE0">
        <w:rPr>
          <w:rFonts w:ascii="宋体" w:eastAsia="宋体" w:hAnsi="宋体" w:cs="宋体" w:hint="eastAsia"/>
          <w:kern w:val="0"/>
          <w:szCs w:val="21"/>
        </w:rPr>
        <w:t>)、欧盟统计局、日本证券统计、联</w:t>
      </w:r>
      <w:proofErr w:type="gramStart"/>
      <w:r w:rsidRPr="00E80DE0">
        <w:rPr>
          <w:rFonts w:ascii="宋体" w:eastAsia="宋体" w:hAnsi="宋体" w:cs="宋体" w:hint="eastAsia"/>
          <w:kern w:val="0"/>
          <w:szCs w:val="21"/>
        </w:rPr>
        <w:t>合资信</w:t>
      </w:r>
      <w:proofErr w:type="gramEnd"/>
      <w:r w:rsidRPr="00E80DE0">
        <w:rPr>
          <w:rFonts w:ascii="宋体" w:eastAsia="宋体" w:hAnsi="宋体" w:cs="宋体" w:hint="eastAsia"/>
          <w:kern w:val="0"/>
          <w:szCs w:val="21"/>
        </w:rPr>
        <w:t>整理。</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三、 国际评级行业发展</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（一）美国信用评级行业发展</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2014年，美国信用评级行业稳定发展。截至2014年底，美国认可的评级机构（NRSRO）依旧为10家，其中标普（S&amp;P rating）、穆迪（Moody</w:t>
      </w:r>
      <w:proofErr w:type="gramStart"/>
      <w:r w:rsidRPr="00E80DE0">
        <w:rPr>
          <w:rFonts w:ascii="宋体" w:eastAsia="宋体" w:hAnsi="宋体" w:cs="宋体" w:hint="eastAsia"/>
          <w:kern w:val="0"/>
          <w:szCs w:val="21"/>
        </w:rPr>
        <w:t>’</w:t>
      </w:r>
      <w:proofErr w:type="gramEnd"/>
      <w:r w:rsidRPr="00E80DE0">
        <w:rPr>
          <w:rFonts w:ascii="宋体" w:eastAsia="宋体" w:hAnsi="宋体" w:cs="宋体" w:hint="eastAsia"/>
          <w:kern w:val="0"/>
          <w:szCs w:val="21"/>
        </w:rPr>
        <w:t>s investors service）和惠誉（Fitch ratings）三大评级机构继续保持垄断地位；评级机构分析师数量稳步增长；整体收入呈现增长趋势。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1.  三大评级机构依旧处于寡头垄断地位</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根据美国证券业协会年报，截至2013年末，标普、穆迪、惠誉仍然是评级数量最多的评级机构，三大评级机构共占有96.55%的市场份额，其中标普所占市场份额最大（46.15%），其次是穆迪（37.01%）和惠誉（13.39%）。中小评级机构中，贝氏评级在保险公司评级领域仅次于标普，其市场份额也呈现不断增长趋势（由2011年23.12%上升至2013年的24.15%）；晨星和多美年在资产支持证券评级方面表现较为突出，其中多美年的市场份额逐年增长（由2011年的3.45%上升至2013年的4.39%）；克罗尔在工商企业领域发展较快，评级数量较2012年增长174.90%。</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从评级产品来看，截至2013年末，政府债券的有效评级数量最多，占比为76.65%，其次为资产支持证券、金融机构（不包括保险公司）和工商企业，占比分别为10.00%、7.88%和4.70%，保险公司的占比最小，仅为0.76%。</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表3  截至2013年末评级机构有效评级数量统计情况  （单位：</w:t>
      </w:r>
      <w:proofErr w:type="gramStart"/>
      <w:r w:rsidRPr="00E80DE0">
        <w:rPr>
          <w:rFonts w:ascii="宋体" w:eastAsia="宋体" w:hAnsi="宋体" w:cs="宋体" w:hint="eastAsia"/>
          <w:kern w:val="0"/>
          <w:sz w:val="18"/>
          <w:szCs w:val="18"/>
        </w:rPr>
        <w:t>个</w:t>
      </w:r>
      <w:proofErr w:type="gramEnd"/>
      <w:r w:rsidRPr="00E80DE0">
        <w:rPr>
          <w:rFonts w:ascii="宋体" w:eastAsia="宋体" w:hAnsi="宋体" w:cs="宋体" w:hint="eastAsia"/>
          <w:kern w:val="0"/>
          <w:sz w:val="18"/>
          <w:szCs w:val="18"/>
        </w:rPr>
        <w:t>）</w:t>
      </w:r>
    </w:p>
    <w:tbl>
      <w:tblPr>
        <w:tblW w:w="8925" w:type="dxa"/>
        <w:tblInd w:w="108" w:type="dxa"/>
        <w:tblCellMar>
          <w:left w:w="0" w:type="dxa"/>
          <w:right w:w="0" w:type="dxa"/>
        </w:tblCellMar>
        <w:tblLook w:val="04A0" w:firstRow="1" w:lastRow="0" w:firstColumn="1" w:lastColumn="0" w:noHBand="0" w:noVBand="1"/>
      </w:tblPr>
      <w:tblGrid>
        <w:gridCol w:w="1701"/>
        <w:gridCol w:w="1275"/>
        <w:gridCol w:w="1133"/>
        <w:gridCol w:w="1275"/>
        <w:gridCol w:w="1275"/>
        <w:gridCol w:w="1133"/>
        <w:gridCol w:w="1133"/>
      </w:tblGrid>
      <w:tr w:rsidR="00E80DE0" w:rsidRPr="00E80DE0" w:rsidTr="00E80DE0">
        <w:trPr>
          <w:trHeight w:val="340"/>
        </w:trPr>
        <w:tc>
          <w:tcPr>
            <w:tcW w:w="170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lastRenderedPageBreak/>
              <w:t>评级机构</w:t>
            </w:r>
          </w:p>
        </w:tc>
        <w:tc>
          <w:tcPr>
            <w:tcW w:w="127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1134"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保险公司</w:t>
            </w:r>
          </w:p>
        </w:tc>
        <w:tc>
          <w:tcPr>
            <w:tcW w:w="127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127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资产支持证券</w:t>
            </w:r>
          </w:p>
        </w:tc>
        <w:tc>
          <w:tcPr>
            <w:tcW w:w="1134"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政府债券</w:t>
            </w:r>
          </w:p>
        </w:tc>
        <w:tc>
          <w:tcPr>
            <w:tcW w:w="1134" w:type="dxa"/>
            <w:tcBorders>
              <w:top w:val="single" w:sz="8" w:space="0" w:color="auto"/>
              <w:left w:val="nil"/>
              <w:bottom w:val="single" w:sz="8" w:space="0" w:color="auto"/>
              <w:right w:val="nil"/>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合计</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贝氏（</w:t>
            </w:r>
            <w:proofErr w:type="spellStart"/>
            <w:r w:rsidRPr="00E80DE0">
              <w:rPr>
                <w:rFonts w:ascii="宋体" w:eastAsia="宋体" w:hAnsi="宋体" w:cs="宋体" w:hint="eastAsia"/>
                <w:kern w:val="0"/>
                <w:sz w:val="18"/>
                <w:szCs w:val="18"/>
              </w:rPr>
              <w:t>AM.Best</w:t>
            </w:r>
            <w:proofErr w:type="spellEnd"/>
            <w:r w:rsidRPr="00E80DE0">
              <w:rPr>
                <w:rFonts w:ascii="宋体" w:eastAsia="宋体" w:hAnsi="宋体" w:cs="宋体" w:hint="eastAsia"/>
                <w:kern w:val="0"/>
                <w:sz w:val="18"/>
                <w:szCs w:val="18"/>
              </w:rPr>
              <w:t>）</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4492</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1653</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56</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6201</w:t>
            </w:r>
          </w:p>
        </w:tc>
      </w:tr>
      <w:tr w:rsidR="00E80DE0" w:rsidRPr="00E80DE0" w:rsidTr="00E80DE0">
        <w:trPr>
          <w:trHeight w:val="340"/>
        </w:trPr>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多美年（DBRS）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13624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3790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10706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16038</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44308</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伊根-琼斯（EJR）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104</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46</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877</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1027</w:t>
            </w:r>
          </w:p>
        </w:tc>
      </w:tr>
      <w:tr w:rsidR="00E80DE0" w:rsidRPr="00E80DE0" w:rsidTr="00E80DE0">
        <w:trPr>
          <w:trHeight w:val="340"/>
        </w:trPr>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惠誉（Fitch）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49821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15299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53612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204303</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326257</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HR Rating</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189</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189</w:t>
            </w:r>
          </w:p>
        </w:tc>
      </w:tr>
      <w:tr w:rsidR="00E80DE0" w:rsidRPr="00E80DE0" w:rsidTr="00E80DE0">
        <w:trPr>
          <w:trHeight w:val="340"/>
        </w:trPr>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日本信用评级研究所（JCR）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56</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696</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克罗尔（Kroll）</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15982</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44</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2749</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1401</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25</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20201</w:t>
            </w:r>
          </w:p>
        </w:tc>
      </w:tr>
      <w:tr w:rsidR="00E80DE0" w:rsidRPr="00E80DE0" w:rsidTr="00E80DE0">
        <w:trPr>
          <w:trHeight w:val="340"/>
        </w:trPr>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穆迪（Moody</w:t>
            </w:r>
            <w:proofErr w:type="gramStart"/>
            <w:r w:rsidRPr="00E80DE0">
              <w:rPr>
                <w:rFonts w:ascii="宋体" w:eastAsia="宋体" w:hAnsi="宋体" w:cs="宋体" w:hint="eastAsia"/>
                <w:kern w:val="0"/>
                <w:sz w:val="18"/>
                <w:szCs w:val="18"/>
              </w:rPr>
              <w:t>’</w:t>
            </w:r>
            <w:proofErr w:type="gramEnd"/>
            <w:r w:rsidRPr="00E80DE0">
              <w:rPr>
                <w:rFonts w:ascii="宋体" w:eastAsia="宋体" w:hAnsi="宋体" w:cs="宋体" w:hint="eastAsia"/>
                <w:kern w:val="0"/>
                <w:sz w:val="18"/>
                <w:szCs w:val="18"/>
              </w:rPr>
              <w:t>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53383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3418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40008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76464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728627</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901900</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晨星（Morningstar）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11567</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N/R</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11567</w:t>
            </w:r>
          </w:p>
        </w:tc>
      </w:tr>
      <w:tr w:rsidR="00E80DE0" w:rsidRPr="00E80DE0" w:rsidTr="00E80DE0">
        <w:trPr>
          <w:trHeight w:val="340"/>
        </w:trPr>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标普（S&amp;P）</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59000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49700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918800</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1124700</w:t>
            </w:r>
          </w:p>
        </w:tc>
      </w:tr>
      <w:tr w:rsidR="00E80DE0" w:rsidRPr="00E80DE0" w:rsidTr="00E80DE0">
        <w:trPr>
          <w:trHeight w:val="340"/>
        </w:trPr>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合计</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192064</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18599</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114539</w:t>
            </w:r>
          </w:p>
        </w:tc>
        <w:tc>
          <w:tcPr>
            <w:tcW w:w="127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243806</w:t>
            </w:r>
          </w:p>
        </w:tc>
        <w:tc>
          <w:tcPr>
            <w:tcW w:w="113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1868038</w:t>
            </w:r>
          </w:p>
        </w:tc>
        <w:tc>
          <w:tcPr>
            <w:tcW w:w="1134"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2437046</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注：1. 金融机构为保险公司以外的金融机构；</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w:t>
      </w:r>
      <w:r w:rsidRPr="00E80DE0">
        <w:rPr>
          <w:rFonts w:ascii="宋体" w:eastAsia="宋体" w:hAnsi="宋体" w:cs="宋体" w:hint="eastAsia"/>
          <w:kern w:val="0"/>
          <w:sz w:val="18"/>
          <w:szCs w:val="18"/>
        </w:rPr>
        <w:t>2. “N/R”指该机构不具备该类评级业务的NRSRO资质。</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资料来源：SEC</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2.  分析师数量稳定增长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截至2013年末，美国认可的评级机构分析师从业人员达4218人，其中标普、穆迪和惠誉三家评级机构的分析师数量分别为1465人、1244人和1102人，合计人数占评级机构分析师总数的90.35%。与2012年相比，2013年标普、穆迪和惠誉分析师人数分别增长2.0%、10.8%和0.9%，除贝氏和JCR外，其他中小评级机构的分析师数量也呈现增长趋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3.  评级机构整体收入较上年有所增长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2013年美国认可的评级机构的业务总收入为54.02亿美元，其中三大评级机构收入合计占评级机构总收入的94.50%，</w:t>
      </w:r>
      <w:proofErr w:type="gramStart"/>
      <w:r w:rsidRPr="00E80DE0">
        <w:rPr>
          <w:rFonts w:ascii="宋体" w:eastAsia="宋体" w:hAnsi="宋体" w:cs="宋体" w:hint="eastAsia"/>
          <w:kern w:val="0"/>
          <w:szCs w:val="21"/>
        </w:rPr>
        <w:t>占比较</w:t>
      </w:r>
      <w:proofErr w:type="gramEnd"/>
      <w:r w:rsidRPr="00E80DE0">
        <w:rPr>
          <w:rFonts w:ascii="宋体" w:eastAsia="宋体" w:hAnsi="宋体" w:cs="宋体" w:hint="eastAsia"/>
          <w:kern w:val="0"/>
          <w:szCs w:val="21"/>
        </w:rPr>
        <w:t>为稳定。2011-2013年，评级机构总收入的年均复合增长率为13.15%，其中三大评级机构和中小评级机构收入的年均复合增长率分别为13.50%和7.71%，三大评级机构收入增速较快。</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t xml:space="preserve">　　2014年，三大评级机构的业务收入继续保持增长态势，收入合计55.38亿美元，较上年增长8.48%。具体来看，2014年</w:t>
      </w:r>
      <w:proofErr w:type="gramStart"/>
      <w:r w:rsidRPr="00E80DE0">
        <w:rPr>
          <w:rFonts w:ascii="宋体" w:eastAsia="宋体" w:hAnsi="宋体" w:cs="宋体" w:hint="eastAsia"/>
          <w:kern w:val="0"/>
          <w:szCs w:val="21"/>
        </w:rPr>
        <w:t>标普收入</w:t>
      </w:r>
      <w:proofErr w:type="gramEnd"/>
      <w:r w:rsidRPr="00E80DE0">
        <w:rPr>
          <w:rFonts w:ascii="宋体" w:eastAsia="宋体" w:hAnsi="宋体" w:cs="宋体" w:hint="eastAsia"/>
          <w:kern w:val="0"/>
          <w:szCs w:val="21"/>
        </w:rPr>
        <w:t>为24.55亿美元，较2013年上涨8.00%，收入的增长主要是由于全球工商企业和金融机构评级业务增速较快所致，但结构融资业务收入有所下降；穆迪收入为22.66亿美元，较2013年增长9.00%，各项业务收入均出现增长，尤其是结构融资收入，受益于信贷资产支持证券发行增多，其增速达到12.00%；惠誉收入为8.17亿美元，较2013年增长了8.47%。</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表4  美国评级机构业务收入情况  （亿美元）</w:t>
      </w:r>
    </w:p>
    <w:tbl>
      <w:tblPr>
        <w:tblW w:w="0" w:type="auto"/>
        <w:jc w:val="center"/>
        <w:tblCellMar>
          <w:left w:w="0" w:type="dxa"/>
          <w:right w:w="0" w:type="dxa"/>
        </w:tblCellMar>
        <w:tblLook w:val="04A0" w:firstRow="1" w:lastRow="0" w:firstColumn="1" w:lastColumn="0" w:noHBand="0" w:noVBand="1"/>
      </w:tblPr>
      <w:tblGrid>
        <w:gridCol w:w="1620"/>
        <w:gridCol w:w="1671"/>
        <w:gridCol w:w="1672"/>
        <w:gridCol w:w="1671"/>
        <w:gridCol w:w="1672"/>
      </w:tblGrid>
      <w:tr w:rsidR="00E80DE0" w:rsidRPr="00E80DE0" w:rsidTr="00E80DE0">
        <w:trPr>
          <w:trHeight w:val="340"/>
          <w:jc w:val="center"/>
        </w:trPr>
        <w:tc>
          <w:tcPr>
            <w:tcW w:w="174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评级机构</w:t>
            </w:r>
          </w:p>
        </w:tc>
        <w:tc>
          <w:tcPr>
            <w:tcW w:w="174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2014年</w:t>
            </w:r>
          </w:p>
        </w:tc>
        <w:tc>
          <w:tcPr>
            <w:tcW w:w="174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2013年</w:t>
            </w:r>
          </w:p>
        </w:tc>
        <w:tc>
          <w:tcPr>
            <w:tcW w:w="174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2012年</w:t>
            </w:r>
          </w:p>
        </w:tc>
        <w:tc>
          <w:tcPr>
            <w:tcW w:w="1749" w:type="dxa"/>
            <w:tcBorders>
              <w:top w:val="single" w:sz="8" w:space="0" w:color="auto"/>
              <w:left w:val="nil"/>
              <w:bottom w:val="single" w:sz="8" w:space="0" w:color="auto"/>
              <w:right w:val="nil"/>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2011年</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proofErr w:type="gramStart"/>
            <w:r w:rsidRPr="00E80DE0">
              <w:rPr>
                <w:rFonts w:ascii="宋体" w:eastAsia="宋体" w:hAnsi="宋体" w:cs="宋体" w:hint="eastAsia"/>
                <w:kern w:val="0"/>
                <w:szCs w:val="21"/>
              </w:rPr>
              <w:t>标普</w:t>
            </w:r>
            <w:proofErr w:type="gramEnd"/>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24. 55</w:t>
            </w:r>
          </w:p>
        </w:tc>
        <w:tc>
          <w:tcPr>
            <w:tcW w:w="174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22. 73</w:t>
            </w:r>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20. 34</w:t>
            </w:r>
          </w:p>
        </w:tc>
        <w:tc>
          <w:tcPr>
            <w:tcW w:w="1749"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17. 67</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穆迪</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22. 66</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20. 79</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19. 08</w:t>
            </w:r>
          </w:p>
        </w:tc>
        <w:tc>
          <w:tcPr>
            <w:tcW w:w="1749"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15. 90</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惠誉</w:t>
            </w:r>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8. 17</w:t>
            </w:r>
          </w:p>
        </w:tc>
        <w:tc>
          <w:tcPr>
            <w:tcW w:w="174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7. 53</w:t>
            </w:r>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6. 62</w:t>
            </w:r>
          </w:p>
        </w:tc>
        <w:tc>
          <w:tcPr>
            <w:tcW w:w="1749"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6. 06</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三家机构收入合计</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55. 38</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51. 05</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46. 04</w:t>
            </w:r>
          </w:p>
        </w:tc>
        <w:tc>
          <w:tcPr>
            <w:tcW w:w="1749"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39. 63</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中小评级机构</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2. 97</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2. 70</w:t>
            </w:r>
          </w:p>
        </w:tc>
        <w:tc>
          <w:tcPr>
            <w:tcW w:w="1749" w:type="dxa"/>
            <w:tcBorders>
              <w:top w:val="nil"/>
              <w:left w:val="nil"/>
              <w:bottom w:val="single" w:sz="8" w:space="0" w:color="auto"/>
              <w:right w:val="nil"/>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2. 56</w:t>
            </w:r>
          </w:p>
        </w:tc>
      </w:tr>
      <w:tr w:rsidR="00E80DE0" w:rsidRPr="00E80DE0" w:rsidTr="00E80DE0">
        <w:trPr>
          <w:trHeight w:val="340"/>
          <w:jc w:val="center"/>
        </w:trPr>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总计</w:t>
            </w:r>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w:t>
            </w:r>
          </w:p>
        </w:tc>
        <w:tc>
          <w:tcPr>
            <w:tcW w:w="174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54. 02</w:t>
            </w:r>
          </w:p>
        </w:tc>
        <w:tc>
          <w:tcPr>
            <w:tcW w:w="174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48. 74</w:t>
            </w:r>
          </w:p>
        </w:tc>
        <w:tc>
          <w:tcPr>
            <w:tcW w:w="1749" w:type="dxa"/>
            <w:tcBorders>
              <w:top w:val="nil"/>
              <w:left w:val="nil"/>
              <w:bottom w:val="single" w:sz="8" w:space="0" w:color="auto"/>
              <w:right w:val="nil"/>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42. 19</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注：评级机构业务收入包括评级业务收入和非评级业务收入。</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资料来源：美国证券交易委员会（SEC）、三大评级机构年报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4.  公司治理及海外业务发展情况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2014年12月，</w:t>
      </w:r>
      <w:proofErr w:type="spellStart"/>
      <w:r w:rsidRPr="00E80DE0">
        <w:rPr>
          <w:rFonts w:ascii="宋体" w:eastAsia="宋体" w:hAnsi="宋体" w:cs="宋体" w:hint="eastAsia"/>
          <w:kern w:val="0"/>
          <w:szCs w:val="21"/>
        </w:rPr>
        <w:t>Fimalac</w:t>
      </w:r>
      <w:proofErr w:type="spellEnd"/>
      <w:r w:rsidRPr="00E80DE0">
        <w:rPr>
          <w:rFonts w:ascii="宋体" w:eastAsia="宋体" w:hAnsi="宋体" w:cs="宋体" w:hint="eastAsia"/>
          <w:kern w:val="0"/>
          <w:szCs w:val="21"/>
        </w:rPr>
        <w:t>公司将惠誉集团30%的股权转让给Hearst公司，</w:t>
      </w:r>
      <w:proofErr w:type="spellStart"/>
      <w:r w:rsidRPr="00E80DE0">
        <w:rPr>
          <w:rFonts w:ascii="宋体" w:eastAsia="宋体" w:hAnsi="宋体" w:cs="宋体" w:hint="eastAsia"/>
          <w:kern w:val="0"/>
          <w:szCs w:val="21"/>
        </w:rPr>
        <w:t>Fimalac</w:t>
      </w:r>
      <w:proofErr w:type="spellEnd"/>
      <w:r w:rsidRPr="00E80DE0">
        <w:rPr>
          <w:rFonts w:ascii="宋体" w:eastAsia="宋体" w:hAnsi="宋体" w:cs="宋体" w:hint="eastAsia"/>
          <w:kern w:val="0"/>
          <w:szCs w:val="21"/>
        </w:rPr>
        <w:t>持有惠誉集团的股权降至20% ，Hearst 持有惠誉集团的股权由50%增加至80%，该项交易于2015年3月12日完成，但2020年之前</w:t>
      </w:r>
      <w:proofErr w:type="spellStart"/>
      <w:r w:rsidRPr="00E80DE0">
        <w:rPr>
          <w:rFonts w:ascii="宋体" w:eastAsia="宋体" w:hAnsi="宋体" w:cs="宋体" w:hint="eastAsia"/>
          <w:kern w:val="0"/>
          <w:szCs w:val="21"/>
        </w:rPr>
        <w:t>Fimalac</w:t>
      </w:r>
      <w:proofErr w:type="spellEnd"/>
      <w:r w:rsidRPr="00E80DE0">
        <w:rPr>
          <w:rFonts w:ascii="宋体" w:eastAsia="宋体" w:hAnsi="宋体" w:cs="宋体" w:hint="eastAsia"/>
          <w:kern w:val="0"/>
          <w:szCs w:val="21"/>
        </w:rPr>
        <w:t>的CEO将继续担任惠誉的董事会主席并且</w:t>
      </w:r>
      <w:proofErr w:type="spellStart"/>
      <w:r w:rsidRPr="00E80DE0">
        <w:rPr>
          <w:rFonts w:ascii="宋体" w:eastAsia="宋体" w:hAnsi="宋体" w:cs="宋体" w:hint="eastAsia"/>
          <w:kern w:val="0"/>
          <w:szCs w:val="21"/>
        </w:rPr>
        <w:t>Fimalac</w:t>
      </w:r>
      <w:proofErr w:type="spellEnd"/>
      <w:r w:rsidRPr="00E80DE0">
        <w:rPr>
          <w:rFonts w:ascii="宋体" w:eastAsia="宋体" w:hAnsi="宋体" w:cs="宋体" w:hint="eastAsia"/>
          <w:kern w:val="0"/>
          <w:szCs w:val="21"/>
        </w:rPr>
        <w:t>在该董事会中将继续拥有50%的投票权。</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2014年12月凯雷投资集团(Carlyle Group)和华平投资集团组成的私</w:t>
      </w:r>
      <w:proofErr w:type="gramStart"/>
      <w:r w:rsidRPr="00E80DE0">
        <w:rPr>
          <w:rFonts w:ascii="宋体" w:eastAsia="宋体" w:hAnsi="宋体" w:cs="宋体" w:hint="eastAsia"/>
          <w:kern w:val="0"/>
          <w:szCs w:val="21"/>
        </w:rPr>
        <w:t>募股权财团</w:t>
      </w:r>
      <w:proofErr w:type="gramEnd"/>
      <w:r w:rsidRPr="00E80DE0">
        <w:rPr>
          <w:rFonts w:ascii="宋体" w:eastAsia="宋体" w:hAnsi="宋体" w:cs="宋体" w:hint="eastAsia"/>
          <w:kern w:val="0"/>
          <w:szCs w:val="21"/>
        </w:rPr>
        <w:t>收购了多美年。</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w:t>
      </w:r>
      <w:proofErr w:type="gramStart"/>
      <w:r w:rsidRPr="00E80DE0">
        <w:rPr>
          <w:rFonts w:ascii="宋体" w:eastAsia="宋体" w:hAnsi="宋体" w:cs="宋体" w:hint="eastAsia"/>
          <w:kern w:val="0"/>
          <w:szCs w:val="21"/>
        </w:rPr>
        <w:t>标普通</w:t>
      </w:r>
      <w:proofErr w:type="gramEnd"/>
      <w:r w:rsidRPr="00E80DE0">
        <w:rPr>
          <w:rFonts w:ascii="宋体" w:eastAsia="宋体" w:hAnsi="宋体" w:cs="宋体" w:hint="eastAsia"/>
          <w:kern w:val="0"/>
          <w:szCs w:val="21"/>
        </w:rPr>
        <w:t>过收购位于哥伦比亚的BRC投资服务公司（为银行、金融服务公司、保险公司、公司债券和结构化产品提供风险分类服务）来提高其在拉丁美洲信用评级市场的地位；穆迪增持了印度信用评级机构（ICRA）股份至50.06%，成为其控股股东，进一步提升了其在印度评级市场的份额。</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（二）  欧洲信用评级行业发展</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t xml:space="preserve">　　2014年，欧洲证券和市场管理局（ESMA）新批准2家注册评级机构（波兰的</w:t>
      </w:r>
      <w:proofErr w:type="spellStart"/>
      <w:r w:rsidRPr="00E80DE0">
        <w:rPr>
          <w:rFonts w:ascii="宋体" w:eastAsia="宋体" w:hAnsi="宋体" w:cs="宋体" w:hint="eastAsia"/>
          <w:kern w:val="0"/>
          <w:szCs w:val="21"/>
        </w:rPr>
        <w:t>EuroRating</w:t>
      </w:r>
      <w:proofErr w:type="spellEnd"/>
      <w:r w:rsidRPr="00E80DE0">
        <w:rPr>
          <w:rFonts w:ascii="宋体" w:eastAsia="宋体" w:hAnsi="宋体" w:cs="宋体" w:hint="eastAsia"/>
          <w:kern w:val="0"/>
          <w:szCs w:val="21"/>
        </w:rPr>
        <w:t xml:space="preserve"> </w:t>
      </w:r>
      <w:proofErr w:type="spellStart"/>
      <w:r w:rsidRPr="00E80DE0">
        <w:rPr>
          <w:rFonts w:ascii="宋体" w:eastAsia="宋体" w:hAnsi="宋体" w:cs="宋体" w:hint="eastAsia"/>
          <w:kern w:val="0"/>
          <w:szCs w:val="21"/>
        </w:rPr>
        <w:t>Sp.z.o.o</w:t>
      </w:r>
      <w:proofErr w:type="spellEnd"/>
      <w:r w:rsidRPr="00E80DE0">
        <w:rPr>
          <w:rFonts w:ascii="宋体" w:eastAsia="宋体" w:hAnsi="宋体" w:cs="宋体" w:hint="eastAsia"/>
          <w:kern w:val="0"/>
          <w:szCs w:val="21"/>
        </w:rPr>
        <w:t>.和穆迪在英国新设的分支机构）和2家认证评级机构（墨西哥的HR Ratings和美国的伊根琼斯评级公司）。截至2014年末，通过ESMA注册（37家）和认证（4家）的评级机构共41家。其中，注册评级机构包括18家欧洲本土信用评级机构、17家三大评级机构在欧洲的分支机构、加拿大的多美年和中国的大公欧洲评级公司，4家认证评级机构分别是日本的JCR、墨西哥的HR Ratings、美国的克罗尔和伊根琼斯评级公司。预计未来ESMA仍会继续扩大注册认证评级机构的范围，以促进欧盟区域内评级机构之间的竞争，降低垄断。</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标普、穆迪和惠誉三家机构在欧洲信用评级市场依旧占据垄断地位。截至2013年底，三大评级机构合计市场份额达到90.44%，其中标普、穆迪和惠誉的市场份额分别为39.69%、34.53%和16.22%。除三大评级机构外，意大利的CERVED和加拿大的多美年的市场份额分别为2.19%和1.27%，其他评级机构的市场份额均在1%以下。</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从评级机构的业务种类来看，多美年是欧洲地区除三大评级机构外唯一一家覆盖所有业务种类的评级机构，此外还有5家评级机构覆盖了3类业务类型，其中多为工商企业、金融机构和国家主权评级业务，其他评级机构主要以工商企业评级业务为主。</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四、 三大评级机构评级情况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（一） </w:t>
      </w:r>
      <w:proofErr w:type="gramStart"/>
      <w:r w:rsidRPr="00E80DE0">
        <w:rPr>
          <w:rFonts w:ascii="宋体" w:eastAsia="宋体" w:hAnsi="宋体" w:cs="宋体" w:hint="eastAsia"/>
          <w:kern w:val="0"/>
          <w:szCs w:val="21"/>
        </w:rPr>
        <w:t> 标普在</w:t>
      </w:r>
      <w:proofErr w:type="gramEnd"/>
      <w:r w:rsidRPr="00E80DE0">
        <w:rPr>
          <w:rFonts w:ascii="宋体" w:eastAsia="宋体" w:hAnsi="宋体" w:cs="宋体" w:hint="eastAsia"/>
          <w:kern w:val="0"/>
          <w:szCs w:val="21"/>
        </w:rPr>
        <w:t>各类产品中均保持市场领先地位</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根据欧洲证券和市场管理局（ESMA）的数据显示，2014年，</w:t>
      </w:r>
      <w:proofErr w:type="gramStart"/>
      <w:r w:rsidRPr="00E80DE0">
        <w:rPr>
          <w:rFonts w:ascii="宋体" w:eastAsia="宋体" w:hAnsi="宋体" w:cs="宋体" w:hint="eastAsia"/>
          <w:kern w:val="0"/>
          <w:szCs w:val="21"/>
        </w:rPr>
        <w:t>标普对</w:t>
      </w:r>
      <w:proofErr w:type="gramEnd"/>
      <w:r w:rsidRPr="00E80DE0">
        <w:rPr>
          <w:rFonts w:ascii="宋体" w:eastAsia="宋体" w:hAnsi="宋体" w:cs="宋体" w:hint="eastAsia"/>
          <w:kern w:val="0"/>
          <w:szCs w:val="21"/>
        </w:rPr>
        <w:t>各类发行人和结构融资产品的评级数量和新增评级数量均高于穆迪和惠誉，市场份额优势进一步凸显。除地方政府评级，穆迪对其他类别评级的市场份额均高于惠誉。</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从评级对象来看，国家主权评级方面，</w:t>
      </w:r>
      <w:proofErr w:type="gramStart"/>
      <w:r w:rsidRPr="00E80DE0">
        <w:rPr>
          <w:rFonts w:ascii="宋体" w:eastAsia="宋体" w:hAnsi="宋体" w:cs="宋体" w:hint="eastAsia"/>
          <w:kern w:val="0"/>
          <w:szCs w:val="21"/>
        </w:rPr>
        <w:t>2014年标普和</w:t>
      </w:r>
      <w:proofErr w:type="gramEnd"/>
      <w:r w:rsidRPr="00E80DE0">
        <w:rPr>
          <w:rFonts w:ascii="宋体" w:eastAsia="宋体" w:hAnsi="宋体" w:cs="宋体" w:hint="eastAsia"/>
          <w:kern w:val="0"/>
          <w:szCs w:val="21"/>
        </w:rPr>
        <w:t>惠誉的评级数量均较2013年有所增加。</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地方政府评级方面，</w:t>
      </w:r>
      <w:proofErr w:type="gramStart"/>
      <w:r w:rsidRPr="00E80DE0">
        <w:rPr>
          <w:rFonts w:ascii="宋体" w:eastAsia="宋体" w:hAnsi="宋体" w:cs="宋体" w:hint="eastAsia"/>
          <w:kern w:val="0"/>
          <w:szCs w:val="21"/>
        </w:rPr>
        <w:t>标普的</w:t>
      </w:r>
      <w:proofErr w:type="gramEnd"/>
      <w:r w:rsidRPr="00E80DE0">
        <w:rPr>
          <w:rFonts w:ascii="宋体" w:eastAsia="宋体" w:hAnsi="宋体" w:cs="宋体" w:hint="eastAsia"/>
          <w:kern w:val="0"/>
          <w:szCs w:val="21"/>
        </w:rPr>
        <w:t>评级数量远超穆迪和惠誉，占据绝对优势。与前两年相比，</w:t>
      </w:r>
      <w:proofErr w:type="gramStart"/>
      <w:r w:rsidRPr="00E80DE0">
        <w:rPr>
          <w:rFonts w:ascii="宋体" w:eastAsia="宋体" w:hAnsi="宋体" w:cs="宋体" w:hint="eastAsia"/>
          <w:kern w:val="0"/>
          <w:szCs w:val="21"/>
        </w:rPr>
        <w:t>2014年标普的</w:t>
      </w:r>
      <w:proofErr w:type="gramEnd"/>
      <w:r w:rsidRPr="00E80DE0">
        <w:rPr>
          <w:rFonts w:ascii="宋体" w:eastAsia="宋体" w:hAnsi="宋体" w:cs="宋体" w:hint="eastAsia"/>
          <w:kern w:val="0"/>
          <w:szCs w:val="21"/>
        </w:rPr>
        <w:t>评级数量继续保持增长趋势，穆迪和惠誉的评级数量则保持减少趋势，三大评级机构新增评级数量均有所减少。</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全球企业评级方面，</w:t>
      </w:r>
      <w:proofErr w:type="gramStart"/>
      <w:r w:rsidRPr="00E80DE0">
        <w:rPr>
          <w:rFonts w:ascii="宋体" w:eastAsia="宋体" w:hAnsi="宋体" w:cs="宋体" w:hint="eastAsia"/>
          <w:kern w:val="0"/>
          <w:szCs w:val="21"/>
        </w:rPr>
        <w:t>2014年标普和</w:t>
      </w:r>
      <w:proofErr w:type="gramEnd"/>
      <w:r w:rsidRPr="00E80DE0">
        <w:rPr>
          <w:rFonts w:ascii="宋体" w:eastAsia="宋体" w:hAnsi="宋体" w:cs="宋体" w:hint="eastAsia"/>
          <w:kern w:val="0"/>
          <w:szCs w:val="21"/>
        </w:rPr>
        <w:t>穆迪的评级数量延续了2013年的增长趋势，惠誉则较2013年有所下降，但新增评级数量三大评级机构均有所减少。</w:t>
      </w:r>
      <w:proofErr w:type="gramStart"/>
      <w:r w:rsidRPr="00E80DE0">
        <w:rPr>
          <w:rFonts w:ascii="宋体" w:eastAsia="宋体" w:hAnsi="宋体" w:cs="宋体" w:hint="eastAsia"/>
          <w:kern w:val="0"/>
          <w:szCs w:val="21"/>
        </w:rPr>
        <w:t>标普在</w:t>
      </w:r>
      <w:proofErr w:type="gramEnd"/>
      <w:r w:rsidRPr="00E80DE0">
        <w:rPr>
          <w:rFonts w:ascii="宋体" w:eastAsia="宋体" w:hAnsi="宋体" w:cs="宋体" w:hint="eastAsia"/>
          <w:kern w:val="0"/>
          <w:szCs w:val="21"/>
        </w:rPr>
        <w:t>工商企业评级和保险机构评级领域仍然占据优势地位，而在金融机构领域三大评级机构的评级数量相差不大，穆迪所评金融机构的数量略超标普，再度回到首位。</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结构融资方面，2008年金融危机以来，结构融资评级市场扩张放缓，存量呈现收缩趋势，但近3年三大评级机构每年新增评级数量不断回升。</w:t>
      </w:r>
      <w:proofErr w:type="gramStart"/>
      <w:r w:rsidRPr="00E80DE0">
        <w:rPr>
          <w:rFonts w:ascii="宋体" w:eastAsia="宋体" w:hAnsi="宋体" w:cs="宋体" w:hint="eastAsia"/>
          <w:kern w:val="0"/>
          <w:szCs w:val="21"/>
        </w:rPr>
        <w:t>标普在</w:t>
      </w:r>
      <w:proofErr w:type="gramEnd"/>
      <w:r w:rsidRPr="00E80DE0">
        <w:rPr>
          <w:rFonts w:ascii="宋体" w:eastAsia="宋体" w:hAnsi="宋体" w:cs="宋体" w:hint="eastAsia"/>
          <w:kern w:val="0"/>
          <w:szCs w:val="21"/>
        </w:rPr>
        <w:t>评级数量和新增数量方面仍然处于领先地位，但穆迪新增评级产品数量增速较快，与</w:t>
      </w:r>
      <w:proofErr w:type="gramStart"/>
      <w:r w:rsidRPr="00E80DE0">
        <w:rPr>
          <w:rFonts w:ascii="宋体" w:eastAsia="宋体" w:hAnsi="宋体" w:cs="宋体" w:hint="eastAsia"/>
          <w:kern w:val="0"/>
          <w:szCs w:val="21"/>
        </w:rPr>
        <w:t>标普差距</w:t>
      </w:r>
      <w:proofErr w:type="gramEnd"/>
      <w:r w:rsidRPr="00E80DE0">
        <w:rPr>
          <w:rFonts w:ascii="宋体" w:eastAsia="宋体" w:hAnsi="宋体" w:cs="宋体" w:hint="eastAsia"/>
          <w:kern w:val="0"/>
          <w:szCs w:val="21"/>
        </w:rPr>
        <w:t>有所缩小。2014年，结构融资产品评级总量中，住房按揭贷款支持证券（RMBS）占比最高（70.55%）；新增产</w:t>
      </w:r>
      <w:r w:rsidRPr="00E80DE0">
        <w:rPr>
          <w:rFonts w:ascii="宋体" w:eastAsia="宋体" w:hAnsi="宋体" w:cs="宋体" w:hint="eastAsia"/>
          <w:kern w:val="0"/>
          <w:szCs w:val="21"/>
        </w:rPr>
        <w:lastRenderedPageBreak/>
        <w:t>品评级数量中，担保债务凭证（CDO）的占比大幅上升至31.54%，资产支持型证券（ABS）的占比下降至27.65%。</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表5  三大评级机构所评发行人主体和结构融资产品情况  （单位：</w:t>
      </w:r>
      <w:proofErr w:type="gramStart"/>
      <w:r w:rsidRPr="00E80DE0">
        <w:rPr>
          <w:rFonts w:ascii="宋体" w:eastAsia="宋体" w:hAnsi="宋体" w:cs="宋体" w:hint="eastAsia"/>
          <w:kern w:val="0"/>
          <w:szCs w:val="21"/>
        </w:rPr>
        <w:t>个</w:t>
      </w:r>
      <w:proofErr w:type="gramEnd"/>
      <w:r w:rsidRPr="00E80DE0">
        <w:rPr>
          <w:rFonts w:ascii="宋体" w:eastAsia="宋体" w:hAnsi="宋体" w:cs="宋体" w:hint="eastAsia"/>
          <w:kern w:val="0"/>
          <w:szCs w:val="21"/>
        </w:rPr>
        <w:t>）</w:t>
      </w:r>
    </w:p>
    <w:tbl>
      <w:tblPr>
        <w:tblW w:w="4900" w:type="pct"/>
        <w:jc w:val="center"/>
        <w:tblCellMar>
          <w:left w:w="0" w:type="dxa"/>
          <w:right w:w="0" w:type="dxa"/>
        </w:tblCellMar>
        <w:tblLook w:val="04A0" w:firstRow="1" w:lastRow="0" w:firstColumn="1" w:lastColumn="0" w:noHBand="0" w:noVBand="1"/>
      </w:tblPr>
      <w:tblGrid>
        <w:gridCol w:w="1656"/>
        <w:gridCol w:w="721"/>
        <w:gridCol w:w="719"/>
        <w:gridCol w:w="722"/>
        <w:gridCol w:w="721"/>
        <w:gridCol w:w="721"/>
        <w:gridCol w:w="724"/>
        <w:gridCol w:w="721"/>
        <w:gridCol w:w="722"/>
        <w:gridCol w:w="713"/>
      </w:tblGrid>
      <w:tr w:rsidR="00E80DE0" w:rsidRPr="00E80DE0" w:rsidTr="00E80DE0">
        <w:trPr>
          <w:trHeight w:val="340"/>
          <w:jc w:val="center"/>
        </w:trPr>
        <w:tc>
          <w:tcPr>
            <w:tcW w:w="854" w:type="pct"/>
            <w:vMerge w:val="restart"/>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项目</w:t>
            </w:r>
          </w:p>
        </w:tc>
        <w:tc>
          <w:tcPr>
            <w:tcW w:w="1383"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proofErr w:type="gramStart"/>
            <w:r w:rsidRPr="00E80DE0">
              <w:rPr>
                <w:rFonts w:ascii="宋体" w:eastAsia="宋体" w:hAnsi="宋体" w:cs="宋体" w:hint="eastAsia"/>
                <w:kern w:val="0"/>
                <w:sz w:val="18"/>
                <w:szCs w:val="18"/>
              </w:rPr>
              <w:t>标普</w:t>
            </w:r>
            <w:proofErr w:type="gramEnd"/>
          </w:p>
        </w:tc>
        <w:tc>
          <w:tcPr>
            <w:tcW w:w="1385"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穆迪</w:t>
            </w:r>
          </w:p>
        </w:tc>
        <w:tc>
          <w:tcPr>
            <w:tcW w:w="1378" w:type="pct"/>
            <w:gridSpan w:val="3"/>
            <w:tcBorders>
              <w:top w:val="single" w:sz="8" w:space="0" w:color="auto"/>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惠誉</w:t>
            </w:r>
          </w:p>
        </w:tc>
      </w:tr>
      <w:tr w:rsidR="00E80DE0" w:rsidRPr="00E80DE0" w:rsidTr="00E80DE0">
        <w:trPr>
          <w:trHeight w:val="340"/>
          <w:jc w:val="center"/>
        </w:trPr>
        <w:tc>
          <w:tcPr>
            <w:tcW w:w="0" w:type="auto"/>
            <w:vMerge/>
            <w:tcBorders>
              <w:top w:val="single" w:sz="8" w:space="0" w:color="auto"/>
              <w:left w:val="nil"/>
              <w:bottom w:val="single" w:sz="8" w:space="0" w:color="auto"/>
              <w:right w:val="single" w:sz="8" w:space="0" w:color="auto"/>
            </w:tcBorders>
            <w:vAlign w:val="center"/>
            <w:hideMark/>
          </w:tcPr>
          <w:p w:rsidR="00E80DE0" w:rsidRPr="00E80DE0" w:rsidRDefault="00E80DE0" w:rsidP="00E80DE0">
            <w:pPr>
              <w:widowControl/>
              <w:jc w:val="left"/>
              <w:rPr>
                <w:rFonts w:ascii="宋体" w:eastAsia="宋体" w:hAnsi="宋体" w:cs="宋体"/>
                <w:kern w:val="0"/>
                <w:szCs w:val="21"/>
              </w:rPr>
            </w:pPr>
          </w:p>
        </w:tc>
        <w:tc>
          <w:tcPr>
            <w:tcW w:w="461"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60"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62"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61"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61"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62"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61"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61"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56" w:type="pct"/>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r>
      <w:tr w:rsidR="00E80DE0" w:rsidRPr="00E80DE0" w:rsidTr="00E80DE0">
        <w:trPr>
          <w:trHeight w:val="340"/>
          <w:jc w:val="center"/>
        </w:trPr>
        <w:tc>
          <w:tcPr>
            <w:tcW w:w="8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国家主权评级</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0"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6"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评级数量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127</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127</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128</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123</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104</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107</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110</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新增数量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w:t>
            </w:r>
          </w:p>
        </w:tc>
      </w:tr>
      <w:tr w:rsidR="00E80DE0" w:rsidRPr="00E80DE0" w:rsidTr="00E80DE0">
        <w:trPr>
          <w:trHeight w:val="340"/>
          <w:jc w:val="center"/>
        </w:trPr>
        <w:tc>
          <w:tcPr>
            <w:tcW w:w="8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地方政府评级</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jc w:val="left"/>
              <w:rPr>
                <w:rFonts w:ascii="宋体" w:eastAsia="宋体" w:hAnsi="宋体" w:cs="宋体" w:hint="eastAsia"/>
                <w:kern w:val="0"/>
                <w:szCs w:val="21"/>
              </w:rPr>
            </w:pPr>
            <w:r w:rsidRPr="00E80DE0">
              <w:rPr>
                <w:rFonts w:ascii="宋体" w:eastAsia="宋体" w:hAnsi="宋体" w:cs="宋体" w:hint="eastAsia"/>
                <w:kern w:val="0"/>
                <w:szCs w:val="21"/>
              </w:rPr>
              <w:t> </w:t>
            </w:r>
          </w:p>
        </w:tc>
        <w:tc>
          <w:tcPr>
            <w:tcW w:w="460"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6"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评级数量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31451</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32427</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33534</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394</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389</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379</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3715</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3639</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3572</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新增数量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3783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3204</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3045</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194</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148</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111</w:t>
            </w:r>
          </w:p>
        </w:tc>
      </w:tr>
      <w:tr w:rsidR="00E80DE0" w:rsidRPr="00E80DE0" w:rsidTr="00E80DE0">
        <w:trPr>
          <w:trHeight w:val="340"/>
          <w:jc w:val="center"/>
        </w:trPr>
        <w:tc>
          <w:tcPr>
            <w:tcW w:w="8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全球企业评级</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0"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6"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评级数量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6520</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6912</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7117</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4113</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4307</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4422</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3254</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3350</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3291</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3764</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4122</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4452</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2732</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2921</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2982</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1909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1989</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1902</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1175</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1237</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1265</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1206</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1218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1268</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1146</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1182</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1212</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保险机构</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1581</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1553</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1400</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175</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168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172</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179</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177</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新增数量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556</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758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745</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389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456</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413</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253</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321</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280</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397</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586</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598</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280</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337</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270</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188</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224</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175</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81</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109</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91</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100</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111</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133</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55</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90</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94</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保险机构</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73</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63</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56</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11</w:t>
            </w:r>
          </w:p>
        </w:tc>
      </w:tr>
      <w:tr w:rsidR="00E80DE0" w:rsidRPr="00E80DE0" w:rsidTr="00E80DE0">
        <w:trPr>
          <w:trHeight w:val="340"/>
          <w:jc w:val="center"/>
        </w:trPr>
        <w:tc>
          <w:tcPr>
            <w:tcW w:w="8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结构融资产品评级</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0"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61"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6"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评级数量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83402</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77768</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74126</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73687</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66723</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62824</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54973</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52992</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41604</w:t>
            </w:r>
          </w:p>
        </w:tc>
      </w:tr>
      <w:tr w:rsidR="00E80DE0" w:rsidRPr="00E80DE0" w:rsidTr="00E80DE0">
        <w:trPr>
          <w:trHeight w:val="340"/>
          <w:jc w:val="center"/>
        </w:trPr>
        <w:tc>
          <w:tcPr>
            <w:tcW w:w="8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新增数量</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2239</w:t>
            </w:r>
          </w:p>
        </w:tc>
        <w:tc>
          <w:tcPr>
            <w:tcW w:w="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3395</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3141</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1937</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2191</w:t>
            </w:r>
          </w:p>
        </w:tc>
        <w:tc>
          <w:tcPr>
            <w:tcW w:w="46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3043</w:t>
            </w:r>
          </w:p>
        </w:tc>
        <w:tc>
          <w:tcPr>
            <w:tcW w:w="46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1294</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1836</w:t>
            </w:r>
          </w:p>
        </w:tc>
        <w:tc>
          <w:tcPr>
            <w:tcW w:w="456"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2190</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注：1. 表中国家主权、地方政府和全球企业评级均为发行人主体评级；2. 2014年穆迪国家主权评级数据未知，以下同。</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资料来源：ESMA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（二）级别分布情况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w:t>
      </w:r>
      <w:proofErr w:type="gramStart"/>
      <w:r w:rsidRPr="00E80DE0">
        <w:rPr>
          <w:rFonts w:ascii="宋体" w:eastAsia="宋体" w:hAnsi="宋体" w:cs="宋体" w:hint="eastAsia"/>
          <w:kern w:val="0"/>
          <w:szCs w:val="21"/>
        </w:rPr>
        <w:t>标普和</w:t>
      </w:r>
      <w:proofErr w:type="gramEnd"/>
      <w:r w:rsidRPr="00E80DE0">
        <w:rPr>
          <w:rFonts w:ascii="宋体" w:eastAsia="宋体" w:hAnsi="宋体" w:cs="宋体" w:hint="eastAsia"/>
          <w:kern w:val="0"/>
          <w:szCs w:val="21"/>
        </w:rPr>
        <w:t>惠誉所评国家主权的信用等级分布主要集中在BBB级~B级，集中度均在60%左右，较上年有所下降。</w:t>
      </w:r>
      <w:proofErr w:type="gramStart"/>
      <w:r w:rsidRPr="00E80DE0">
        <w:rPr>
          <w:rFonts w:ascii="宋体" w:eastAsia="宋体" w:hAnsi="宋体" w:cs="宋体" w:hint="eastAsia"/>
          <w:kern w:val="0"/>
          <w:szCs w:val="21"/>
        </w:rPr>
        <w:t>标普和</w:t>
      </w:r>
      <w:proofErr w:type="gramEnd"/>
      <w:r w:rsidRPr="00E80DE0">
        <w:rPr>
          <w:rFonts w:ascii="宋体" w:eastAsia="宋体" w:hAnsi="宋体" w:cs="宋体" w:hint="eastAsia"/>
          <w:kern w:val="0"/>
          <w:szCs w:val="21"/>
        </w:rPr>
        <w:t xml:space="preserve">惠誉所评的国家主权中信用等级为投资级的占比分别为54.33%和61.68%，与前两年相比变化不大，信用等级为B级以下的占比分别为2.36%和2.80%，较前两年有所上升。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t xml:space="preserve">　　2014年，标普、穆迪和惠誉所评地方政府的信用等级主要集中在投资级，集中度分别为93.93%、69.41%和91.15%，</w:t>
      </w:r>
      <w:proofErr w:type="gramStart"/>
      <w:r w:rsidRPr="00E80DE0">
        <w:rPr>
          <w:rFonts w:ascii="宋体" w:eastAsia="宋体" w:hAnsi="宋体" w:cs="宋体" w:hint="eastAsia"/>
          <w:kern w:val="0"/>
          <w:szCs w:val="21"/>
        </w:rPr>
        <w:t>与标普和</w:t>
      </w:r>
      <w:proofErr w:type="gramEnd"/>
      <w:r w:rsidRPr="00E80DE0">
        <w:rPr>
          <w:rFonts w:ascii="宋体" w:eastAsia="宋体" w:hAnsi="宋体" w:cs="宋体" w:hint="eastAsia"/>
          <w:kern w:val="0"/>
          <w:szCs w:val="21"/>
        </w:rPr>
        <w:t>惠誉相比，穆迪所评的地方政府信用等级更为分散，较低等级的地方政府数量占比更高。</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2014年，标普、穆迪和惠誉所评全球企业主体的信用等级主要集中在A级和BBB级，等级分布与上年基本一致。</w:t>
      </w:r>
      <w:proofErr w:type="gramStart"/>
      <w:r w:rsidRPr="00E80DE0">
        <w:rPr>
          <w:rFonts w:ascii="宋体" w:eastAsia="宋体" w:hAnsi="宋体" w:cs="宋体" w:hint="eastAsia"/>
          <w:kern w:val="0"/>
          <w:szCs w:val="21"/>
        </w:rPr>
        <w:t>标普所评</w:t>
      </w:r>
      <w:proofErr w:type="gramEnd"/>
      <w:r w:rsidRPr="00E80DE0">
        <w:rPr>
          <w:rFonts w:ascii="宋体" w:eastAsia="宋体" w:hAnsi="宋体" w:cs="宋体" w:hint="eastAsia"/>
          <w:kern w:val="0"/>
          <w:szCs w:val="21"/>
        </w:rPr>
        <w:t>全球企业中信用等级为投资级的占比为55.41%，其中工商企业和金融机构中投资级占比分别为42.79%和70.41%；穆迪所评全球企业中信用等级为投资级的占比为64.10%，其中工商企业和金融机构中投资级占比分别为59.23%和72.58%；惠誉所评全球企业中信用等级为投资级的占比为65.49%，其中工商企业和金融机构中投资级占比分别为59.43%和72.00%；整体来看，与穆迪和惠誉相比，</w:t>
      </w:r>
      <w:proofErr w:type="gramStart"/>
      <w:r w:rsidRPr="00E80DE0">
        <w:rPr>
          <w:rFonts w:ascii="宋体" w:eastAsia="宋体" w:hAnsi="宋体" w:cs="宋体" w:hint="eastAsia"/>
          <w:kern w:val="0"/>
          <w:szCs w:val="21"/>
        </w:rPr>
        <w:t>标普所评</w:t>
      </w:r>
      <w:proofErr w:type="gramEnd"/>
      <w:r w:rsidRPr="00E80DE0">
        <w:rPr>
          <w:rFonts w:ascii="宋体" w:eastAsia="宋体" w:hAnsi="宋体" w:cs="宋体" w:hint="eastAsia"/>
          <w:kern w:val="0"/>
          <w:szCs w:val="21"/>
        </w:rPr>
        <w:t>的全球企业信用等级普遍偏低，特别是工商企业。</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（三）  违约率表现</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三大评级机构所评各类产品的违约率均较低，其中结构融资产品的违约率最高，标普、穆迪和惠誉的违约率分别为2.62%、0.90%和0.91%；国家主权和全球企业的违约率均在1%以下；地方政府的违约率最低，均不足0.10%。在全球企业评级中，2014年惠誉所</w:t>
      </w:r>
      <w:proofErr w:type="gramStart"/>
      <w:r w:rsidRPr="00E80DE0">
        <w:rPr>
          <w:rFonts w:ascii="宋体" w:eastAsia="宋体" w:hAnsi="宋体" w:cs="宋体" w:hint="eastAsia"/>
          <w:kern w:val="0"/>
          <w:szCs w:val="21"/>
        </w:rPr>
        <w:t>评工商</w:t>
      </w:r>
      <w:proofErr w:type="gramEnd"/>
      <w:r w:rsidRPr="00E80DE0">
        <w:rPr>
          <w:rFonts w:ascii="宋体" w:eastAsia="宋体" w:hAnsi="宋体" w:cs="宋体" w:hint="eastAsia"/>
          <w:kern w:val="0"/>
          <w:szCs w:val="21"/>
        </w:rPr>
        <w:t>企业的违约率</w:t>
      </w:r>
      <w:proofErr w:type="gramStart"/>
      <w:r w:rsidRPr="00E80DE0">
        <w:rPr>
          <w:rFonts w:ascii="宋体" w:eastAsia="宋体" w:hAnsi="宋体" w:cs="宋体" w:hint="eastAsia"/>
          <w:kern w:val="0"/>
          <w:szCs w:val="21"/>
        </w:rPr>
        <w:t>超过标普为</w:t>
      </w:r>
      <w:proofErr w:type="gramEnd"/>
      <w:r w:rsidRPr="00E80DE0">
        <w:rPr>
          <w:rFonts w:ascii="宋体" w:eastAsia="宋体" w:hAnsi="宋体" w:cs="宋体" w:hint="eastAsia"/>
          <w:kern w:val="0"/>
          <w:szCs w:val="21"/>
        </w:rPr>
        <w:t>最高；穆迪所评金融机构的违约率一直</w:t>
      </w:r>
      <w:proofErr w:type="gramStart"/>
      <w:r w:rsidRPr="00E80DE0">
        <w:rPr>
          <w:rFonts w:ascii="宋体" w:eastAsia="宋体" w:hAnsi="宋体" w:cs="宋体" w:hint="eastAsia"/>
          <w:kern w:val="0"/>
          <w:szCs w:val="21"/>
        </w:rPr>
        <w:t>高于标普和</w:t>
      </w:r>
      <w:proofErr w:type="gramEnd"/>
      <w:r w:rsidRPr="00E80DE0">
        <w:rPr>
          <w:rFonts w:ascii="宋体" w:eastAsia="宋体" w:hAnsi="宋体" w:cs="宋体" w:hint="eastAsia"/>
          <w:kern w:val="0"/>
          <w:szCs w:val="21"/>
        </w:rPr>
        <w:t>惠誉；三大评级机构所评的保险机构均未出现违约现象。在结构融资产品评级中，违约率较高的仍然主要为商业房地产抵押贷款支持证券（CMBS）和RMBS，违约率分别为6.18%和4.71%，其次是CDO，违约率为3.08%。</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与前两年相比，2014年三大评级机构所评国家主权和结构融资产品的违约率有所下降，特别是标普，其所评结构融资产品违约率从2012年的8.51%下降至2014年的2.62%，降幅较大，三大评级机构所评其他产品的违约率变化趋势不一。</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表6  三大评级机构所评发行人主体和结构融资产品违约率情况  （单位：%）</w:t>
      </w:r>
    </w:p>
    <w:tbl>
      <w:tblPr>
        <w:tblW w:w="4950" w:type="pct"/>
        <w:jc w:val="center"/>
        <w:tblCellMar>
          <w:left w:w="0" w:type="dxa"/>
          <w:right w:w="0" w:type="dxa"/>
        </w:tblCellMar>
        <w:tblLook w:val="04A0" w:firstRow="1" w:lastRow="0" w:firstColumn="1" w:lastColumn="0" w:noHBand="0" w:noVBand="1"/>
      </w:tblPr>
      <w:tblGrid>
        <w:gridCol w:w="1732"/>
        <w:gridCol w:w="806"/>
        <w:gridCol w:w="721"/>
        <w:gridCol w:w="721"/>
        <w:gridCol w:w="721"/>
        <w:gridCol w:w="721"/>
        <w:gridCol w:w="721"/>
        <w:gridCol w:w="721"/>
        <w:gridCol w:w="721"/>
        <w:gridCol w:w="721"/>
      </w:tblGrid>
      <w:tr w:rsidR="00E80DE0" w:rsidRPr="00E80DE0" w:rsidTr="00E80DE0">
        <w:trPr>
          <w:trHeight w:val="284"/>
          <w:jc w:val="center"/>
        </w:trPr>
        <w:tc>
          <w:tcPr>
            <w:tcW w:w="920" w:type="pct"/>
            <w:vMerge w:val="restart"/>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项目</w:t>
            </w:r>
          </w:p>
        </w:tc>
        <w:tc>
          <w:tcPr>
            <w:tcW w:w="1361"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proofErr w:type="gramStart"/>
            <w:r w:rsidRPr="00E80DE0">
              <w:rPr>
                <w:rFonts w:ascii="宋体" w:eastAsia="宋体" w:hAnsi="宋体" w:cs="宋体" w:hint="eastAsia"/>
                <w:kern w:val="0"/>
                <w:sz w:val="18"/>
                <w:szCs w:val="18"/>
              </w:rPr>
              <w:t>标普</w:t>
            </w:r>
            <w:proofErr w:type="gramEnd"/>
          </w:p>
        </w:tc>
        <w:tc>
          <w:tcPr>
            <w:tcW w:w="1364"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穆迪</w:t>
            </w:r>
          </w:p>
        </w:tc>
        <w:tc>
          <w:tcPr>
            <w:tcW w:w="1355" w:type="pct"/>
            <w:gridSpan w:val="3"/>
            <w:tcBorders>
              <w:top w:val="single" w:sz="8" w:space="0" w:color="auto"/>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惠誉</w:t>
            </w:r>
          </w:p>
        </w:tc>
      </w:tr>
      <w:tr w:rsidR="00E80DE0" w:rsidRPr="00E80DE0" w:rsidTr="00E80DE0">
        <w:trPr>
          <w:trHeight w:val="284"/>
          <w:jc w:val="center"/>
        </w:trPr>
        <w:tc>
          <w:tcPr>
            <w:tcW w:w="0" w:type="auto"/>
            <w:vMerge/>
            <w:tcBorders>
              <w:top w:val="single" w:sz="8" w:space="0" w:color="auto"/>
              <w:left w:val="nil"/>
              <w:bottom w:val="single" w:sz="8" w:space="0" w:color="auto"/>
              <w:right w:val="single" w:sz="8" w:space="0" w:color="auto"/>
            </w:tcBorders>
            <w:vAlign w:val="center"/>
            <w:hideMark/>
          </w:tcPr>
          <w:p w:rsidR="00E80DE0" w:rsidRPr="00E80DE0" w:rsidRDefault="00E80DE0" w:rsidP="00E80DE0">
            <w:pPr>
              <w:widowControl/>
              <w:jc w:val="left"/>
              <w:rPr>
                <w:rFonts w:ascii="宋体" w:eastAsia="宋体" w:hAnsi="宋体" w:cs="宋体"/>
                <w:kern w:val="0"/>
                <w:szCs w:val="21"/>
              </w:rPr>
            </w:pPr>
          </w:p>
        </w:tc>
        <w:tc>
          <w:tcPr>
            <w:tcW w:w="452"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55"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56"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47" w:type="pct"/>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2014</w:t>
            </w:r>
          </w:p>
        </w:tc>
      </w:tr>
      <w:tr w:rsidR="00E80DE0" w:rsidRPr="00E80DE0" w:rsidTr="00E80DE0">
        <w:trPr>
          <w:trHeight w:val="284"/>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国家主权评级违约率</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3. 15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2. 36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0. 79</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1. 79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1. 68 </w:t>
            </w:r>
          </w:p>
        </w:tc>
        <w:tc>
          <w:tcPr>
            <w:tcW w:w="4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0. 95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0. 96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0. 93</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地方政府评级违约率</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0. 02</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0. 09</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0. 02</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0. 50</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0. 05</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0. 08</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0. 08</w:t>
            </w:r>
          </w:p>
        </w:tc>
      </w:tr>
      <w:tr w:rsidR="00E80DE0" w:rsidRPr="00E80DE0" w:rsidTr="00E80DE0">
        <w:trPr>
          <w:trHeight w:val="284"/>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全球企业评级违约率</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0. 92</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0. 92</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0. 65</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0. 65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0. 53 </w:t>
            </w:r>
          </w:p>
        </w:tc>
        <w:tc>
          <w:tcPr>
            <w:tcW w:w="4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0. 80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0. 49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0. 81</w:t>
            </w:r>
          </w:p>
        </w:tc>
      </w:tr>
      <w:tr w:rsidR="00E80DE0" w:rsidRPr="00E80DE0" w:rsidTr="00E80DE0">
        <w:trPr>
          <w:trHeight w:val="284"/>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1. 48</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1. 51</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1. 02</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0. 73</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0. 40</w:t>
            </w:r>
          </w:p>
        </w:tc>
        <w:tc>
          <w:tcPr>
            <w:tcW w:w="4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0. 68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1. 14</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0. 68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1. 31</w:t>
            </w:r>
          </w:p>
        </w:tc>
      </w:tr>
      <w:tr w:rsidR="00E80DE0" w:rsidRPr="00E80DE0" w:rsidTr="00E80DE0">
        <w:trPr>
          <w:trHeight w:val="284"/>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0. 26</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0. 26</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0. 24</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0. 75 </w:t>
            </w:r>
          </w:p>
        </w:tc>
        <w:tc>
          <w:tcPr>
            <w:tcW w:w="4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0. 33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0. 42</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0. 26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0. 08</w:t>
            </w:r>
          </w:p>
        </w:tc>
      </w:tr>
      <w:tr w:rsidR="00E80DE0" w:rsidRPr="00E80DE0" w:rsidTr="00E80DE0">
        <w:trPr>
          <w:trHeight w:val="284"/>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lastRenderedPageBreak/>
              <w:t>保险机构</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0. 13</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0. 57</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1. 14 </w:t>
            </w:r>
          </w:p>
        </w:tc>
        <w:tc>
          <w:tcPr>
            <w:tcW w:w="4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结构融资产品评级</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8. 51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4. 45</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2. 62</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2. 05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1. 90</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0. 90</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2. 83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1. 04</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0. 91</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ABS</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0. 35</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0. 61</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0. 44</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0. 58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0. 58</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0. 2</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1. 09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0. 76</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0. 31</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CDO</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2. 85</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1. 5</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1. 2</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2. 64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0. 73</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1. 11</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2. 61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1. 78</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0. 77</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CMBS</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5. 81</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3. 87</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2. 97</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2. 48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3. 65</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1. 15</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7. 24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3. 66</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2. 06</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RMBS</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10. 44</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5. 29</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3</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2. 11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2</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0. 92</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2. 27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0. 58</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0. 79</w:t>
            </w:r>
          </w:p>
        </w:tc>
      </w:tr>
      <w:tr w:rsidR="00E80DE0" w:rsidRPr="00E80DE0" w:rsidTr="00E80DE0">
        <w:trPr>
          <w:trHeight w:val="284"/>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其它</w:t>
            </w:r>
          </w:p>
        </w:tc>
        <w:tc>
          <w:tcPr>
            <w:tcW w:w="452"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8. 69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2. 16 </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0. 77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c>
          <w:tcPr>
            <w:tcW w:w="456"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0. 00</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0. 00 </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 w:val="18"/>
          <w:szCs w:val="18"/>
        </w:rPr>
        <w:t xml:space="preserve">　　资料来源：ESMA</w:t>
      </w:r>
      <w:r w:rsidRPr="00E80DE0">
        <w:rPr>
          <w:rFonts w:ascii="宋体" w:eastAsia="宋体" w:hAnsi="宋体" w:cs="宋体" w:hint="eastAsia"/>
          <w:kern w:val="0"/>
          <w:szCs w:val="21"/>
        </w:rPr>
        <w:t xml:space="preserve">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（四）信用等级调整情况</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国家主权评级方面，与前两年相比，</w:t>
      </w:r>
      <w:proofErr w:type="gramStart"/>
      <w:r w:rsidRPr="00E80DE0">
        <w:rPr>
          <w:rFonts w:ascii="宋体" w:eastAsia="宋体" w:hAnsi="宋体" w:cs="宋体" w:hint="eastAsia"/>
          <w:kern w:val="0"/>
          <w:szCs w:val="21"/>
        </w:rPr>
        <w:t>2014年标普对</w:t>
      </w:r>
      <w:proofErr w:type="gramEnd"/>
      <w:r w:rsidRPr="00E80DE0">
        <w:rPr>
          <w:rFonts w:ascii="宋体" w:eastAsia="宋体" w:hAnsi="宋体" w:cs="宋体" w:hint="eastAsia"/>
          <w:kern w:val="0"/>
          <w:szCs w:val="21"/>
        </w:rPr>
        <w:t>国家主权评级的调降趋势</w:t>
      </w:r>
      <w:bookmarkStart w:id="3" w:name="_ftnref3"/>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"_ftn3"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[3]</w:t>
      </w:r>
      <w:r w:rsidRPr="00E80DE0">
        <w:rPr>
          <w:rFonts w:ascii="宋体" w:eastAsia="宋体" w:hAnsi="宋体" w:cs="宋体"/>
          <w:kern w:val="0"/>
          <w:szCs w:val="21"/>
        </w:rPr>
        <w:fldChar w:fldCharType="end"/>
      </w:r>
      <w:bookmarkEnd w:id="3"/>
      <w:r w:rsidRPr="00E80DE0">
        <w:rPr>
          <w:rFonts w:ascii="宋体" w:eastAsia="宋体" w:hAnsi="宋体" w:cs="宋体" w:hint="eastAsia"/>
          <w:kern w:val="0"/>
          <w:szCs w:val="21"/>
        </w:rPr>
        <w:t>有所减缓，惠誉则由调降趋势转为调升趋势。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地方政府评级方面，</w:t>
      </w:r>
      <w:proofErr w:type="gramStart"/>
      <w:r w:rsidRPr="00E80DE0">
        <w:rPr>
          <w:rFonts w:ascii="宋体" w:eastAsia="宋体" w:hAnsi="宋体" w:cs="宋体" w:hint="eastAsia"/>
          <w:kern w:val="0"/>
          <w:szCs w:val="21"/>
        </w:rPr>
        <w:t>2014年标普和</w:t>
      </w:r>
      <w:proofErr w:type="gramEnd"/>
      <w:r w:rsidRPr="00E80DE0">
        <w:rPr>
          <w:rFonts w:ascii="宋体" w:eastAsia="宋体" w:hAnsi="宋体" w:cs="宋体" w:hint="eastAsia"/>
          <w:kern w:val="0"/>
          <w:szCs w:val="21"/>
        </w:rPr>
        <w:t>穆迪分别延续了2013年的调升趋势和调降趋势，惠誉则由2013年的调降趋势转为调升趋势。</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全球企业评级方面，2014年受到美国经济稳健复苏和欧洲经济复苏缓慢影响，三大评级机构对美国企业评级和欧洲企业评级分别呈现等级调升和调降趋势。整体来看，由于美国企业在三大评级机构所评全球企业中</w:t>
      </w:r>
      <w:proofErr w:type="gramStart"/>
      <w:r w:rsidRPr="00E80DE0">
        <w:rPr>
          <w:rFonts w:ascii="宋体" w:eastAsia="宋体" w:hAnsi="宋体" w:cs="宋体" w:hint="eastAsia"/>
          <w:kern w:val="0"/>
          <w:szCs w:val="21"/>
        </w:rPr>
        <w:t>占比较</w:t>
      </w:r>
      <w:proofErr w:type="gramEnd"/>
      <w:r w:rsidRPr="00E80DE0">
        <w:rPr>
          <w:rFonts w:ascii="宋体" w:eastAsia="宋体" w:hAnsi="宋体" w:cs="宋体" w:hint="eastAsia"/>
          <w:kern w:val="0"/>
          <w:szCs w:val="21"/>
        </w:rPr>
        <w:t>大，三大评级机构对全球企业评级均呈现等级调升趋势。其中，</w:t>
      </w:r>
      <w:proofErr w:type="gramStart"/>
      <w:r w:rsidRPr="00E80DE0">
        <w:rPr>
          <w:rFonts w:ascii="宋体" w:eastAsia="宋体" w:hAnsi="宋体" w:cs="宋体" w:hint="eastAsia"/>
          <w:kern w:val="0"/>
          <w:szCs w:val="21"/>
        </w:rPr>
        <w:t>标普和</w:t>
      </w:r>
      <w:proofErr w:type="gramEnd"/>
      <w:r w:rsidRPr="00E80DE0">
        <w:rPr>
          <w:rFonts w:ascii="宋体" w:eastAsia="宋体" w:hAnsi="宋体" w:cs="宋体" w:hint="eastAsia"/>
          <w:kern w:val="0"/>
          <w:szCs w:val="21"/>
        </w:rPr>
        <w:t>穆迪对于工商企业评级均呈现等级调升趋势，惠誉则延续2013年的等级调降趋势，但调降趋势有所减缓；</w:t>
      </w:r>
      <w:proofErr w:type="gramStart"/>
      <w:r w:rsidRPr="00E80DE0">
        <w:rPr>
          <w:rFonts w:ascii="宋体" w:eastAsia="宋体" w:hAnsi="宋体" w:cs="宋体" w:hint="eastAsia"/>
          <w:kern w:val="0"/>
          <w:szCs w:val="21"/>
        </w:rPr>
        <w:t>标普和</w:t>
      </w:r>
      <w:proofErr w:type="gramEnd"/>
      <w:r w:rsidRPr="00E80DE0">
        <w:rPr>
          <w:rFonts w:ascii="宋体" w:eastAsia="宋体" w:hAnsi="宋体" w:cs="宋体" w:hint="eastAsia"/>
          <w:kern w:val="0"/>
          <w:szCs w:val="21"/>
        </w:rPr>
        <w:t>穆迪对于金融机构评级呈现等级调降趋势，但趋势有所减缓，惠誉则由2013年的调降趋势转为调升趋势；三大评级机构对于保险机构评级呈现不同程度的调升趋势，惠誉调升趋势显著。</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结构融资产品评级方面，</w:t>
      </w:r>
      <w:proofErr w:type="gramStart"/>
      <w:r w:rsidRPr="00E80DE0">
        <w:rPr>
          <w:rFonts w:ascii="宋体" w:eastAsia="宋体" w:hAnsi="宋体" w:cs="宋体" w:hint="eastAsia"/>
          <w:kern w:val="0"/>
          <w:szCs w:val="21"/>
        </w:rPr>
        <w:t>标普仍然</w:t>
      </w:r>
      <w:proofErr w:type="gramEnd"/>
      <w:r w:rsidRPr="00E80DE0">
        <w:rPr>
          <w:rFonts w:ascii="宋体" w:eastAsia="宋体" w:hAnsi="宋体" w:cs="宋体" w:hint="eastAsia"/>
          <w:kern w:val="0"/>
          <w:szCs w:val="21"/>
        </w:rPr>
        <w:t>保持调降趋势，但趋势有所减缓，穆迪和惠誉均由调降趋势转为调升趋势，其中穆迪的调升趋势较为明显。与前两年相比，2014年三大评级机构对结构融资产品评级的调整率</w:t>
      </w:r>
      <w:bookmarkStart w:id="4" w:name="_ftnref4"/>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"_ftn4"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[4]</w:t>
      </w:r>
      <w:r w:rsidRPr="00E80DE0">
        <w:rPr>
          <w:rFonts w:ascii="宋体" w:eastAsia="宋体" w:hAnsi="宋体" w:cs="宋体"/>
          <w:kern w:val="0"/>
          <w:szCs w:val="21"/>
        </w:rPr>
        <w:fldChar w:fldCharType="end"/>
      </w:r>
      <w:bookmarkEnd w:id="4"/>
      <w:r w:rsidRPr="00E80DE0">
        <w:rPr>
          <w:rFonts w:ascii="宋体" w:eastAsia="宋体" w:hAnsi="宋体" w:cs="宋体" w:hint="eastAsia"/>
          <w:kern w:val="0"/>
          <w:szCs w:val="21"/>
        </w:rPr>
        <w:t>有所减小，评级稳定性有所加强。</w:t>
      </w:r>
    </w:p>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Cs w:val="21"/>
        </w:rPr>
        <w:t xml:space="preserve">　　</w:t>
      </w:r>
      <w:r w:rsidRPr="00E80DE0">
        <w:rPr>
          <w:rFonts w:ascii="宋体" w:eastAsia="宋体" w:hAnsi="宋体" w:cs="宋体" w:hint="eastAsia"/>
          <w:kern w:val="0"/>
          <w:sz w:val="18"/>
          <w:szCs w:val="18"/>
        </w:rPr>
        <w:t>表7  三大评级机构所评发行人主体和结构融资产品信用等级调整情况  （单位：%）</w:t>
      </w:r>
    </w:p>
    <w:tbl>
      <w:tblPr>
        <w:tblW w:w="4950" w:type="pct"/>
        <w:jc w:val="center"/>
        <w:tblCellMar>
          <w:left w:w="0" w:type="dxa"/>
          <w:right w:w="0" w:type="dxa"/>
        </w:tblCellMar>
        <w:tblLook w:val="04A0" w:firstRow="1" w:lastRow="0" w:firstColumn="1" w:lastColumn="0" w:noHBand="0" w:noVBand="1"/>
      </w:tblPr>
      <w:tblGrid>
        <w:gridCol w:w="1460"/>
        <w:gridCol w:w="760"/>
        <w:gridCol w:w="760"/>
        <w:gridCol w:w="760"/>
        <w:gridCol w:w="761"/>
        <w:gridCol w:w="761"/>
        <w:gridCol w:w="761"/>
        <w:gridCol w:w="761"/>
        <w:gridCol w:w="761"/>
        <w:gridCol w:w="761"/>
      </w:tblGrid>
      <w:tr w:rsidR="00E80DE0" w:rsidRPr="00E80DE0" w:rsidTr="00E80DE0">
        <w:trPr>
          <w:trHeight w:val="340"/>
          <w:jc w:val="center"/>
        </w:trPr>
        <w:tc>
          <w:tcPr>
            <w:tcW w:w="920" w:type="pct"/>
            <w:vMerge w:val="restart"/>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项目</w:t>
            </w:r>
          </w:p>
        </w:tc>
        <w:tc>
          <w:tcPr>
            <w:tcW w:w="1362"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proofErr w:type="gramStart"/>
            <w:r w:rsidRPr="00E80DE0">
              <w:rPr>
                <w:rFonts w:ascii="宋体" w:eastAsia="宋体" w:hAnsi="宋体" w:cs="宋体" w:hint="eastAsia"/>
                <w:kern w:val="0"/>
                <w:sz w:val="18"/>
                <w:szCs w:val="18"/>
              </w:rPr>
              <w:t>标普</w:t>
            </w:r>
            <w:proofErr w:type="gramEnd"/>
          </w:p>
        </w:tc>
        <w:tc>
          <w:tcPr>
            <w:tcW w:w="1363" w:type="pct"/>
            <w:gridSpan w:val="3"/>
            <w:tcBorders>
              <w:top w:val="single" w:sz="8" w:space="0" w:color="auto"/>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穆迪</w:t>
            </w:r>
          </w:p>
        </w:tc>
        <w:tc>
          <w:tcPr>
            <w:tcW w:w="1355" w:type="pct"/>
            <w:gridSpan w:val="3"/>
            <w:tcBorders>
              <w:top w:val="single" w:sz="8" w:space="0" w:color="auto"/>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惠誉</w:t>
            </w:r>
          </w:p>
        </w:tc>
      </w:tr>
      <w:tr w:rsidR="00E80DE0" w:rsidRPr="00E80DE0" w:rsidTr="00E80DE0">
        <w:trPr>
          <w:trHeight w:val="340"/>
          <w:jc w:val="center"/>
        </w:trPr>
        <w:tc>
          <w:tcPr>
            <w:tcW w:w="0" w:type="auto"/>
            <w:vMerge/>
            <w:tcBorders>
              <w:top w:val="single" w:sz="8" w:space="0" w:color="auto"/>
              <w:left w:val="nil"/>
              <w:bottom w:val="single" w:sz="8" w:space="0" w:color="auto"/>
              <w:right w:val="single" w:sz="8" w:space="0" w:color="auto"/>
            </w:tcBorders>
            <w:vAlign w:val="center"/>
            <w:hideMark/>
          </w:tcPr>
          <w:p w:rsidR="00E80DE0" w:rsidRPr="00E80DE0" w:rsidRDefault="00E80DE0" w:rsidP="00E80DE0">
            <w:pPr>
              <w:widowControl/>
              <w:jc w:val="left"/>
              <w:rPr>
                <w:rFonts w:ascii="宋体" w:eastAsia="宋体" w:hAnsi="宋体" w:cs="宋体"/>
                <w:kern w:val="0"/>
                <w:szCs w:val="21"/>
              </w:rPr>
            </w:pP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55"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2014</w:t>
            </w:r>
          </w:p>
        </w:tc>
        <w:tc>
          <w:tcPr>
            <w:tcW w:w="454" w:type="pct"/>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2012</w:t>
            </w:r>
          </w:p>
        </w:tc>
        <w:tc>
          <w:tcPr>
            <w:tcW w:w="454" w:type="pct"/>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2013</w:t>
            </w:r>
          </w:p>
        </w:tc>
        <w:tc>
          <w:tcPr>
            <w:tcW w:w="447" w:type="pct"/>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2014</w:t>
            </w:r>
          </w:p>
        </w:tc>
      </w:tr>
      <w:tr w:rsidR="00E80DE0" w:rsidRPr="00E80DE0" w:rsidTr="00E80DE0">
        <w:trPr>
          <w:trHeight w:val="340"/>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国家主权评级</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lastRenderedPageBreak/>
              <w:t>上调率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8. 66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6. 30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8. 66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10. 71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5. 04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6. 67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11. 54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11. 21</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下调率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17. 32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13. 39</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14. 96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13. 39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11. 76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11. 43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16. 35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9. 35</w:t>
            </w:r>
          </w:p>
        </w:tc>
      </w:tr>
      <w:tr w:rsidR="00E80DE0" w:rsidRPr="00E80DE0" w:rsidTr="00E80DE0">
        <w:trPr>
          <w:trHeight w:val="340"/>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地方政府评级</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上调率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2. 75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6. 89</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10. 77</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2. 00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2. 31</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7. 71</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2. 34</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2. 80</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5. 14</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下调率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1. 89</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2. 02</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3. 03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15. 50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8. 48</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10. 54</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6. 39</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6. 46</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4. 07</w:t>
            </w:r>
          </w:p>
        </w:tc>
      </w:tr>
      <w:tr w:rsidR="00E80DE0" w:rsidRPr="00E80DE0" w:rsidTr="00E80DE0">
        <w:trPr>
          <w:trHeight w:val="340"/>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全球企业评级</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上调率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9. 23</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11. 38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9. 53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7. 45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6. 86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11. 17</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8. 46</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7. 04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7. 07</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10. 27</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12. 86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9. 83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9. 35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7. 83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12. 60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8. 92</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6. 60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6. 49</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5. 10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5. 28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7. 28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3. 98</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4. 64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8. 70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7. 85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7. 59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7. 53</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保险机构</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9. 90</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12. 40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10. 56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2. 87</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6. 86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4. 17</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7. 96</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8. 04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10. 61</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下调率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12. 65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9. 34</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8. 13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19. 31</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10. 53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9. 26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11. 15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9. 74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6. 36</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工商企业</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12. 17</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10. 28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8. 59</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11. 65</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10. 21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8. 80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11. 31</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11. 47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7. 14</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金融机构</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15. 47</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11. 66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10. 83</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37. 26</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11. 53 </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11. 08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11. 02</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7. 94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5. 75</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保险机构</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11. 66</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5. 38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4. 76</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10. 34</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8. 57</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4. 17</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4. 48</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3. 52 </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1. 68</w:t>
            </w:r>
          </w:p>
        </w:tc>
      </w:tr>
      <w:tr w:rsidR="00E80DE0" w:rsidRPr="00E80DE0" w:rsidTr="00E80DE0">
        <w:trPr>
          <w:trHeight w:val="340"/>
          <w:jc w:val="center"/>
        </w:trPr>
        <w:tc>
          <w:tcPr>
            <w:tcW w:w="920"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结构融资产品评级</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5"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54"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c>
          <w:tcPr>
            <w:tcW w:w="447" w:type="pct"/>
            <w:tcBorders>
              <w:top w:val="nil"/>
              <w:left w:val="nil"/>
              <w:bottom w:val="single" w:sz="8" w:space="0" w:color="auto"/>
              <w:right w:val="nil"/>
            </w:tcBorders>
            <w:shd w:val="clear" w:color="auto" w:fill="BDD6EE"/>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上调率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5. 07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2. 70</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3. 48</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3. 67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6. 33</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10. 04</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0. 79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3. 05</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6. 23</w:t>
            </w:r>
          </w:p>
        </w:tc>
      </w:tr>
      <w:tr w:rsidR="00E80DE0" w:rsidRPr="00E80DE0" w:rsidTr="00E80DE0">
        <w:trPr>
          <w:trHeight w:val="340"/>
          <w:jc w:val="center"/>
        </w:trPr>
        <w:tc>
          <w:tcPr>
            <w:tcW w:w="92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下调率</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22. 56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10. 67</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5. 62</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13. 07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8. 70</w:t>
            </w:r>
          </w:p>
        </w:tc>
        <w:tc>
          <w:tcPr>
            <w:tcW w:w="4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3. 15</w:t>
            </w:r>
          </w:p>
        </w:tc>
        <w:tc>
          <w:tcPr>
            <w:tcW w:w="45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 xml:space="preserve">28. 84 </w:t>
            </w:r>
          </w:p>
        </w:tc>
        <w:tc>
          <w:tcPr>
            <w:tcW w:w="4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10. 50</w:t>
            </w:r>
          </w:p>
        </w:tc>
        <w:tc>
          <w:tcPr>
            <w:tcW w:w="447" w:type="pct"/>
            <w:tcBorders>
              <w:top w:val="nil"/>
              <w:left w:val="nil"/>
              <w:bottom w:val="single" w:sz="8" w:space="0" w:color="auto"/>
              <w:right w:val="nil"/>
            </w:tcBorders>
            <w:noWrap/>
            <w:tcMar>
              <w:top w:w="0" w:type="dxa"/>
              <w:left w:w="108" w:type="dxa"/>
              <w:bottom w:w="0" w:type="dxa"/>
              <w:right w:w="108" w:type="dxa"/>
            </w:tcMar>
            <w:vAlign w:val="center"/>
            <w:hideMark/>
          </w:tcPr>
          <w:p w:rsidR="00E80DE0" w:rsidRPr="00E80DE0" w:rsidRDefault="00E80DE0" w:rsidP="00E80DE0">
            <w:pPr>
              <w:widowControl/>
              <w:spacing w:before="100" w:beforeAutospacing="1" w:after="100" w:afterAutospacing="1"/>
              <w:jc w:val="center"/>
              <w:rPr>
                <w:rFonts w:ascii="宋体" w:eastAsia="宋体" w:hAnsi="宋体" w:cs="宋体" w:hint="eastAsia"/>
                <w:kern w:val="0"/>
                <w:szCs w:val="21"/>
              </w:rPr>
            </w:pPr>
            <w:r w:rsidRPr="00E80DE0">
              <w:rPr>
                <w:rFonts w:ascii="宋体" w:eastAsia="宋体" w:hAnsi="宋体" w:cs="宋体" w:hint="eastAsia"/>
                <w:kern w:val="0"/>
                <w:sz w:val="18"/>
                <w:szCs w:val="18"/>
              </w:rPr>
              <w:t>6. 05</w:t>
            </w:r>
          </w:p>
        </w:tc>
      </w:tr>
    </w:tbl>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资料来源：ESMA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五、 </w:t>
      </w:r>
      <w:bookmarkStart w:id="5" w:name="OLE_LINK1"/>
      <w:r w:rsidRPr="00E80DE0">
        <w:rPr>
          <w:rFonts w:ascii="宋体" w:eastAsia="宋体" w:hAnsi="宋体" w:cs="宋体" w:hint="eastAsia"/>
          <w:kern w:val="0"/>
          <w:szCs w:val="21"/>
        </w:rPr>
        <w:t>信用评级国际监管</w:t>
      </w:r>
      <w:bookmarkEnd w:id="5"/>
      <w:r w:rsidRPr="00E80DE0">
        <w:rPr>
          <w:rFonts w:ascii="宋体" w:eastAsia="宋体" w:hAnsi="宋体" w:cs="宋体" w:hint="eastAsia"/>
          <w:kern w:val="0"/>
          <w:szCs w:val="21"/>
        </w:rPr>
        <w:t>动态</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2014年，国际评级行业的监管呈现出加强评级机构的内部管控、强化评级机构的法律责任追究和进一步完善信用评级监管规范的态势，体现了监管机构加强对评级机构的监管、保护投资者合法利益的态度和决心。</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t>（一）美国信用评级监管动态</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1.  完善信用评级监管规范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2014年8月27日，SEC发布信用评级机构改革新规则，旨在加强对评级机构的监管、防止利益冲突、提高信息的透明度、提高信用评级结果质量、增强评级机构责任等。具体来看，新规则主要包括以下改革内容：</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一是加强评级机构的内部控制。要求NRSRO评级机构建立内部控制机制时，需确保评级方法的制定和更新符合审核流程，投入使用前需获得董事会或决策组织的批准；需确保评级量化模型必须经过定期评估和审核；需确保在接受初评项目前，对信用评级可行性进行评估，包括审核相应评级方法和相关分析师资格；确保评级机构定期审核评级人员对评级流程和评级方法的掌握能力；建立初评及跟踪评级作业流程和步骤，以及评级资料的内部审核机制，了解并确保分析师遵守相关流程和评级方法。此外，SEC要求评级机构每年要提交一份内控报告。</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二是防止利益冲突。SEC要求评级机构不得营销评级结果，避免级别竞争；建立离职分析师去向监测制度，审核和回顾分析师</w:t>
      </w:r>
      <w:proofErr w:type="gramStart"/>
      <w:r w:rsidRPr="00E80DE0">
        <w:rPr>
          <w:rFonts w:ascii="宋体" w:eastAsia="宋体" w:hAnsi="宋体" w:cs="宋体" w:hint="eastAsia"/>
          <w:kern w:val="0"/>
          <w:szCs w:val="21"/>
        </w:rPr>
        <w:t>入职其参与</w:t>
      </w:r>
      <w:proofErr w:type="gramEnd"/>
      <w:r w:rsidRPr="00E80DE0">
        <w:rPr>
          <w:rFonts w:ascii="宋体" w:eastAsia="宋体" w:hAnsi="宋体" w:cs="宋体" w:hint="eastAsia"/>
          <w:kern w:val="0"/>
          <w:szCs w:val="21"/>
        </w:rPr>
        <w:t>评级的项目单位或主承销商对评级的影响，加强对相关评级结果的客观性、公正性的审核。</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三是提高信息披露程度。评级机构需确保对新评级方法或已有评级方法的更新进行公示，使市场参与者能够对评级方法提供意见，评级公司需听取并考虑这些意见；明确披露信用评级类型和级别符号、定义，以及修订情况（包括修订内容、修订原因、修订后可能导致的后果）；同时要求评级机构应披露第三方尽职调查认证书。</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9月4日，SEC发布ABS改革规则，对规范资产支持证券发行程序、信息披露和提交报告的有关规则进行了修订。新规则主要包括以下内容：房地产相关资产、汽车相关资产或债权证券（包括再证券化）为资产标的ABS的公开募集说明书（依据1933年美国证券法）和后续报告（依据1934年美国证券交易法）应包含资产池中所有资产的具体等级信息（影子评级），此类信息应符合特定的标准；要求采用暂搁注册</w:t>
      </w:r>
      <w:bookmarkStart w:id="6" w:name="_ftnref5"/>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"_ftn5"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[5]</w:t>
      </w:r>
      <w:r w:rsidRPr="00E80DE0">
        <w:rPr>
          <w:rFonts w:ascii="宋体" w:eastAsia="宋体" w:hAnsi="宋体" w:cs="宋体"/>
          <w:kern w:val="0"/>
          <w:szCs w:val="21"/>
        </w:rPr>
        <w:fldChar w:fldCharType="end"/>
      </w:r>
      <w:bookmarkEnd w:id="6"/>
      <w:r w:rsidRPr="00E80DE0">
        <w:rPr>
          <w:rFonts w:ascii="宋体" w:eastAsia="宋体" w:hAnsi="宋体" w:cs="宋体" w:hint="eastAsia"/>
          <w:kern w:val="0"/>
          <w:szCs w:val="21"/>
        </w:rPr>
        <w:t>（预先注册）的ABS发行人最晚应在发行前三天发布募集说明书，以便为投资者提供更充足的时间用于考虑投资交易相关信息（包括资产</w:t>
      </w:r>
      <w:proofErr w:type="gramStart"/>
      <w:r w:rsidRPr="00E80DE0">
        <w:rPr>
          <w:rFonts w:ascii="宋体" w:eastAsia="宋体" w:hAnsi="宋体" w:cs="宋体" w:hint="eastAsia"/>
          <w:kern w:val="0"/>
          <w:szCs w:val="21"/>
        </w:rPr>
        <w:t>池相关</w:t>
      </w:r>
      <w:proofErr w:type="gramEnd"/>
      <w:r w:rsidRPr="00E80DE0">
        <w:rPr>
          <w:rFonts w:ascii="宋体" w:eastAsia="宋体" w:hAnsi="宋体" w:cs="宋体" w:hint="eastAsia"/>
          <w:kern w:val="0"/>
          <w:szCs w:val="21"/>
        </w:rPr>
        <w:t>信息）；修订了适用于ABS发行的注册表；修订了适用于ABS的暂搁注册发行程序、发行条件及募集说明书递交要求。</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上述两部新</w:t>
      </w:r>
      <w:proofErr w:type="gramStart"/>
      <w:r w:rsidRPr="00E80DE0">
        <w:rPr>
          <w:rFonts w:ascii="宋体" w:eastAsia="宋体" w:hAnsi="宋体" w:cs="宋体" w:hint="eastAsia"/>
          <w:kern w:val="0"/>
          <w:szCs w:val="21"/>
        </w:rPr>
        <w:t>规</w:t>
      </w:r>
      <w:proofErr w:type="gramEnd"/>
      <w:r w:rsidRPr="00E80DE0">
        <w:rPr>
          <w:rFonts w:ascii="宋体" w:eastAsia="宋体" w:hAnsi="宋体" w:cs="宋体" w:hint="eastAsia"/>
          <w:kern w:val="0"/>
          <w:szCs w:val="21"/>
        </w:rPr>
        <w:t>的发布表明SEC对评级机构的监管进一步趋严，法律规范进一步完善，对评级机构内部控制标准和信息披露的要求进一步提高。</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2.  强化评级机构的法律责任追究</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SEC于2015年1月21日宣布，</w:t>
      </w:r>
      <w:proofErr w:type="gramStart"/>
      <w:r w:rsidRPr="00E80DE0">
        <w:rPr>
          <w:rFonts w:ascii="宋体" w:eastAsia="宋体" w:hAnsi="宋体" w:cs="宋体" w:hint="eastAsia"/>
          <w:kern w:val="0"/>
          <w:szCs w:val="21"/>
        </w:rPr>
        <w:t>标普已经</w:t>
      </w:r>
      <w:proofErr w:type="gramEnd"/>
      <w:r w:rsidRPr="00E80DE0">
        <w:rPr>
          <w:rFonts w:ascii="宋体" w:eastAsia="宋体" w:hAnsi="宋体" w:cs="宋体" w:hint="eastAsia"/>
          <w:kern w:val="0"/>
          <w:szCs w:val="21"/>
        </w:rPr>
        <w:t>同意向联邦和州监管机构支付总额超过7700万美元罚金，以了结针对该公司就某种商业抵押支持证券评级误导投资人的指控。SEC</w:t>
      </w:r>
      <w:proofErr w:type="gramStart"/>
      <w:r w:rsidRPr="00E80DE0">
        <w:rPr>
          <w:rFonts w:ascii="宋体" w:eastAsia="宋体" w:hAnsi="宋体" w:cs="宋体" w:hint="eastAsia"/>
          <w:kern w:val="0"/>
          <w:szCs w:val="21"/>
        </w:rPr>
        <w:t>对标普发起</w:t>
      </w:r>
      <w:proofErr w:type="gramEnd"/>
      <w:r w:rsidRPr="00E80DE0">
        <w:rPr>
          <w:rFonts w:ascii="宋体" w:eastAsia="宋体" w:hAnsi="宋体" w:cs="宋体" w:hint="eastAsia"/>
          <w:kern w:val="0"/>
          <w:szCs w:val="21"/>
        </w:rPr>
        <w:t xml:space="preserve">三项指控包括： </w:t>
      </w:r>
      <w:proofErr w:type="gramStart"/>
      <w:r w:rsidRPr="00E80DE0">
        <w:rPr>
          <w:rFonts w:ascii="宋体" w:eastAsia="宋体" w:hAnsi="宋体" w:cs="宋体" w:hint="eastAsia"/>
          <w:kern w:val="0"/>
          <w:szCs w:val="21"/>
        </w:rPr>
        <w:t>2011年标普披露</w:t>
      </w:r>
      <w:proofErr w:type="gramEnd"/>
      <w:r w:rsidRPr="00E80DE0">
        <w:rPr>
          <w:rFonts w:ascii="宋体" w:eastAsia="宋体" w:hAnsi="宋体" w:cs="宋体" w:hint="eastAsia"/>
          <w:kern w:val="0"/>
          <w:szCs w:val="21"/>
        </w:rPr>
        <w:t xml:space="preserve">的评级办法与其实际评级方法不同； </w:t>
      </w:r>
      <w:proofErr w:type="gramStart"/>
      <w:r w:rsidRPr="00E80DE0">
        <w:rPr>
          <w:rFonts w:ascii="宋体" w:eastAsia="宋体" w:hAnsi="宋体" w:cs="宋体" w:hint="eastAsia"/>
          <w:kern w:val="0"/>
          <w:szCs w:val="21"/>
        </w:rPr>
        <w:t>2012年标普为</w:t>
      </w:r>
      <w:proofErr w:type="gramEnd"/>
      <w:r w:rsidRPr="00E80DE0">
        <w:rPr>
          <w:rFonts w:ascii="宋体" w:eastAsia="宋体" w:hAnsi="宋体" w:cs="宋体" w:hint="eastAsia"/>
          <w:kern w:val="0"/>
          <w:szCs w:val="21"/>
        </w:rPr>
        <w:t>赢回市场份额对其采用的新评级标准进行了虚假、误导性宣传；2012年~2014年间，</w:t>
      </w:r>
      <w:proofErr w:type="gramStart"/>
      <w:r w:rsidRPr="00E80DE0">
        <w:rPr>
          <w:rFonts w:ascii="宋体" w:eastAsia="宋体" w:hAnsi="宋体" w:cs="宋体" w:hint="eastAsia"/>
          <w:kern w:val="0"/>
          <w:szCs w:val="21"/>
        </w:rPr>
        <w:lastRenderedPageBreak/>
        <w:t>标普对</w:t>
      </w:r>
      <w:proofErr w:type="gramEnd"/>
      <w:r w:rsidRPr="00E80DE0">
        <w:rPr>
          <w:rFonts w:ascii="宋体" w:eastAsia="宋体" w:hAnsi="宋体" w:cs="宋体" w:hint="eastAsia"/>
          <w:kern w:val="0"/>
          <w:szCs w:val="21"/>
        </w:rPr>
        <w:t>其一项重要评级相关条款进行了修改，放松了评级标准，与其公布的评级标准不符，但该公司却未向投资者完全披露此改动。</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2015年2月3日，</w:t>
      </w:r>
      <w:proofErr w:type="gramStart"/>
      <w:r w:rsidRPr="00E80DE0">
        <w:rPr>
          <w:rFonts w:ascii="宋体" w:eastAsia="宋体" w:hAnsi="宋体" w:cs="宋体" w:hint="eastAsia"/>
          <w:kern w:val="0"/>
          <w:szCs w:val="21"/>
        </w:rPr>
        <w:t>标普同</w:t>
      </w:r>
      <w:proofErr w:type="gramEnd"/>
      <w:r w:rsidRPr="00E80DE0">
        <w:rPr>
          <w:rFonts w:ascii="宋体" w:eastAsia="宋体" w:hAnsi="宋体" w:cs="宋体" w:hint="eastAsia"/>
          <w:kern w:val="0"/>
          <w:szCs w:val="21"/>
        </w:rPr>
        <w:t>意向美国司法部和19个州及哥伦比亚特区和解有关其在金融危机中涉嫌评级欺诈的指控。</w:t>
      </w:r>
      <w:proofErr w:type="gramStart"/>
      <w:r w:rsidRPr="00E80DE0">
        <w:rPr>
          <w:rFonts w:ascii="宋体" w:eastAsia="宋体" w:hAnsi="宋体" w:cs="宋体" w:hint="eastAsia"/>
          <w:kern w:val="0"/>
          <w:szCs w:val="21"/>
        </w:rPr>
        <w:t>标普同</w:t>
      </w:r>
      <w:proofErr w:type="gramEnd"/>
      <w:r w:rsidRPr="00E80DE0">
        <w:rPr>
          <w:rFonts w:ascii="宋体" w:eastAsia="宋体" w:hAnsi="宋体" w:cs="宋体" w:hint="eastAsia"/>
          <w:kern w:val="0"/>
          <w:szCs w:val="21"/>
        </w:rPr>
        <w:t>意向美国司法部支付6.875亿美元，并向19个州和哥伦比亚特区支付相同的和解金额。此外，</w:t>
      </w:r>
      <w:proofErr w:type="gramStart"/>
      <w:r w:rsidRPr="00E80DE0">
        <w:rPr>
          <w:rFonts w:ascii="宋体" w:eastAsia="宋体" w:hAnsi="宋体" w:cs="宋体" w:hint="eastAsia"/>
          <w:kern w:val="0"/>
          <w:szCs w:val="21"/>
        </w:rPr>
        <w:t>标普还</w:t>
      </w:r>
      <w:proofErr w:type="gramEnd"/>
      <w:r w:rsidRPr="00E80DE0">
        <w:rPr>
          <w:rFonts w:ascii="宋体" w:eastAsia="宋体" w:hAnsi="宋体" w:cs="宋体" w:hint="eastAsia"/>
          <w:kern w:val="0"/>
          <w:szCs w:val="21"/>
        </w:rPr>
        <w:t>将与加州公务员退休基金达成和解，向后者支付1.25亿美元和解金。此前，</w:t>
      </w:r>
      <w:proofErr w:type="gramStart"/>
      <w:r w:rsidRPr="00E80DE0">
        <w:rPr>
          <w:rFonts w:ascii="宋体" w:eastAsia="宋体" w:hAnsi="宋体" w:cs="宋体" w:hint="eastAsia"/>
          <w:kern w:val="0"/>
          <w:szCs w:val="21"/>
        </w:rPr>
        <w:t>标普被</w:t>
      </w:r>
      <w:proofErr w:type="gramEnd"/>
      <w:r w:rsidRPr="00E80DE0">
        <w:rPr>
          <w:rFonts w:ascii="宋体" w:eastAsia="宋体" w:hAnsi="宋体" w:cs="宋体" w:hint="eastAsia"/>
          <w:kern w:val="0"/>
          <w:szCs w:val="21"/>
        </w:rPr>
        <w:t>指控出于赢取评级费用和市场份额的目的，在2004年9月至2007年10月期间为价值超过2.8</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美元的RMBS和约1.2</w:t>
      </w:r>
      <w:proofErr w:type="gramStart"/>
      <w:r w:rsidRPr="00E80DE0">
        <w:rPr>
          <w:rFonts w:ascii="宋体" w:eastAsia="宋体" w:hAnsi="宋体" w:cs="宋体" w:hint="eastAsia"/>
          <w:kern w:val="0"/>
          <w:szCs w:val="21"/>
        </w:rPr>
        <w:t>万亿</w:t>
      </w:r>
      <w:proofErr w:type="gramEnd"/>
      <w:r w:rsidRPr="00E80DE0">
        <w:rPr>
          <w:rFonts w:ascii="宋体" w:eastAsia="宋体" w:hAnsi="宋体" w:cs="宋体" w:hint="eastAsia"/>
          <w:kern w:val="0"/>
          <w:szCs w:val="21"/>
        </w:rPr>
        <w:t>美元的CDO给出AAA级的过高评级，对相关投资者构成欺诈并致其损失。</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w:t>
      </w:r>
      <w:proofErr w:type="gramStart"/>
      <w:r w:rsidRPr="00E80DE0">
        <w:rPr>
          <w:rFonts w:ascii="宋体" w:eastAsia="宋体" w:hAnsi="宋体" w:cs="宋体" w:hint="eastAsia"/>
          <w:kern w:val="0"/>
          <w:szCs w:val="21"/>
        </w:rPr>
        <w:t>标普的</w:t>
      </w:r>
      <w:proofErr w:type="gramEnd"/>
      <w:r w:rsidRPr="00E80DE0">
        <w:rPr>
          <w:rFonts w:ascii="宋体" w:eastAsia="宋体" w:hAnsi="宋体" w:cs="宋体" w:hint="eastAsia"/>
          <w:kern w:val="0"/>
          <w:szCs w:val="21"/>
        </w:rPr>
        <w:t>一系列受罚事件表明针对评级机构的法律责任追究落到实处，体现了监管机构的态度和决心，同时也对其他评级机构起到了警示作用，将有利于保护投资者的合法权益和社会公共利益。</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（二）  欧盟信用评级监管动态</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1.  加强评级机构的内部管控，强化评级机构的责任追究</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2014年，ESMA针对评级机构内部治理及评级方法中存在的问题开展了一系列调查，旨在加强评级机构的内部管控，规范评级方法及流程。主要内容包括：</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一是完成了对四家评级机构（标普、穆迪、惠誉和美多年）RMBS评级方法的调查。发现的问题有：缺乏对外部获取信息的质量控制；评级过程中未完</w:t>
      </w:r>
      <w:proofErr w:type="gramStart"/>
      <w:r w:rsidRPr="00E80DE0">
        <w:rPr>
          <w:rFonts w:ascii="宋体" w:eastAsia="宋体" w:hAnsi="宋体" w:cs="宋体" w:hint="eastAsia"/>
          <w:kern w:val="0"/>
          <w:szCs w:val="21"/>
        </w:rPr>
        <w:t>全应用</w:t>
      </w:r>
      <w:proofErr w:type="gramEnd"/>
      <w:r w:rsidRPr="00E80DE0">
        <w:rPr>
          <w:rFonts w:ascii="宋体" w:eastAsia="宋体" w:hAnsi="宋体" w:cs="宋体" w:hint="eastAsia"/>
          <w:kern w:val="0"/>
          <w:szCs w:val="21"/>
        </w:rPr>
        <w:t>评级方法，对不同的分层结构缺乏足够的披露；评级年度跟踪评级工作进展缓慢；对RMBS评级方法、模型和核心评级假设的内部审查有待加强。</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二是完成了对18家中小评级机构企业治理和内部审查的调查。发现的主要问题有：记录及评级过程存档方面存在缺陷；内部</w:t>
      </w:r>
      <w:proofErr w:type="gramStart"/>
      <w:r w:rsidRPr="00E80DE0">
        <w:rPr>
          <w:rFonts w:ascii="宋体" w:eastAsia="宋体" w:hAnsi="宋体" w:cs="宋体" w:hint="eastAsia"/>
          <w:kern w:val="0"/>
          <w:szCs w:val="21"/>
        </w:rPr>
        <w:t>管控并未</w:t>
      </w:r>
      <w:proofErr w:type="gramEnd"/>
      <w:r w:rsidRPr="00E80DE0">
        <w:rPr>
          <w:rFonts w:ascii="宋体" w:eastAsia="宋体" w:hAnsi="宋体" w:cs="宋体" w:hint="eastAsia"/>
          <w:kern w:val="0"/>
          <w:szCs w:val="21"/>
        </w:rPr>
        <w:t>随着业务的发展而加强；工作准则及章程并未按照2013年发布的《欧盟信用评级机构监管法规》第二次修订案（CRA3）进行更新。</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三是继续开展对主权评级过程的调查，并要求评级机构针对可能会影响评级独立性的风险采取补救措施。补救措施主要包括：明确分析师、管理层、行政人员和联络人员的职责，确保评级活动的独立性；确保主权分析</w:t>
      </w:r>
      <w:proofErr w:type="gramStart"/>
      <w:r w:rsidRPr="00E80DE0">
        <w:rPr>
          <w:rFonts w:ascii="宋体" w:eastAsia="宋体" w:hAnsi="宋体" w:cs="宋体" w:hint="eastAsia"/>
          <w:kern w:val="0"/>
          <w:szCs w:val="21"/>
        </w:rPr>
        <w:t>师具备</w:t>
      </w:r>
      <w:proofErr w:type="gramEnd"/>
      <w:r w:rsidRPr="00E80DE0">
        <w:rPr>
          <w:rFonts w:ascii="宋体" w:eastAsia="宋体" w:hAnsi="宋体" w:cs="宋体" w:hint="eastAsia"/>
          <w:kern w:val="0"/>
          <w:szCs w:val="21"/>
        </w:rPr>
        <w:t>开展主权评级所需的专业知识储备和经验；加强对机密评级信息的保护；对报告发布流程进行修订，以确保评级质量及评级过程的独立性和完整性；改善信用评级委员会有关程序；采取措施确保评级活动信息及时发布并提前告知受评主体。</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2014年6月3日，ESMA发布了《欧盟信用评级机构监管法规》实施以来的首个公告，指责标</w:t>
      </w:r>
      <w:proofErr w:type="gramStart"/>
      <w:r w:rsidRPr="00E80DE0">
        <w:rPr>
          <w:rFonts w:ascii="宋体" w:eastAsia="宋体" w:hAnsi="宋体" w:cs="宋体" w:hint="eastAsia"/>
          <w:kern w:val="0"/>
          <w:szCs w:val="21"/>
        </w:rPr>
        <w:t>普法国和标普</w:t>
      </w:r>
      <w:proofErr w:type="gramEnd"/>
      <w:r w:rsidRPr="00E80DE0">
        <w:rPr>
          <w:rFonts w:ascii="宋体" w:eastAsia="宋体" w:hAnsi="宋体" w:cs="宋体" w:hint="eastAsia"/>
          <w:kern w:val="0"/>
          <w:szCs w:val="21"/>
        </w:rPr>
        <w:t>欧洲在2011年11月10日错误地向用户发送了</w:t>
      </w:r>
      <w:proofErr w:type="gramStart"/>
      <w:r w:rsidRPr="00E80DE0">
        <w:rPr>
          <w:rFonts w:ascii="宋体" w:eastAsia="宋体" w:hAnsi="宋体" w:cs="宋体" w:hint="eastAsia"/>
          <w:kern w:val="0"/>
          <w:szCs w:val="21"/>
        </w:rPr>
        <w:t>有关标普下调</w:t>
      </w:r>
      <w:proofErr w:type="gramEnd"/>
      <w:r w:rsidRPr="00E80DE0">
        <w:rPr>
          <w:rFonts w:ascii="宋体" w:eastAsia="宋体" w:hAnsi="宋体" w:cs="宋体" w:hint="eastAsia"/>
          <w:kern w:val="0"/>
          <w:szCs w:val="21"/>
        </w:rPr>
        <w:t>法国主权评级的电子邮件（实际未下调），违反了《欧盟信用评级机构监管法规》中有关内部管控机制、信息处理系统</w:t>
      </w:r>
      <w:proofErr w:type="gramStart"/>
      <w:r w:rsidRPr="00E80DE0">
        <w:rPr>
          <w:rFonts w:ascii="宋体" w:eastAsia="宋体" w:hAnsi="宋体" w:cs="宋体" w:hint="eastAsia"/>
          <w:kern w:val="0"/>
          <w:szCs w:val="21"/>
        </w:rPr>
        <w:t>管控及保护</w:t>
      </w:r>
      <w:proofErr w:type="gramEnd"/>
      <w:r w:rsidRPr="00E80DE0">
        <w:rPr>
          <w:rFonts w:ascii="宋体" w:eastAsia="宋体" w:hAnsi="宋体" w:cs="宋体" w:hint="eastAsia"/>
          <w:kern w:val="0"/>
          <w:szCs w:val="21"/>
        </w:rPr>
        <w:t>、保护措施、决策程序及组织结构的监督和评估等规定。2015年6月29日，ESMA针对美多年在信用评级活动审查记录及内部管控机制方面存在的</w:t>
      </w:r>
      <w:r w:rsidRPr="00E80DE0">
        <w:rPr>
          <w:rFonts w:ascii="宋体" w:eastAsia="宋体" w:hAnsi="宋体" w:cs="宋体" w:hint="eastAsia"/>
          <w:kern w:val="0"/>
          <w:szCs w:val="21"/>
        </w:rPr>
        <w:lastRenderedPageBreak/>
        <w:t>问题开出了《欧盟信用评级机构监管法规》实施以来的首笔罚金，美多年被强制处以3万欧元罚款。</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ESMA的上述措施表明其监管重点正在逐渐从三大评级机构扩展至其他中小评级机构，对评级方法的调查也在不断深入，并开始采取实际行动对评级机构存在的问题进行处罚，强化了对评级机构过失责任的追究。</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2.  完善信用评级监管规范</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2013年7月， ESMA根据《欧盟信用评级机构监管法规》第二次修订案的要求，开始起草《欧盟信用评级机构监管技术标准》（RTS），经过近一年的征求意见和修订，已经于2014年6月将最终的草案提交欧盟并获得批准，于2015年1月26日开始生效。RTS涵盖结构化产品的披露要求、欧洲评级平台的建设和信用评级机构收费情况定期报告三个方面。</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2014年7月16日，ESMA发布了有关信用评级机构定期提交报告的指导纲要草案，其中要求评级机构所提交的报告应包含其注册初始条件发生变动的相关信息以及ESMA所需的用于统计信用评级机构市场份额及监管费用的信息。该指导纲要的最终报告已于2015年6月23日正式发布。</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上述两部新</w:t>
      </w:r>
      <w:proofErr w:type="gramStart"/>
      <w:r w:rsidRPr="00E80DE0">
        <w:rPr>
          <w:rFonts w:ascii="宋体" w:eastAsia="宋体" w:hAnsi="宋体" w:cs="宋体" w:hint="eastAsia"/>
          <w:kern w:val="0"/>
          <w:szCs w:val="21"/>
        </w:rPr>
        <w:t>规</w:t>
      </w:r>
      <w:proofErr w:type="gramEnd"/>
      <w:r w:rsidRPr="00E80DE0">
        <w:rPr>
          <w:rFonts w:ascii="宋体" w:eastAsia="宋体" w:hAnsi="宋体" w:cs="宋体" w:hint="eastAsia"/>
          <w:kern w:val="0"/>
          <w:szCs w:val="21"/>
        </w:rPr>
        <w:t>的出台进一步完善了欧盟区域内的信用评级监管规范，细化了监管标准，将使监管更加有效，并推动评级行业进一步向制度化和规范化的方向发展。</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3.  未来监管重点方向</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ESMA在其2014年对评级机构的监管年报中公布了2015-2016年评级监管的相关工作计划。未来两年ESMA对评级机构的监管重点主要包括以下方面：研究公司治理、风险管理和内部决策程序及业务发展流程对评级发布流程的影响；评估新的注册及认证申请，对信用评级机构进行日常监管并处理有关合</w:t>
      </w:r>
      <w:proofErr w:type="gramStart"/>
      <w:r w:rsidRPr="00E80DE0">
        <w:rPr>
          <w:rFonts w:ascii="宋体" w:eastAsia="宋体" w:hAnsi="宋体" w:cs="宋体" w:hint="eastAsia"/>
          <w:kern w:val="0"/>
          <w:szCs w:val="21"/>
        </w:rPr>
        <w:t>规</w:t>
      </w:r>
      <w:proofErr w:type="gramEnd"/>
      <w:r w:rsidRPr="00E80DE0">
        <w:rPr>
          <w:rFonts w:ascii="宋体" w:eastAsia="宋体" w:hAnsi="宋体" w:cs="宋体" w:hint="eastAsia"/>
          <w:kern w:val="0"/>
          <w:szCs w:val="21"/>
        </w:rPr>
        <w:t>问题的投诉；继续开展一系列调查，包括对评级方法、IT内部控制及安全的有效性验证和对评级程序的调查；对最近结束的结构化产品及中小信用评级机构调查进行追踪，确保补救措施方案的有效实施。</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xml:space="preserve">　　作者：联</w:t>
      </w:r>
      <w:proofErr w:type="gramStart"/>
      <w:r w:rsidRPr="00E80DE0">
        <w:rPr>
          <w:rFonts w:ascii="宋体" w:eastAsia="宋体" w:hAnsi="宋体" w:cs="宋体" w:hint="eastAsia"/>
          <w:kern w:val="0"/>
          <w:szCs w:val="21"/>
        </w:rPr>
        <w:t>合资信</w:t>
      </w:r>
      <w:proofErr w:type="gramEnd"/>
      <w:r w:rsidRPr="00E80DE0">
        <w:rPr>
          <w:rFonts w:ascii="宋体" w:eastAsia="宋体" w:hAnsi="宋体" w:cs="宋体" w:hint="eastAsia"/>
          <w:kern w:val="0"/>
          <w:szCs w:val="21"/>
        </w:rPr>
        <w:t>评估有限公司  研究部</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br w:type="textWrapping" w:clear="all"/>
        <w:t xml:space="preserve">　　</w:t>
      </w:r>
    </w:p>
    <w:p w:rsidR="00E80DE0" w:rsidRPr="00E80DE0" w:rsidRDefault="00E80DE0" w:rsidP="00E80DE0">
      <w:pPr>
        <w:widowControl/>
        <w:jc w:val="left"/>
        <w:rPr>
          <w:rFonts w:ascii="宋体" w:eastAsia="宋体" w:hAnsi="宋体" w:cs="宋体" w:hint="eastAsia"/>
          <w:kern w:val="0"/>
          <w:szCs w:val="21"/>
        </w:rPr>
      </w:pPr>
      <w:r w:rsidRPr="00E80DE0">
        <w:rPr>
          <w:rFonts w:ascii="宋体" w:eastAsia="宋体" w:hAnsi="宋体" w:cs="宋体" w:hint="eastAsia"/>
          <w:kern w:val="0"/>
          <w:szCs w:val="21"/>
        </w:rPr>
        <w:lastRenderedPageBreak/>
        <w:pict>
          <v:rect id="_x0000_i1025" style="width:137.05pt;height:.75pt" o:hrpct="330" o:hrstd="t" o:hr="t" fillcolor="#a0a0a0" stroked="f"/>
        </w:pict>
      </w:r>
    </w:p>
    <w:bookmarkStart w:id="7" w:name="_ftn1"/>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"_ftnref1"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[1]</w:t>
      </w:r>
      <w:r w:rsidRPr="00E80DE0">
        <w:rPr>
          <w:rFonts w:ascii="宋体" w:eastAsia="宋体" w:hAnsi="宋体" w:cs="宋体"/>
          <w:kern w:val="0"/>
          <w:szCs w:val="21"/>
        </w:rPr>
        <w:fldChar w:fldCharType="end"/>
      </w:r>
      <w:bookmarkEnd w:id="7"/>
      <w:r w:rsidRPr="00E80DE0">
        <w:rPr>
          <w:rFonts w:ascii="宋体" w:eastAsia="宋体" w:hAnsi="宋体" w:cs="宋体" w:hint="eastAsia"/>
          <w:kern w:val="0"/>
          <w:szCs w:val="21"/>
        </w:rPr>
        <w:t xml:space="preserve"> 欧央行分别在2014年6月和9月下调政策利率，将主要再融资利率、边际贷款便利利率和存款便利利率调降至0.05%、0.30%和-0.20%，于9月启动定向长期再融资操作（TLTROs），并从第四季度开始购买资产抵押证券和担保债券。此外，为实现价格稳定目标，欧央行宣布进一步扩张资产购买计划，将购买范围扩展至欧元区政府、机构和欧洲企业发行的债券，每月资产购买规模将达600亿欧元，购买操作将至少持续至2016年9月。</w:t>
      </w:r>
    </w:p>
    <w:bookmarkStart w:id="8" w:name="_ftn2"/>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"_ftnref2"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[2]</w:t>
      </w:r>
      <w:r w:rsidRPr="00E80DE0">
        <w:rPr>
          <w:rFonts w:ascii="宋体" w:eastAsia="宋体" w:hAnsi="宋体" w:cs="宋体"/>
          <w:kern w:val="0"/>
          <w:szCs w:val="21"/>
        </w:rPr>
        <w:fldChar w:fldCharType="end"/>
      </w:r>
      <w:bookmarkEnd w:id="8"/>
      <w:r w:rsidRPr="00E80DE0">
        <w:rPr>
          <w:rFonts w:ascii="宋体" w:eastAsia="宋体" w:hAnsi="宋体" w:cs="宋体" w:hint="eastAsia"/>
          <w:kern w:val="0"/>
          <w:szCs w:val="21"/>
        </w:rPr>
        <w:t xml:space="preserve"> 美联储（FED）在2013年的最后一次货币政策会议结束后宣布，从2014年1月开始，将每个月量化宽松（QE）政策缩减100亿美元至750亿美元，抵押贷款支持证券（MBS）和国债分别缩减50亿美元，并维持0-0.25%的基准利率不变。</w:t>
      </w:r>
    </w:p>
    <w:bookmarkStart w:id="9" w:name="_ftn3"/>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"_ftnref3"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[3]</w:t>
      </w:r>
      <w:r w:rsidRPr="00E80DE0">
        <w:rPr>
          <w:rFonts w:ascii="宋体" w:eastAsia="宋体" w:hAnsi="宋体" w:cs="宋体"/>
          <w:kern w:val="0"/>
          <w:szCs w:val="21"/>
        </w:rPr>
        <w:fldChar w:fldCharType="end"/>
      </w:r>
      <w:bookmarkEnd w:id="9"/>
      <w:r w:rsidRPr="00E80DE0">
        <w:rPr>
          <w:rFonts w:ascii="宋体" w:eastAsia="宋体" w:hAnsi="宋体" w:cs="宋体" w:hint="eastAsia"/>
          <w:kern w:val="0"/>
          <w:szCs w:val="21"/>
        </w:rPr>
        <w:t xml:space="preserve"> 调升趋势即上调率大于下调率，调降趋势即下调率大于上调率</w:t>
      </w:r>
    </w:p>
    <w:bookmarkStart w:id="10" w:name="_ftn4"/>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"_ftnref4"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[4]</w:t>
      </w:r>
      <w:r w:rsidRPr="00E80DE0">
        <w:rPr>
          <w:rFonts w:ascii="宋体" w:eastAsia="宋体" w:hAnsi="宋体" w:cs="宋体"/>
          <w:kern w:val="0"/>
          <w:szCs w:val="21"/>
        </w:rPr>
        <w:fldChar w:fldCharType="end"/>
      </w:r>
      <w:bookmarkEnd w:id="10"/>
      <w:r w:rsidRPr="00E80DE0">
        <w:rPr>
          <w:rFonts w:ascii="宋体" w:eastAsia="宋体" w:hAnsi="宋体" w:cs="宋体" w:hint="eastAsia"/>
          <w:kern w:val="0"/>
          <w:szCs w:val="21"/>
        </w:rPr>
        <w:t xml:space="preserve"> 评级调整率=上调率+下调率</w:t>
      </w:r>
    </w:p>
    <w:bookmarkStart w:id="11" w:name="_ftn5"/>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kern w:val="0"/>
          <w:szCs w:val="21"/>
        </w:rPr>
        <w:fldChar w:fldCharType="begin"/>
      </w:r>
      <w:r w:rsidRPr="00E80DE0">
        <w:rPr>
          <w:rFonts w:ascii="宋体" w:eastAsia="宋体" w:hAnsi="宋体" w:cs="宋体"/>
          <w:kern w:val="0"/>
          <w:szCs w:val="21"/>
        </w:rPr>
        <w:instrText xml:space="preserve"> HYPERLINK "file:///C:\\Documents%20and%20Settings\\Administrator\\Application%20Data\\SogouExplorer\\Download\\2014%E5%B9%B4%E5%9B%BD%E9%99%85%E8%AF%84%E7%BA%A7%E8%A1%8C%E4%B8%9A%E5%8F%91%E5%B1%95%E4%B8%8E%E7%9B%91%E7%AE%A1%E5%8A%A8%E6%80%81%E6%8A%A5%E5%91%8A.doc" \l "_ftnref5" \o "" </w:instrText>
      </w:r>
      <w:r w:rsidRPr="00E80DE0">
        <w:rPr>
          <w:rFonts w:ascii="宋体" w:eastAsia="宋体" w:hAnsi="宋体" w:cs="宋体"/>
          <w:kern w:val="0"/>
          <w:szCs w:val="21"/>
        </w:rPr>
        <w:fldChar w:fldCharType="separate"/>
      </w:r>
      <w:r w:rsidRPr="00E80DE0">
        <w:rPr>
          <w:rFonts w:ascii="宋体" w:eastAsia="宋体" w:hAnsi="宋体" w:cs="宋体" w:hint="eastAsia"/>
          <w:color w:val="0000FF"/>
          <w:kern w:val="0"/>
          <w:szCs w:val="21"/>
          <w:u w:val="single"/>
        </w:rPr>
        <w:t>[5]</w:t>
      </w:r>
      <w:r w:rsidRPr="00E80DE0">
        <w:rPr>
          <w:rFonts w:ascii="宋体" w:eastAsia="宋体" w:hAnsi="宋体" w:cs="宋体"/>
          <w:kern w:val="0"/>
          <w:szCs w:val="21"/>
        </w:rPr>
        <w:fldChar w:fldCharType="end"/>
      </w:r>
      <w:bookmarkEnd w:id="11"/>
      <w:r w:rsidRPr="00E80DE0">
        <w:rPr>
          <w:rFonts w:ascii="宋体" w:eastAsia="宋体" w:hAnsi="宋体" w:cs="宋体" w:hint="eastAsia"/>
          <w:kern w:val="0"/>
          <w:szCs w:val="21"/>
        </w:rPr>
        <w:t xml:space="preserve"> 暂搁注册是指根据规定（SEC Rule 415），符合一定条件的公司可以为其今后两年内预计发行的证券到SEC办理注册手续，并自主决定证券发行的具体时间。</w:t>
      </w:r>
    </w:p>
    <w:p w:rsidR="00E80DE0" w:rsidRPr="00E80DE0" w:rsidRDefault="00E80DE0" w:rsidP="00E80DE0">
      <w:pPr>
        <w:widowControl/>
        <w:spacing w:before="100" w:beforeAutospacing="1" w:after="100" w:afterAutospacing="1"/>
        <w:jc w:val="left"/>
        <w:rPr>
          <w:rFonts w:ascii="宋体" w:eastAsia="宋体" w:hAnsi="宋体" w:cs="宋体" w:hint="eastAsia"/>
          <w:kern w:val="0"/>
          <w:szCs w:val="21"/>
        </w:rPr>
      </w:pPr>
      <w:r w:rsidRPr="00E80DE0">
        <w:rPr>
          <w:rFonts w:ascii="宋体" w:eastAsia="宋体" w:hAnsi="宋体" w:cs="宋体" w:hint="eastAsia"/>
          <w:kern w:val="0"/>
          <w:szCs w:val="21"/>
        </w:rPr>
        <w:t> </w:t>
      </w:r>
    </w:p>
    <w:p w:rsidR="00180A7E" w:rsidRPr="00E80DE0" w:rsidRDefault="00180A7E" w:rsidP="00E80DE0"/>
    <w:sectPr w:rsidR="00180A7E" w:rsidRPr="00E80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E0"/>
    <w:rsid w:val="00180A7E"/>
    <w:rsid w:val="00E8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38BE-C350-4A34-A890-015B86D1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80DE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80DE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80D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80DE0"/>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E80DE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E80DE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DE0"/>
    <w:rPr>
      <w:rFonts w:ascii="宋体" w:eastAsia="宋体" w:hAnsi="宋体" w:cs="宋体"/>
      <w:b/>
      <w:bCs/>
      <w:kern w:val="36"/>
      <w:sz w:val="48"/>
      <w:szCs w:val="48"/>
    </w:rPr>
  </w:style>
  <w:style w:type="character" w:customStyle="1" w:styleId="2Char">
    <w:name w:val="标题 2 Char"/>
    <w:basedOn w:val="a0"/>
    <w:link w:val="2"/>
    <w:uiPriority w:val="9"/>
    <w:rsid w:val="00E80DE0"/>
    <w:rPr>
      <w:rFonts w:ascii="宋体" w:eastAsia="宋体" w:hAnsi="宋体" w:cs="宋体"/>
      <w:b/>
      <w:bCs/>
      <w:kern w:val="0"/>
      <w:sz w:val="36"/>
      <w:szCs w:val="36"/>
    </w:rPr>
  </w:style>
  <w:style w:type="character" w:customStyle="1" w:styleId="3Char">
    <w:name w:val="标题 3 Char"/>
    <w:basedOn w:val="a0"/>
    <w:link w:val="3"/>
    <w:uiPriority w:val="9"/>
    <w:rsid w:val="00E80DE0"/>
    <w:rPr>
      <w:rFonts w:ascii="宋体" w:eastAsia="宋体" w:hAnsi="宋体" w:cs="宋体"/>
      <w:b/>
      <w:bCs/>
      <w:kern w:val="0"/>
      <w:sz w:val="27"/>
      <w:szCs w:val="27"/>
    </w:rPr>
  </w:style>
  <w:style w:type="character" w:customStyle="1" w:styleId="4Char">
    <w:name w:val="标题 4 Char"/>
    <w:basedOn w:val="a0"/>
    <w:link w:val="4"/>
    <w:uiPriority w:val="9"/>
    <w:rsid w:val="00E80DE0"/>
    <w:rPr>
      <w:rFonts w:ascii="宋体" w:eastAsia="宋体" w:hAnsi="宋体" w:cs="宋体"/>
      <w:b/>
      <w:bCs/>
      <w:kern w:val="0"/>
      <w:sz w:val="24"/>
      <w:szCs w:val="24"/>
    </w:rPr>
  </w:style>
  <w:style w:type="character" w:customStyle="1" w:styleId="5Char">
    <w:name w:val="标题 5 Char"/>
    <w:basedOn w:val="a0"/>
    <w:link w:val="5"/>
    <w:uiPriority w:val="9"/>
    <w:rsid w:val="00E80DE0"/>
    <w:rPr>
      <w:rFonts w:ascii="宋体" w:eastAsia="宋体" w:hAnsi="宋体" w:cs="宋体"/>
      <w:b/>
      <w:bCs/>
      <w:kern w:val="0"/>
      <w:sz w:val="20"/>
      <w:szCs w:val="20"/>
    </w:rPr>
  </w:style>
  <w:style w:type="character" w:customStyle="1" w:styleId="6Char">
    <w:name w:val="标题 6 Char"/>
    <w:basedOn w:val="a0"/>
    <w:link w:val="6"/>
    <w:uiPriority w:val="9"/>
    <w:rsid w:val="00E80DE0"/>
    <w:rPr>
      <w:rFonts w:ascii="宋体" w:eastAsia="宋体" w:hAnsi="宋体" w:cs="宋体"/>
      <w:b/>
      <w:bCs/>
      <w:kern w:val="0"/>
      <w:sz w:val="15"/>
      <w:szCs w:val="15"/>
    </w:rPr>
  </w:style>
  <w:style w:type="paragraph" w:styleId="HTML">
    <w:name w:val="HTML Address"/>
    <w:basedOn w:val="a"/>
    <w:link w:val="HTMLChar"/>
    <w:uiPriority w:val="99"/>
    <w:semiHidden/>
    <w:unhideWhenUsed/>
    <w:rsid w:val="00E80DE0"/>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E80DE0"/>
    <w:rPr>
      <w:rFonts w:ascii="宋体" w:eastAsia="宋体" w:hAnsi="宋体" w:cs="宋体"/>
      <w:i/>
      <w:iCs/>
      <w:kern w:val="0"/>
      <w:sz w:val="24"/>
      <w:szCs w:val="24"/>
    </w:rPr>
  </w:style>
  <w:style w:type="paragraph" w:styleId="HTML0">
    <w:name w:val="HTML Preformatted"/>
    <w:basedOn w:val="a"/>
    <w:link w:val="HTMLChar0"/>
    <w:uiPriority w:val="99"/>
    <w:semiHidden/>
    <w:unhideWhenUsed/>
    <w:rsid w:val="00E80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0">
    <w:name w:val="HTML 预设格式 Char"/>
    <w:basedOn w:val="a0"/>
    <w:link w:val="HTML0"/>
    <w:uiPriority w:val="99"/>
    <w:semiHidden/>
    <w:rsid w:val="00E80DE0"/>
    <w:rPr>
      <w:rFonts w:ascii="宋体" w:eastAsia="宋体" w:hAnsi="宋体" w:cs="宋体"/>
      <w:kern w:val="0"/>
      <w:sz w:val="24"/>
      <w:szCs w:val="24"/>
    </w:rPr>
  </w:style>
  <w:style w:type="paragraph" w:styleId="a3">
    <w:name w:val="Normal (Web)"/>
    <w:basedOn w:val="a"/>
    <w:uiPriority w:val="99"/>
    <w:semiHidden/>
    <w:unhideWhenUsed/>
    <w:rsid w:val="00E80DE0"/>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E80DE0"/>
    <w:pPr>
      <w:widowControl/>
      <w:spacing w:before="100" w:beforeAutospacing="1" w:after="100" w:afterAutospacing="1"/>
      <w:jc w:val="left"/>
    </w:pPr>
    <w:rPr>
      <w:rFonts w:ascii="宋体" w:eastAsia="宋体" w:hAnsi="宋体" w:cs="宋体"/>
      <w:b/>
      <w:bCs/>
      <w:kern w:val="0"/>
      <w:sz w:val="24"/>
      <w:szCs w:val="24"/>
    </w:rPr>
  </w:style>
  <w:style w:type="paragraph" w:customStyle="1" w:styleId="title">
    <w:name w:val="title"/>
    <w:basedOn w:val="a"/>
    <w:rsid w:val="00E80DE0"/>
    <w:pPr>
      <w:widowControl/>
      <w:spacing w:before="100" w:beforeAutospacing="1" w:after="100" w:afterAutospacing="1"/>
      <w:jc w:val="left"/>
    </w:pPr>
    <w:rPr>
      <w:rFonts w:ascii="宋体" w:eastAsia="宋体" w:hAnsi="宋体" w:cs="宋体"/>
      <w:b/>
      <w:bCs/>
      <w:color w:val="CC3300"/>
      <w:kern w:val="0"/>
      <w:sz w:val="27"/>
      <w:szCs w:val="27"/>
    </w:rPr>
  </w:style>
  <w:style w:type="paragraph" w:customStyle="1" w:styleId="code">
    <w:name w:val="code"/>
    <w:basedOn w:val="a"/>
    <w:rsid w:val="00E80DE0"/>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eastAsia="宋体" w:hAnsi="Courier New" w:cs="Courier New"/>
      <w:color w:val="000066"/>
      <w:kern w:val="0"/>
      <w:sz w:val="24"/>
      <w:szCs w:val="24"/>
    </w:rPr>
  </w:style>
  <w:style w:type="paragraph" w:customStyle="1" w:styleId="fckflash">
    <w:name w:val="fck__flash"/>
    <w:basedOn w:val="a"/>
    <w:rsid w:val="00E80DE0"/>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unknownobject">
    <w:name w:val="fck__unknownobject"/>
    <w:basedOn w:val="a"/>
    <w:rsid w:val="00E80DE0"/>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anchor">
    <w:name w:val="fck__anchor"/>
    <w:basedOn w:val="a"/>
    <w:rsid w:val="00E80DE0"/>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fckanchorc">
    <w:name w:val="fck__anchorc"/>
    <w:basedOn w:val="a"/>
    <w:rsid w:val="00E80DE0"/>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eastAsia="宋体" w:hAnsi="宋体" w:cs="宋体"/>
      <w:kern w:val="0"/>
      <w:sz w:val="24"/>
      <w:szCs w:val="24"/>
    </w:rPr>
  </w:style>
  <w:style w:type="paragraph" w:customStyle="1" w:styleId="fckpagebreak">
    <w:name w:val="fck__pagebreak"/>
    <w:basedOn w:val="a"/>
    <w:rsid w:val="00E80DE0"/>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fckinputhidden">
    <w:name w:val="fck__inputhidden"/>
    <w:basedOn w:val="a"/>
    <w:rsid w:val="00E80DE0"/>
    <w:pPr>
      <w:widowControl/>
      <w:spacing w:before="100" w:beforeAutospacing="1" w:after="100" w:afterAutospacing="1"/>
      <w:jc w:val="left"/>
      <w:textAlignment w:val="bottom"/>
    </w:pPr>
    <w:rPr>
      <w:rFonts w:ascii="宋体" w:eastAsia="宋体" w:hAnsi="宋体" w:cs="宋体"/>
      <w:kern w:val="0"/>
      <w:sz w:val="24"/>
      <w:szCs w:val="24"/>
    </w:rPr>
  </w:style>
  <w:style w:type="character" w:styleId="a4">
    <w:name w:val="Hyperlink"/>
    <w:basedOn w:val="a0"/>
    <w:uiPriority w:val="99"/>
    <w:semiHidden/>
    <w:unhideWhenUsed/>
    <w:rsid w:val="00E80DE0"/>
    <w:rPr>
      <w:color w:val="0000FF"/>
      <w:u w:val="single"/>
    </w:rPr>
  </w:style>
  <w:style w:type="character" w:styleId="a5">
    <w:name w:val="FollowedHyperlink"/>
    <w:basedOn w:val="a0"/>
    <w:uiPriority w:val="99"/>
    <w:semiHidden/>
    <w:unhideWhenUsed/>
    <w:rsid w:val="00E80DE0"/>
    <w:rPr>
      <w:color w:val="800080"/>
      <w:u w:val="single"/>
    </w:rPr>
  </w:style>
  <w:style w:type="paragraph" w:styleId="a6">
    <w:name w:val="footnote text"/>
    <w:basedOn w:val="a"/>
    <w:link w:val="Char"/>
    <w:uiPriority w:val="99"/>
    <w:semiHidden/>
    <w:unhideWhenUsed/>
    <w:rsid w:val="00E80DE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脚注文本 Char"/>
    <w:basedOn w:val="a0"/>
    <w:link w:val="a6"/>
    <w:uiPriority w:val="99"/>
    <w:semiHidden/>
    <w:rsid w:val="00E80DE0"/>
    <w:rPr>
      <w:rFonts w:ascii="宋体" w:eastAsia="宋体" w:hAnsi="宋体" w:cs="宋体"/>
      <w:kern w:val="0"/>
      <w:sz w:val="24"/>
      <w:szCs w:val="24"/>
    </w:rPr>
  </w:style>
  <w:style w:type="character" w:styleId="a7">
    <w:name w:val="footnote reference"/>
    <w:basedOn w:val="a0"/>
    <w:uiPriority w:val="99"/>
    <w:semiHidden/>
    <w:unhideWhenUsed/>
    <w:rsid w:val="00E8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3795">
      <w:bodyDiv w:val="1"/>
      <w:marLeft w:val="0"/>
      <w:marRight w:val="0"/>
      <w:marTop w:val="0"/>
      <w:marBottom w:val="0"/>
      <w:divBdr>
        <w:top w:val="none" w:sz="0" w:space="0" w:color="auto"/>
        <w:left w:val="none" w:sz="0" w:space="0" w:color="auto"/>
        <w:bottom w:val="none" w:sz="0" w:space="0" w:color="auto"/>
        <w:right w:val="none" w:sz="0" w:space="0" w:color="auto"/>
      </w:divBdr>
      <w:divsChild>
        <w:div w:id="1859662407">
          <w:marLeft w:val="0"/>
          <w:marRight w:val="0"/>
          <w:marTop w:val="0"/>
          <w:marBottom w:val="0"/>
          <w:divBdr>
            <w:top w:val="none" w:sz="0" w:space="0" w:color="auto"/>
            <w:left w:val="none" w:sz="0" w:space="0" w:color="auto"/>
            <w:bottom w:val="none" w:sz="0" w:space="0" w:color="auto"/>
            <w:right w:val="none" w:sz="0" w:space="0" w:color="auto"/>
          </w:divBdr>
          <w:divsChild>
            <w:div w:id="1652949588">
              <w:marLeft w:val="0"/>
              <w:marRight w:val="0"/>
              <w:marTop w:val="0"/>
              <w:marBottom w:val="0"/>
              <w:divBdr>
                <w:top w:val="none" w:sz="0" w:space="0" w:color="auto"/>
                <w:left w:val="none" w:sz="0" w:space="0" w:color="auto"/>
                <w:bottom w:val="none" w:sz="0" w:space="0" w:color="auto"/>
                <w:right w:val="none" w:sz="0" w:space="0" w:color="auto"/>
              </w:divBdr>
            </w:div>
            <w:div w:id="1531650496">
              <w:marLeft w:val="0"/>
              <w:marRight w:val="0"/>
              <w:marTop w:val="0"/>
              <w:marBottom w:val="0"/>
              <w:divBdr>
                <w:top w:val="none" w:sz="0" w:space="0" w:color="auto"/>
                <w:left w:val="none" w:sz="0" w:space="0" w:color="auto"/>
                <w:bottom w:val="none" w:sz="0" w:space="0" w:color="auto"/>
                <w:right w:val="none" w:sz="0" w:space="0" w:color="auto"/>
              </w:divBdr>
            </w:div>
            <w:div w:id="1399595331">
              <w:marLeft w:val="0"/>
              <w:marRight w:val="0"/>
              <w:marTop w:val="0"/>
              <w:marBottom w:val="0"/>
              <w:divBdr>
                <w:top w:val="none" w:sz="0" w:space="0" w:color="auto"/>
                <w:left w:val="none" w:sz="0" w:space="0" w:color="auto"/>
                <w:bottom w:val="none" w:sz="0" w:space="0" w:color="auto"/>
                <w:right w:val="none" w:sz="0" w:space="0" w:color="auto"/>
              </w:divBdr>
            </w:div>
            <w:div w:id="608466668">
              <w:marLeft w:val="0"/>
              <w:marRight w:val="0"/>
              <w:marTop w:val="0"/>
              <w:marBottom w:val="0"/>
              <w:divBdr>
                <w:top w:val="none" w:sz="0" w:space="0" w:color="auto"/>
                <w:left w:val="none" w:sz="0" w:space="0" w:color="auto"/>
                <w:bottom w:val="none" w:sz="0" w:space="0" w:color="auto"/>
                <w:right w:val="none" w:sz="0" w:space="0" w:color="auto"/>
              </w:divBdr>
            </w:div>
            <w:div w:id="17569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hcis.com/LHXY/wwwroot/lhxy/upload/Image/mrtp/2015/11/3619253826.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XueYuan</dc:creator>
  <cp:keywords/>
  <dc:description/>
  <cp:lastModifiedBy>XueYuan</cp:lastModifiedBy>
  <cp:revision>1</cp:revision>
  <dcterms:created xsi:type="dcterms:W3CDTF">2017-09-08T01:34:00Z</dcterms:created>
  <dcterms:modified xsi:type="dcterms:W3CDTF">2017-09-08T01:34:00Z</dcterms:modified>
</cp:coreProperties>
</file>