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89" w:rsidRPr="00906D89" w:rsidRDefault="00906D89" w:rsidP="00906D89">
      <w:pPr>
        <w:widowControl/>
        <w:spacing w:before="100" w:beforeAutospacing="1" w:after="100" w:afterAutospacing="1"/>
        <w:jc w:val="center"/>
        <w:rPr>
          <w:rFonts w:ascii="宋体" w:eastAsia="宋体" w:hAnsi="宋体" w:cs="宋体"/>
          <w:b/>
          <w:kern w:val="0"/>
          <w:szCs w:val="21"/>
        </w:rPr>
      </w:pPr>
      <w:r w:rsidRPr="00906D89">
        <w:rPr>
          <w:rFonts w:ascii="宋体" w:eastAsia="宋体" w:hAnsi="宋体" w:cs="宋体" w:hint="eastAsia"/>
          <w:b/>
          <w:kern w:val="0"/>
          <w:szCs w:val="21"/>
        </w:rPr>
        <w:t>2014年度中国债券市场违约率与信用等级迁移报告</w:t>
      </w:r>
    </w:p>
    <w:p w:rsidR="00906D89" w:rsidRPr="00906D89" w:rsidRDefault="00906D89" w:rsidP="00906D89">
      <w:pPr>
        <w:widowControl/>
        <w:spacing w:before="100" w:beforeAutospacing="1" w:after="100" w:afterAutospacing="1"/>
        <w:jc w:val="left"/>
        <w:rPr>
          <w:rFonts w:ascii="宋体" w:eastAsia="宋体" w:hAnsi="宋体" w:cs="宋体"/>
          <w:kern w:val="0"/>
          <w:szCs w:val="21"/>
        </w:rPr>
      </w:pPr>
      <w:r w:rsidRPr="00906D89">
        <w:rPr>
          <w:rFonts w:ascii="宋体" w:eastAsia="宋体" w:hAnsi="宋体" w:cs="宋体" w:hint="eastAsia"/>
          <w:kern w:val="0"/>
          <w:szCs w:val="21"/>
        </w:rPr>
        <w:t>   </w:t>
      </w:r>
      <w:bookmarkStart w:id="0" w:name="_GoBack"/>
      <w:bookmarkEnd w:id="0"/>
      <w:r w:rsidRPr="00906D89">
        <w:rPr>
          <w:rFonts w:ascii="宋体" w:eastAsia="宋体" w:hAnsi="宋体" w:cs="宋体" w:hint="eastAsia"/>
          <w:kern w:val="0"/>
          <w:szCs w:val="21"/>
        </w:rPr>
        <w:t>在我国债券市场不断改革创新和利率市场化加速推进的大背景下，2014年我国债券市场规模稳定增长，债券发行主体持续扩容。与此同时，随着我国宏观经济持续下行，产能过剩行业、强周期行业企业以及抗风险能力较弱的中小企业的经营面临严峻挑战，导致我国债券市场信用风险不断暴露，发生了多起债券违约事件。2014年，不仅我国公募债券市场发生了首例正式、公开的债券违约事件，打破了我国债券市场零违约的神话，同时中小企业私募债券市场也发生多起债券违约事件，此外仍有多家中小企业集合债券和集合票据的发行人发生担保代偿、未履行合约保障条款和因贷款逾期未还而遭到司法诉讼等信用风险事件。近年来，我国债券市场违约事件的发生已逐渐步入常态化，市场投资者应加强风险防范意识。</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虽然2014年我国债券市场发行人主体信用等级调整持续呈现调升态势，但调升趋势持续减缓，投资级别大跨度下调评级的现象多发，投机级评级数量有所上升，反映出我国债券市场信用风险正逐渐暴露。</w:t>
      </w:r>
      <w:r w:rsidRPr="00906D89">
        <w:rPr>
          <w:rFonts w:ascii="宋体" w:eastAsia="宋体" w:hAnsi="宋体" w:cs="宋体" w:hint="eastAsia"/>
          <w:kern w:val="0"/>
          <w:szCs w:val="21"/>
        </w:rPr>
        <w:br/>
        <w:t>   展望2015年，在我国宏观经济持续下行态势的背景下，我国债券市场信用风险预期将进一步有所上升，产能过剩、强周期、市场景气度低迷行业的信用风险将继续暴露，中小企业私募债券市场或仍将成为违约事件多发市场，违约风险的处置机制将进一步完善。</w:t>
      </w:r>
    </w:p>
    <w:p w:rsidR="00906D89" w:rsidRPr="00906D89" w:rsidRDefault="00906D89" w:rsidP="00906D89">
      <w:pPr>
        <w:widowControl/>
        <w:spacing w:before="100" w:beforeAutospacing="1" w:after="100" w:afterAutospacing="1" w:line="540" w:lineRule="exact"/>
        <w:jc w:val="left"/>
        <w:rPr>
          <w:rFonts w:ascii="宋体" w:eastAsia="宋体" w:hAnsi="宋体" w:cs="宋体" w:hint="eastAsia"/>
          <w:kern w:val="0"/>
          <w:szCs w:val="21"/>
        </w:rPr>
      </w:pPr>
      <w:r w:rsidRPr="00906D89">
        <w:rPr>
          <w:rFonts w:ascii="宋体" w:eastAsia="宋体" w:hAnsi="宋体" w:cs="宋体" w:hint="eastAsia"/>
          <w:kern w:val="0"/>
          <w:szCs w:val="21"/>
        </w:rPr>
        <w:t>一、 违约率统计分析</w:t>
      </w:r>
    </w:p>
    <w:p w:rsidR="00906D89" w:rsidRPr="00906D89" w:rsidRDefault="00906D89" w:rsidP="00906D89">
      <w:pPr>
        <w:widowControl/>
        <w:spacing w:before="100" w:beforeAutospacing="1" w:after="100" w:afterAutospacing="1" w:line="540" w:lineRule="exact"/>
        <w:jc w:val="left"/>
        <w:rPr>
          <w:rFonts w:ascii="宋体" w:eastAsia="宋体" w:hAnsi="宋体" w:cs="宋体" w:hint="eastAsia"/>
          <w:kern w:val="0"/>
          <w:szCs w:val="21"/>
        </w:rPr>
      </w:pPr>
      <w:r w:rsidRPr="00906D89">
        <w:rPr>
          <w:rFonts w:ascii="宋体" w:eastAsia="宋体" w:hAnsi="宋体" w:cs="宋体" w:hint="eastAsia"/>
          <w:kern w:val="0"/>
          <w:szCs w:val="21"/>
        </w:rPr>
        <w:t>1. 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债券</w:t>
      </w:r>
      <w:proofErr w:type="gramStart"/>
      <w:r w:rsidRPr="00906D89">
        <w:rPr>
          <w:rFonts w:ascii="宋体" w:eastAsia="宋体" w:hAnsi="宋体" w:cs="宋体" w:hint="eastAsia"/>
          <w:kern w:val="0"/>
          <w:szCs w:val="21"/>
        </w:rPr>
        <w:t>违约率零突破</w:t>
      </w:r>
      <w:proofErr w:type="gramEnd"/>
      <w:r w:rsidRPr="00906D89">
        <w:rPr>
          <w:rFonts w:ascii="宋体" w:eastAsia="宋体" w:hAnsi="宋体" w:cs="宋体" w:hint="eastAsia"/>
          <w:kern w:val="0"/>
          <w:szCs w:val="21"/>
        </w:rPr>
        <w:t>，违约发行人主体多为中小企业</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（1）公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 xml:space="preserve">债券违约率统计 </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2014年，“11超日债”发生利息兑付违约，成为我国首例正式、公开的债券违约事件，打破了我国债券市场零违约的记录。根据我们的统计，2014年我国公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债券违约率为0.02%1。</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（2）公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 xml:space="preserve">发行人主体违约率统计 </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根据发行人主体违约定义2，2014年我国公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共有5家债券发行人发生主体违约。“11超日债”发行人上海超日太阳能科技股份有限公司未能如期足额支付债券利息，构成发行人主体违约。常州永泰丰化工有限公司（“11常州中小债”联合发行人之一）和江苏恒顺达生物能源有限公司（“11江苏SMECN1”联合发行人之一）宣告无法兑付债券本息，由担保方代偿，构成发行人主体违约。此外，上海同捷科技股份有限公司（“11杨浦SMECN1”联合发行人之一）未能按照合约规定及时将应偿付资金存入偿债专用账户，四川广汉士达</w:t>
      </w:r>
      <w:proofErr w:type="gramStart"/>
      <w:r w:rsidRPr="00906D89">
        <w:rPr>
          <w:rFonts w:ascii="宋体" w:eastAsia="宋体" w:hAnsi="宋体" w:cs="宋体" w:hint="eastAsia"/>
          <w:kern w:val="0"/>
          <w:szCs w:val="21"/>
        </w:rPr>
        <w:t>炭素</w:t>
      </w:r>
      <w:proofErr w:type="gramEnd"/>
      <w:r w:rsidRPr="00906D89">
        <w:rPr>
          <w:rFonts w:ascii="宋体" w:eastAsia="宋体" w:hAnsi="宋体" w:cs="宋体" w:hint="eastAsia"/>
          <w:kern w:val="0"/>
          <w:szCs w:val="21"/>
        </w:rPr>
        <w:t>股份有限公司（“13四川SMECN1”联合发行人之一）由于银行贷款逾期超过三个月未还遭到司法诉讼，虽然上述两家发行人最终分别如期偿付债券本息和当期利息，但均构成发行人主体违约。</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noProof/>
          <w:kern w:val="0"/>
          <w:szCs w:val="21"/>
        </w:rPr>
        <w:lastRenderedPageBreak/>
        <w:drawing>
          <wp:inline distT="0" distB="0" distL="0" distR="0">
            <wp:extent cx="4286250" cy="1943100"/>
            <wp:effectExtent l="0" t="0" r="0" b="0"/>
            <wp:docPr id="8" name="图片 8" descr="http://lhcis.com/LHXY/wwwroot/lhxy/upload/Image/mrtp/2015/04/1_361764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cis.com/LHXY/wwwroot/lhxy/upload/Image/mrtp/2015/04/1_36176497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1943100"/>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hint="eastAsia"/>
          <w:kern w:val="0"/>
          <w:sz w:val="24"/>
          <w:szCs w:val="24"/>
        </w:rPr>
      </w:pPr>
      <w:r w:rsidRPr="00906D89">
        <w:rPr>
          <w:rFonts w:ascii="宋体" w:eastAsia="宋体" w:hAnsi="宋体" w:cs="宋体" w:hint="eastAsia"/>
          <w:kern w:val="0"/>
          <w:szCs w:val="21"/>
        </w:rPr>
        <w:t>基于上述判定结果的统计显示，</w:t>
      </w:r>
      <w:r w:rsidRPr="00906D89">
        <w:rPr>
          <w:rFonts w:ascii="宋体" w:eastAsia="宋体" w:hAnsi="宋体" w:cs="宋体"/>
          <w:kern w:val="0"/>
          <w:szCs w:val="21"/>
        </w:rPr>
        <w:t xml:space="preserve">2014 </w:t>
      </w:r>
      <w:r w:rsidRPr="00906D89">
        <w:rPr>
          <w:rFonts w:ascii="宋体" w:eastAsia="宋体" w:hAnsi="宋体" w:cs="宋体" w:hint="eastAsia"/>
          <w:kern w:val="0"/>
          <w:szCs w:val="21"/>
        </w:rPr>
        <w:t>年我国公募债券市场发行人主体违约率为</w:t>
      </w:r>
      <w:r w:rsidRPr="00906D89">
        <w:rPr>
          <w:rFonts w:ascii="宋体" w:eastAsia="宋体" w:hAnsi="宋体" w:cs="宋体"/>
          <w:kern w:val="0"/>
          <w:szCs w:val="21"/>
        </w:rPr>
        <w:t xml:space="preserve"> 0.17%</w:t>
      </w:r>
      <w:r w:rsidRPr="00906D89">
        <w:rPr>
          <w:rFonts w:ascii="宋体" w:eastAsia="宋体" w:hAnsi="宋体" w:cs="宋体" w:hint="eastAsia"/>
          <w:kern w:val="0"/>
          <w:szCs w:val="21"/>
        </w:rPr>
        <w:t>。其中，</w:t>
      </w:r>
      <w:r w:rsidRPr="00906D89">
        <w:rPr>
          <w:rFonts w:ascii="宋体" w:eastAsia="宋体" w:hAnsi="宋体" w:cs="宋体"/>
          <w:kern w:val="0"/>
          <w:szCs w:val="21"/>
        </w:rPr>
        <w:t>A-</w:t>
      </w:r>
      <w:r w:rsidRPr="00906D89">
        <w:rPr>
          <w:rFonts w:ascii="宋体" w:eastAsia="宋体" w:hAnsi="宋体" w:cs="宋体" w:hint="eastAsia"/>
          <w:kern w:val="0"/>
          <w:szCs w:val="21"/>
        </w:rPr>
        <w:t>级违约率为</w:t>
      </w:r>
      <w:r w:rsidRPr="00906D89">
        <w:rPr>
          <w:rFonts w:ascii="宋体" w:eastAsia="宋体" w:hAnsi="宋体" w:cs="宋体"/>
          <w:kern w:val="0"/>
          <w:szCs w:val="21"/>
        </w:rPr>
        <w:t xml:space="preserve"> 7.14%</w:t>
      </w:r>
      <w:r w:rsidRPr="00906D89">
        <w:rPr>
          <w:rFonts w:ascii="宋体" w:eastAsia="宋体" w:hAnsi="宋体" w:cs="宋体" w:hint="eastAsia"/>
          <w:kern w:val="0"/>
          <w:szCs w:val="21"/>
        </w:rPr>
        <w:t>，</w:t>
      </w:r>
      <w:r w:rsidRPr="00906D89">
        <w:rPr>
          <w:rFonts w:ascii="宋体" w:eastAsia="宋体" w:hAnsi="宋体" w:cs="宋体"/>
          <w:kern w:val="0"/>
          <w:szCs w:val="21"/>
        </w:rPr>
        <w:t>BBB-</w:t>
      </w:r>
      <w:r w:rsidRPr="00906D89">
        <w:rPr>
          <w:rFonts w:ascii="宋体" w:eastAsia="宋体" w:hAnsi="宋体" w:cs="宋体" w:hint="eastAsia"/>
          <w:kern w:val="0"/>
          <w:szCs w:val="21"/>
        </w:rPr>
        <w:t>级违约率为</w:t>
      </w:r>
      <w:r w:rsidRPr="00906D89">
        <w:rPr>
          <w:rFonts w:ascii="宋体" w:eastAsia="宋体" w:hAnsi="宋体" w:cs="宋体"/>
          <w:kern w:val="0"/>
          <w:szCs w:val="21"/>
        </w:rPr>
        <w:t xml:space="preserve"> 1.49%</w:t>
      </w:r>
      <w:r w:rsidRPr="00906D89">
        <w:rPr>
          <w:rFonts w:ascii="宋体" w:eastAsia="宋体" w:hAnsi="宋体" w:cs="宋体" w:hint="eastAsia"/>
          <w:kern w:val="0"/>
          <w:szCs w:val="21"/>
        </w:rPr>
        <w:t>，</w:t>
      </w:r>
      <w:r w:rsidRPr="00906D89">
        <w:rPr>
          <w:rFonts w:ascii="宋体" w:eastAsia="宋体" w:hAnsi="宋体" w:cs="宋体"/>
          <w:kern w:val="0"/>
          <w:szCs w:val="21"/>
        </w:rPr>
        <w:t xml:space="preserve">B </w:t>
      </w:r>
      <w:r w:rsidRPr="00906D89">
        <w:rPr>
          <w:rFonts w:ascii="宋体" w:eastAsia="宋体" w:hAnsi="宋体" w:cs="宋体" w:hint="eastAsia"/>
          <w:kern w:val="0"/>
          <w:szCs w:val="21"/>
        </w:rPr>
        <w:t>级和</w:t>
      </w:r>
      <w:r w:rsidRPr="00906D89">
        <w:rPr>
          <w:rFonts w:ascii="宋体" w:eastAsia="宋体" w:hAnsi="宋体" w:cs="宋体"/>
          <w:kern w:val="0"/>
          <w:szCs w:val="21"/>
        </w:rPr>
        <w:t xml:space="preserve"> CCC</w:t>
      </w:r>
      <w:r w:rsidRPr="00906D89">
        <w:rPr>
          <w:rFonts w:ascii="宋体" w:eastAsia="宋体" w:hAnsi="宋体" w:cs="宋体" w:hint="eastAsia"/>
          <w:kern w:val="0"/>
          <w:szCs w:val="21"/>
        </w:rPr>
        <w:t>级违约率分别为</w:t>
      </w:r>
      <w:r w:rsidRPr="00906D89">
        <w:rPr>
          <w:rFonts w:ascii="宋体" w:eastAsia="宋体" w:hAnsi="宋体" w:cs="宋体"/>
          <w:kern w:val="0"/>
          <w:szCs w:val="21"/>
        </w:rPr>
        <w:t xml:space="preserve"> 50%</w:t>
      </w:r>
      <w:r w:rsidRPr="00906D89">
        <w:rPr>
          <w:rFonts w:ascii="宋体" w:eastAsia="宋体" w:hAnsi="宋体" w:cs="宋体" w:hint="eastAsia"/>
          <w:kern w:val="0"/>
          <w:szCs w:val="21"/>
        </w:rPr>
        <w:t>和</w:t>
      </w:r>
      <w:r w:rsidRPr="00906D89">
        <w:rPr>
          <w:rFonts w:ascii="宋体" w:eastAsia="宋体" w:hAnsi="宋体" w:cs="宋体"/>
          <w:kern w:val="0"/>
          <w:szCs w:val="21"/>
        </w:rPr>
        <w:t xml:space="preserve"> 100%</w:t>
      </w:r>
      <w:r w:rsidRPr="00906D89">
        <w:rPr>
          <w:rFonts w:ascii="宋体" w:eastAsia="宋体" w:hAnsi="宋体" w:cs="宋体" w:hint="eastAsia"/>
          <w:kern w:val="0"/>
          <w:szCs w:val="21"/>
        </w:rPr>
        <w:t>。各级别违约率情况见表</w:t>
      </w:r>
      <w:r w:rsidRPr="00906D89">
        <w:rPr>
          <w:rFonts w:ascii="宋体" w:eastAsia="宋体" w:hAnsi="宋体" w:cs="宋体"/>
          <w:kern w:val="0"/>
          <w:szCs w:val="21"/>
        </w:rPr>
        <w:t xml:space="preserve"> 2</w:t>
      </w:r>
      <w:r w:rsidRPr="00906D89">
        <w:rPr>
          <w:rFonts w:ascii="宋体" w:eastAsia="宋体" w:hAnsi="宋体" w:cs="宋体" w:hint="eastAsia"/>
          <w:kern w:val="0"/>
          <w:szCs w:val="21"/>
        </w:rPr>
        <w:t>。</w:t>
      </w:r>
    </w:p>
    <w:p w:rsidR="00906D89" w:rsidRPr="00906D89" w:rsidRDefault="00906D89" w:rsidP="00906D89">
      <w:pPr>
        <w:widowControl/>
        <w:spacing w:before="100" w:beforeAutospacing="1" w:after="100" w:afterAutospacing="1"/>
        <w:jc w:val="left"/>
        <w:rPr>
          <w:rFonts w:ascii="宋体" w:eastAsia="宋体" w:hAnsi="宋体" w:cs="宋体"/>
          <w:kern w:val="0"/>
          <w:szCs w:val="21"/>
        </w:rPr>
      </w:pPr>
      <w:r w:rsidRPr="00906D89">
        <w:rPr>
          <w:rFonts w:ascii="宋体" w:eastAsia="宋体" w:hAnsi="宋体" w:cs="宋体" w:hint="eastAsia"/>
          <w:kern w:val="0"/>
          <w:szCs w:val="21"/>
        </w:rPr>
        <w:t>     与前两年相比，</w:t>
      </w:r>
      <w:r w:rsidRPr="00906D89">
        <w:rPr>
          <w:rFonts w:ascii="Calibri" w:eastAsia="宋体" w:hAnsi="Calibri" w:cs="宋体"/>
          <w:kern w:val="0"/>
          <w:szCs w:val="21"/>
        </w:rPr>
        <w:t xml:space="preserve">2014 </w:t>
      </w:r>
      <w:r w:rsidRPr="00906D89">
        <w:rPr>
          <w:rFonts w:ascii="宋体" w:eastAsia="宋体" w:hAnsi="宋体" w:cs="宋体" w:hint="eastAsia"/>
          <w:kern w:val="0"/>
          <w:szCs w:val="21"/>
        </w:rPr>
        <w:t>年，我国公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债券发行人主体违约数量少于</w:t>
      </w:r>
      <w:r w:rsidRPr="00906D89">
        <w:rPr>
          <w:rFonts w:ascii="Calibri" w:eastAsia="宋体" w:hAnsi="Calibri" w:cs="宋体"/>
          <w:kern w:val="0"/>
          <w:szCs w:val="21"/>
        </w:rPr>
        <w:t xml:space="preserve"> 2012</w:t>
      </w:r>
      <w:r w:rsidRPr="00906D89">
        <w:rPr>
          <w:rFonts w:ascii="宋体" w:eastAsia="宋体" w:hAnsi="宋体" w:cs="宋体" w:hint="eastAsia"/>
          <w:kern w:val="0"/>
          <w:szCs w:val="21"/>
        </w:rPr>
        <w:t>年，与</w:t>
      </w:r>
      <w:r w:rsidRPr="00906D89">
        <w:rPr>
          <w:rFonts w:ascii="Calibri" w:eastAsia="宋体" w:hAnsi="Calibri" w:cs="宋体"/>
          <w:kern w:val="0"/>
          <w:szCs w:val="21"/>
        </w:rPr>
        <w:t xml:space="preserve"> 2013 </w:t>
      </w:r>
      <w:r w:rsidRPr="00906D89">
        <w:rPr>
          <w:rFonts w:ascii="宋体" w:eastAsia="宋体" w:hAnsi="宋体" w:cs="宋体" w:hint="eastAsia"/>
          <w:kern w:val="0"/>
          <w:szCs w:val="21"/>
        </w:rPr>
        <w:t>年相同，但受发行人主体持续扩容影响，发行人主体违约率相较前两年均有所下降。但投资级别中，</w:t>
      </w:r>
      <w:r w:rsidRPr="00906D89">
        <w:rPr>
          <w:rFonts w:ascii="Calibri" w:eastAsia="宋体" w:hAnsi="Calibri" w:cs="宋体"/>
          <w:kern w:val="0"/>
          <w:szCs w:val="21"/>
        </w:rPr>
        <w:t>A-</w:t>
      </w:r>
      <w:r w:rsidRPr="00906D89">
        <w:rPr>
          <w:rFonts w:ascii="宋体" w:eastAsia="宋体" w:hAnsi="宋体" w:cs="宋体" w:hint="eastAsia"/>
          <w:kern w:val="0"/>
          <w:szCs w:val="21"/>
        </w:rPr>
        <w:t>级违约率较高，为近三年来违约率最高的投资级别。</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noProof/>
          <w:kern w:val="0"/>
          <w:szCs w:val="21"/>
        </w:rPr>
        <w:drawing>
          <wp:inline distT="0" distB="0" distL="0" distR="0">
            <wp:extent cx="4276725" cy="3838575"/>
            <wp:effectExtent l="0" t="0" r="9525" b="9525"/>
            <wp:docPr id="7" name="图片 7" descr="http://lhcis.com/LHXY/wwwroot/lhxy/upload/Image/mrtp/2015/04/1_3617655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cis.com/LHXY/wwwroot/lhxy/upload/Image/mrtp/2015/04/1_36176554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3838575"/>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b/>
          <w:bCs/>
          <w:kern w:val="0"/>
          <w:szCs w:val="21"/>
        </w:rPr>
        <w:t xml:space="preserve">2. </w:t>
      </w:r>
      <w:r w:rsidRPr="00906D89">
        <w:rPr>
          <w:rFonts w:ascii="宋体" w:eastAsia="宋体" w:hAnsi="宋体" w:cs="宋体" w:hint="eastAsia"/>
          <w:kern w:val="0"/>
          <w:szCs w:val="21"/>
        </w:rPr>
        <w:t>中小企业私募债券市场信用风险开始逐渐暴露，</w:t>
      </w:r>
      <w:r w:rsidRPr="00906D89">
        <w:rPr>
          <w:rFonts w:ascii="宋体" w:eastAsia="宋体" w:hAnsi="宋体" w:cs="宋体" w:hint="eastAsia"/>
          <w:b/>
          <w:bCs/>
          <w:kern w:val="0"/>
          <w:szCs w:val="21"/>
        </w:rPr>
        <w:t>2014</w:t>
      </w:r>
      <w:r w:rsidRPr="00906D89">
        <w:rPr>
          <w:rFonts w:ascii="宋体" w:eastAsia="宋体" w:hAnsi="宋体" w:cs="宋体" w:hint="eastAsia"/>
          <w:kern w:val="0"/>
          <w:szCs w:val="21"/>
        </w:rPr>
        <w:t>年发生多只债券违约</w:t>
      </w:r>
      <w:r w:rsidRPr="00906D89">
        <w:rPr>
          <w:rFonts w:ascii="Arial" w:eastAsia="宋体" w:hAnsi="Arial" w:cs="Arial"/>
          <w:kern w:val="0"/>
          <w:szCs w:val="21"/>
          <w:vertAlign w:val="superscript"/>
        </w:rPr>
        <w:t>3</w:t>
      </w:r>
      <w:r w:rsidRPr="00906D89">
        <w:rPr>
          <w:rFonts w:ascii="Arial" w:eastAsia="宋体" w:hAnsi="Arial" w:cs="Arial"/>
          <w:kern w:val="0"/>
          <w:szCs w:val="21"/>
        </w:rPr>
        <w:t xml:space="preserve"> </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xml:space="preserve">（1）中小企业私募债券违约率统计 </w:t>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hint="eastAsia"/>
          <w:kern w:val="0"/>
          <w:szCs w:val="21"/>
        </w:rPr>
      </w:pPr>
      <w:r w:rsidRPr="00906D89">
        <w:rPr>
          <w:rFonts w:ascii="宋体" w:eastAsia="宋体" w:hAnsi="宋体" w:cs="宋体" w:hint="eastAsia"/>
          <w:kern w:val="0"/>
          <w:szCs w:val="21"/>
        </w:rPr>
        <w:lastRenderedPageBreak/>
        <w:t>2014年中小企业私募债券市场信用风险开始逐渐暴露，共有5只中小企业私募债券未能按期、足额偿付本金和/或利息，发生债券兑付违约。“12金泰债01”和“12金泰债02”2只债券发生本息兑付违约，“12津天联”、“13华珠债”、“13中森债”3只债券的发行人无法兑付债券本金和/或利息，相关担保方均未履行担保代偿责任，导致债券发生兑付违约。根据我们的统计，2014年我国中小企业私募债券违约率为1.70%</w:t>
      </w:r>
      <w:r w:rsidRPr="00906D89">
        <w:rPr>
          <w:rFonts w:ascii="宋体" w:eastAsia="宋体" w:hAnsi="宋体" w:cs="宋体" w:hint="eastAsia"/>
          <w:kern w:val="0"/>
          <w:szCs w:val="21"/>
          <w:vertAlign w:val="superscript"/>
        </w:rPr>
        <w:t>4</w:t>
      </w:r>
      <w:r w:rsidRPr="00906D89">
        <w:rPr>
          <w:rFonts w:ascii="宋体" w:eastAsia="宋体" w:hAnsi="宋体" w:cs="宋体" w:hint="eastAsia"/>
          <w:kern w:val="0"/>
          <w:szCs w:val="21"/>
        </w:rPr>
        <w:t>。</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xml:space="preserve">（2）中小企业私募债发行主体违约率统计 </w:t>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hint="eastAsia"/>
          <w:kern w:val="0"/>
          <w:szCs w:val="21"/>
        </w:rPr>
      </w:pPr>
      <w:r w:rsidRPr="00906D89">
        <w:rPr>
          <w:rFonts w:ascii="宋体" w:eastAsia="宋体" w:hAnsi="宋体" w:cs="宋体" w:hint="eastAsia"/>
          <w:kern w:val="0"/>
          <w:szCs w:val="21"/>
        </w:rPr>
        <w:t>2014年，我国私募市场上共有5家债券发行人发生主体违约。除上述债券的5只债券涉及的4家发行人构成发行人主体违约外，还有“12华</w:t>
      </w:r>
      <w:proofErr w:type="gramStart"/>
      <w:r w:rsidRPr="00906D89">
        <w:rPr>
          <w:rFonts w:ascii="宋体" w:eastAsia="宋体" w:hAnsi="宋体" w:cs="宋体" w:hint="eastAsia"/>
          <w:kern w:val="0"/>
          <w:szCs w:val="21"/>
        </w:rPr>
        <w:t>特</w:t>
      </w:r>
      <w:proofErr w:type="gramEnd"/>
      <w:r w:rsidRPr="00906D89">
        <w:rPr>
          <w:rFonts w:ascii="宋体" w:eastAsia="宋体" w:hAnsi="宋体" w:cs="宋体" w:hint="eastAsia"/>
          <w:kern w:val="0"/>
          <w:szCs w:val="21"/>
        </w:rPr>
        <w:t xml:space="preserve">斯”的发行人浙江华特斯聚合物科技有限公司宣告破产重整，该期债券本息疑似由担保方代为偿还，按照发行人主体违约定义，该发行人也构成主体违约。基于上述判定结果，2014年我国中小企业私募债券市场发行人主体违约率为1.95%。 </w:t>
      </w:r>
    </w:p>
    <w:p w:rsidR="00906D89" w:rsidRPr="00906D89" w:rsidRDefault="00906D89" w:rsidP="00906D89">
      <w:pPr>
        <w:widowControl/>
        <w:spacing w:before="100" w:beforeAutospacing="1" w:after="100" w:afterAutospacing="1"/>
        <w:jc w:val="left"/>
        <w:rPr>
          <w:rFonts w:ascii="宋体" w:eastAsia="宋体" w:hAnsi="宋体" w:cs="宋体" w:hint="eastAsia"/>
          <w:kern w:val="0"/>
          <w:sz w:val="24"/>
          <w:szCs w:val="24"/>
        </w:rPr>
      </w:pPr>
      <w:r w:rsidRPr="00906D89">
        <w:rPr>
          <w:rFonts w:ascii="宋体" w:eastAsia="宋体" w:hAnsi="宋体" w:cs="宋体" w:hint="eastAsia"/>
          <w:kern w:val="0"/>
          <w:szCs w:val="21"/>
        </w:rPr>
        <w:t>（</w:t>
      </w:r>
      <w:r w:rsidRPr="00906D89">
        <w:rPr>
          <w:rFonts w:ascii="Times New Roman" w:eastAsia="宋体" w:hAnsi="Times New Roman" w:cs="Times New Roman"/>
          <w:kern w:val="0"/>
          <w:szCs w:val="21"/>
        </w:rPr>
        <w:t>3</w:t>
      </w:r>
      <w:r w:rsidRPr="00906D89">
        <w:rPr>
          <w:rFonts w:ascii="宋体" w:eastAsia="宋体" w:hAnsi="宋体" w:cs="宋体" w:hint="eastAsia"/>
          <w:kern w:val="0"/>
          <w:szCs w:val="21"/>
        </w:rPr>
        <w:t xml:space="preserve">）中小企业私募债担保人违约率统计 </w:t>
      </w:r>
    </w:p>
    <w:p w:rsidR="00906D89" w:rsidRPr="00906D89" w:rsidRDefault="00906D89" w:rsidP="00906D89">
      <w:pPr>
        <w:widowControl/>
        <w:spacing w:before="100" w:beforeAutospacing="1" w:after="100" w:afterAutospacing="1"/>
        <w:jc w:val="left"/>
        <w:rPr>
          <w:rFonts w:ascii="宋体" w:eastAsia="宋体" w:hAnsi="宋体" w:cs="宋体"/>
          <w:kern w:val="0"/>
          <w:szCs w:val="21"/>
        </w:rPr>
      </w:pP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年初存续的</w:t>
      </w:r>
      <w:r w:rsidRPr="00906D89">
        <w:rPr>
          <w:rFonts w:ascii="Times New Roman" w:eastAsia="宋体" w:hAnsi="Times New Roman" w:cs="Times New Roman"/>
          <w:kern w:val="0"/>
          <w:szCs w:val="21"/>
        </w:rPr>
        <w:t>294</w:t>
      </w:r>
      <w:r w:rsidRPr="00906D89">
        <w:rPr>
          <w:rFonts w:ascii="宋体" w:eastAsia="宋体" w:hAnsi="宋体" w:cs="宋体" w:hint="eastAsia"/>
          <w:kern w:val="0"/>
          <w:szCs w:val="21"/>
        </w:rPr>
        <w:t>只中小企业私募债券中有</w:t>
      </w:r>
      <w:r w:rsidRPr="00906D89">
        <w:rPr>
          <w:rFonts w:ascii="Times New Roman" w:eastAsia="宋体" w:hAnsi="Times New Roman" w:cs="Times New Roman"/>
          <w:kern w:val="0"/>
          <w:szCs w:val="21"/>
        </w:rPr>
        <w:t>249</w:t>
      </w:r>
      <w:r w:rsidRPr="00906D89">
        <w:rPr>
          <w:rFonts w:ascii="宋体" w:eastAsia="宋体" w:hAnsi="宋体" w:cs="宋体" w:hint="eastAsia"/>
          <w:kern w:val="0"/>
          <w:szCs w:val="21"/>
        </w:rPr>
        <w:t>只具有外部担保，共涉及</w:t>
      </w:r>
      <w:r w:rsidRPr="00906D89">
        <w:rPr>
          <w:rFonts w:ascii="Times New Roman" w:eastAsia="宋体" w:hAnsi="Times New Roman" w:cs="Times New Roman"/>
          <w:kern w:val="0"/>
          <w:szCs w:val="21"/>
        </w:rPr>
        <w:t>166</w:t>
      </w:r>
      <w:r w:rsidRPr="00906D89">
        <w:rPr>
          <w:rFonts w:ascii="宋体" w:eastAsia="宋体" w:hAnsi="宋体" w:cs="宋体" w:hint="eastAsia"/>
          <w:kern w:val="0"/>
          <w:szCs w:val="21"/>
        </w:rPr>
        <w:t>家担保人。</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年天津海泰投资担保有限责任公司、中海信达担保有限公司</w:t>
      </w:r>
      <w:r w:rsidRPr="00906D89">
        <w:rPr>
          <w:rFonts w:ascii="Times New Roman" w:eastAsia="宋体" w:hAnsi="Times New Roman" w:cs="Times New Roman"/>
          <w:kern w:val="0"/>
          <w:szCs w:val="21"/>
        </w:rPr>
        <w:t>2</w:t>
      </w:r>
      <w:r w:rsidRPr="00906D89">
        <w:rPr>
          <w:rFonts w:ascii="宋体" w:eastAsia="宋体" w:hAnsi="宋体" w:cs="宋体" w:hint="eastAsia"/>
          <w:kern w:val="0"/>
          <w:szCs w:val="21"/>
        </w:rPr>
        <w:t>家担保公司被列入全国失信被执行人名单，发生未履行代偿责任的情况，触发担保人违约。</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年，中小企业私募债券担保人违约率为</w:t>
      </w:r>
      <w:r w:rsidRPr="00906D89">
        <w:rPr>
          <w:rFonts w:ascii="Times New Roman" w:eastAsia="宋体" w:hAnsi="Times New Roman" w:cs="Times New Roman"/>
          <w:kern w:val="0"/>
          <w:szCs w:val="21"/>
        </w:rPr>
        <w:t>1.20%</w:t>
      </w:r>
      <w:r w:rsidRPr="00906D89">
        <w:rPr>
          <w:rFonts w:ascii="宋体" w:eastAsia="宋体" w:hAnsi="宋体" w:cs="宋体" w:hint="eastAsia"/>
          <w:kern w:val="0"/>
          <w:szCs w:val="21"/>
        </w:rPr>
        <w:t>。</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noProof/>
          <w:kern w:val="0"/>
          <w:szCs w:val="21"/>
        </w:rPr>
        <w:drawing>
          <wp:inline distT="0" distB="0" distL="0" distR="0">
            <wp:extent cx="4276725" cy="2066925"/>
            <wp:effectExtent l="0" t="0" r="9525" b="9525"/>
            <wp:docPr id="6" name="图片 6" descr="http://lhcis.com/LHXY/wwwroot/lhxy/upload/Image/mrtp/2015/04/1_361766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cis.com/LHXY/wwwroot/lhxy/upload/Image/mrtp/2015/04/1_3617662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2066925"/>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w:t>
      </w:r>
    </w:p>
    <w:p w:rsidR="00906D89" w:rsidRPr="00906D89" w:rsidRDefault="00906D89" w:rsidP="00906D89">
      <w:pPr>
        <w:widowControl/>
        <w:spacing w:before="100" w:beforeAutospacing="1" w:after="100" w:afterAutospacing="1"/>
        <w:ind w:firstLine="560"/>
        <w:jc w:val="left"/>
        <w:rPr>
          <w:rFonts w:ascii="宋体" w:eastAsia="宋体" w:hAnsi="宋体" w:cs="宋体" w:hint="eastAsia"/>
          <w:kern w:val="0"/>
          <w:sz w:val="24"/>
          <w:szCs w:val="24"/>
        </w:rPr>
      </w:pPr>
      <w:r w:rsidRPr="00906D89">
        <w:rPr>
          <w:rFonts w:ascii="宋体" w:eastAsia="宋体" w:hAnsi="宋体" w:cs="宋体" w:hint="eastAsia"/>
          <w:kern w:val="0"/>
          <w:szCs w:val="21"/>
        </w:rPr>
        <w:t>整体来看，</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年，发生主体违约的债券发行人多为中小企业。随着我国宏观经济持续下行，部分行业景气度低迷，抗风险能力较弱的中小企业的信用风险正逐步暴露。由于公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上涉及中小企业的中小企业集合债券和集合票据均具有信用等级较高的第三方提供担保，这类债券的信用风险有所缓释。与之相比，中小企业私募债券的信用风险明显上升，加之</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 xml:space="preserve">年中小企业私募债券市场发生担保公司未履行代偿责任的情况，导致多起中小企业私募债券兑付违约，加大了该市场的信用风险预期。 </w:t>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kern w:val="0"/>
          <w:sz w:val="24"/>
          <w:szCs w:val="24"/>
        </w:rPr>
      </w:pPr>
      <w:r w:rsidRPr="00906D89">
        <w:rPr>
          <w:rFonts w:ascii="宋体" w:eastAsia="宋体" w:hAnsi="宋体" w:cs="宋体" w:hint="eastAsia"/>
          <w:kern w:val="0"/>
          <w:szCs w:val="21"/>
        </w:rPr>
        <w:t>另外，</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 xml:space="preserve">年 </w:t>
      </w:r>
      <w:r w:rsidRPr="00906D89">
        <w:rPr>
          <w:rFonts w:ascii="Times New Roman" w:eastAsia="宋体" w:hAnsi="Times New Roman" w:cs="Times New Roman"/>
          <w:kern w:val="0"/>
          <w:szCs w:val="21"/>
        </w:rPr>
        <w:t>“11</w:t>
      </w:r>
      <w:r w:rsidRPr="00906D89">
        <w:rPr>
          <w:rFonts w:ascii="宋体" w:eastAsia="宋体" w:hAnsi="宋体" w:cs="宋体" w:hint="eastAsia"/>
          <w:kern w:val="0"/>
          <w:szCs w:val="21"/>
        </w:rPr>
        <w:t>超日债</w:t>
      </w:r>
      <w:r w:rsidRPr="00906D89">
        <w:rPr>
          <w:rFonts w:ascii="Times New Roman" w:eastAsia="宋体" w:hAnsi="Times New Roman" w:cs="Times New Roman"/>
          <w:kern w:val="0"/>
          <w:szCs w:val="21"/>
        </w:rPr>
        <w:t>”</w:t>
      </w:r>
      <w:r w:rsidRPr="00906D89">
        <w:rPr>
          <w:rFonts w:ascii="宋体" w:eastAsia="宋体" w:hAnsi="宋体" w:cs="宋体" w:hint="eastAsia"/>
          <w:kern w:val="0"/>
          <w:szCs w:val="21"/>
        </w:rPr>
        <w:t>的利息兑付违约打破了我国债券市场零违约的神话，但从最终兑付情况看，其发行人通过重整、引入新的投资人和担保人，最终债券持有人提前获</w:t>
      </w:r>
      <w:r w:rsidRPr="00906D89">
        <w:rPr>
          <w:rFonts w:ascii="宋体" w:eastAsia="宋体" w:hAnsi="宋体" w:cs="宋体" w:hint="eastAsia"/>
          <w:kern w:val="0"/>
          <w:szCs w:val="21"/>
        </w:rPr>
        <w:lastRenderedPageBreak/>
        <w:t>得全额偿付，投资者未遭受实质损失。我国公募债券市场刚性兑付的</w:t>
      </w:r>
      <w:r w:rsidRPr="00906D89">
        <w:rPr>
          <w:rFonts w:ascii="Times New Roman" w:eastAsia="宋体" w:hAnsi="Times New Roman" w:cs="Times New Roman"/>
          <w:kern w:val="0"/>
          <w:szCs w:val="21"/>
        </w:rPr>
        <w:t>“</w:t>
      </w:r>
      <w:r w:rsidRPr="00906D89">
        <w:rPr>
          <w:rFonts w:ascii="宋体" w:eastAsia="宋体" w:hAnsi="宋体" w:cs="宋体" w:hint="eastAsia"/>
          <w:kern w:val="0"/>
          <w:szCs w:val="21"/>
        </w:rPr>
        <w:t>魔咒</w:t>
      </w:r>
      <w:r w:rsidRPr="00906D89">
        <w:rPr>
          <w:rFonts w:ascii="Times New Roman" w:eastAsia="宋体" w:hAnsi="Times New Roman" w:cs="Times New Roman"/>
          <w:kern w:val="0"/>
          <w:szCs w:val="21"/>
        </w:rPr>
        <w:t>”</w:t>
      </w:r>
      <w:r w:rsidRPr="00906D89">
        <w:rPr>
          <w:rFonts w:ascii="宋体" w:eastAsia="宋体" w:hAnsi="宋体" w:cs="宋体" w:hint="eastAsia"/>
          <w:kern w:val="0"/>
          <w:szCs w:val="21"/>
        </w:rPr>
        <w:t>有待进一步打破。</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hint="eastAsia"/>
          <w:kern w:val="0"/>
          <w:szCs w:val="21"/>
        </w:rPr>
        <w:t>二、信用等级迁移分析</w:t>
      </w:r>
      <w:r w:rsidRPr="00906D89">
        <w:rPr>
          <w:rFonts w:ascii="Times New Roman" w:eastAsia="宋体" w:hAnsi="Times New Roman" w:cs="Times New Roman"/>
          <w:b/>
          <w:bCs/>
          <w:kern w:val="0"/>
          <w:szCs w:val="21"/>
          <w:vertAlign w:val="superscript"/>
        </w:rPr>
        <w:t>5</w:t>
      </w:r>
    </w:p>
    <w:p w:rsidR="00906D89" w:rsidRPr="00906D89" w:rsidRDefault="00906D89" w:rsidP="00906D89">
      <w:pPr>
        <w:widowControl/>
        <w:spacing w:before="100" w:beforeAutospacing="1" w:after="100" w:afterAutospacing="1"/>
        <w:ind w:firstLine="551"/>
        <w:jc w:val="left"/>
        <w:rPr>
          <w:rFonts w:ascii="宋体" w:eastAsia="宋体" w:hAnsi="宋体" w:cs="宋体"/>
          <w:kern w:val="0"/>
          <w:sz w:val="24"/>
          <w:szCs w:val="24"/>
        </w:rPr>
      </w:pPr>
      <w:r w:rsidRPr="00906D89">
        <w:rPr>
          <w:rFonts w:ascii="Times New Roman" w:eastAsia="宋体" w:hAnsi="Times New Roman" w:cs="Times New Roman"/>
          <w:b/>
          <w:bCs/>
          <w:kern w:val="0"/>
          <w:szCs w:val="21"/>
        </w:rPr>
        <w:t xml:space="preserve">1. </w:t>
      </w:r>
      <w:r w:rsidRPr="00906D89">
        <w:rPr>
          <w:rFonts w:ascii="宋体" w:eastAsia="宋体" w:hAnsi="宋体" w:cs="宋体" w:hint="eastAsia"/>
          <w:kern w:val="0"/>
          <w:szCs w:val="21"/>
        </w:rPr>
        <w:t>信用等级调整情况</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 xml:space="preserve">发行人主体信用等级仍呈现调升趋势，但调升趋势持续减缓 </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年我国公</w:t>
      </w:r>
      <w:proofErr w:type="gramStart"/>
      <w:r w:rsidRPr="00906D89">
        <w:rPr>
          <w:rFonts w:ascii="宋体" w:eastAsia="宋体" w:hAnsi="宋体" w:cs="宋体" w:hint="eastAsia"/>
          <w:kern w:val="0"/>
          <w:szCs w:val="21"/>
        </w:rPr>
        <w:t>募市场</w:t>
      </w:r>
      <w:proofErr w:type="gramEnd"/>
      <w:r w:rsidRPr="00906D89">
        <w:rPr>
          <w:rFonts w:ascii="宋体" w:eastAsia="宋体" w:hAnsi="宋体" w:cs="宋体" w:hint="eastAsia"/>
          <w:kern w:val="0"/>
          <w:szCs w:val="21"/>
        </w:rPr>
        <w:t>债券发行人主体信用等级发生调整的发行人共有</w:t>
      </w:r>
      <w:r w:rsidRPr="00906D89">
        <w:rPr>
          <w:rFonts w:ascii="Times New Roman" w:eastAsia="宋体" w:hAnsi="Times New Roman" w:cs="Times New Roman"/>
          <w:kern w:val="0"/>
          <w:szCs w:val="21"/>
        </w:rPr>
        <w:t>301</w:t>
      </w:r>
      <w:r w:rsidRPr="00906D89">
        <w:rPr>
          <w:rFonts w:ascii="宋体" w:eastAsia="宋体" w:hAnsi="宋体" w:cs="宋体" w:hint="eastAsia"/>
          <w:kern w:val="0"/>
          <w:szCs w:val="21"/>
        </w:rPr>
        <w:t>家，其中信用等级被调升的有</w:t>
      </w:r>
      <w:r w:rsidRPr="00906D89">
        <w:rPr>
          <w:rFonts w:ascii="Times New Roman" w:eastAsia="宋体" w:hAnsi="Times New Roman" w:cs="Times New Roman"/>
          <w:kern w:val="0"/>
          <w:szCs w:val="21"/>
        </w:rPr>
        <w:t>222</w:t>
      </w:r>
      <w:r w:rsidRPr="00906D89">
        <w:rPr>
          <w:rFonts w:ascii="宋体" w:eastAsia="宋体" w:hAnsi="宋体" w:cs="宋体" w:hint="eastAsia"/>
          <w:kern w:val="0"/>
          <w:szCs w:val="21"/>
        </w:rPr>
        <w:t>家，调升率为</w:t>
      </w:r>
      <w:r w:rsidRPr="00906D89">
        <w:rPr>
          <w:rFonts w:ascii="Times New Roman" w:eastAsia="宋体" w:hAnsi="Times New Roman" w:cs="Times New Roman"/>
          <w:kern w:val="0"/>
          <w:szCs w:val="21"/>
        </w:rPr>
        <w:t>7.51%</w:t>
      </w:r>
      <w:r w:rsidRPr="00906D89">
        <w:rPr>
          <w:rFonts w:ascii="宋体" w:eastAsia="宋体" w:hAnsi="宋体" w:cs="宋体" w:hint="eastAsia"/>
          <w:kern w:val="0"/>
          <w:szCs w:val="21"/>
        </w:rPr>
        <w:t>，调升率连续两年下降；信用等级被调降的有</w:t>
      </w:r>
      <w:r w:rsidRPr="00906D89">
        <w:rPr>
          <w:rFonts w:ascii="Times New Roman" w:eastAsia="宋体" w:hAnsi="Times New Roman" w:cs="Times New Roman"/>
          <w:kern w:val="0"/>
          <w:szCs w:val="21"/>
        </w:rPr>
        <w:t>79</w:t>
      </w:r>
      <w:r w:rsidRPr="00906D89">
        <w:rPr>
          <w:rFonts w:ascii="宋体" w:eastAsia="宋体" w:hAnsi="宋体" w:cs="宋体" w:hint="eastAsia"/>
          <w:kern w:val="0"/>
          <w:szCs w:val="21"/>
        </w:rPr>
        <w:t>家，调降率为</w:t>
      </w:r>
      <w:r w:rsidRPr="00906D89">
        <w:rPr>
          <w:rFonts w:ascii="Times New Roman" w:eastAsia="宋体" w:hAnsi="Times New Roman" w:cs="Times New Roman"/>
          <w:kern w:val="0"/>
          <w:szCs w:val="21"/>
        </w:rPr>
        <w:t>2.67%</w:t>
      </w:r>
      <w:r w:rsidRPr="00906D89">
        <w:rPr>
          <w:rFonts w:ascii="宋体" w:eastAsia="宋体" w:hAnsi="宋体" w:cs="宋体" w:hint="eastAsia"/>
          <w:kern w:val="0"/>
          <w:szCs w:val="21"/>
        </w:rPr>
        <w:t>，调降率较</w:t>
      </w:r>
      <w:r w:rsidRPr="00906D89">
        <w:rPr>
          <w:rFonts w:ascii="Times New Roman" w:eastAsia="宋体" w:hAnsi="Times New Roman" w:cs="Times New Roman"/>
          <w:kern w:val="0"/>
          <w:szCs w:val="21"/>
        </w:rPr>
        <w:t>2013</w:t>
      </w:r>
      <w:r w:rsidRPr="00906D89">
        <w:rPr>
          <w:rFonts w:ascii="宋体" w:eastAsia="宋体" w:hAnsi="宋体" w:cs="宋体" w:hint="eastAsia"/>
          <w:kern w:val="0"/>
          <w:szCs w:val="21"/>
        </w:rPr>
        <w:t>年有所下降，但仍高于</w:t>
      </w:r>
      <w:r w:rsidRPr="00906D89">
        <w:rPr>
          <w:rFonts w:ascii="Times New Roman" w:eastAsia="宋体" w:hAnsi="Times New Roman" w:cs="Times New Roman"/>
          <w:kern w:val="0"/>
          <w:szCs w:val="21"/>
        </w:rPr>
        <w:t>2012</w:t>
      </w:r>
      <w:r w:rsidRPr="00906D89">
        <w:rPr>
          <w:rFonts w:ascii="宋体" w:eastAsia="宋体" w:hAnsi="宋体" w:cs="宋体" w:hint="eastAsia"/>
          <w:kern w:val="0"/>
          <w:szCs w:val="21"/>
        </w:rPr>
        <w:t>年水平。整体来看，</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 xml:space="preserve">年发行人主体信用等级仍呈现调升趋势，但调升趋势持续减缓，评级稳定性整体上有所增强。 </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从发债企业类型来看，</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年发行人主体信用等级被调升的企业多为国有企业，占比高达</w:t>
      </w:r>
      <w:r w:rsidRPr="00906D89">
        <w:rPr>
          <w:rFonts w:ascii="Times New Roman" w:eastAsia="宋体" w:hAnsi="Times New Roman" w:cs="Times New Roman"/>
          <w:kern w:val="0"/>
          <w:szCs w:val="21"/>
        </w:rPr>
        <w:t>71.11%</w:t>
      </w:r>
      <w:r w:rsidRPr="00906D89">
        <w:rPr>
          <w:rFonts w:ascii="宋体" w:eastAsia="宋体" w:hAnsi="宋体" w:cs="宋体" w:hint="eastAsia"/>
          <w:kern w:val="0"/>
          <w:szCs w:val="21"/>
        </w:rPr>
        <w:t>；主体信用等级被调降的企业则以民营企业为主，占比为</w:t>
      </w:r>
      <w:r w:rsidRPr="00906D89">
        <w:rPr>
          <w:rFonts w:ascii="Times New Roman" w:eastAsia="宋体" w:hAnsi="Times New Roman" w:cs="Times New Roman"/>
          <w:kern w:val="0"/>
          <w:szCs w:val="21"/>
        </w:rPr>
        <w:t>48.75%</w:t>
      </w:r>
      <w:r w:rsidRPr="00906D89">
        <w:rPr>
          <w:rFonts w:ascii="宋体" w:eastAsia="宋体" w:hAnsi="宋体" w:cs="宋体" w:hint="eastAsia"/>
          <w:kern w:val="0"/>
          <w:szCs w:val="21"/>
        </w:rPr>
        <w:t>（国有企业和其他企业占比分别为</w:t>
      </w:r>
      <w:r w:rsidRPr="00906D89">
        <w:rPr>
          <w:rFonts w:ascii="Times New Roman" w:eastAsia="宋体" w:hAnsi="Times New Roman" w:cs="Times New Roman"/>
          <w:kern w:val="0"/>
          <w:szCs w:val="21"/>
        </w:rPr>
        <w:t>31.25%</w:t>
      </w:r>
      <w:r w:rsidRPr="00906D89">
        <w:rPr>
          <w:rFonts w:ascii="宋体" w:eastAsia="宋体" w:hAnsi="宋体" w:cs="宋体" w:hint="eastAsia"/>
          <w:kern w:val="0"/>
          <w:szCs w:val="21"/>
        </w:rPr>
        <w:t>和</w:t>
      </w:r>
      <w:r w:rsidRPr="00906D89">
        <w:rPr>
          <w:rFonts w:ascii="Times New Roman" w:eastAsia="宋体" w:hAnsi="Times New Roman" w:cs="Times New Roman"/>
          <w:kern w:val="0"/>
          <w:szCs w:val="21"/>
        </w:rPr>
        <w:t>20.00%</w:t>
      </w:r>
      <w:r w:rsidRPr="00906D89">
        <w:rPr>
          <w:rFonts w:ascii="宋体" w:eastAsia="宋体" w:hAnsi="宋体" w:cs="宋体" w:hint="eastAsia"/>
          <w:kern w:val="0"/>
          <w:szCs w:val="21"/>
        </w:rPr>
        <w:t>）；中小企业在调降企业中的占比为</w:t>
      </w:r>
      <w:r w:rsidRPr="00906D89">
        <w:rPr>
          <w:rFonts w:ascii="Times New Roman" w:eastAsia="宋体" w:hAnsi="Times New Roman" w:cs="Times New Roman"/>
          <w:kern w:val="0"/>
          <w:szCs w:val="21"/>
        </w:rPr>
        <w:t>35.00%</w:t>
      </w:r>
      <w:r w:rsidRPr="00906D89">
        <w:rPr>
          <w:rFonts w:ascii="宋体" w:eastAsia="宋体" w:hAnsi="宋体" w:cs="宋体" w:hint="eastAsia"/>
          <w:kern w:val="0"/>
          <w:szCs w:val="21"/>
        </w:rPr>
        <w:t>，</w:t>
      </w:r>
      <w:proofErr w:type="gramStart"/>
      <w:r w:rsidRPr="00906D89">
        <w:rPr>
          <w:rFonts w:ascii="宋体" w:eastAsia="宋体" w:hAnsi="宋体" w:cs="宋体" w:hint="eastAsia"/>
          <w:kern w:val="0"/>
          <w:szCs w:val="21"/>
        </w:rPr>
        <w:t>占比较</w:t>
      </w:r>
      <w:proofErr w:type="gramEnd"/>
      <w:r w:rsidRPr="00906D89">
        <w:rPr>
          <w:rFonts w:ascii="宋体" w:eastAsia="宋体" w:hAnsi="宋体" w:cs="宋体" w:hint="eastAsia"/>
          <w:kern w:val="0"/>
          <w:szCs w:val="21"/>
        </w:rPr>
        <w:t xml:space="preserve">大。 </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 xml:space="preserve">从发债企业所属行业来看，调升企业多分布在建筑工程、交通基础设施、多元金融服务等政策倾斜领域以及需求稳定、轻资产、服务性行业，而调降企业主要集中在机械、电气设备、金属、煤炭等高同质化、产能过剩、强周期、重资产行业。 </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 xml:space="preserve">评级展望调整数量依然较少，评级调整连续性有待进一步加强 </w:t>
      </w:r>
    </w:p>
    <w:p w:rsidR="00906D89" w:rsidRPr="00906D89" w:rsidRDefault="00906D89" w:rsidP="00906D89">
      <w:pPr>
        <w:widowControl/>
        <w:spacing w:before="100" w:beforeAutospacing="1" w:after="100" w:afterAutospacing="1"/>
        <w:jc w:val="left"/>
        <w:rPr>
          <w:rFonts w:ascii="宋体" w:eastAsia="宋体" w:hAnsi="宋体" w:cs="宋体"/>
          <w:kern w:val="0"/>
          <w:szCs w:val="21"/>
        </w:rPr>
      </w:pPr>
      <w:r w:rsidRPr="00906D89">
        <w:rPr>
          <w:rFonts w:ascii="宋体" w:eastAsia="宋体" w:hAnsi="宋体" w:cs="宋体" w:hint="eastAsia"/>
          <w:kern w:val="0"/>
          <w:szCs w:val="21"/>
        </w:rPr>
        <w:t>      剔除评级展望为观望</w:t>
      </w:r>
      <w:r w:rsidRPr="00906D89">
        <w:rPr>
          <w:rFonts w:ascii="Times New Roman" w:eastAsia="宋体" w:hAnsi="Times New Roman" w:cs="Times New Roman"/>
          <w:kern w:val="0"/>
          <w:szCs w:val="21"/>
          <w:vertAlign w:val="superscript"/>
        </w:rPr>
        <w:t>6</w:t>
      </w:r>
      <w:r w:rsidRPr="00906D89">
        <w:rPr>
          <w:rFonts w:ascii="宋体" w:eastAsia="宋体" w:hAnsi="宋体" w:cs="宋体" w:hint="eastAsia"/>
          <w:kern w:val="0"/>
          <w:szCs w:val="21"/>
        </w:rPr>
        <w:t>的样本，</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年共有</w:t>
      </w:r>
      <w:r w:rsidRPr="00906D89">
        <w:rPr>
          <w:rFonts w:ascii="Times New Roman" w:eastAsia="宋体" w:hAnsi="Times New Roman" w:cs="Times New Roman"/>
          <w:kern w:val="0"/>
          <w:szCs w:val="21"/>
        </w:rPr>
        <w:t>45</w:t>
      </w:r>
      <w:r w:rsidRPr="00906D89">
        <w:rPr>
          <w:rFonts w:ascii="宋体" w:eastAsia="宋体" w:hAnsi="宋体" w:cs="宋体" w:hint="eastAsia"/>
          <w:kern w:val="0"/>
          <w:szCs w:val="21"/>
        </w:rPr>
        <w:t>家发行人主体信用评级展望被调升（由负面调整为稳定的有</w:t>
      </w:r>
      <w:r w:rsidRPr="00906D89">
        <w:rPr>
          <w:rFonts w:ascii="Times New Roman" w:eastAsia="宋体" w:hAnsi="Times New Roman" w:cs="Times New Roman"/>
          <w:kern w:val="0"/>
          <w:szCs w:val="21"/>
        </w:rPr>
        <w:t>23</w:t>
      </w:r>
      <w:r w:rsidRPr="00906D89">
        <w:rPr>
          <w:rFonts w:ascii="宋体" w:eastAsia="宋体" w:hAnsi="宋体" w:cs="宋体" w:hint="eastAsia"/>
          <w:kern w:val="0"/>
          <w:szCs w:val="21"/>
        </w:rPr>
        <w:t>家，由稳定调整为正面的有</w:t>
      </w:r>
      <w:r w:rsidRPr="00906D89">
        <w:rPr>
          <w:rFonts w:ascii="Times New Roman" w:eastAsia="宋体" w:hAnsi="Times New Roman" w:cs="Times New Roman"/>
          <w:kern w:val="0"/>
          <w:szCs w:val="21"/>
        </w:rPr>
        <w:t>22</w:t>
      </w:r>
      <w:r w:rsidRPr="00906D89">
        <w:rPr>
          <w:rFonts w:ascii="宋体" w:eastAsia="宋体" w:hAnsi="宋体" w:cs="宋体" w:hint="eastAsia"/>
          <w:kern w:val="0"/>
          <w:szCs w:val="21"/>
        </w:rPr>
        <w:t>家），</w:t>
      </w:r>
      <w:r w:rsidRPr="00906D89">
        <w:rPr>
          <w:rFonts w:ascii="Times New Roman" w:eastAsia="宋体" w:hAnsi="Times New Roman" w:cs="Times New Roman"/>
          <w:kern w:val="0"/>
          <w:szCs w:val="21"/>
        </w:rPr>
        <w:t>69</w:t>
      </w:r>
      <w:r w:rsidRPr="00906D89">
        <w:rPr>
          <w:rFonts w:ascii="宋体" w:eastAsia="宋体" w:hAnsi="宋体" w:cs="宋体" w:hint="eastAsia"/>
          <w:kern w:val="0"/>
          <w:szCs w:val="21"/>
        </w:rPr>
        <w:t>家发行人主体信用评级展望被调降（由稳定调整为负面的有</w:t>
      </w:r>
      <w:r w:rsidRPr="00906D89">
        <w:rPr>
          <w:rFonts w:ascii="Times New Roman" w:eastAsia="宋体" w:hAnsi="Times New Roman" w:cs="Times New Roman"/>
          <w:kern w:val="0"/>
          <w:szCs w:val="21"/>
        </w:rPr>
        <w:t>68</w:t>
      </w:r>
      <w:r w:rsidRPr="00906D89">
        <w:rPr>
          <w:rFonts w:ascii="宋体" w:eastAsia="宋体" w:hAnsi="宋体" w:cs="宋体" w:hint="eastAsia"/>
          <w:kern w:val="0"/>
          <w:szCs w:val="21"/>
        </w:rPr>
        <w:t>家，由正面调整为稳定的有</w:t>
      </w:r>
      <w:r w:rsidRPr="00906D89">
        <w:rPr>
          <w:rFonts w:ascii="Times New Roman" w:eastAsia="宋体" w:hAnsi="Times New Roman" w:cs="Times New Roman"/>
          <w:kern w:val="0"/>
          <w:szCs w:val="21"/>
        </w:rPr>
        <w:t>1</w:t>
      </w:r>
      <w:r w:rsidRPr="00906D89">
        <w:rPr>
          <w:rFonts w:ascii="宋体" w:eastAsia="宋体" w:hAnsi="宋体" w:cs="宋体" w:hint="eastAsia"/>
          <w:kern w:val="0"/>
          <w:szCs w:val="21"/>
        </w:rPr>
        <w:t>家），评级展望调升率和调降率分别为</w:t>
      </w:r>
      <w:r w:rsidRPr="00906D89">
        <w:rPr>
          <w:rFonts w:ascii="Times New Roman" w:eastAsia="宋体" w:hAnsi="Times New Roman" w:cs="Times New Roman"/>
          <w:kern w:val="0"/>
          <w:szCs w:val="21"/>
        </w:rPr>
        <w:t>1.67%</w:t>
      </w:r>
      <w:r w:rsidRPr="00906D89">
        <w:rPr>
          <w:rFonts w:ascii="宋体" w:eastAsia="宋体" w:hAnsi="宋体" w:cs="宋体" w:hint="eastAsia"/>
          <w:kern w:val="0"/>
          <w:szCs w:val="21"/>
        </w:rPr>
        <w:t>和</w:t>
      </w:r>
      <w:r w:rsidRPr="00906D89">
        <w:rPr>
          <w:rFonts w:ascii="Times New Roman" w:eastAsia="宋体" w:hAnsi="Times New Roman" w:cs="Times New Roman"/>
          <w:kern w:val="0"/>
          <w:szCs w:val="21"/>
        </w:rPr>
        <w:t>2.56%</w:t>
      </w:r>
      <w:r w:rsidRPr="00906D89">
        <w:rPr>
          <w:rFonts w:ascii="宋体" w:eastAsia="宋体" w:hAnsi="宋体" w:cs="宋体" w:hint="eastAsia"/>
          <w:kern w:val="0"/>
          <w:szCs w:val="21"/>
        </w:rPr>
        <w:t>，调升率较前两年有所上升，调降率有所下降。整体来看，</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年发行人主体信用评级</w:t>
      </w:r>
      <w:proofErr w:type="gramStart"/>
      <w:r w:rsidRPr="00906D89">
        <w:rPr>
          <w:rFonts w:ascii="宋体" w:eastAsia="宋体" w:hAnsi="宋体" w:cs="宋体" w:hint="eastAsia"/>
          <w:kern w:val="0"/>
          <w:szCs w:val="21"/>
        </w:rPr>
        <w:t>展望仍</w:t>
      </w:r>
      <w:proofErr w:type="gramEnd"/>
      <w:r w:rsidRPr="00906D89">
        <w:rPr>
          <w:rFonts w:ascii="宋体" w:eastAsia="宋体" w:hAnsi="宋体" w:cs="宋体" w:hint="eastAsia"/>
          <w:kern w:val="0"/>
          <w:szCs w:val="21"/>
        </w:rPr>
        <w:t>呈现调降态势，但调降趋势有所减缓。与信用等级调整相比，</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年发行人主体信用评级展望的调整数量相对较少，评级机构对受评对象信用状况的变化主要以信用级别调整进行评价和揭示。</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noProof/>
          <w:kern w:val="0"/>
          <w:szCs w:val="21"/>
        </w:rPr>
        <w:drawing>
          <wp:inline distT="0" distB="0" distL="0" distR="0">
            <wp:extent cx="4276725" cy="1866900"/>
            <wp:effectExtent l="0" t="0" r="9525" b="0"/>
            <wp:docPr id="5" name="图片 5" descr="http://lhcis.com/LHXY/wwwroot/lhxy/upload/Image/mrtp/2015/04/1_3617677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cis.com/LHXY/wwwroot/lhxy/upload/Image/mrtp/2015/04/1_3617677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866900"/>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lastRenderedPageBreak/>
        <w:t> </w:t>
      </w:r>
    </w:p>
    <w:p w:rsidR="00906D89" w:rsidRPr="00906D89" w:rsidRDefault="00906D89" w:rsidP="00906D89">
      <w:pPr>
        <w:widowControl/>
        <w:spacing w:before="100" w:beforeAutospacing="1" w:after="100" w:afterAutospacing="1"/>
        <w:ind w:firstLineChars="196" w:firstLine="413"/>
        <w:jc w:val="left"/>
        <w:rPr>
          <w:rFonts w:ascii="宋体" w:eastAsia="宋体" w:hAnsi="宋体" w:cs="宋体" w:hint="eastAsia"/>
          <w:kern w:val="0"/>
          <w:szCs w:val="21"/>
        </w:rPr>
      </w:pPr>
      <w:r w:rsidRPr="00906D89">
        <w:rPr>
          <w:rFonts w:ascii="宋体" w:eastAsia="宋体" w:hAnsi="宋体" w:cs="宋体" w:hint="eastAsia"/>
          <w:b/>
          <w:bCs/>
          <w:kern w:val="0"/>
          <w:szCs w:val="21"/>
        </w:rPr>
        <w:t xml:space="preserve">2. </w:t>
      </w:r>
      <w:r w:rsidRPr="00906D89">
        <w:rPr>
          <w:rFonts w:ascii="宋体" w:eastAsia="宋体" w:hAnsi="宋体" w:cs="宋体" w:hint="eastAsia"/>
          <w:kern w:val="0"/>
          <w:szCs w:val="21"/>
        </w:rPr>
        <w:t>信用等级迁移矩阵</w:t>
      </w:r>
      <w:r w:rsidRPr="00906D89">
        <w:rPr>
          <w:rFonts w:ascii="宋体" w:eastAsia="宋体" w:hAnsi="宋体" w:cs="宋体" w:hint="eastAsia"/>
          <w:b/>
          <w:bCs/>
          <w:kern w:val="0"/>
          <w:szCs w:val="21"/>
          <w:vertAlign w:val="superscript"/>
        </w:rPr>
        <w:t xml:space="preserve">7 </w:t>
      </w:r>
    </w:p>
    <w:p w:rsidR="00906D89" w:rsidRPr="00906D89" w:rsidRDefault="00906D89" w:rsidP="00906D89">
      <w:pPr>
        <w:widowControl/>
        <w:spacing w:before="100" w:beforeAutospacing="1" w:after="100" w:afterAutospacing="1"/>
        <w:ind w:firstLineChars="150" w:firstLine="315"/>
        <w:jc w:val="left"/>
        <w:rPr>
          <w:rFonts w:ascii="宋体" w:eastAsia="宋体" w:hAnsi="宋体" w:cs="宋体" w:hint="eastAsia"/>
          <w:kern w:val="0"/>
          <w:szCs w:val="21"/>
        </w:rPr>
      </w:pPr>
      <w:r w:rsidRPr="00906D89">
        <w:rPr>
          <w:rFonts w:ascii="宋体" w:eastAsia="宋体" w:hAnsi="宋体" w:cs="宋体" w:hint="eastAsia"/>
          <w:kern w:val="0"/>
          <w:szCs w:val="21"/>
        </w:rPr>
        <w:t>（</w:t>
      </w:r>
      <w:r w:rsidRPr="00906D89">
        <w:rPr>
          <w:rFonts w:ascii="宋体" w:eastAsia="宋体" w:hAnsi="宋体" w:cs="宋体" w:hint="eastAsia"/>
          <w:b/>
          <w:bCs/>
          <w:kern w:val="0"/>
          <w:szCs w:val="21"/>
        </w:rPr>
        <w:t>1</w:t>
      </w:r>
      <w:r w:rsidRPr="00906D89">
        <w:rPr>
          <w:rFonts w:ascii="宋体" w:eastAsia="宋体" w:hAnsi="宋体" w:cs="宋体" w:hint="eastAsia"/>
          <w:kern w:val="0"/>
          <w:szCs w:val="21"/>
        </w:rPr>
        <w:t xml:space="preserve">）一年期迁移矩阵 </w:t>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hint="eastAsia"/>
          <w:kern w:val="0"/>
          <w:szCs w:val="21"/>
        </w:rPr>
      </w:pPr>
      <w:r w:rsidRPr="00906D89">
        <w:rPr>
          <w:rFonts w:ascii="宋体" w:eastAsia="宋体" w:hAnsi="宋体" w:cs="宋体" w:hint="eastAsia"/>
          <w:kern w:val="0"/>
          <w:szCs w:val="21"/>
        </w:rPr>
        <w:t xml:space="preserve">级别分布呈现进一步分化趋势，级别稳定性基本上随级别的升高而增强 </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Calibri" w:eastAsia="宋体" w:hAnsi="Calibri" w:cs="宋体"/>
          <w:kern w:val="0"/>
          <w:szCs w:val="21"/>
        </w:rPr>
        <w:t>2014</w:t>
      </w:r>
      <w:r w:rsidRPr="00906D89">
        <w:rPr>
          <w:rFonts w:ascii="宋体" w:eastAsia="宋体" w:hAnsi="宋体" w:cs="宋体" w:hint="eastAsia"/>
          <w:kern w:val="0"/>
          <w:szCs w:val="21"/>
        </w:rPr>
        <w:t>年，发行人主体信用等级分布整体上无太大变化，绝大部分发行人主体信用等级仍为投资级别，但投机级别数量占比略微有所上升。投资级别中，</w:t>
      </w:r>
      <w:r w:rsidRPr="00906D89">
        <w:rPr>
          <w:rFonts w:ascii="Calibri" w:eastAsia="宋体" w:hAnsi="Calibri" w:cs="宋体"/>
          <w:kern w:val="0"/>
          <w:szCs w:val="21"/>
        </w:rPr>
        <w:t>AA-</w:t>
      </w:r>
      <w:r w:rsidRPr="00906D89">
        <w:rPr>
          <w:rFonts w:ascii="宋体" w:eastAsia="宋体" w:hAnsi="宋体" w:cs="宋体" w:hint="eastAsia"/>
          <w:kern w:val="0"/>
          <w:szCs w:val="21"/>
        </w:rPr>
        <w:t>级及以上级别发行人占发行人总数量的占比依然保持</w:t>
      </w:r>
      <w:proofErr w:type="gramStart"/>
      <w:r w:rsidRPr="00906D89">
        <w:rPr>
          <w:rFonts w:ascii="宋体" w:eastAsia="宋体" w:hAnsi="宋体" w:cs="宋体" w:hint="eastAsia"/>
          <w:kern w:val="0"/>
          <w:szCs w:val="21"/>
        </w:rPr>
        <w:t>很</w:t>
      </w:r>
      <w:proofErr w:type="gramEnd"/>
      <w:r w:rsidRPr="00906D89">
        <w:rPr>
          <w:rFonts w:ascii="宋体" w:eastAsia="宋体" w:hAnsi="宋体" w:cs="宋体" w:hint="eastAsia"/>
          <w:kern w:val="0"/>
          <w:szCs w:val="21"/>
        </w:rPr>
        <w:t>高水平，但其中</w:t>
      </w:r>
      <w:r w:rsidRPr="00906D89">
        <w:rPr>
          <w:rFonts w:ascii="Calibri" w:eastAsia="宋体" w:hAnsi="Calibri" w:cs="宋体"/>
          <w:kern w:val="0"/>
          <w:szCs w:val="21"/>
        </w:rPr>
        <w:t>AA</w:t>
      </w:r>
      <w:r w:rsidRPr="00906D89">
        <w:rPr>
          <w:rFonts w:ascii="宋体" w:eastAsia="宋体" w:hAnsi="宋体" w:cs="宋体" w:hint="eastAsia"/>
          <w:kern w:val="0"/>
          <w:szCs w:val="21"/>
        </w:rPr>
        <w:t>级和</w:t>
      </w:r>
      <w:r w:rsidRPr="00906D89">
        <w:rPr>
          <w:rFonts w:ascii="Calibri" w:eastAsia="宋体" w:hAnsi="Calibri" w:cs="宋体"/>
          <w:kern w:val="0"/>
          <w:szCs w:val="21"/>
        </w:rPr>
        <w:t>AA-</w:t>
      </w:r>
      <w:r w:rsidRPr="00906D89">
        <w:rPr>
          <w:rFonts w:ascii="宋体" w:eastAsia="宋体" w:hAnsi="宋体" w:cs="宋体" w:hint="eastAsia"/>
          <w:kern w:val="0"/>
          <w:szCs w:val="21"/>
        </w:rPr>
        <w:t>级的占比有所下降，而</w:t>
      </w:r>
      <w:r w:rsidRPr="00906D89">
        <w:rPr>
          <w:rFonts w:ascii="Calibri" w:eastAsia="宋体" w:hAnsi="Calibri" w:cs="宋体"/>
          <w:kern w:val="0"/>
          <w:szCs w:val="21"/>
        </w:rPr>
        <w:t>AAA</w:t>
      </w:r>
      <w:r w:rsidRPr="00906D89">
        <w:rPr>
          <w:rFonts w:ascii="宋体" w:eastAsia="宋体" w:hAnsi="宋体" w:cs="宋体" w:hint="eastAsia"/>
          <w:kern w:val="0"/>
          <w:szCs w:val="21"/>
        </w:rPr>
        <w:t>级和</w:t>
      </w:r>
      <w:r w:rsidRPr="00906D89">
        <w:rPr>
          <w:rFonts w:ascii="Calibri" w:eastAsia="宋体" w:hAnsi="Calibri" w:cs="宋体"/>
          <w:kern w:val="0"/>
          <w:szCs w:val="21"/>
        </w:rPr>
        <w:t>AA+</w:t>
      </w:r>
      <w:r w:rsidRPr="00906D89">
        <w:rPr>
          <w:rFonts w:ascii="宋体" w:eastAsia="宋体" w:hAnsi="宋体" w:cs="宋体" w:hint="eastAsia"/>
          <w:kern w:val="0"/>
          <w:szCs w:val="21"/>
        </w:rPr>
        <w:t>级的占比有所升高。</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hint="eastAsia"/>
          <w:kern w:val="0"/>
          <w:szCs w:val="21"/>
        </w:rPr>
        <w:t>     </w:t>
      </w:r>
      <w:r w:rsidRPr="00906D89">
        <w:rPr>
          <w:rFonts w:ascii="宋体" w:eastAsia="宋体" w:hAnsi="宋体" w:cs="宋体"/>
          <w:noProof/>
          <w:kern w:val="0"/>
          <w:szCs w:val="21"/>
        </w:rPr>
        <w:drawing>
          <wp:inline distT="0" distB="0" distL="0" distR="0">
            <wp:extent cx="4276725" cy="1571625"/>
            <wp:effectExtent l="0" t="0" r="9525" b="9525"/>
            <wp:docPr id="4" name="图片 4" descr="http://lhcis.com/LHXY/wwwroot/lhxy/upload/Image/mrtp/2015/04/1_361768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hcis.com/LHXY/wwwroot/lhxy/upload/Image/mrtp/2015/04/1_36176828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hint="eastAsia"/>
          <w:kern w:val="0"/>
          <w:szCs w:val="21"/>
        </w:rPr>
        <w:t> </w:t>
      </w:r>
    </w:p>
    <w:p w:rsidR="00906D89" w:rsidRPr="00906D89" w:rsidRDefault="00906D89" w:rsidP="00906D89">
      <w:pPr>
        <w:widowControl/>
        <w:spacing w:before="100" w:beforeAutospacing="1" w:after="100" w:afterAutospacing="1"/>
        <w:ind w:firstLine="560"/>
        <w:jc w:val="left"/>
        <w:rPr>
          <w:rFonts w:ascii="宋体" w:eastAsia="宋体" w:hAnsi="宋体" w:cs="宋体" w:hint="eastAsia"/>
          <w:kern w:val="0"/>
          <w:sz w:val="24"/>
          <w:szCs w:val="24"/>
        </w:rPr>
      </w:pPr>
      <w:r w:rsidRPr="00906D89">
        <w:rPr>
          <w:rFonts w:ascii="宋体" w:eastAsia="宋体" w:hAnsi="宋体" w:cs="宋体" w:hint="eastAsia"/>
          <w:kern w:val="0"/>
          <w:szCs w:val="21"/>
        </w:rPr>
        <w:t>从级别稳定性来看，在样本数量较多的</w:t>
      </w:r>
      <w:r w:rsidRPr="00906D89">
        <w:rPr>
          <w:rFonts w:ascii="Times New Roman" w:eastAsia="宋体" w:hAnsi="Times New Roman" w:cs="Times New Roman"/>
          <w:kern w:val="0"/>
          <w:szCs w:val="21"/>
        </w:rPr>
        <w:t>A+</w:t>
      </w:r>
      <w:r w:rsidRPr="00906D89">
        <w:rPr>
          <w:rFonts w:ascii="宋体" w:eastAsia="宋体" w:hAnsi="宋体" w:cs="宋体" w:hint="eastAsia"/>
          <w:kern w:val="0"/>
          <w:szCs w:val="21"/>
        </w:rPr>
        <w:t>级及以上级别中，</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级及以上级别较为稳定，</w:t>
      </w:r>
      <w:r w:rsidRPr="00906D89">
        <w:rPr>
          <w:rFonts w:ascii="Times New Roman" w:eastAsia="宋体" w:hAnsi="Times New Roman" w:cs="Times New Roman"/>
          <w:kern w:val="0"/>
          <w:szCs w:val="21"/>
        </w:rPr>
        <w:t>A+</w:t>
      </w:r>
      <w:r w:rsidRPr="00906D89">
        <w:rPr>
          <w:rFonts w:ascii="宋体" w:eastAsia="宋体" w:hAnsi="宋体" w:cs="宋体" w:hint="eastAsia"/>
          <w:kern w:val="0"/>
          <w:szCs w:val="21"/>
        </w:rPr>
        <w:t>级和</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级的稳定性相对较差，迁移率均超过</w:t>
      </w:r>
      <w:r w:rsidRPr="00906D89">
        <w:rPr>
          <w:rFonts w:ascii="Times New Roman" w:eastAsia="宋体" w:hAnsi="Times New Roman" w:cs="Times New Roman"/>
          <w:kern w:val="0"/>
          <w:szCs w:val="21"/>
        </w:rPr>
        <w:t>15%</w:t>
      </w:r>
      <w:r w:rsidRPr="00906D89">
        <w:rPr>
          <w:rFonts w:ascii="宋体" w:eastAsia="宋体" w:hAnsi="宋体" w:cs="宋体" w:hint="eastAsia"/>
          <w:kern w:val="0"/>
          <w:szCs w:val="21"/>
        </w:rPr>
        <w:t>；除</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级外，其他信用等级的稳定性均随信用等级的升高而增强。从迁移方向看，样本数量较多的</w:t>
      </w:r>
      <w:r w:rsidRPr="00906D89">
        <w:rPr>
          <w:rFonts w:ascii="Times New Roman" w:eastAsia="宋体" w:hAnsi="Times New Roman" w:cs="Times New Roman"/>
          <w:kern w:val="0"/>
          <w:szCs w:val="21"/>
        </w:rPr>
        <w:t>A+</w:t>
      </w:r>
      <w:r w:rsidRPr="00906D89">
        <w:rPr>
          <w:rFonts w:ascii="宋体" w:eastAsia="宋体" w:hAnsi="宋体" w:cs="宋体" w:hint="eastAsia"/>
          <w:kern w:val="0"/>
          <w:szCs w:val="21"/>
        </w:rPr>
        <w:t>级及以上级别均表现出明显的调升趋势。从迁移范围看，</w:t>
      </w:r>
      <w:r w:rsidRPr="00906D89">
        <w:rPr>
          <w:rFonts w:ascii="Times New Roman" w:eastAsia="宋体" w:hAnsi="Times New Roman" w:cs="Times New Roman"/>
          <w:kern w:val="0"/>
          <w:szCs w:val="21"/>
        </w:rPr>
        <w:t>A+</w:t>
      </w:r>
      <w:r w:rsidRPr="00906D89">
        <w:rPr>
          <w:rFonts w:ascii="宋体" w:eastAsia="宋体" w:hAnsi="宋体" w:cs="宋体" w:hint="eastAsia"/>
          <w:kern w:val="0"/>
          <w:szCs w:val="21"/>
        </w:rPr>
        <w:t>级及以上级别中，</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级和</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级的部分发行人的级别迁移幅度较大，迁移范围均在</w:t>
      </w:r>
      <w:r w:rsidRPr="00906D89">
        <w:rPr>
          <w:rFonts w:ascii="Times New Roman" w:eastAsia="宋体" w:hAnsi="Times New Roman" w:cs="Times New Roman"/>
          <w:kern w:val="0"/>
          <w:szCs w:val="21"/>
        </w:rPr>
        <w:t>5</w:t>
      </w:r>
      <w:proofErr w:type="gramStart"/>
      <w:r w:rsidRPr="00906D89">
        <w:rPr>
          <w:rFonts w:ascii="宋体" w:eastAsia="宋体" w:hAnsi="宋体" w:cs="宋体" w:hint="eastAsia"/>
          <w:kern w:val="0"/>
          <w:szCs w:val="21"/>
        </w:rPr>
        <w:t>个子级</w:t>
      </w:r>
      <w:proofErr w:type="gramEnd"/>
      <w:r w:rsidRPr="00906D89">
        <w:rPr>
          <w:rFonts w:ascii="宋体" w:eastAsia="宋体" w:hAnsi="宋体" w:cs="宋体" w:hint="eastAsia"/>
          <w:kern w:val="0"/>
          <w:szCs w:val="21"/>
        </w:rPr>
        <w:t>以上。与</w:t>
      </w:r>
      <w:r w:rsidRPr="00906D89">
        <w:rPr>
          <w:rFonts w:ascii="Times New Roman" w:eastAsia="宋体" w:hAnsi="Times New Roman" w:cs="Times New Roman"/>
          <w:kern w:val="0"/>
          <w:szCs w:val="21"/>
        </w:rPr>
        <w:t>2013</w:t>
      </w:r>
      <w:r w:rsidRPr="00906D89">
        <w:rPr>
          <w:rFonts w:ascii="宋体" w:eastAsia="宋体" w:hAnsi="宋体" w:cs="宋体" w:hint="eastAsia"/>
          <w:kern w:val="0"/>
          <w:szCs w:val="21"/>
        </w:rPr>
        <w:t>年仅有</w:t>
      </w:r>
      <w:r w:rsidRPr="00906D89">
        <w:rPr>
          <w:rFonts w:ascii="Times New Roman" w:eastAsia="宋体" w:hAnsi="Times New Roman" w:cs="Times New Roman"/>
          <w:kern w:val="0"/>
          <w:szCs w:val="21"/>
        </w:rPr>
        <w:t>2</w:t>
      </w:r>
      <w:r w:rsidRPr="00906D89">
        <w:rPr>
          <w:rFonts w:ascii="宋体" w:eastAsia="宋体" w:hAnsi="宋体" w:cs="宋体" w:hint="eastAsia"/>
          <w:kern w:val="0"/>
          <w:szCs w:val="21"/>
        </w:rPr>
        <w:t>家发行人主体信用等级由投资级被下调到投机级的情况不同，</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年有</w:t>
      </w:r>
      <w:r w:rsidRPr="00906D89">
        <w:rPr>
          <w:rFonts w:ascii="Times New Roman" w:eastAsia="宋体" w:hAnsi="Times New Roman" w:cs="Times New Roman"/>
          <w:kern w:val="0"/>
          <w:szCs w:val="21"/>
        </w:rPr>
        <w:t>1</w:t>
      </w:r>
      <w:r w:rsidRPr="00906D89">
        <w:rPr>
          <w:rFonts w:ascii="宋体" w:eastAsia="宋体" w:hAnsi="宋体" w:cs="宋体" w:hint="eastAsia"/>
          <w:kern w:val="0"/>
          <w:szCs w:val="21"/>
        </w:rPr>
        <w:t>家发行人主体信用等级由投机级被上调到投资级，有</w:t>
      </w:r>
      <w:r w:rsidRPr="00906D89">
        <w:rPr>
          <w:rFonts w:ascii="Times New Roman" w:eastAsia="宋体" w:hAnsi="Times New Roman" w:cs="Times New Roman"/>
          <w:kern w:val="0"/>
          <w:szCs w:val="21"/>
        </w:rPr>
        <w:t>6</w:t>
      </w:r>
      <w:r w:rsidRPr="00906D89">
        <w:rPr>
          <w:rFonts w:ascii="宋体" w:eastAsia="宋体" w:hAnsi="宋体" w:cs="宋体" w:hint="eastAsia"/>
          <w:kern w:val="0"/>
          <w:szCs w:val="21"/>
        </w:rPr>
        <w:t xml:space="preserve">家发行人主体信用等级由投资级被下调到投机级。 </w:t>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kern w:val="0"/>
          <w:sz w:val="24"/>
          <w:szCs w:val="24"/>
        </w:rPr>
      </w:pPr>
      <w:r w:rsidRPr="00906D89">
        <w:rPr>
          <w:rFonts w:ascii="宋体" w:eastAsia="宋体" w:hAnsi="宋体" w:cs="宋体" w:hint="eastAsia"/>
          <w:kern w:val="0"/>
          <w:szCs w:val="21"/>
        </w:rPr>
        <w:t>整体来看，</w:t>
      </w: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年发行人主体信用等级分布呈现进一步分化趋势，一方面投机级别发行人主体数量有所增多，另一方面较高级别发行人主体信用等级出现向上迁移现象。级别稳定性基本上随信用等级的升高而增强。</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 xml:space="preserve">大跨度评级调升数量有所增加，评级准确性和稳定性有待增强 </w:t>
      </w:r>
    </w:p>
    <w:p w:rsidR="00906D89" w:rsidRPr="00906D89" w:rsidRDefault="00906D89" w:rsidP="00906D89">
      <w:pPr>
        <w:widowControl/>
        <w:spacing w:before="100" w:beforeAutospacing="1" w:after="100" w:afterAutospacing="1"/>
        <w:jc w:val="left"/>
        <w:rPr>
          <w:rFonts w:ascii="宋体" w:eastAsia="宋体" w:hAnsi="宋体" w:cs="宋体"/>
          <w:kern w:val="0"/>
          <w:szCs w:val="21"/>
        </w:rPr>
      </w:pPr>
      <w:r w:rsidRPr="00906D89">
        <w:rPr>
          <w:rFonts w:ascii="Times New Roman" w:eastAsia="宋体" w:hAnsi="Times New Roman" w:cs="Times New Roman"/>
          <w:kern w:val="0"/>
          <w:szCs w:val="21"/>
        </w:rPr>
        <w:t>2014</w:t>
      </w:r>
      <w:r w:rsidRPr="00906D89">
        <w:rPr>
          <w:rFonts w:ascii="宋体" w:eastAsia="宋体" w:hAnsi="宋体" w:cs="宋体" w:hint="eastAsia"/>
          <w:kern w:val="0"/>
          <w:szCs w:val="21"/>
        </w:rPr>
        <w:t>年共有</w:t>
      </w:r>
      <w:r w:rsidRPr="00906D89">
        <w:rPr>
          <w:rFonts w:ascii="Times New Roman" w:eastAsia="宋体" w:hAnsi="Times New Roman" w:cs="Times New Roman"/>
          <w:kern w:val="0"/>
          <w:szCs w:val="21"/>
        </w:rPr>
        <w:t>8</w:t>
      </w:r>
      <w:r w:rsidRPr="00906D89">
        <w:rPr>
          <w:rFonts w:ascii="宋体" w:eastAsia="宋体" w:hAnsi="宋体" w:cs="宋体" w:hint="eastAsia"/>
          <w:kern w:val="0"/>
          <w:szCs w:val="21"/>
        </w:rPr>
        <w:t>家发行人主体信用等级出现大跨度评级调整</w:t>
      </w:r>
      <w:r w:rsidRPr="00906D89">
        <w:rPr>
          <w:rFonts w:ascii="Times New Roman" w:eastAsia="宋体" w:hAnsi="Times New Roman" w:cs="Times New Roman"/>
          <w:kern w:val="0"/>
          <w:szCs w:val="21"/>
          <w:vertAlign w:val="superscript"/>
        </w:rPr>
        <w:t>8</w:t>
      </w:r>
      <w:r w:rsidRPr="00906D89">
        <w:rPr>
          <w:rFonts w:ascii="宋体" w:eastAsia="宋体" w:hAnsi="宋体" w:cs="宋体" w:hint="eastAsia"/>
          <w:kern w:val="0"/>
          <w:szCs w:val="21"/>
        </w:rPr>
        <w:t>（见表</w:t>
      </w:r>
      <w:r w:rsidRPr="00906D89">
        <w:rPr>
          <w:rFonts w:ascii="Times New Roman" w:eastAsia="宋体" w:hAnsi="Times New Roman" w:cs="Times New Roman"/>
          <w:kern w:val="0"/>
          <w:szCs w:val="21"/>
        </w:rPr>
        <w:t>5</w:t>
      </w:r>
      <w:r w:rsidRPr="00906D89">
        <w:rPr>
          <w:rFonts w:ascii="宋体" w:eastAsia="宋体" w:hAnsi="宋体" w:cs="宋体" w:hint="eastAsia"/>
          <w:kern w:val="0"/>
          <w:szCs w:val="21"/>
        </w:rPr>
        <w:t>），大跨度评级调整数量较</w:t>
      </w:r>
      <w:r w:rsidRPr="00906D89">
        <w:rPr>
          <w:rFonts w:ascii="Times New Roman" w:eastAsia="宋体" w:hAnsi="Times New Roman" w:cs="Times New Roman"/>
          <w:kern w:val="0"/>
          <w:szCs w:val="21"/>
        </w:rPr>
        <w:t>2013</w:t>
      </w:r>
      <w:r w:rsidRPr="00906D89">
        <w:rPr>
          <w:rFonts w:ascii="宋体" w:eastAsia="宋体" w:hAnsi="宋体" w:cs="宋体" w:hint="eastAsia"/>
          <w:kern w:val="0"/>
          <w:szCs w:val="21"/>
        </w:rPr>
        <w:t>年有所增加。发生大跨度评级调整的发行人均为投资级别大跨度下调至投机级别，反映出上述</w:t>
      </w:r>
      <w:r w:rsidRPr="00906D89">
        <w:rPr>
          <w:rFonts w:ascii="Times New Roman" w:eastAsia="宋体" w:hAnsi="Times New Roman" w:cs="Times New Roman"/>
          <w:kern w:val="0"/>
          <w:szCs w:val="21"/>
        </w:rPr>
        <w:t>8</w:t>
      </w:r>
      <w:r w:rsidRPr="00906D89">
        <w:rPr>
          <w:rFonts w:ascii="宋体" w:eastAsia="宋体" w:hAnsi="宋体" w:cs="宋体" w:hint="eastAsia"/>
          <w:kern w:val="0"/>
          <w:szCs w:val="21"/>
        </w:rPr>
        <w:t>家发行人的信用状况发生了重大变化，信用风险大幅上升，同时也反映出上述发行人主体信用评级的准确性和稳定性较差，评级调整活动不及时、不连续。</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hint="eastAsia"/>
          <w:kern w:val="0"/>
          <w:szCs w:val="21"/>
        </w:rPr>
        <w:lastRenderedPageBreak/>
        <w:t>    </w:t>
      </w:r>
      <w:r w:rsidRPr="00906D89">
        <w:rPr>
          <w:rFonts w:ascii="宋体" w:eastAsia="宋体" w:hAnsi="宋体" w:cs="宋体"/>
          <w:noProof/>
          <w:kern w:val="0"/>
          <w:szCs w:val="21"/>
        </w:rPr>
        <w:drawing>
          <wp:inline distT="0" distB="0" distL="0" distR="0">
            <wp:extent cx="4276725" cy="1809750"/>
            <wp:effectExtent l="0" t="0" r="9525" b="0"/>
            <wp:docPr id="3" name="图片 3" descr="http://lhcis.com/LHXY/wwwroot/lhxy/upload/Image/mrtp/2015/04/1_3617697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cis.com/LHXY/wwwroot/lhxy/upload/Image/mrtp/2015/04/1_36176976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809750"/>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w:t>
      </w:r>
    </w:p>
    <w:p w:rsidR="00906D89" w:rsidRPr="00906D89" w:rsidRDefault="00906D89" w:rsidP="00906D89">
      <w:pPr>
        <w:widowControl/>
        <w:spacing w:before="100" w:beforeAutospacing="1" w:after="100" w:afterAutospacing="1"/>
        <w:ind w:firstLine="420"/>
        <w:jc w:val="left"/>
        <w:rPr>
          <w:rFonts w:ascii="宋体" w:eastAsia="宋体" w:hAnsi="宋体" w:cs="宋体" w:hint="eastAsia"/>
          <w:kern w:val="0"/>
          <w:sz w:val="24"/>
          <w:szCs w:val="24"/>
        </w:rPr>
      </w:pPr>
      <w:r w:rsidRPr="00906D89">
        <w:rPr>
          <w:rFonts w:ascii="宋体" w:eastAsia="宋体" w:hAnsi="宋体" w:cs="宋体" w:hint="eastAsia"/>
          <w:kern w:val="0"/>
          <w:sz w:val="28"/>
          <w:szCs w:val="28"/>
        </w:rPr>
        <w:t>（</w:t>
      </w:r>
      <w:r w:rsidRPr="00906D89">
        <w:rPr>
          <w:rFonts w:ascii="Times New Roman" w:eastAsia="宋体" w:hAnsi="Times New Roman" w:cs="Times New Roman"/>
          <w:b/>
          <w:bCs/>
          <w:kern w:val="0"/>
          <w:szCs w:val="21"/>
        </w:rPr>
        <w:t>2</w:t>
      </w:r>
      <w:r w:rsidRPr="00906D89">
        <w:rPr>
          <w:rFonts w:ascii="宋体" w:eastAsia="宋体" w:hAnsi="宋体" w:cs="宋体" w:hint="eastAsia"/>
          <w:kern w:val="0"/>
          <w:szCs w:val="21"/>
        </w:rPr>
        <w:t xml:space="preserve">） 三年期迁移矩阵 </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从发行人主体信用等级三年期迁移矩阵来看，样本量较多的</w:t>
      </w:r>
      <w:r w:rsidRPr="00906D89">
        <w:rPr>
          <w:rFonts w:ascii="Times New Roman" w:eastAsia="宋体" w:hAnsi="Times New Roman" w:cs="Times New Roman"/>
          <w:kern w:val="0"/>
          <w:szCs w:val="21"/>
        </w:rPr>
        <w:t>A+</w:t>
      </w:r>
      <w:r w:rsidRPr="00906D89">
        <w:rPr>
          <w:rFonts w:ascii="宋体" w:eastAsia="宋体" w:hAnsi="宋体" w:cs="宋体" w:hint="eastAsia"/>
          <w:kern w:val="0"/>
          <w:szCs w:val="21"/>
        </w:rPr>
        <w:t>级及以上级别样本中，</w:t>
      </w:r>
      <w:r w:rsidRPr="00906D89">
        <w:rPr>
          <w:rFonts w:ascii="Times New Roman" w:eastAsia="宋体" w:hAnsi="Times New Roman" w:cs="Times New Roman"/>
          <w:kern w:val="0"/>
          <w:szCs w:val="21"/>
        </w:rPr>
        <w:t>AAA</w:t>
      </w:r>
      <w:r w:rsidRPr="00906D89">
        <w:rPr>
          <w:rFonts w:ascii="宋体" w:eastAsia="宋体" w:hAnsi="宋体" w:cs="宋体" w:hint="eastAsia"/>
          <w:kern w:val="0"/>
          <w:szCs w:val="21"/>
        </w:rPr>
        <w:t>级的迁移率很小（</w:t>
      </w:r>
      <w:r w:rsidRPr="00906D89">
        <w:rPr>
          <w:rFonts w:ascii="Times New Roman" w:eastAsia="宋体" w:hAnsi="Times New Roman" w:cs="Times New Roman"/>
          <w:kern w:val="0"/>
          <w:szCs w:val="21"/>
        </w:rPr>
        <w:t>0.89%</w:t>
      </w:r>
      <w:r w:rsidRPr="00906D89">
        <w:rPr>
          <w:rFonts w:ascii="宋体" w:eastAsia="宋体" w:hAnsi="宋体" w:cs="宋体" w:hint="eastAsia"/>
          <w:kern w:val="0"/>
          <w:szCs w:val="21"/>
        </w:rPr>
        <w:t>），稳定性很高，其次为</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级和</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级，迁移率分别为</w:t>
      </w:r>
      <w:r w:rsidRPr="00906D89">
        <w:rPr>
          <w:rFonts w:ascii="Times New Roman" w:eastAsia="宋体" w:hAnsi="Times New Roman" w:cs="Times New Roman"/>
          <w:kern w:val="0"/>
          <w:szCs w:val="21"/>
        </w:rPr>
        <w:t>24.50%</w:t>
      </w:r>
      <w:r w:rsidRPr="00906D89">
        <w:rPr>
          <w:rFonts w:ascii="宋体" w:eastAsia="宋体" w:hAnsi="宋体" w:cs="宋体" w:hint="eastAsia"/>
          <w:kern w:val="0"/>
          <w:szCs w:val="21"/>
        </w:rPr>
        <w:t>和</w:t>
      </w:r>
      <w:r w:rsidRPr="00906D89">
        <w:rPr>
          <w:rFonts w:ascii="Times New Roman" w:eastAsia="宋体" w:hAnsi="Times New Roman" w:cs="Times New Roman"/>
          <w:kern w:val="0"/>
          <w:szCs w:val="21"/>
        </w:rPr>
        <w:t>24.35%</w:t>
      </w:r>
      <w:r w:rsidRPr="00906D89">
        <w:rPr>
          <w:rFonts w:ascii="宋体" w:eastAsia="宋体" w:hAnsi="宋体" w:cs="宋体" w:hint="eastAsia"/>
          <w:kern w:val="0"/>
          <w:szCs w:val="21"/>
        </w:rPr>
        <w:t>，</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级和</w:t>
      </w:r>
      <w:r w:rsidRPr="00906D89">
        <w:rPr>
          <w:rFonts w:ascii="Times New Roman" w:eastAsia="宋体" w:hAnsi="Times New Roman" w:cs="Times New Roman"/>
          <w:kern w:val="0"/>
          <w:szCs w:val="21"/>
        </w:rPr>
        <w:t>A+</w:t>
      </w:r>
      <w:r w:rsidRPr="00906D89">
        <w:rPr>
          <w:rFonts w:ascii="宋体" w:eastAsia="宋体" w:hAnsi="宋体" w:cs="宋体" w:hint="eastAsia"/>
          <w:kern w:val="0"/>
          <w:szCs w:val="21"/>
        </w:rPr>
        <w:t>级的迁移率超过了</w:t>
      </w:r>
      <w:r w:rsidRPr="00906D89">
        <w:rPr>
          <w:rFonts w:ascii="Times New Roman" w:eastAsia="宋体" w:hAnsi="Times New Roman" w:cs="Times New Roman"/>
          <w:kern w:val="0"/>
          <w:szCs w:val="21"/>
        </w:rPr>
        <w:t>50%</w:t>
      </w:r>
      <w:r w:rsidRPr="00906D89">
        <w:rPr>
          <w:rFonts w:ascii="宋体" w:eastAsia="宋体" w:hAnsi="宋体" w:cs="宋体" w:hint="eastAsia"/>
          <w:kern w:val="0"/>
          <w:szCs w:val="21"/>
        </w:rPr>
        <w:t>，稳定性较差；从迁移方向看，各信用等级上调趋势明显；从迁移范围看，</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级和</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级的迁移范围均在</w:t>
      </w:r>
      <w:r w:rsidRPr="00906D89">
        <w:rPr>
          <w:rFonts w:ascii="Times New Roman" w:eastAsia="宋体" w:hAnsi="Times New Roman" w:cs="Times New Roman"/>
          <w:kern w:val="0"/>
          <w:szCs w:val="21"/>
        </w:rPr>
        <w:t>5</w:t>
      </w:r>
      <w:proofErr w:type="gramStart"/>
      <w:r w:rsidRPr="00906D89">
        <w:rPr>
          <w:rFonts w:ascii="宋体" w:eastAsia="宋体" w:hAnsi="宋体" w:cs="宋体" w:hint="eastAsia"/>
          <w:kern w:val="0"/>
          <w:szCs w:val="21"/>
        </w:rPr>
        <w:t>个子级</w:t>
      </w:r>
      <w:proofErr w:type="gramEnd"/>
      <w:r w:rsidRPr="00906D89">
        <w:rPr>
          <w:rFonts w:ascii="宋体" w:eastAsia="宋体" w:hAnsi="宋体" w:cs="宋体" w:hint="eastAsia"/>
          <w:kern w:val="0"/>
          <w:szCs w:val="21"/>
        </w:rPr>
        <w:t>或以上，迁移范围较宽，</w:t>
      </w:r>
      <w:r w:rsidRPr="00906D89">
        <w:rPr>
          <w:rFonts w:ascii="Times New Roman" w:eastAsia="宋体" w:hAnsi="Times New Roman" w:cs="Times New Roman"/>
          <w:kern w:val="0"/>
          <w:szCs w:val="21"/>
        </w:rPr>
        <w:t>AA+</w:t>
      </w:r>
      <w:r w:rsidRPr="00906D89">
        <w:rPr>
          <w:rFonts w:ascii="宋体" w:eastAsia="宋体" w:hAnsi="宋体" w:cs="宋体" w:hint="eastAsia"/>
          <w:kern w:val="0"/>
          <w:szCs w:val="21"/>
        </w:rPr>
        <w:t>级和</w:t>
      </w:r>
      <w:r w:rsidRPr="00906D89">
        <w:rPr>
          <w:rFonts w:ascii="Times New Roman" w:eastAsia="宋体" w:hAnsi="Times New Roman" w:cs="Times New Roman"/>
          <w:kern w:val="0"/>
          <w:szCs w:val="21"/>
        </w:rPr>
        <w:t>AA</w:t>
      </w:r>
      <w:proofErr w:type="gramStart"/>
      <w:r w:rsidRPr="00906D89">
        <w:rPr>
          <w:rFonts w:ascii="宋体" w:eastAsia="宋体" w:hAnsi="宋体" w:cs="宋体" w:hint="eastAsia"/>
          <w:kern w:val="0"/>
          <w:szCs w:val="21"/>
        </w:rPr>
        <w:t>级出现</w:t>
      </w:r>
      <w:proofErr w:type="gramEnd"/>
      <w:r w:rsidRPr="00906D89">
        <w:rPr>
          <w:rFonts w:ascii="宋体" w:eastAsia="宋体" w:hAnsi="宋体" w:cs="宋体" w:hint="eastAsia"/>
          <w:kern w:val="0"/>
          <w:szCs w:val="21"/>
        </w:rPr>
        <w:t xml:space="preserve">调整至投机级的现象。 </w:t>
      </w:r>
    </w:p>
    <w:p w:rsidR="00906D89" w:rsidRPr="00906D89" w:rsidRDefault="00906D89" w:rsidP="00906D89">
      <w:pPr>
        <w:widowControl/>
        <w:spacing w:before="100" w:beforeAutospacing="1" w:after="100" w:afterAutospacing="1"/>
        <w:ind w:firstLine="560"/>
        <w:jc w:val="left"/>
        <w:rPr>
          <w:rFonts w:ascii="宋体" w:eastAsia="宋体" w:hAnsi="宋体" w:cs="宋体"/>
          <w:kern w:val="0"/>
          <w:sz w:val="24"/>
          <w:szCs w:val="24"/>
        </w:rPr>
      </w:pPr>
      <w:r w:rsidRPr="00906D89">
        <w:rPr>
          <w:rFonts w:ascii="宋体" w:eastAsia="宋体" w:hAnsi="宋体" w:cs="宋体" w:hint="eastAsia"/>
          <w:kern w:val="0"/>
          <w:szCs w:val="21"/>
        </w:rPr>
        <w:t xml:space="preserve">总的来看，近三年来，发行人主体信用等级呈现出明显的调升态势，在中国宏观经济下行之际，发行人主体信用等级持续出现逆周期调整现象，值得关注。虽然整体上较高级别的稳定性明显高于较低等级，但随着市场信用风险逐步暴露，投资级别大跨度评级调整现象逐渐增加，评级准确性和稳定性面临考验。评级机构在信用政策制定上应更加谨慎。 </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hint="eastAsia"/>
          <w:kern w:val="0"/>
          <w:szCs w:val="21"/>
        </w:rPr>
        <w:t>三、信用展望</w:t>
      </w:r>
    </w:p>
    <w:p w:rsidR="00906D89" w:rsidRPr="00906D89" w:rsidRDefault="00906D89" w:rsidP="00906D89">
      <w:pPr>
        <w:widowControl/>
        <w:spacing w:before="100" w:beforeAutospacing="1" w:after="100" w:afterAutospacing="1"/>
        <w:ind w:firstLineChars="200" w:firstLine="420"/>
        <w:jc w:val="left"/>
        <w:rPr>
          <w:rFonts w:ascii="宋体" w:eastAsia="宋体" w:hAnsi="宋体" w:cs="宋体"/>
          <w:kern w:val="0"/>
          <w:szCs w:val="21"/>
        </w:rPr>
      </w:pPr>
      <w:r w:rsidRPr="00906D89">
        <w:rPr>
          <w:rFonts w:ascii="宋体" w:eastAsia="宋体" w:hAnsi="宋体" w:cs="宋体" w:hint="eastAsia"/>
          <w:kern w:val="0"/>
          <w:szCs w:val="21"/>
        </w:rPr>
        <w:t>展望2015年，中国经济仍然面临着较大的下行压力，国内总需求短期内无法改善，产能过剩问题依旧严峻。随着经济改革的推进和结构调整的深化，机械制造、煤炭、金属等产能过剩行业会逐步释放信用风险，尤其是民营企业。中小企业由于抗风险能力较弱，面临较大的经营风险，仍将成为发生信用风险事件的主要主体，中小企业集合票据、集合债券以及中小企业私募债券的信用风险将有所上升。此外，未来未被纳入政府性债务的</w:t>
      </w:r>
      <w:proofErr w:type="gramStart"/>
      <w:r w:rsidRPr="00906D89">
        <w:rPr>
          <w:rFonts w:ascii="宋体" w:eastAsia="宋体" w:hAnsi="宋体" w:cs="宋体" w:hint="eastAsia"/>
          <w:kern w:val="0"/>
          <w:szCs w:val="21"/>
        </w:rPr>
        <w:t>城投类债券</w:t>
      </w:r>
      <w:proofErr w:type="gramEnd"/>
      <w:r w:rsidRPr="00906D89">
        <w:rPr>
          <w:rFonts w:ascii="宋体" w:eastAsia="宋体" w:hAnsi="宋体" w:cs="宋体" w:hint="eastAsia"/>
          <w:kern w:val="0"/>
          <w:szCs w:val="21"/>
        </w:rPr>
        <w:t>在失去政府的隐形背书后可能会暴露出一定的信用风险。整体看，2015年我国债券市场信用风险预期有所加大，违约事件暴露将逐步常态化。在此背景下，评级机构的信用政策应更趋谨慎，评级下调力度或有所加大，特别是上述类型企业发行人或将成为评级下调的对象，投资者应当保持一定的警惕和关注。</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作者：联</w:t>
      </w:r>
      <w:proofErr w:type="gramStart"/>
      <w:r w:rsidRPr="00906D89">
        <w:rPr>
          <w:rFonts w:ascii="宋体" w:eastAsia="宋体" w:hAnsi="宋体" w:cs="宋体" w:hint="eastAsia"/>
          <w:kern w:val="0"/>
          <w:szCs w:val="21"/>
        </w:rPr>
        <w:t>合资信</w:t>
      </w:r>
      <w:proofErr w:type="gramEnd"/>
      <w:r w:rsidRPr="00906D89">
        <w:rPr>
          <w:rFonts w:ascii="宋体" w:eastAsia="宋体" w:hAnsi="宋体" w:cs="宋体" w:hint="eastAsia"/>
          <w:kern w:val="0"/>
          <w:szCs w:val="21"/>
        </w:rPr>
        <w:t xml:space="preserve">评估有限公司 </w:t>
      </w:r>
      <w:proofErr w:type="gramStart"/>
      <w:r w:rsidRPr="00906D89">
        <w:rPr>
          <w:rFonts w:ascii="宋体" w:eastAsia="宋体" w:hAnsi="宋体" w:cs="宋体" w:hint="eastAsia"/>
          <w:kern w:val="0"/>
          <w:szCs w:val="21"/>
        </w:rPr>
        <w:t>聂</w:t>
      </w:r>
      <w:proofErr w:type="gramEnd"/>
      <w:r w:rsidRPr="00906D89">
        <w:rPr>
          <w:rFonts w:ascii="宋体" w:eastAsia="宋体" w:hAnsi="宋体" w:cs="宋体" w:hint="eastAsia"/>
          <w:kern w:val="0"/>
          <w:szCs w:val="21"/>
        </w:rPr>
        <w:t>逆 王柠 林青</w:t>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t> </w:t>
      </w:r>
    </w:p>
    <w:p w:rsidR="00906D89" w:rsidRPr="00906D89" w:rsidRDefault="00906D89" w:rsidP="00906D89">
      <w:pPr>
        <w:widowControl/>
        <w:spacing w:before="100" w:beforeAutospacing="1" w:after="100" w:afterAutospacing="1"/>
        <w:jc w:val="left"/>
        <w:rPr>
          <w:rFonts w:ascii="宋体" w:eastAsia="宋体" w:hAnsi="宋体" w:cs="宋体" w:hint="eastAsia"/>
          <w:kern w:val="0"/>
          <w:sz w:val="24"/>
          <w:szCs w:val="24"/>
        </w:rPr>
      </w:pPr>
      <w:r w:rsidRPr="00906D89">
        <w:rPr>
          <w:rFonts w:ascii="宋体" w:eastAsia="宋体" w:hAnsi="宋体" w:cs="宋体"/>
          <w:kern w:val="0"/>
          <w:sz w:val="24"/>
          <w:szCs w:val="24"/>
          <w:vertAlign w:val="superscript"/>
        </w:rPr>
        <w:t> </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kern w:val="0"/>
          <w:sz w:val="24"/>
          <w:szCs w:val="24"/>
          <w:vertAlign w:val="superscript"/>
        </w:rPr>
        <w:lastRenderedPageBreak/>
        <w:t xml:space="preserve">1 </w:t>
      </w:r>
      <w:r w:rsidRPr="00906D89">
        <w:rPr>
          <w:rFonts w:ascii="宋体" w:hAnsi="宋体" w:cs="宋体" w:hint="eastAsia"/>
          <w:kern w:val="0"/>
          <w:sz w:val="24"/>
          <w:szCs w:val="21"/>
        </w:rPr>
        <w:t>债券统计样本为当年年初</w:t>
      </w:r>
      <w:proofErr w:type="gramStart"/>
      <w:r w:rsidRPr="00906D89">
        <w:rPr>
          <w:rFonts w:ascii="宋体" w:hAnsi="宋体" w:cs="宋体" w:hint="eastAsia"/>
          <w:kern w:val="0"/>
          <w:sz w:val="24"/>
          <w:szCs w:val="21"/>
        </w:rPr>
        <w:t>存续且</w:t>
      </w:r>
      <w:proofErr w:type="gramEnd"/>
      <w:r w:rsidRPr="00906D89">
        <w:rPr>
          <w:rFonts w:ascii="宋体" w:hAnsi="宋体" w:cs="宋体" w:hint="eastAsia"/>
          <w:kern w:val="0"/>
          <w:sz w:val="24"/>
          <w:szCs w:val="21"/>
        </w:rPr>
        <w:t>具有债项信用级别的短期融资</w:t>
      </w:r>
      <w:proofErr w:type="gramStart"/>
      <w:r w:rsidRPr="00906D89">
        <w:rPr>
          <w:rFonts w:ascii="宋体" w:hAnsi="宋体" w:cs="宋体" w:hint="eastAsia"/>
          <w:kern w:val="0"/>
          <w:sz w:val="24"/>
          <w:szCs w:val="21"/>
        </w:rPr>
        <w:t>券</w:t>
      </w:r>
      <w:proofErr w:type="gramEnd"/>
      <w:r w:rsidRPr="00906D89">
        <w:rPr>
          <w:rFonts w:ascii="宋体" w:hAnsi="宋体" w:cs="宋体" w:hint="eastAsia"/>
          <w:kern w:val="0"/>
          <w:sz w:val="24"/>
          <w:szCs w:val="21"/>
        </w:rPr>
        <w:t>、中期票据、企业债券、公司债券、非政策性金融债券、中小企业集合债券和集合票据以及资产支持证券，不包含私募债券；债券违约率</w:t>
      </w:r>
      <w:r w:rsidRPr="00906D89">
        <w:rPr>
          <w:rFonts w:ascii="宋体" w:eastAsia="宋体" w:hAnsi="宋体" w:cs="宋体"/>
          <w:kern w:val="0"/>
          <w:sz w:val="24"/>
          <w:szCs w:val="24"/>
        </w:rPr>
        <w:t xml:space="preserve">= </w:t>
      </w:r>
      <w:r w:rsidRPr="00906D89">
        <w:rPr>
          <w:rFonts w:ascii="宋体" w:hAnsi="宋体" w:cs="宋体" w:hint="eastAsia"/>
          <w:kern w:val="0"/>
          <w:sz w:val="24"/>
          <w:szCs w:val="21"/>
        </w:rPr>
        <w:t>当年发生违约的债券期数</w:t>
      </w:r>
      <w:r w:rsidRPr="00906D89">
        <w:rPr>
          <w:rFonts w:ascii="宋体" w:eastAsia="宋体" w:hAnsi="宋体" w:cs="宋体"/>
          <w:kern w:val="0"/>
          <w:sz w:val="24"/>
          <w:szCs w:val="24"/>
        </w:rPr>
        <w:t xml:space="preserve">/ </w:t>
      </w:r>
      <w:r w:rsidRPr="00906D89">
        <w:rPr>
          <w:rFonts w:ascii="宋体" w:hAnsi="宋体" w:cs="宋体" w:hint="eastAsia"/>
          <w:kern w:val="0"/>
          <w:sz w:val="24"/>
          <w:szCs w:val="21"/>
        </w:rPr>
        <w:t>期初债券期数。</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kern w:val="0"/>
          <w:sz w:val="24"/>
          <w:szCs w:val="24"/>
          <w:vertAlign w:val="superscript"/>
        </w:rPr>
        <w:t xml:space="preserve">2 </w:t>
      </w:r>
      <w:r w:rsidRPr="00906D89">
        <w:rPr>
          <w:rFonts w:ascii="宋体" w:hAnsi="宋体" w:cs="宋体" w:hint="eastAsia"/>
          <w:kern w:val="0"/>
          <w:sz w:val="24"/>
          <w:szCs w:val="21"/>
        </w:rPr>
        <w:t>发行人主体违约定义参见《</w:t>
      </w:r>
      <w:r w:rsidRPr="00906D89">
        <w:rPr>
          <w:rFonts w:ascii="宋体" w:eastAsia="宋体" w:hAnsi="宋体" w:cs="宋体"/>
          <w:kern w:val="0"/>
          <w:sz w:val="24"/>
          <w:szCs w:val="24"/>
        </w:rPr>
        <w:t>2012</w:t>
      </w:r>
      <w:r w:rsidRPr="00906D89">
        <w:rPr>
          <w:rFonts w:ascii="宋体" w:hAnsi="宋体" w:cs="宋体" w:hint="eastAsia"/>
          <w:kern w:val="0"/>
          <w:sz w:val="24"/>
          <w:szCs w:val="21"/>
        </w:rPr>
        <w:t>年我国债券市场违约率统计分析报告》。</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kern w:val="0"/>
          <w:sz w:val="24"/>
          <w:szCs w:val="24"/>
          <w:vertAlign w:val="superscript"/>
        </w:rPr>
        <w:t xml:space="preserve">3 </w:t>
      </w:r>
      <w:r w:rsidRPr="00906D89">
        <w:rPr>
          <w:rFonts w:ascii="宋体" w:eastAsia="宋体" w:hAnsi="宋体" w:cs="宋体" w:hint="eastAsia"/>
          <w:kern w:val="0"/>
          <w:sz w:val="24"/>
          <w:szCs w:val="24"/>
        </w:rPr>
        <w:t>由于中小企业私募债券公开披露信息较少，可能存在违约率统计有所偏差的情况。</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Times New Roman" w:eastAsia="宋体" w:hAnsi="Times New Roman" w:cs="Times New Roman"/>
          <w:kern w:val="0"/>
          <w:sz w:val="24"/>
          <w:szCs w:val="24"/>
          <w:vertAlign w:val="superscript"/>
        </w:rPr>
        <w:t xml:space="preserve">4 </w:t>
      </w:r>
      <w:r w:rsidRPr="00906D89">
        <w:rPr>
          <w:rFonts w:ascii="Times New Roman" w:eastAsia="宋体" w:hAnsi="Times New Roman" w:cs="Times New Roman"/>
          <w:kern w:val="0"/>
          <w:sz w:val="24"/>
          <w:szCs w:val="24"/>
        </w:rPr>
        <w:t>2014</w:t>
      </w:r>
      <w:r w:rsidRPr="00906D89">
        <w:rPr>
          <w:rFonts w:ascii="宋体" w:eastAsia="宋体" w:hAnsi="宋体" w:cs="宋体" w:hint="eastAsia"/>
          <w:kern w:val="0"/>
          <w:sz w:val="24"/>
          <w:szCs w:val="24"/>
        </w:rPr>
        <w:t>年初共有</w:t>
      </w:r>
      <w:r w:rsidRPr="00906D89">
        <w:rPr>
          <w:rFonts w:ascii="Times New Roman" w:eastAsia="宋体" w:hAnsi="Times New Roman" w:cs="Times New Roman"/>
          <w:kern w:val="0"/>
          <w:sz w:val="24"/>
          <w:szCs w:val="24"/>
        </w:rPr>
        <w:t>294</w:t>
      </w:r>
      <w:r w:rsidRPr="00906D89">
        <w:rPr>
          <w:rFonts w:ascii="宋体" w:eastAsia="宋体" w:hAnsi="宋体" w:cs="宋体" w:hint="eastAsia"/>
          <w:kern w:val="0"/>
          <w:sz w:val="24"/>
          <w:szCs w:val="24"/>
        </w:rPr>
        <w:t>只中小企业私募债券存续，共计</w:t>
      </w:r>
      <w:r w:rsidRPr="00906D89">
        <w:rPr>
          <w:rFonts w:ascii="Times New Roman" w:eastAsia="宋体" w:hAnsi="Times New Roman" w:cs="Times New Roman"/>
          <w:kern w:val="0"/>
          <w:sz w:val="24"/>
          <w:szCs w:val="24"/>
        </w:rPr>
        <w:t>257</w:t>
      </w:r>
      <w:r w:rsidRPr="00906D89">
        <w:rPr>
          <w:rFonts w:ascii="宋体" w:eastAsia="宋体" w:hAnsi="宋体" w:cs="宋体" w:hint="eastAsia"/>
          <w:kern w:val="0"/>
          <w:sz w:val="24"/>
          <w:szCs w:val="24"/>
        </w:rPr>
        <w:t>家发行人。</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kern w:val="0"/>
          <w:sz w:val="24"/>
          <w:szCs w:val="24"/>
          <w:vertAlign w:val="superscript"/>
        </w:rPr>
        <w:t>5</w:t>
      </w:r>
      <w:r w:rsidRPr="00906D89">
        <w:rPr>
          <w:rFonts w:ascii="宋体" w:eastAsia="宋体" w:hAnsi="宋体" w:cs="宋体"/>
          <w:kern w:val="0"/>
          <w:sz w:val="24"/>
          <w:szCs w:val="24"/>
        </w:rPr>
        <w:t xml:space="preserve"> </w:t>
      </w:r>
      <w:r w:rsidRPr="00906D89">
        <w:rPr>
          <w:rFonts w:ascii="宋体" w:eastAsia="宋体" w:hAnsi="宋体" w:cs="宋体" w:hint="eastAsia"/>
          <w:kern w:val="0"/>
          <w:sz w:val="24"/>
          <w:szCs w:val="24"/>
        </w:rPr>
        <w:t>信用等级迁移统计样本与公</w:t>
      </w:r>
      <w:proofErr w:type="gramStart"/>
      <w:r w:rsidRPr="00906D89">
        <w:rPr>
          <w:rFonts w:ascii="宋体" w:eastAsia="宋体" w:hAnsi="宋体" w:cs="宋体" w:hint="eastAsia"/>
          <w:kern w:val="0"/>
          <w:sz w:val="24"/>
          <w:szCs w:val="24"/>
        </w:rPr>
        <w:t>募市场</w:t>
      </w:r>
      <w:proofErr w:type="gramEnd"/>
      <w:r w:rsidRPr="00906D89">
        <w:rPr>
          <w:rFonts w:ascii="宋体" w:eastAsia="宋体" w:hAnsi="宋体" w:cs="宋体" w:hint="eastAsia"/>
          <w:kern w:val="0"/>
          <w:sz w:val="24"/>
          <w:szCs w:val="24"/>
        </w:rPr>
        <w:t>债券发行人主体违约率统计样本相同，统计口径按评级公司公布的评级公告统计。</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kern w:val="0"/>
          <w:sz w:val="24"/>
          <w:szCs w:val="24"/>
          <w:vertAlign w:val="superscript"/>
        </w:rPr>
        <w:t>6</w:t>
      </w:r>
      <w:r w:rsidRPr="00906D89">
        <w:rPr>
          <w:rFonts w:ascii="宋体" w:eastAsia="宋体" w:hAnsi="宋体" w:cs="宋体" w:hint="eastAsia"/>
          <w:kern w:val="0"/>
          <w:sz w:val="24"/>
          <w:szCs w:val="24"/>
        </w:rPr>
        <w:t>“观望”是上海新世纪资信评估投资服务有限公司的评级展望类型，指依据现有信息，主体信用级别既有可能调升也有可能调降。</w:t>
      </w:r>
    </w:p>
    <w:p w:rsidR="00906D89" w:rsidRPr="00906D89" w:rsidRDefault="00906D89" w:rsidP="00906D89">
      <w:pPr>
        <w:widowControl/>
        <w:spacing w:before="100" w:beforeAutospacing="1" w:after="100" w:afterAutospacing="1"/>
        <w:jc w:val="left"/>
        <w:rPr>
          <w:rFonts w:ascii="宋体" w:eastAsia="宋体" w:hAnsi="宋体" w:cs="宋体"/>
          <w:kern w:val="0"/>
          <w:sz w:val="24"/>
          <w:szCs w:val="24"/>
        </w:rPr>
      </w:pPr>
      <w:r w:rsidRPr="00906D89">
        <w:rPr>
          <w:rFonts w:ascii="宋体" w:eastAsia="宋体" w:hAnsi="宋体" w:cs="宋体"/>
          <w:kern w:val="0"/>
          <w:sz w:val="24"/>
          <w:szCs w:val="24"/>
          <w:vertAlign w:val="superscript"/>
        </w:rPr>
        <w:t xml:space="preserve">7 </w:t>
      </w:r>
      <w:r w:rsidRPr="00906D89">
        <w:rPr>
          <w:rFonts w:ascii="宋体" w:hAnsi="宋体" w:cs="宋体" w:hint="eastAsia"/>
          <w:kern w:val="0"/>
          <w:sz w:val="24"/>
          <w:szCs w:val="21"/>
        </w:rPr>
        <w:t>信用等级迁移矩阵的计算方法采用</w:t>
      </w:r>
      <w:r w:rsidRPr="00906D89">
        <w:rPr>
          <w:rFonts w:ascii="宋体" w:eastAsia="宋体" w:hAnsi="宋体" w:cs="宋体"/>
          <w:kern w:val="0"/>
          <w:sz w:val="24"/>
          <w:szCs w:val="24"/>
        </w:rPr>
        <w:t>Cohort</w:t>
      </w:r>
      <w:r w:rsidRPr="00906D89">
        <w:rPr>
          <w:rFonts w:ascii="宋体" w:hAnsi="宋体" w:cs="宋体" w:hint="eastAsia"/>
          <w:kern w:val="0"/>
          <w:sz w:val="24"/>
          <w:szCs w:val="21"/>
        </w:rPr>
        <w:t>法，即只对期初和期末均有效的发行人主体信用等级从期初到期末的变动情况进行统计，不包括期间新发债券和债券在期间到期的发行主体的级别统计，亦不考虑期间等级多调和等级回调的情况；发行人主体信用等级的有效期限我们视为等同于其所发债券的有效期限。一年期和三年期迁移矩阵计算结果见附录。</w:t>
      </w:r>
    </w:p>
    <w:p w:rsidR="00906D89" w:rsidRPr="00906D89" w:rsidRDefault="00906D89" w:rsidP="00906D89">
      <w:pPr>
        <w:widowControl/>
        <w:spacing w:before="100" w:beforeAutospacing="1" w:after="100" w:afterAutospacing="1"/>
        <w:jc w:val="left"/>
        <w:rPr>
          <w:rFonts w:ascii="宋体" w:eastAsia="宋体" w:hAnsi="宋体" w:cs="宋体"/>
          <w:kern w:val="0"/>
          <w:szCs w:val="21"/>
        </w:rPr>
      </w:pPr>
      <w:r w:rsidRPr="00906D89">
        <w:rPr>
          <w:rFonts w:ascii="宋体" w:eastAsia="宋体" w:hAnsi="宋体" w:cs="宋体" w:hint="eastAsia"/>
          <w:kern w:val="0"/>
          <w:szCs w:val="21"/>
          <w:vertAlign w:val="superscript"/>
        </w:rPr>
        <w:t xml:space="preserve">8 </w:t>
      </w:r>
      <w:r w:rsidRPr="00906D89">
        <w:rPr>
          <w:rFonts w:ascii="宋体" w:hAnsi="宋体" w:cs="宋体" w:hint="eastAsia"/>
          <w:kern w:val="0"/>
          <w:szCs w:val="21"/>
        </w:rPr>
        <w:t>大跨度评级调整指在统计期内（通常为一年）评级调整不连续，发生间隔三个或三个</w:t>
      </w:r>
      <w:proofErr w:type="gramStart"/>
      <w:r w:rsidRPr="00906D89">
        <w:rPr>
          <w:rFonts w:ascii="宋体" w:hAnsi="宋体" w:cs="宋体" w:hint="eastAsia"/>
          <w:kern w:val="0"/>
          <w:szCs w:val="21"/>
        </w:rPr>
        <w:t>以上子</w:t>
      </w:r>
      <w:proofErr w:type="gramEnd"/>
      <w:r w:rsidRPr="00906D89">
        <w:rPr>
          <w:rFonts w:ascii="宋体" w:hAnsi="宋体" w:cs="宋体" w:hint="eastAsia"/>
          <w:kern w:val="0"/>
          <w:szCs w:val="21"/>
        </w:rPr>
        <w:t>级调整。如：企业</w:t>
      </w:r>
      <w:r w:rsidRPr="00906D89">
        <w:rPr>
          <w:rFonts w:ascii="宋体" w:eastAsia="宋体" w:hAnsi="宋体" w:cs="宋体" w:hint="eastAsia"/>
          <w:kern w:val="0"/>
          <w:szCs w:val="21"/>
        </w:rPr>
        <w:t>E</w:t>
      </w:r>
      <w:r w:rsidRPr="00906D89">
        <w:rPr>
          <w:rFonts w:ascii="宋体" w:hAnsi="宋体" w:cs="宋体" w:hint="eastAsia"/>
          <w:kern w:val="0"/>
          <w:szCs w:val="21"/>
        </w:rPr>
        <w:t>在时间</w:t>
      </w:r>
      <w:r w:rsidRPr="00906D89">
        <w:rPr>
          <w:rFonts w:ascii="宋体" w:eastAsia="宋体" w:hAnsi="宋体" w:cs="宋体" w:hint="eastAsia"/>
          <w:kern w:val="0"/>
          <w:szCs w:val="21"/>
        </w:rPr>
        <w:t>t</w:t>
      </w:r>
      <w:r w:rsidRPr="00906D89">
        <w:rPr>
          <w:rFonts w:ascii="宋体" w:hAnsi="宋体" w:cs="宋体" w:hint="eastAsia"/>
          <w:kern w:val="0"/>
          <w:szCs w:val="21"/>
        </w:rPr>
        <w:t>的信用评级为</w:t>
      </w:r>
      <w:r w:rsidRPr="00906D89">
        <w:rPr>
          <w:rFonts w:ascii="宋体" w:eastAsia="宋体" w:hAnsi="宋体" w:cs="宋体" w:hint="eastAsia"/>
          <w:kern w:val="0"/>
          <w:szCs w:val="21"/>
        </w:rPr>
        <w:t>AA</w:t>
      </w:r>
      <w:r w:rsidRPr="00906D89">
        <w:rPr>
          <w:rFonts w:ascii="宋体" w:hAnsi="宋体" w:cs="宋体" w:hint="eastAsia"/>
          <w:kern w:val="0"/>
          <w:szCs w:val="21"/>
        </w:rPr>
        <w:t>，在时间</w:t>
      </w:r>
      <w:r w:rsidRPr="00906D89">
        <w:rPr>
          <w:rFonts w:ascii="宋体" w:eastAsia="宋体" w:hAnsi="宋体" w:cs="宋体" w:hint="eastAsia"/>
          <w:kern w:val="0"/>
          <w:szCs w:val="21"/>
        </w:rPr>
        <w:t>t+1</w:t>
      </w:r>
      <w:r w:rsidRPr="00906D89">
        <w:rPr>
          <w:rFonts w:ascii="宋体" w:hAnsi="宋体" w:cs="宋体" w:hint="eastAsia"/>
          <w:kern w:val="0"/>
          <w:szCs w:val="21"/>
        </w:rPr>
        <w:t>时的评级下调至</w:t>
      </w:r>
      <w:r w:rsidRPr="00906D89">
        <w:rPr>
          <w:rFonts w:ascii="宋体" w:eastAsia="宋体" w:hAnsi="宋体" w:cs="宋体" w:hint="eastAsia"/>
          <w:kern w:val="0"/>
          <w:szCs w:val="21"/>
        </w:rPr>
        <w:t>A-</w:t>
      </w:r>
      <w:r w:rsidRPr="00906D89">
        <w:rPr>
          <w:rFonts w:ascii="宋体" w:hAnsi="宋体" w:cs="宋体" w:hint="eastAsia"/>
          <w:kern w:val="0"/>
          <w:szCs w:val="21"/>
        </w:rPr>
        <w:t>，信用等级调整未经过</w:t>
      </w:r>
      <w:r w:rsidRPr="00906D89">
        <w:rPr>
          <w:rFonts w:ascii="宋体" w:eastAsia="宋体" w:hAnsi="宋体" w:cs="宋体" w:hint="eastAsia"/>
          <w:kern w:val="0"/>
          <w:szCs w:val="21"/>
        </w:rPr>
        <w:t>AA-</w:t>
      </w:r>
      <w:r w:rsidRPr="00906D89">
        <w:rPr>
          <w:rFonts w:ascii="宋体" w:hAnsi="宋体" w:cs="宋体" w:hint="eastAsia"/>
          <w:kern w:val="0"/>
          <w:szCs w:val="21"/>
        </w:rPr>
        <w:t>、</w:t>
      </w:r>
      <w:r w:rsidRPr="00906D89">
        <w:rPr>
          <w:rFonts w:ascii="宋体" w:eastAsia="宋体" w:hAnsi="宋体" w:cs="宋体" w:hint="eastAsia"/>
          <w:kern w:val="0"/>
          <w:szCs w:val="21"/>
        </w:rPr>
        <w:t>A+</w:t>
      </w:r>
      <w:r w:rsidRPr="00906D89">
        <w:rPr>
          <w:rFonts w:ascii="宋体" w:hAnsi="宋体" w:cs="宋体" w:hint="eastAsia"/>
          <w:kern w:val="0"/>
          <w:szCs w:val="21"/>
        </w:rPr>
        <w:t>和</w:t>
      </w:r>
      <w:r w:rsidRPr="00906D89">
        <w:rPr>
          <w:rFonts w:ascii="宋体" w:eastAsia="宋体" w:hAnsi="宋体" w:cs="宋体" w:hint="eastAsia"/>
          <w:kern w:val="0"/>
          <w:szCs w:val="21"/>
        </w:rPr>
        <w:t>A</w:t>
      </w:r>
      <w:r w:rsidRPr="00906D89">
        <w:rPr>
          <w:rFonts w:ascii="宋体" w:hAnsi="宋体" w:cs="宋体" w:hint="eastAsia"/>
          <w:kern w:val="0"/>
          <w:szCs w:val="21"/>
        </w:rPr>
        <w:t>，评级调整发生大跨度改变。</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noProof/>
          <w:kern w:val="0"/>
          <w:szCs w:val="21"/>
        </w:rPr>
        <w:drawing>
          <wp:inline distT="0" distB="0" distL="0" distR="0">
            <wp:extent cx="4286250" cy="3371850"/>
            <wp:effectExtent l="0" t="0" r="0" b="0"/>
            <wp:docPr id="2" name="图片 2" descr="http://lhcis.com/LHXY/wwwroot/lhxy/upload/Image/mrtp/2015/04/1_3617703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cis.com/LHXY/wwwroot/lhxy/upload/Image/mrtp/2015/04/1_36177033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371850"/>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left"/>
        <w:rPr>
          <w:rFonts w:ascii="宋体" w:eastAsia="宋体" w:hAnsi="宋体" w:cs="宋体" w:hint="eastAsia"/>
          <w:kern w:val="0"/>
          <w:szCs w:val="21"/>
        </w:rPr>
      </w:pPr>
      <w:r w:rsidRPr="00906D89">
        <w:rPr>
          <w:rFonts w:ascii="宋体" w:eastAsia="宋体" w:hAnsi="宋体" w:cs="宋体" w:hint="eastAsia"/>
          <w:kern w:val="0"/>
          <w:szCs w:val="21"/>
        </w:rPr>
        <w:lastRenderedPageBreak/>
        <w:t> </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noProof/>
          <w:kern w:val="0"/>
          <w:szCs w:val="21"/>
        </w:rPr>
        <w:drawing>
          <wp:inline distT="0" distB="0" distL="0" distR="0">
            <wp:extent cx="4286250" cy="2562225"/>
            <wp:effectExtent l="0" t="0" r="0" b="9525"/>
            <wp:docPr id="1" name="图片 1" descr="http://lhcis.com/LHXY/wwwroot/lhxy/upload/Image/mrtp/2015/04/1_3617715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hcis.com/LHXY/wwwroot/lhxy/upload/Image/mrtp/2015/04/1_36177157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562225"/>
                    </a:xfrm>
                    <a:prstGeom prst="rect">
                      <a:avLst/>
                    </a:prstGeom>
                    <a:noFill/>
                    <a:ln>
                      <a:noFill/>
                    </a:ln>
                  </pic:spPr>
                </pic:pic>
              </a:graphicData>
            </a:graphic>
          </wp:inline>
        </w:drawing>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hint="eastAsia"/>
          <w:kern w:val="0"/>
          <w:szCs w:val="21"/>
        </w:rPr>
        <w:t> </w:t>
      </w:r>
    </w:p>
    <w:p w:rsidR="00906D89" w:rsidRPr="00906D89" w:rsidRDefault="00906D89" w:rsidP="00906D89">
      <w:pPr>
        <w:widowControl/>
        <w:spacing w:before="100" w:beforeAutospacing="1" w:after="100" w:afterAutospacing="1"/>
        <w:jc w:val="center"/>
        <w:rPr>
          <w:rFonts w:ascii="宋体" w:eastAsia="宋体" w:hAnsi="宋体" w:cs="宋体" w:hint="eastAsia"/>
          <w:kern w:val="0"/>
          <w:szCs w:val="21"/>
        </w:rPr>
      </w:pPr>
      <w:r w:rsidRPr="00906D89">
        <w:rPr>
          <w:rFonts w:ascii="宋体" w:eastAsia="宋体" w:hAnsi="宋体" w:cs="宋体" w:hint="eastAsia"/>
          <w:kern w:val="0"/>
          <w:szCs w:val="21"/>
        </w:rPr>
        <w:t> </w:t>
      </w:r>
    </w:p>
    <w:p w:rsidR="00180A7E" w:rsidRPr="00906D89" w:rsidRDefault="00180A7E" w:rsidP="00906D89"/>
    <w:sectPr w:rsidR="00180A7E" w:rsidRPr="00906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89"/>
    <w:rsid w:val="00180A7E"/>
    <w:rsid w:val="0090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25BB2-A17F-4F7D-A93D-665E464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D8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906D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XueYuan</dc:creator>
  <cp:keywords/>
  <dc:description/>
  <cp:lastModifiedBy>XueYuan</cp:lastModifiedBy>
  <cp:revision>1</cp:revision>
  <dcterms:created xsi:type="dcterms:W3CDTF">2017-09-07T07:28:00Z</dcterms:created>
  <dcterms:modified xsi:type="dcterms:W3CDTF">2017-09-07T07:29:00Z</dcterms:modified>
</cp:coreProperties>
</file>