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23" w:rsidRDefault="002B4623" w:rsidP="002B4623">
      <w:pPr>
        <w:widowControl/>
        <w:adjustRightInd w:val="0"/>
        <w:snapToGrid w:val="0"/>
        <w:spacing w:before="100" w:beforeAutospacing="1" w:line="360" w:lineRule="auto"/>
        <w:jc w:val="center"/>
        <w:rPr>
          <w:rFonts w:ascii="宋体" w:eastAsia="宋体" w:hAnsi="宋体" w:cs="宋体"/>
          <w:b/>
          <w:kern w:val="0"/>
          <w:sz w:val="24"/>
          <w:szCs w:val="24"/>
        </w:rPr>
      </w:pPr>
      <w:bookmarkStart w:id="0" w:name="_GoBack"/>
      <w:r w:rsidRPr="002B4623">
        <w:rPr>
          <w:rFonts w:ascii="宋体" w:eastAsia="宋体" w:hAnsi="宋体" w:cs="宋体" w:hint="eastAsia"/>
          <w:b/>
          <w:kern w:val="0"/>
          <w:sz w:val="24"/>
          <w:szCs w:val="24"/>
        </w:rPr>
        <w:t>2015年上半年企业债券市场与信用评级表现研究报告</w:t>
      </w:r>
    </w:p>
    <w:bookmarkEnd w:id="0"/>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一、企业债券发行市场环境</w:t>
      </w:r>
      <w:r w:rsidRPr="002B4623">
        <w:rPr>
          <w:rFonts w:ascii="宋体" w:eastAsia="宋体" w:hAnsi="宋体" w:cs="宋体"/>
          <w:kern w:val="0"/>
          <w:sz w:val="24"/>
          <w:szCs w:val="24"/>
          <w:vertAlign w:val="superscript"/>
        </w:rPr>
        <w:footnoteReference w:customMarkFollows="1" w:id="1"/>
        <w:t>[1]</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tabs>
          <w:tab w:val="left" w:pos="1418"/>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2014年底《国务院关于加强地方政府性债务管理的意见》（43号文）的出台一度让发改委审批的</w:t>
      </w:r>
      <w:proofErr w:type="gramStart"/>
      <w:r w:rsidRPr="002B4623">
        <w:rPr>
          <w:rFonts w:ascii="宋体" w:eastAsia="宋体" w:hAnsi="宋体" w:cs="宋体"/>
          <w:kern w:val="0"/>
          <w:sz w:val="24"/>
          <w:szCs w:val="24"/>
        </w:rPr>
        <w:t>城投类企业债券</w:t>
      </w:r>
      <w:proofErr w:type="gramEnd"/>
      <w:r w:rsidRPr="002B4623">
        <w:rPr>
          <w:rFonts w:ascii="宋体" w:eastAsia="宋体" w:hAnsi="宋体" w:cs="宋体"/>
          <w:kern w:val="0"/>
          <w:sz w:val="24"/>
          <w:szCs w:val="24"/>
        </w:rPr>
        <w:t>受到限制，与此同时银行间市场不断推出创新债务融资工具，对城投企业发债门槛也有所放松，证监会主管的公司债券也大举扩容，企业债券面临改革转型。为更好地发挥企业债券支持实体经济发展的作用，2015年</w:t>
      </w:r>
      <w:proofErr w:type="gramStart"/>
      <w:r w:rsidRPr="002B4623">
        <w:rPr>
          <w:rFonts w:ascii="宋体" w:eastAsia="宋体" w:hAnsi="宋体" w:cs="宋体"/>
          <w:kern w:val="0"/>
          <w:sz w:val="24"/>
          <w:szCs w:val="24"/>
        </w:rPr>
        <w:t>上半年发改委</w:t>
      </w:r>
      <w:proofErr w:type="gramEnd"/>
      <w:r w:rsidRPr="002B4623">
        <w:rPr>
          <w:rFonts w:ascii="宋体" w:eastAsia="宋体" w:hAnsi="宋体" w:cs="宋体"/>
          <w:kern w:val="0"/>
          <w:sz w:val="24"/>
          <w:szCs w:val="24"/>
        </w:rPr>
        <w:t>频频发文放宽企业债券的发行门槛，大力推广专项债券、项目收益债券、可续期债券等创新融资产品，同时加强企业债券发行管理和风险管控，有利于企业债券实现扩容。</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（1）放宽企业债券发行门槛</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2015年5月和6月，</w:t>
      </w:r>
      <w:proofErr w:type="gramStart"/>
      <w:r w:rsidRPr="002B4623">
        <w:rPr>
          <w:rFonts w:ascii="宋体" w:eastAsia="宋体" w:hAnsi="宋体" w:cs="宋体"/>
          <w:kern w:val="0"/>
          <w:sz w:val="24"/>
          <w:szCs w:val="24"/>
        </w:rPr>
        <w:t>发改委连续</w:t>
      </w:r>
      <w:proofErr w:type="gramEnd"/>
      <w:r w:rsidRPr="002B4623">
        <w:rPr>
          <w:rFonts w:ascii="宋体" w:eastAsia="宋体" w:hAnsi="宋体" w:cs="宋体"/>
          <w:kern w:val="0"/>
          <w:sz w:val="24"/>
          <w:szCs w:val="24"/>
        </w:rPr>
        <w:t>出台了《国家发展改革委办公厅关于充分发挥企业债券融资功能支持重点项目建设促进经济平稳较快发展的通知》和《对发改办财金〔2015〕1327号文件的补充说明》两个文件，适当调整了企业债券发行要求。主要调整内容包括：</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一是放宽发债指标限制。按照最新规定，只要企业债券的债项级别在AA+以上，以及主体信用等级为AA，使用自身合法拥有的资产进行抵质押或由担保公司担保，或项目收益确定、回报期较短的，都不受发债企业数量指标的限制</w:t>
      </w:r>
      <w:r w:rsidRPr="002B4623">
        <w:rPr>
          <w:rFonts w:ascii="宋体" w:eastAsia="宋体" w:hAnsi="宋体" w:cs="宋体"/>
          <w:kern w:val="0"/>
          <w:sz w:val="24"/>
          <w:szCs w:val="24"/>
          <w:vertAlign w:val="superscript"/>
        </w:rPr>
        <w:footnoteReference w:customMarkFollows="1" w:id="2"/>
        <w:t>[2]</w:t>
      </w:r>
      <w:r w:rsidRPr="002B4623">
        <w:rPr>
          <w:rFonts w:ascii="宋体" w:eastAsia="宋体" w:hAnsi="宋体" w:cs="宋体"/>
          <w:kern w:val="0"/>
          <w:sz w:val="24"/>
          <w:szCs w:val="24"/>
        </w:rPr>
        <w:t>；</w:t>
      </w:r>
      <w:r w:rsidRPr="002B4623">
        <w:rPr>
          <w:rFonts w:ascii="宋体" w:eastAsia="宋体" w:hAnsi="宋体" w:cs="宋体"/>
          <w:kern w:val="0"/>
          <w:sz w:val="24"/>
          <w:szCs w:val="24"/>
        </w:rPr>
        <w:lastRenderedPageBreak/>
        <w:t>另外，城市停车场、城市地下综合管廊、养老产业、战略性新兴产业四个专项债以及PPP项目融资发债均不受指标限制。</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二是放宽募资资金相关要求。首先，将债券募集资金占项目总投资比例最高不超过60%放宽至不超过70%。其次，对于主体信用等级不低于AA，</w:t>
      </w:r>
      <w:proofErr w:type="gramStart"/>
      <w:r w:rsidRPr="002B4623">
        <w:rPr>
          <w:rFonts w:ascii="宋体" w:eastAsia="宋体" w:hAnsi="宋体" w:cs="宋体"/>
          <w:kern w:val="0"/>
          <w:sz w:val="24"/>
          <w:szCs w:val="24"/>
        </w:rPr>
        <w:t>且债项</w:t>
      </w:r>
      <w:proofErr w:type="gramEnd"/>
      <w:r w:rsidRPr="002B4623">
        <w:rPr>
          <w:rFonts w:ascii="宋体" w:eastAsia="宋体" w:hAnsi="宋体" w:cs="宋体"/>
          <w:kern w:val="0"/>
          <w:sz w:val="24"/>
          <w:szCs w:val="24"/>
        </w:rPr>
        <w:t>级别不低于AA+的债券，允许企业使用不超过40%的募集资金用于偿还银行贷款和补充营运资金。最后，允许满足一定条件的企业发行债券</w:t>
      </w:r>
      <w:r w:rsidRPr="002B4623">
        <w:rPr>
          <w:rFonts w:ascii="宋体" w:eastAsia="宋体" w:hAnsi="宋体" w:cs="宋体"/>
          <w:kern w:val="0"/>
          <w:sz w:val="24"/>
          <w:szCs w:val="24"/>
          <w:vertAlign w:val="superscript"/>
        </w:rPr>
        <w:footnoteReference w:customMarkFollows="1" w:id="3"/>
        <w:t>[3]</w:t>
      </w:r>
      <w:r w:rsidRPr="002B4623">
        <w:rPr>
          <w:rFonts w:ascii="宋体" w:eastAsia="宋体" w:hAnsi="宋体" w:cs="宋体"/>
          <w:kern w:val="0"/>
          <w:sz w:val="24"/>
          <w:szCs w:val="24"/>
        </w:rPr>
        <w:t>，专项用于偿还为在建设项目</w:t>
      </w:r>
      <w:proofErr w:type="gramStart"/>
      <w:r w:rsidRPr="002B4623">
        <w:rPr>
          <w:rFonts w:ascii="宋体" w:eastAsia="宋体" w:hAnsi="宋体" w:cs="宋体"/>
          <w:kern w:val="0"/>
          <w:sz w:val="24"/>
          <w:szCs w:val="24"/>
        </w:rPr>
        <w:t>举借且</w:t>
      </w:r>
      <w:proofErr w:type="gramEnd"/>
      <w:r w:rsidRPr="002B4623">
        <w:rPr>
          <w:rFonts w:ascii="宋体" w:eastAsia="宋体" w:hAnsi="宋体" w:cs="宋体"/>
          <w:kern w:val="0"/>
          <w:sz w:val="24"/>
          <w:szCs w:val="24"/>
        </w:rPr>
        <w:t>已进入偿付本金阶段的原企业债券及其它高成本融资，也就是可以借新还旧。此外，募集资金投向变更程序得到很大简化。</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三是取消或减少</w:t>
      </w:r>
      <w:proofErr w:type="gramStart"/>
      <w:r w:rsidRPr="002B4623">
        <w:rPr>
          <w:rFonts w:ascii="宋体" w:eastAsia="宋体" w:hAnsi="宋体" w:cs="宋体"/>
          <w:kern w:val="0"/>
          <w:sz w:val="24"/>
          <w:szCs w:val="24"/>
        </w:rPr>
        <w:t>城投债和</w:t>
      </w:r>
      <w:proofErr w:type="gramEnd"/>
      <w:r w:rsidRPr="002B4623">
        <w:rPr>
          <w:rFonts w:ascii="宋体" w:eastAsia="宋体" w:hAnsi="宋体" w:cs="宋体"/>
          <w:kern w:val="0"/>
          <w:sz w:val="24"/>
          <w:szCs w:val="24"/>
        </w:rPr>
        <w:t>政府经济指标的挂钩。偿债保障措施完善的企业发行债券，不与地方政府债务率和地方财政公共预算收入挂钩。另外，本区域企业发行企业债券、中期票据等余额从不超过上年度GDP的8%提高到12%。</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四是适度调整对发债企业的财务指标要求。将各类企业资产负债率要求均放宽了5个百分点</w:t>
      </w:r>
      <w:r w:rsidRPr="002B4623">
        <w:rPr>
          <w:rFonts w:ascii="宋体" w:eastAsia="宋体" w:hAnsi="宋体" w:cs="宋体"/>
          <w:kern w:val="0"/>
          <w:sz w:val="24"/>
          <w:szCs w:val="24"/>
          <w:vertAlign w:val="superscript"/>
        </w:rPr>
        <w:footnoteReference w:customMarkFollows="1" w:id="4"/>
        <w:t>[4]</w:t>
      </w:r>
      <w:r w:rsidRPr="002B4623">
        <w:rPr>
          <w:rFonts w:ascii="宋体" w:eastAsia="宋体" w:hAnsi="宋体" w:cs="宋体"/>
          <w:kern w:val="0"/>
          <w:sz w:val="24"/>
          <w:szCs w:val="24"/>
        </w:rPr>
        <w:t>；让更多优质企业可以发行无担保债券融资；放宽企业利润指标限制，符合条件的企业发行债券，由原先主要参考“归属于母公司股东净利润”调整为可按照“净利润”和“归属于母公司股东净利润”孰高者测算净利润指标。</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（2）大力推广专项债券、项目收益债券、可续期债券等创新产品</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2015年4月9日，</w:t>
      </w:r>
      <w:proofErr w:type="gramStart"/>
      <w:r w:rsidRPr="002B4623">
        <w:rPr>
          <w:rFonts w:ascii="宋体" w:eastAsia="宋体" w:hAnsi="宋体" w:cs="宋体"/>
          <w:kern w:val="0"/>
          <w:sz w:val="24"/>
          <w:szCs w:val="24"/>
        </w:rPr>
        <w:t>发改委</w:t>
      </w:r>
      <w:proofErr w:type="gramEnd"/>
      <w:r w:rsidRPr="002B4623">
        <w:rPr>
          <w:rFonts w:ascii="宋体" w:eastAsia="宋体" w:hAnsi="宋体" w:cs="宋体"/>
          <w:kern w:val="0"/>
          <w:sz w:val="24"/>
          <w:szCs w:val="24"/>
        </w:rPr>
        <w:t>发布四类专项债券发行指引，支持对战略性新兴产业、养老产业、城市地下综合管廊建设、城市停车场建设四个重点领域发行企</w:t>
      </w:r>
      <w:r w:rsidRPr="002B4623">
        <w:rPr>
          <w:rFonts w:ascii="宋体" w:eastAsia="宋体" w:hAnsi="宋体" w:cs="宋体"/>
          <w:kern w:val="0"/>
          <w:sz w:val="24"/>
          <w:szCs w:val="24"/>
        </w:rPr>
        <w:lastRenderedPageBreak/>
        <w:t>业债券。这四个领域的专项债券被列为加快并简化审核类债券，适当放宽准入条件，并</w:t>
      </w:r>
      <w:proofErr w:type="gramStart"/>
      <w:r w:rsidRPr="002B4623">
        <w:rPr>
          <w:rFonts w:ascii="宋体" w:eastAsia="宋体" w:hAnsi="宋体" w:cs="宋体"/>
          <w:kern w:val="0"/>
          <w:sz w:val="24"/>
          <w:szCs w:val="24"/>
        </w:rPr>
        <w:t>明确城</w:t>
      </w:r>
      <w:proofErr w:type="gramEnd"/>
      <w:r w:rsidRPr="002B4623">
        <w:rPr>
          <w:rFonts w:ascii="宋体" w:eastAsia="宋体" w:hAnsi="宋体" w:cs="宋体"/>
          <w:kern w:val="0"/>
          <w:sz w:val="24"/>
          <w:szCs w:val="24"/>
        </w:rPr>
        <w:t>投公司发行城市停车场建设专项债券、养老产业专项债券和城市地下综合管廊建设专项债券不受发债指标限制。未来，专项债券将</w:t>
      </w:r>
      <w:proofErr w:type="gramStart"/>
      <w:r w:rsidRPr="002B4623">
        <w:rPr>
          <w:rFonts w:ascii="宋体" w:eastAsia="宋体" w:hAnsi="宋体" w:cs="宋体"/>
          <w:kern w:val="0"/>
          <w:sz w:val="24"/>
          <w:szCs w:val="24"/>
        </w:rPr>
        <w:t>成为发改委</w:t>
      </w:r>
      <w:proofErr w:type="gramEnd"/>
      <w:r w:rsidRPr="002B4623">
        <w:rPr>
          <w:rFonts w:ascii="宋体" w:eastAsia="宋体" w:hAnsi="宋体" w:cs="宋体"/>
          <w:kern w:val="0"/>
          <w:sz w:val="24"/>
          <w:szCs w:val="24"/>
        </w:rPr>
        <w:t>支持实体经济发展的重要手段之一。</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proofErr w:type="gramStart"/>
      <w:r w:rsidRPr="002B4623">
        <w:rPr>
          <w:rFonts w:ascii="宋体" w:eastAsia="宋体" w:hAnsi="宋体" w:cs="宋体"/>
          <w:kern w:val="0"/>
          <w:sz w:val="24"/>
          <w:szCs w:val="24"/>
        </w:rPr>
        <w:t>发改委</w:t>
      </w:r>
      <w:proofErr w:type="gramEnd"/>
      <w:r w:rsidRPr="002B4623">
        <w:rPr>
          <w:rFonts w:ascii="宋体" w:eastAsia="宋体" w:hAnsi="宋体" w:cs="宋体"/>
          <w:kern w:val="0"/>
          <w:sz w:val="24"/>
          <w:szCs w:val="24"/>
        </w:rPr>
        <w:t>于5月还出台了《项目收益债券试点管理办法（试行）》，明确了项目收益债券的发行管理机制。根据规定，</w:t>
      </w:r>
      <w:r w:rsidRPr="002B4623">
        <w:rPr>
          <w:rFonts w:ascii="宋体" w:eastAsia="宋体" w:hAnsi="宋体" w:cs="宋体"/>
          <w:bCs/>
          <w:kern w:val="0"/>
          <w:sz w:val="24"/>
          <w:szCs w:val="24"/>
        </w:rPr>
        <w:t>项目收益债券的发行方式可以选择在银行间债券市场公开发行，也可以面向合格投资者非公开发行。试点期间，非公开发行的项目收益债券的债项评级应在</w:t>
      </w:r>
      <w:r w:rsidRPr="002B4623">
        <w:rPr>
          <w:rFonts w:ascii="宋体" w:eastAsia="宋体" w:hAnsi="宋体" w:cs="宋体"/>
          <w:kern w:val="0"/>
          <w:sz w:val="24"/>
          <w:szCs w:val="24"/>
        </w:rPr>
        <w:t>AA及以上。该办法的出台将助</w:t>
      </w:r>
      <w:proofErr w:type="gramStart"/>
      <w:r w:rsidRPr="002B4623">
        <w:rPr>
          <w:rFonts w:ascii="宋体" w:eastAsia="宋体" w:hAnsi="宋体" w:cs="宋体"/>
          <w:kern w:val="0"/>
          <w:sz w:val="24"/>
          <w:szCs w:val="24"/>
        </w:rPr>
        <w:t>推项目</w:t>
      </w:r>
      <w:proofErr w:type="gramEnd"/>
      <w:r w:rsidRPr="002B4623">
        <w:rPr>
          <w:rFonts w:ascii="宋体" w:eastAsia="宋体" w:hAnsi="宋体" w:cs="宋体"/>
          <w:kern w:val="0"/>
          <w:sz w:val="24"/>
          <w:szCs w:val="24"/>
        </w:rPr>
        <w:t>收益债券发行扩容。</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另外，</w:t>
      </w:r>
      <w:proofErr w:type="gramStart"/>
      <w:r w:rsidRPr="002B4623">
        <w:rPr>
          <w:rFonts w:ascii="宋体" w:eastAsia="宋体" w:hAnsi="宋体" w:cs="宋体"/>
          <w:kern w:val="0"/>
          <w:sz w:val="24"/>
          <w:szCs w:val="24"/>
        </w:rPr>
        <w:t>发改委</w:t>
      </w:r>
      <w:proofErr w:type="gramEnd"/>
      <w:r w:rsidRPr="002B4623">
        <w:rPr>
          <w:rFonts w:ascii="宋体" w:eastAsia="宋体" w:hAnsi="宋体" w:cs="宋体"/>
          <w:kern w:val="0"/>
          <w:sz w:val="24"/>
          <w:szCs w:val="24"/>
        </w:rPr>
        <w:t>还鼓励一般生产经营类企业和实体化运营的城投企业通过发行一般企业债券、项目收益债券、可续期债券等，用于经有关部门批准的基础设施和公共设施特许经营等PPP项目建设。对于已实现市场化运营的城投公司开展规范的PPP项目发债融资，不受发债企业数量指标的限制，建立PPP项目发债绿色审核通道。社会资本方在参加PPP项目招投标时，可将发行企业债券纳入项目融资方案一并考虑，并同时向省级发展改革部门报送企业债券申请材料，由省级发展改革部门提前预审。</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（3）加强企业债券发行管理和风险管控</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在发行管理方面，2015年上半年，</w:t>
      </w:r>
      <w:proofErr w:type="gramStart"/>
      <w:r w:rsidRPr="002B4623">
        <w:rPr>
          <w:rFonts w:ascii="宋体" w:eastAsia="宋体" w:hAnsi="宋体" w:cs="宋体"/>
          <w:kern w:val="0"/>
          <w:sz w:val="24"/>
          <w:szCs w:val="24"/>
        </w:rPr>
        <w:t>发改委加强</w:t>
      </w:r>
      <w:proofErr w:type="gramEnd"/>
      <w:r w:rsidRPr="002B4623">
        <w:rPr>
          <w:rFonts w:ascii="宋体" w:eastAsia="宋体" w:hAnsi="宋体" w:cs="宋体"/>
          <w:kern w:val="0"/>
          <w:sz w:val="24"/>
          <w:szCs w:val="24"/>
        </w:rPr>
        <w:t>了对增量债务额管理，改进规范了企业债券发行工作，要求实现企业信用和政府性债务、政府信用的隔离。同时企业债券发行管理引入第三方评估机制，提升了企业债券发行效率。</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2015年2月17日，</w:t>
      </w:r>
      <w:proofErr w:type="gramStart"/>
      <w:r w:rsidRPr="002B4623">
        <w:rPr>
          <w:rFonts w:ascii="宋体" w:eastAsia="宋体" w:hAnsi="宋体" w:cs="宋体"/>
          <w:kern w:val="0"/>
          <w:sz w:val="24"/>
          <w:szCs w:val="24"/>
        </w:rPr>
        <w:t>发改委</w:t>
      </w:r>
      <w:proofErr w:type="gramEnd"/>
      <w:r w:rsidRPr="002B4623">
        <w:rPr>
          <w:rFonts w:ascii="宋体" w:eastAsia="宋体" w:hAnsi="宋体" w:cs="宋体"/>
          <w:kern w:val="0"/>
          <w:sz w:val="24"/>
          <w:szCs w:val="24"/>
        </w:rPr>
        <w:t>下发《关于进一步改进和规范企业债券发行工作的几点意见》，要求企业发行企业债券，不能新增政府债务，企业应该主要依托自身信用，完善偿债保障措施。鼓励企业通过以自身拥有的土地抵押和第三方担保抵押等多种形式作为增信措施，进一步增强偿债保障。</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lastRenderedPageBreak/>
        <w:t>2015年4月，</w:t>
      </w:r>
      <w:proofErr w:type="gramStart"/>
      <w:r w:rsidRPr="002B4623">
        <w:rPr>
          <w:rFonts w:ascii="宋体" w:eastAsia="宋体" w:hAnsi="宋体" w:cs="宋体"/>
          <w:kern w:val="0"/>
          <w:sz w:val="24"/>
          <w:szCs w:val="24"/>
        </w:rPr>
        <w:t>受发改</w:t>
      </w:r>
      <w:proofErr w:type="gramEnd"/>
      <w:r w:rsidRPr="002B4623">
        <w:rPr>
          <w:rFonts w:ascii="宋体" w:eastAsia="宋体" w:hAnsi="宋体" w:cs="宋体"/>
          <w:kern w:val="0"/>
          <w:sz w:val="24"/>
          <w:szCs w:val="24"/>
        </w:rPr>
        <w:t>委委托，中央国债登记结算有限责任公司（简称中债登）承担企业债券发行审核中的第三方技术评估工作。</w:t>
      </w:r>
      <w:proofErr w:type="gramStart"/>
      <w:r w:rsidRPr="002B4623">
        <w:rPr>
          <w:rFonts w:ascii="宋体" w:eastAsia="宋体" w:hAnsi="宋体" w:cs="宋体"/>
          <w:kern w:val="0"/>
          <w:sz w:val="24"/>
          <w:szCs w:val="24"/>
        </w:rPr>
        <w:t>发改委不再</w:t>
      </w:r>
      <w:proofErr w:type="gramEnd"/>
      <w:r w:rsidRPr="002B4623">
        <w:rPr>
          <w:rFonts w:ascii="宋体" w:eastAsia="宋体" w:hAnsi="宋体" w:cs="宋体"/>
          <w:kern w:val="0"/>
          <w:sz w:val="24"/>
          <w:szCs w:val="24"/>
        </w:rPr>
        <w:t>对企业债申报材料进行具体审核，而是参考</w:t>
      </w:r>
      <w:proofErr w:type="gramStart"/>
      <w:r w:rsidRPr="002B4623">
        <w:rPr>
          <w:rFonts w:ascii="宋体" w:eastAsia="宋体" w:hAnsi="宋体" w:cs="宋体"/>
          <w:kern w:val="0"/>
          <w:sz w:val="24"/>
          <w:szCs w:val="24"/>
        </w:rPr>
        <w:t>中债登出具</w:t>
      </w:r>
      <w:proofErr w:type="gramEnd"/>
      <w:r w:rsidRPr="002B4623">
        <w:rPr>
          <w:rFonts w:ascii="宋体" w:eastAsia="宋体" w:hAnsi="宋体" w:cs="宋体"/>
          <w:kern w:val="0"/>
          <w:sz w:val="24"/>
          <w:szCs w:val="24"/>
        </w:rPr>
        <w:t>的技术评估意见，做出是否同意发债的决定。这一举措将加快企业债券发行审批周期，同时有助于企业债券发行管理由审批制向注册制过渡。</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在风险管控方面，</w:t>
      </w:r>
      <w:proofErr w:type="gramStart"/>
      <w:r w:rsidRPr="002B4623">
        <w:rPr>
          <w:rFonts w:ascii="宋体" w:eastAsia="宋体" w:hAnsi="宋体" w:cs="宋体"/>
          <w:kern w:val="0"/>
          <w:sz w:val="24"/>
          <w:szCs w:val="24"/>
        </w:rPr>
        <w:t>发改委</w:t>
      </w:r>
      <w:proofErr w:type="gramEnd"/>
      <w:r w:rsidRPr="002B4623">
        <w:rPr>
          <w:rFonts w:ascii="宋体" w:eastAsia="宋体" w:hAnsi="宋体" w:cs="宋体"/>
          <w:kern w:val="0"/>
          <w:sz w:val="24"/>
          <w:szCs w:val="24"/>
        </w:rPr>
        <w:t>通过行政手段严防企业债券违约风险。2015年上半年，受偿债高峰期集中到来以及经济放缓因素影响，企业债兑付风险再次备受关注。各</w:t>
      </w:r>
      <w:proofErr w:type="gramStart"/>
      <w:r w:rsidRPr="002B4623">
        <w:rPr>
          <w:rFonts w:ascii="宋体" w:eastAsia="宋体" w:hAnsi="宋体" w:cs="宋体"/>
          <w:kern w:val="0"/>
          <w:sz w:val="24"/>
          <w:szCs w:val="24"/>
        </w:rPr>
        <w:t>省级发改委</w:t>
      </w:r>
      <w:proofErr w:type="gramEnd"/>
      <w:r w:rsidRPr="002B4623">
        <w:rPr>
          <w:rFonts w:ascii="宋体" w:eastAsia="宋体" w:hAnsi="宋体" w:cs="宋体"/>
          <w:kern w:val="0"/>
          <w:sz w:val="24"/>
          <w:szCs w:val="24"/>
        </w:rPr>
        <w:t>曾向区县级下发了紧急通知，要求各地高度重视今年企业债券本息兑付工作，并对2015年企业债券本息兑付情况进行进一步排查，绝不允许发生资本市场违约事件。</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二、企业债券发行量下降明显</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上半年，我国银行间债券市场共有160家企业累计发行企业债券165期，发行总额为1805.40亿元，发行期数、发行规模和发行人家数延续了去年下半年不断减少的趋势（见表1），较上年同期降幅均超过50%，较上年下半年降幅在20%左右。整体看，企业债券</w:t>
      </w:r>
      <w:proofErr w:type="gramStart"/>
      <w:r w:rsidRPr="002B4623">
        <w:rPr>
          <w:rFonts w:ascii="宋体" w:eastAsia="宋体" w:hAnsi="宋体" w:cs="宋体"/>
          <w:kern w:val="0"/>
          <w:sz w:val="24"/>
          <w:szCs w:val="24"/>
        </w:rPr>
        <w:t>发行受</w:t>
      </w:r>
      <w:proofErr w:type="gramEnd"/>
      <w:r w:rsidRPr="002B4623">
        <w:rPr>
          <w:rFonts w:ascii="宋体" w:eastAsia="宋体" w:hAnsi="宋体" w:cs="宋体"/>
          <w:kern w:val="0"/>
          <w:sz w:val="24"/>
          <w:szCs w:val="24"/>
        </w:rPr>
        <w:t>政策影响明显，2014年下半</w:t>
      </w:r>
      <w:proofErr w:type="gramStart"/>
      <w:r w:rsidRPr="002B4623">
        <w:rPr>
          <w:rFonts w:ascii="宋体" w:eastAsia="宋体" w:hAnsi="宋体" w:cs="宋体"/>
          <w:kern w:val="0"/>
          <w:sz w:val="24"/>
          <w:szCs w:val="24"/>
        </w:rPr>
        <w:t>年起城投</w:t>
      </w:r>
      <w:proofErr w:type="gramEnd"/>
      <w:r w:rsidRPr="002B4623">
        <w:rPr>
          <w:rFonts w:ascii="宋体" w:eastAsia="宋体" w:hAnsi="宋体" w:cs="宋体"/>
          <w:kern w:val="0"/>
          <w:sz w:val="24"/>
          <w:szCs w:val="24"/>
        </w:rPr>
        <w:t>企业发债受到限制，企业债发行量持续下滑。</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从企业债券发行场所状况来看，2015年上半年共有156家企业累计161期企业债券在银行间债券和交易所市场同时发行，发行规模为1764.40亿元，另有4期共计41亿元的企业债券仅在银行间债券市场发行。交易所市场发行企业债券的发行期数和发行规模分别占银行间债券市场企业债券总发行期数和发行总额的97.58%和97.73%，</w:t>
      </w:r>
      <w:proofErr w:type="gramStart"/>
      <w:r w:rsidRPr="002B4623">
        <w:rPr>
          <w:rFonts w:ascii="宋体" w:eastAsia="宋体" w:hAnsi="宋体" w:cs="宋体"/>
          <w:kern w:val="0"/>
          <w:sz w:val="24"/>
          <w:szCs w:val="24"/>
        </w:rPr>
        <w:t>占比较</w:t>
      </w:r>
      <w:proofErr w:type="gramEnd"/>
      <w:r w:rsidRPr="002B4623">
        <w:rPr>
          <w:rFonts w:ascii="宋体" w:eastAsia="宋体" w:hAnsi="宋体" w:cs="宋体"/>
          <w:kern w:val="0"/>
          <w:sz w:val="24"/>
          <w:szCs w:val="24"/>
        </w:rPr>
        <w:t>2014年上半年均略有下降，较2014年下半年均有所上升。</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lastRenderedPageBreak/>
        <w:t>2015年上半年发行的企业债券发行人主体仍主要</w:t>
      </w:r>
      <w:proofErr w:type="gramStart"/>
      <w:r w:rsidRPr="002B4623">
        <w:rPr>
          <w:rFonts w:ascii="宋体" w:eastAsia="宋体" w:hAnsi="宋体" w:cs="宋体"/>
          <w:kern w:val="0"/>
          <w:sz w:val="24"/>
          <w:szCs w:val="24"/>
        </w:rPr>
        <w:t>为城投类企业</w:t>
      </w:r>
      <w:proofErr w:type="gramEnd"/>
      <w:r w:rsidRPr="002B4623">
        <w:rPr>
          <w:rFonts w:ascii="宋体" w:eastAsia="宋体" w:hAnsi="宋体" w:cs="宋体"/>
          <w:kern w:val="0"/>
          <w:sz w:val="24"/>
          <w:szCs w:val="24"/>
        </w:rPr>
        <w:t>，</w:t>
      </w:r>
      <w:proofErr w:type="gramStart"/>
      <w:r w:rsidRPr="002B4623">
        <w:rPr>
          <w:rFonts w:ascii="宋体" w:eastAsia="宋体" w:hAnsi="宋体" w:cs="宋体"/>
          <w:kern w:val="0"/>
          <w:sz w:val="24"/>
          <w:szCs w:val="24"/>
        </w:rPr>
        <w:t>城投类企业</w:t>
      </w:r>
      <w:proofErr w:type="gramEnd"/>
      <w:r w:rsidRPr="002B4623">
        <w:rPr>
          <w:rFonts w:ascii="宋体" w:eastAsia="宋体" w:hAnsi="宋体" w:cs="宋体"/>
          <w:kern w:val="0"/>
          <w:sz w:val="24"/>
          <w:szCs w:val="24"/>
        </w:rPr>
        <w:t>发行企业债券共计150期，占企业债券发行总期数的90.91%，</w:t>
      </w:r>
      <w:proofErr w:type="gramStart"/>
      <w:r w:rsidRPr="002B4623">
        <w:rPr>
          <w:rFonts w:ascii="宋体" w:eastAsia="宋体" w:hAnsi="宋体" w:cs="宋体"/>
          <w:kern w:val="0"/>
          <w:sz w:val="24"/>
          <w:szCs w:val="24"/>
        </w:rPr>
        <w:t>占比较</w:t>
      </w:r>
      <w:proofErr w:type="gramEnd"/>
      <w:r w:rsidRPr="002B4623">
        <w:rPr>
          <w:rFonts w:ascii="宋体" w:eastAsia="宋体" w:hAnsi="宋体" w:cs="宋体"/>
          <w:kern w:val="0"/>
          <w:sz w:val="24"/>
          <w:szCs w:val="24"/>
        </w:rPr>
        <w:t>2014年上半年略有下降，但较2014年下半年有明显提高。</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2015年上半年发行企业债券中有2期为可续期企业债券，合计发行规模40亿元，可续期企业债券发行期数与上年全年发行期数相同。</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4"/>
        </w:rPr>
        <w:t>1  2011-2015</w:t>
      </w:r>
      <w:r w:rsidRPr="002B4623">
        <w:rPr>
          <w:rFonts w:ascii="宋体" w:eastAsia="宋体" w:hAnsi="宋体" w:cs="宋体"/>
          <w:kern w:val="0"/>
          <w:sz w:val="24"/>
          <w:szCs w:val="24"/>
        </w:rPr>
        <w:t>年上半年企业债券发行基本情况表</w:t>
      </w:r>
    </w:p>
    <w:tbl>
      <w:tblPr>
        <w:tblW w:w="9165" w:type="dxa"/>
        <w:jc w:val="center"/>
        <w:tblCellMar>
          <w:left w:w="0" w:type="dxa"/>
          <w:right w:w="0" w:type="dxa"/>
        </w:tblCellMar>
        <w:tblLook w:val="04A0" w:firstRow="1" w:lastRow="0" w:firstColumn="1" w:lastColumn="0" w:noHBand="0" w:noVBand="1"/>
      </w:tblPr>
      <w:tblGrid>
        <w:gridCol w:w="1712"/>
        <w:gridCol w:w="1056"/>
        <w:gridCol w:w="1056"/>
        <w:gridCol w:w="1056"/>
        <w:gridCol w:w="1056"/>
        <w:gridCol w:w="1056"/>
        <w:gridCol w:w="1141"/>
        <w:gridCol w:w="1032"/>
      </w:tblGrid>
      <w:tr w:rsidR="002B4623" w:rsidRPr="002B4623" w:rsidTr="002B4623">
        <w:trPr>
          <w:trHeight w:val="395"/>
          <w:jc w:val="center"/>
        </w:trPr>
        <w:tc>
          <w:tcPr>
            <w:tcW w:w="1033" w:type="pct"/>
            <w:tcBorders>
              <w:top w:val="single" w:sz="12" w:space="0" w:color="auto"/>
              <w:left w:val="nil"/>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项目</w:t>
            </w:r>
          </w:p>
        </w:tc>
        <w:tc>
          <w:tcPr>
            <w:tcW w:w="516" w:type="pct"/>
            <w:tcBorders>
              <w:top w:val="single" w:sz="4" w:space="0" w:color="auto"/>
              <w:left w:val="single" w:sz="4" w:space="0" w:color="auto"/>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bCs/>
                <w:kern w:val="0"/>
                <w:sz w:val="24"/>
                <w:szCs w:val="24"/>
              </w:rPr>
              <w:t>2011年</w:t>
            </w:r>
          </w:p>
        </w:tc>
        <w:tc>
          <w:tcPr>
            <w:tcW w:w="516" w:type="pct"/>
            <w:tcBorders>
              <w:top w:val="single" w:sz="4" w:space="0" w:color="auto"/>
              <w:left w:val="single" w:sz="4" w:space="0" w:color="auto"/>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bCs/>
                <w:kern w:val="0"/>
                <w:sz w:val="24"/>
                <w:szCs w:val="24"/>
              </w:rPr>
              <w:t>2012年</w:t>
            </w:r>
          </w:p>
        </w:tc>
        <w:tc>
          <w:tcPr>
            <w:tcW w:w="516" w:type="pct"/>
            <w:tcBorders>
              <w:top w:val="single" w:sz="4" w:space="0" w:color="auto"/>
              <w:left w:val="single" w:sz="4" w:space="0" w:color="auto"/>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bCs/>
                <w:kern w:val="0"/>
                <w:sz w:val="24"/>
                <w:szCs w:val="24"/>
              </w:rPr>
              <w:t>2013</w:t>
            </w:r>
            <w:r w:rsidRPr="002B4623">
              <w:rPr>
                <w:rFonts w:ascii="宋体" w:eastAsia="宋体" w:hAnsi="宋体" w:cs="宋体"/>
                <w:b/>
                <w:kern w:val="0"/>
                <w:sz w:val="24"/>
                <w:szCs w:val="24"/>
              </w:rPr>
              <w:t>年</w:t>
            </w:r>
          </w:p>
        </w:tc>
        <w:tc>
          <w:tcPr>
            <w:tcW w:w="516" w:type="pct"/>
            <w:tcBorders>
              <w:top w:val="single" w:sz="4" w:space="0" w:color="auto"/>
              <w:left w:val="single" w:sz="4" w:space="0" w:color="auto"/>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bCs/>
                <w:kern w:val="0"/>
                <w:sz w:val="24"/>
                <w:szCs w:val="24"/>
              </w:rPr>
              <w:t>2014年</w:t>
            </w:r>
          </w:p>
        </w:tc>
        <w:tc>
          <w:tcPr>
            <w:tcW w:w="520" w:type="pct"/>
            <w:tcBorders>
              <w:top w:val="single" w:sz="4" w:space="0" w:color="auto"/>
              <w:left w:val="single" w:sz="4" w:space="0" w:color="auto"/>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220" w:lineRule="exact"/>
              <w:jc w:val="left"/>
              <w:rPr>
                <w:rFonts w:ascii="宋体" w:eastAsia="宋体" w:hAnsi="宋体" w:cs="宋体"/>
                <w:kern w:val="0"/>
                <w:sz w:val="24"/>
                <w:szCs w:val="24"/>
              </w:rPr>
            </w:pPr>
            <w:r w:rsidRPr="002B4623">
              <w:rPr>
                <w:rFonts w:ascii="宋体" w:eastAsia="宋体" w:hAnsi="宋体" w:cs="宋体"/>
                <w:b/>
                <w:kern w:val="0"/>
                <w:sz w:val="24"/>
                <w:szCs w:val="24"/>
              </w:rPr>
              <w:t>2015H1</w:t>
            </w:r>
          </w:p>
        </w:tc>
        <w:tc>
          <w:tcPr>
            <w:tcW w:w="721" w:type="pct"/>
            <w:tcBorders>
              <w:top w:val="single" w:sz="4" w:space="0" w:color="auto"/>
              <w:left w:val="single" w:sz="4" w:space="0" w:color="auto"/>
              <w:bottom w:val="single" w:sz="4" w:space="0" w:color="auto"/>
              <w:right w:val="single" w:sz="4" w:space="0" w:color="auto"/>
            </w:tcBorders>
            <w:shd w:val="clear" w:color="auto" w:fill="548DD4"/>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220" w:lineRule="exact"/>
              <w:jc w:val="center"/>
              <w:rPr>
                <w:rFonts w:ascii="宋体" w:eastAsia="宋体" w:hAnsi="宋体" w:cs="宋体"/>
                <w:kern w:val="0"/>
                <w:sz w:val="24"/>
                <w:szCs w:val="24"/>
              </w:rPr>
            </w:pPr>
            <w:r w:rsidRPr="002B4623">
              <w:rPr>
                <w:rFonts w:ascii="宋体" w:eastAsia="宋体" w:hAnsi="宋体" w:cs="宋体"/>
                <w:b/>
                <w:kern w:val="0"/>
                <w:sz w:val="24"/>
                <w:szCs w:val="24"/>
              </w:rPr>
              <w:t>同比</w:t>
            </w:r>
          </w:p>
          <w:p w:rsidR="002B4623" w:rsidRPr="002B4623" w:rsidRDefault="002B4623" w:rsidP="002B4623">
            <w:pPr>
              <w:widowControl/>
              <w:adjustRightInd w:val="0"/>
              <w:snapToGrid w:val="0"/>
              <w:spacing w:before="100" w:beforeAutospacing="1" w:line="220" w:lineRule="exact"/>
              <w:jc w:val="center"/>
              <w:rPr>
                <w:rFonts w:ascii="宋体" w:eastAsia="宋体" w:hAnsi="宋体" w:cs="宋体"/>
                <w:kern w:val="0"/>
                <w:sz w:val="24"/>
                <w:szCs w:val="24"/>
              </w:rPr>
            </w:pPr>
            <w:r w:rsidRPr="002B4623">
              <w:rPr>
                <w:rFonts w:ascii="宋体" w:eastAsia="宋体" w:hAnsi="宋体" w:cs="宋体"/>
                <w:b/>
                <w:kern w:val="0"/>
                <w:sz w:val="24"/>
                <w:szCs w:val="24"/>
              </w:rPr>
              <w:t>增长（%）</w:t>
            </w:r>
          </w:p>
        </w:tc>
        <w:tc>
          <w:tcPr>
            <w:tcW w:w="662" w:type="pct"/>
            <w:tcBorders>
              <w:top w:val="single" w:sz="12" w:space="0" w:color="auto"/>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220" w:lineRule="exact"/>
              <w:jc w:val="center"/>
              <w:rPr>
                <w:rFonts w:ascii="宋体" w:eastAsia="宋体" w:hAnsi="宋体" w:cs="宋体"/>
                <w:kern w:val="0"/>
                <w:sz w:val="24"/>
                <w:szCs w:val="24"/>
              </w:rPr>
            </w:pPr>
            <w:r w:rsidRPr="002B4623">
              <w:rPr>
                <w:rFonts w:ascii="宋体" w:eastAsia="宋体" w:hAnsi="宋体" w:cs="宋体"/>
                <w:b/>
                <w:kern w:val="0"/>
                <w:sz w:val="24"/>
                <w:szCs w:val="24"/>
              </w:rPr>
              <w:t>环比</w:t>
            </w:r>
          </w:p>
          <w:p w:rsidR="002B4623" w:rsidRPr="002B4623" w:rsidRDefault="002B4623" w:rsidP="002B4623">
            <w:pPr>
              <w:widowControl/>
              <w:adjustRightInd w:val="0"/>
              <w:snapToGrid w:val="0"/>
              <w:spacing w:before="100" w:beforeAutospacing="1" w:line="220" w:lineRule="exact"/>
              <w:jc w:val="center"/>
              <w:rPr>
                <w:rFonts w:ascii="宋体" w:eastAsia="宋体" w:hAnsi="宋体" w:cs="宋体"/>
                <w:kern w:val="0"/>
                <w:sz w:val="24"/>
                <w:szCs w:val="24"/>
              </w:rPr>
            </w:pPr>
            <w:r w:rsidRPr="002B4623">
              <w:rPr>
                <w:rFonts w:ascii="宋体" w:eastAsia="宋体" w:hAnsi="宋体" w:cs="宋体"/>
                <w:b/>
                <w:kern w:val="0"/>
                <w:sz w:val="24"/>
                <w:szCs w:val="24"/>
              </w:rPr>
              <w:t>增长（%）</w:t>
            </w:r>
          </w:p>
        </w:tc>
      </w:tr>
      <w:tr w:rsidR="002B4623" w:rsidRPr="002B4623" w:rsidTr="002B4623">
        <w:trPr>
          <w:trHeight w:val="172"/>
          <w:jc w:val="center"/>
        </w:trPr>
        <w:tc>
          <w:tcPr>
            <w:tcW w:w="1033"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发行期数（期）</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192</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479</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373</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575</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165</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-55.28</w:t>
            </w:r>
          </w:p>
        </w:tc>
        <w:tc>
          <w:tcPr>
            <w:tcW w:w="662"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-19.90</w:t>
            </w:r>
          </w:p>
        </w:tc>
      </w:tr>
      <w:tr w:rsidR="002B4623" w:rsidRPr="002B4623" w:rsidTr="002B4623">
        <w:trPr>
          <w:trHeight w:val="395"/>
          <w:jc w:val="center"/>
        </w:trPr>
        <w:tc>
          <w:tcPr>
            <w:tcW w:w="1033" w:type="pct"/>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发行规模（亿元）</w:t>
            </w:r>
          </w:p>
        </w:tc>
        <w:tc>
          <w:tcPr>
            <w:tcW w:w="51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2471.30</w:t>
            </w:r>
          </w:p>
        </w:tc>
        <w:tc>
          <w:tcPr>
            <w:tcW w:w="51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6484.50</w:t>
            </w:r>
          </w:p>
        </w:tc>
        <w:tc>
          <w:tcPr>
            <w:tcW w:w="51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4748.30</w:t>
            </w:r>
          </w:p>
        </w:tc>
        <w:tc>
          <w:tcPr>
            <w:tcW w:w="51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6898.50</w:t>
            </w:r>
          </w:p>
        </w:tc>
        <w:tc>
          <w:tcPr>
            <w:tcW w:w="52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1805.40</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-58.99</w:t>
            </w:r>
          </w:p>
        </w:tc>
        <w:tc>
          <w:tcPr>
            <w:tcW w:w="662" w:type="pct"/>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-27.68</w:t>
            </w:r>
          </w:p>
        </w:tc>
      </w:tr>
      <w:tr w:rsidR="002B4623" w:rsidRPr="002B4623" w:rsidTr="002B4623">
        <w:trPr>
          <w:trHeight w:val="296"/>
          <w:jc w:val="center"/>
        </w:trPr>
        <w:tc>
          <w:tcPr>
            <w:tcW w:w="1033" w:type="pct"/>
            <w:tcBorders>
              <w:top w:val="single" w:sz="4" w:space="0" w:color="auto"/>
              <w:left w:val="nil"/>
              <w:bottom w:val="single" w:sz="12"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发行人家数（家）</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181</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456</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356</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522</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160</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-53.62</w:t>
            </w:r>
          </w:p>
        </w:tc>
        <w:tc>
          <w:tcPr>
            <w:tcW w:w="662" w:type="pct"/>
            <w:tcBorders>
              <w:top w:val="single" w:sz="4" w:space="0" w:color="auto"/>
              <w:left w:val="single" w:sz="4" w:space="0" w:color="auto"/>
              <w:bottom w:val="single" w:sz="12" w:space="0" w:color="auto"/>
              <w:right w:val="nil"/>
            </w:tcBorders>
            <w:tcMar>
              <w:top w:w="0" w:type="dxa"/>
              <w:left w:w="108" w:type="dxa"/>
              <w:bottom w:w="0" w:type="dxa"/>
              <w:right w:w="108"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-19.19</w:t>
            </w:r>
          </w:p>
        </w:tc>
      </w:tr>
    </w:tbl>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注：统计期以债券的起息日为准，统计样本不包含中国铁路总公司所发行债券，以下同。</w:t>
      </w:r>
    </w:p>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资料来源：中国债券信息网、</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三、企业债券发行规模分布</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从企业债券的发行规模来看，2015年上</w:t>
      </w:r>
      <w:r w:rsidRPr="002B4623">
        <w:rPr>
          <w:rFonts w:ascii="宋体" w:eastAsia="宋体" w:hAnsi="宋体" w:cs="宋体"/>
          <w:kern w:val="0"/>
          <w:sz w:val="24"/>
          <w:szCs w:val="24"/>
          <w:shd w:val="clear" w:color="auto" w:fill="FFFFFF"/>
        </w:rPr>
        <w:t>半年发行的企业债券</w:t>
      </w:r>
      <w:r w:rsidRPr="002B4623">
        <w:rPr>
          <w:rFonts w:ascii="宋体" w:eastAsia="宋体" w:hAnsi="宋体" w:cs="宋体"/>
          <w:kern w:val="0"/>
          <w:sz w:val="24"/>
          <w:szCs w:val="24"/>
        </w:rPr>
        <w:t>的发行规模以5~10亿元居多，占比达49.70%，发行期数占比环比上升明显；发行规模在1~5亿元的企业债券发行期数占比同比环比也均有所增加。发行规模在10~50亿元的企业债券的发行期数则呈现明显减少的态势，其中10~30亿元规模区间的企业债券发行同比环比降幅均较明显。所有规模区间的平均单笔发行规模为10.94亿元，同比和环比均有所减少。</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lastRenderedPageBreak/>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4"/>
        </w:rPr>
        <w:t xml:space="preserve">2  </w:t>
      </w:r>
      <w:r w:rsidRPr="002B4623">
        <w:rPr>
          <w:rFonts w:ascii="宋体" w:eastAsia="宋体" w:hAnsi="宋体" w:cs="宋体"/>
          <w:kern w:val="0"/>
          <w:sz w:val="24"/>
          <w:szCs w:val="24"/>
        </w:rPr>
        <w:t>企业债券发行规模分布情况表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7"/>
        <w:gridCol w:w="948"/>
        <w:gridCol w:w="942"/>
        <w:gridCol w:w="952"/>
        <w:gridCol w:w="828"/>
        <w:gridCol w:w="827"/>
        <w:gridCol w:w="942"/>
        <w:gridCol w:w="942"/>
        <w:gridCol w:w="941"/>
        <w:gridCol w:w="17"/>
      </w:tblGrid>
      <w:tr w:rsidR="002B4623" w:rsidRPr="002B4623" w:rsidTr="002B4623">
        <w:trPr>
          <w:trHeight w:val="283"/>
          <w:jc w:val="center"/>
        </w:trPr>
        <w:tc>
          <w:tcPr>
            <w:tcW w:w="1532" w:type="dxa"/>
            <w:vMerge w:val="restart"/>
            <w:tcBorders>
              <w:top w:val="single" w:sz="12" w:space="0" w:color="auto"/>
              <w:left w:val="nil"/>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发行规模</w:t>
            </w:r>
          </w:p>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（亿元）</w:t>
            </w:r>
          </w:p>
        </w:tc>
        <w:tc>
          <w:tcPr>
            <w:tcW w:w="4538" w:type="dxa"/>
            <w:gridSpan w:val="5"/>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发行期数（期）</w:t>
            </w:r>
          </w:p>
        </w:tc>
        <w:tc>
          <w:tcPr>
            <w:tcW w:w="2631" w:type="dxa"/>
            <w:gridSpan w:val="4"/>
            <w:tcBorders>
              <w:top w:val="single" w:sz="12" w:space="0" w:color="auto"/>
              <w:left w:val="single" w:sz="4" w:space="0" w:color="auto"/>
              <w:bottom w:val="single" w:sz="4" w:space="0" w:color="auto"/>
              <w:right w:val="nil"/>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平均单笔发行规模（亿元）</w:t>
            </w:r>
          </w:p>
        </w:tc>
      </w:tr>
      <w:tr w:rsidR="002B4623" w:rsidRPr="002B4623" w:rsidTr="002B4623">
        <w:trPr>
          <w:trHeight w:val="292"/>
          <w:jc w:val="center"/>
        </w:trPr>
        <w:tc>
          <w:tcPr>
            <w:tcW w:w="0" w:type="auto"/>
            <w:vMerge/>
            <w:tcBorders>
              <w:top w:val="single" w:sz="12" w:space="0" w:color="auto"/>
              <w:left w:val="nil"/>
              <w:bottom w:val="single" w:sz="4" w:space="0" w:color="auto"/>
              <w:right w:val="single" w:sz="4" w:space="0" w:color="auto"/>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2014H1</w:t>
            </w:r>
          </w:p>
        </w:tc>
        <w:tc>
          <w:tcPr>
            <w:tcW w:w="87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2014H2</w:t>
            </w:r>
          </w:p>
        </w:tc>
        <w:tc>
          <w:tcPr>
            <w:tcW w:w="988"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2015H1</w:t>
            </w:r>
          </w:p>
        </w:tc>
        <w:tc>
          <w:tcPr>
            <w:tcW w:w="854"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200" w:lineRule="exact"/>
              <w:jc w:val="center"/>
              <w:rPr>
                <w:rFonts w:ascii="宋体" w:eastAsia="宋体" w:hAnsi="宋体" w:cs="宋体"/>
                <w:kern w:val="0"/>
                <w:sz w:val="24"/>
                <w:szCs w:val="24"/>
              </w:rPr>
            </w:pPr>
            <w:r w:rsidRPr="002B4623">
              <w:rPr>
                <w:rFonts w:ascii="宋体" w:eastAsia="宋体" w:hAnsi="宋体" w:cs="宋体"/>
                <w:b/>
                <w:kern w:val="0"/>
                <w:sz w:val="24"/>
                <w:szCs w:val="24"/>
              </w:rPr>
              <w:t>同比</w:t>
            </w:r>
          </w:p>
          <w:p w:rsidR="002B4623" w:rsidRPr="002B4623" w:rsidRDefault="002B4623" w:rsidP="002B4623">
            <w:pPr>
              <w:widowControl/>
              <w:adjustRightInd w:val="0"/>
              <w:snapToGrid w:val="0"/>
              <w:spacing w:before="100" w:beforeAutospacing="1" w:line="200" w:lineRule="exact"/>
              <w:jc w:val="center"/>
              <w:rPr>
                <w:rFonts w:ascii="宋体" w:eastAsia="宋体" w:hAnsi="宋体" w:cs="宋体"/>
                <w:kern w:val="0"/>
                <w:sz w:val="24"/>
                <w:szCs w:val="24"/>
              </w:rPr>
            </w:pPr>
            <w:r w:rsidRPr="002B4623">
              <w:rPr>
                <w:rFonts w:ascii="宋体" w:eastAsia="宋体" w:hAnsi="宋体" w:cs="宋体"/>
                <w:b/>
                <w:kern w:val="0"/>
                <w:sz w:val="24"/>
                <w:szCs w:val="24"/>
              </w:rPr>
              <w:t>增长（%）</w:t>
            </w:r>
          </w:p>
        </w:tc>
        <w:tc>
          <w:tcPr>
            <w:tcW w:w="84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200" w:lineRule="exact"/>
              <w:jc w:val="center"/>
              <w:rPr>
                <w:rFonts w:ascii="宋体" w:eastAsia="宋体" w:hAnsi="宋体" w:cs="宋体"/>
                <w:kern w:val="0"/>
                <w:sz w:val="24"/>
                <w:szCs w:val="24"/>
              </w:rPr>
            </w:pPr>
            <w:r w:rsidRPr="002B4623">
              <w:rPr>
                <w:rFonts w:ascii="宋体" w:eastAsia="宋体" w:hAnsi="宋体" w:cs="宋体"/>
                <w:b/>
                <w:kern w:val="0"/>
                <w:sz w:val="24"/>
                <w:szCs w:val="24"/>
              </w:rPr>
              <w:t>环比</w:t>
            </w:r>
          </w:p>
          <w:p w:rsidR="002B4623" w:rsidRPr="002B4623" w:rsidRDefault="002B4623" w:rsidP="002B4623">
            <w:pPr>
              <w:widowControl/>
              <w:adjustRightInd w:val="0"/>
              <w:snapToGrid w:val="0"/>
              <w:spacing w:before="100" w:beforeAutospacing="1" w:line="200" w:lineRule="exact"/>
              <w:jc w:val="center"/>
              <w:rPr>
                <w:rFonts w:ascii="宋体" w:eastAsia="宋体" w:hAnsi="宋体" w:cs="宋体"/>
                <w:kern w:val="0"/>
                <w:sz w:val="24"/>
                <w:szCs w:val="24"/>
              </w:rPr>
            </w:pPr>
            <w:r w:rsidRPr="002B4623">
              <w:rPr>
                <w:rFonts w:ascii="宋体" w:eastAsia="宋体" w:hAnsi="宋体" w:cs="宋体"/>
                <w:b/>
                <w:kern w:val="0"/>
                <w:sz w:val="24"/>
                <w:szCs w:val="24"/>
              </w:rPr>
              <w:t>增长（%）</w:t>
            </w:r>
          </w:p>
        </w:tc>
        <w:tc>
          <w:tcPr>
            <w:tcW w:w="847"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2014H1</w:t>
            </w:r>
          </w:p>
        </w:tc>
        <w:tc>
          <w:tcPr>
            <w:tcW w:w="847"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2014H2</w:t>
            </w:r>
          </w:p>
        </w:tc>
        <w:tc>
          <w:tcPr>
            <w:tcW w:w="937" w:type="dxa"/>
            <w:gridSpan w:val="2"/>
            <w:tcBorders>
              <w:top w:val="single" w:sz="4" w:space="0" w:color="auto"/>
              <w:left w:val="single" w:sz="4" w:space="0" w:color="auto"/>
              <w:bottom w:val="single" w:sz="4" w:space="0" w:color="auto"/>
              <w:right w:val="nil"/>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2015H1</w:t>
            </w:r>
          </w:p>
        </w:tc>
      </w:tr>
      <w:tr w:rsidR="002B4623" w:rsidRPr="002B4623" w:rsidTr="002B4623">
        <w:trPr>
          <w:gridAfter w:val="1"/>
          <w:wAfter w:w="10" w:type="pct"/>
          <w:trHeight w:val="283"/>
          <w:jc w:val="center"/>
        </w:trPr>
        <w:tc>
          <w:tcPr>
            <w:tcW w:w="1532"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tabs>
                <w:tab w:val="center" w:pos="957"/>
              </w:tabs>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1~5（含5）</w:t>
            </w:r>
          </w:p>
        </w:tc>
        <w:tc>
          <w:tcPr>
            <w:tcW w:w="968"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20</w:t>
            </w:r>
          </w:p>
        </w:tc>
        <w:tc>
          <w:tcPr>
            <w:tcW w:w="988"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19</w:t>
            </w:r>
          </w:p>
        </w:tc>
        <w:tc>
          <w:tcPr>
            <w:tcW w:w="85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-34.48</w:t>
            </w:r>
          </w:p>
        </w:tc>
        <w:tc>
          <w:tcPr>
            <w:tcW w:w="849"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-5.00</w:t>
            </w:r>
          </w:p>
        </w:tc>
        <w:tc>
          <w:tcPr>
            <w:tcW w:w="847"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4.44</w:t>
            </w:r>
          </w:p>
        </w:tc>
        <w:tc>
          <w:tcPr>
            <w:tcW w:w="847"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4.07 </w:t>
            </w:r>
          </w:p>
        </w:tc>
        <w:tc>
          <w:tcPr>
            <w:tcW w:w="921"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4.53 </w:t>
            </w:r>
          </w:p>
        </w:tc>
      </w:tr>
      <w:tr w:rsidR="002B4623" w:rsidRPr="002B4623" w:rsidTr="002B4623">
        <w:trPr>
          <w:gridAfter w:val="1"/>
          <w:wAfter w:w="10" w:type="pct"/>
          <w:trHeight w:val="283"/>
          <w:jc w:val="center"/>
        </w:trPr>
        <w:tc>
          <w:tcPr>
            <w:tcW w:w="1532"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tabs>
                <w:tab w:val="center" w:pos="957"/>
              </w:tabs>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5~10（含10）</w:t>
            </w: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176</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86</w:t>
            </w:r>
          </w:p>
        </w:tc>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82</w:t>
            </w: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-53.41</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-4.65</w:t>
            </w:r>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8.53</w:t>
            </w:r>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8.69 </w:t>
            </w:r>
          </w:p>
        </w:tc>
        <w:tc>
          <w:tcPr>
            <w:tcW w:w="921"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8.30 </w:t>
            </w:r>
          </w:p>
        </w:tc>
      </w:tr>
      <w:tr w:rsidR="002B4623" w:rsidRPr="002B4623" w:rsidTr="002B4623">
        <w:trPr>
          <w:gridAfter w:val="1"/>
          <w:wAfter w:w="10" w:type="pct"/>
          <w:trHeight w:val="283"/>
          <w:jc w:val="center"/>
        </w:trPr>
        <w:tc>
          <w:tcPr>
            <w:tcW w:w="1532"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10~20（含20）</w:t>
            </w:r>
          </w:p>
        </w:tc>
        <w:tc>
          <w:tcPr>
            <w:tcW w:w="968"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144</w:t>
            </w:r>
          </w:p>
        </w:tc>
        <w:tc>
          <w:tcPr>
            <w:tcW w:w="879"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88</w:t>
            </w:r>
          </w:p>
        </w:tc>
        <w:tc>
          <w:tcPr>
            <w:tcW w:w="988"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58</w:t>
            </w:r>
          </w:p>
        </w:tc>
        <w:tc>
          <w:tcPr>
            <w:tcW w:w="85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-59.72</w:t>
            </w:r>
          </w:p>
        </w:tc>
        <w:tc>
          <w:tcPr>
            <w:tcW w:w="849"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-34.09</w:t>
            </w:r>
          </w:p>
        </w:tc>
        <w:tc>
          <w:tcPr>
            <w:tcW w:w="847"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14.92</w:t>
            </w:r>
          </w:p>
        </w:tc>
        <w:tc>
          <w:tcPr>
            <w:tcW w:w="847"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14.13 </w:t>
            </w:r>
          </w:p>
        </w:tc>
        <w:tc>
          <w:tcPr>
            <w:tcW w:w="921"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14.08 </w:t>
            </w:r>
          </w:p>
        </w:tc>
      </w:tr>
      <w:tr w:rsidR="002B4623" w:rsidRPr="002B4623" w:rsidTr="002B4623">
        <w:trPr>
          <w:gridAfter w:val="1"/>
          <w:wAfter w:w="10" w:type="pct"/>
          <w:trHeight w:val="283"/>
          <w:jc w:val="center"/>
        </w:trPr>
        <w:tc>
          <w:tcPr>
            <w:tcW w:w="1532"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20~30（含30）</w:t>
            </w: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14</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7</w:t>
            </w:r>
          </w:p>
        </w:tc>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-64.29</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-28.57</w:t>
            </w:r>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24.91</w:t>
            </w:r>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26.29 </w:t>
            </w:r>
          </w:p>
        </w:tc>
        <w:tc>
          <w:tcPr>
            <w:tcW w:w="921"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28.40 </w:t>
            </w:r>
          </w:p>
        </w:tc>
      </w:tr>
      <w:tr w:rsidR="002B4623" w:rsidRPr="002B4623" w:rsidTr="002B4623">
        <w:trPr>
          <w:gridAfter w:val="1"/>
          <w:wAfter w:w="10" w:type="pct"/>
          <w:trHeight w:val="283"/>
          <w:jc w:val="center"/>
        </w:trPr>
        <w:tc>
          <w:tcPr>
            <w:tcW w:w="1532"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30~50（含50）</w:t>
            </w:r>
          </w:p>
        </w:tc>
        <w:tc>
          <w:tcPr>
            <w:tcW w:w="968"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w:t>
            </w:r>
          </w:p>
        </w:tc>
        <w:tc>
          <w:tcPr>
            <w:tcW w:w="879"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988"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45.87</w:t>
            </w:r>
          </w:p>
        </w:tc>
        <w:tc>
          <w:tcPr>
            <w:tcW w:w="847"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45.00 </w:t>
            </w:r>
          </w:p>
        </w:tc>
        <w:tc>
          <w:tcPr>
            <w:tcW w:w="921"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r>
      <w:tr w:rsidR="002B4623" w:rsidRPr="002B4623" w:rsidTr="002B4623">
        <w:trPr>
          <w:gridAfter w:val="1"/>
          <w:wAfter w:w="10" w:type="pct"/>
          <w:trHeight w:val="283"/>
          <w:jc w:val="center"/>
        </w:trPr>
        <w:tc>
          <w:tcPr>
            <w:tcW w:w="1532"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kern w:val="0"/>
                <w:sz w:val="24"/>
                <w:szCs w:val="24"/>
              </w:rPr>
              <w:t>50以上</w:t>
            </w: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0.00</w:t>
            </w:r>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60.00 </w:t>
            </w:r>
          </w:p>
        </w:tc>
        <w:tc>
          <w:tcPr>
            <w:tcW w:w="921"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80.00 </w:t>
            </w:r>
          </w:p>
        </w:tc>
      </w:tr>
      <w:tr w:rsidR="002B4623" w:rsidRPr="002B4623" w:rsidTr="002B4623">
        <w:trPr>
          <w:gridAfter w:val="1"/>
          <w:wAfter w:w="10" w:type="pct"/>
          <w:trHeight w:val="283"/>
          <w:jc w:val="center"/>
        </w:trPr>
        <w:tc>
          <w:tcPr>
            <w:tcW w:w="1532" w:type="dxa"/>
            <w:tcBorders>
              <w:top w:val="single" w:sz="4" w:space="0" w:color="auto"/>
              <w:left w:val="nil"/>
              <w:bottom w:val="single" w:sz="12" w:space="0" w:color="auto"/>
              <w:right w:val="single" w:sz="4" w:space="0" w:color="auto"/>
            </w:tcBorders>
            <w:shd w:val="clear" w:color="auto" w:fill="FFFFFF"/>
            <w:vAlign w:val="center"/>
            <w:hideMark/>
          </w:tcPr>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b/>
                <w:kern w:val="0"/>
                <w:sz w:val="24"/>
                <w:szCs w:val="24"/>
              </w:rPr>
              <w:t>合计</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369</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206</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165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-55.29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-19.90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11.93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12.12</w:t>
            </w:r>
          </w:p>
        </w:tc>
        <w:tc>
          <w:tcPr>
            <w:tcW w:w="921" w:type="dxa"/>
            <w:tcBorders>
              <w:top w:val="single" w:sz="4" w:space="0" w:color="auto"/>
              <w:left w:val="single" w:sz="4" w:space="0" w:color="auto"/>
              <w:bottom w:val="single" w:sz="12"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10.94</w:t>
            </w:r>
          </w:p>
        </w:tc>
      </w:tr>
    </w:tbl>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资料来源：中国债券信息网、</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四、</w:t>
      </w:r>
      <w:r w:rsidRPr="002B4623">
        <w:rPr>
          <w:rFonts w:ascii="宋体" w:eastAsia="宋体" w:hAnsi="宋体" w:cs="宋体"/>
          <w:b/>
          <w:kern w:val="0"/>
          <w:sz w:val="24"/>
          <w:szCs w:val="24"/>
        </w:rPr>
        <w:t>AA</w:t>
      </w:r>
      <w:r w:rsidRPr="002B4623">
        <w:rPr>
          <w:rFonts w:ascii="宋体" w:eastAsia="宋体" w:hAnsi="宋体" w:cs="宋体" w:hint="eastAsia"/>
          <w:b/>
          <w:kern w:val="0"/>
          <w:sz w:val="24"/>
          <w:szCs w:val="24"/>
        </w:rPr>
        <w:t>级企业债券发行集中度依然较高</w:t>
      </w:r>
    </w:p>
    <w:p w:rsidR="002B4623" w:rsidRPr="002B4623" w:rsidRDefault="002B4623" w:rsidP="002B4623">
      <w:pPr>
        <w:widowControl/>
        <w:adjustRightInd w:val="0"/>
        <w:snapToGrid w:val="0"/>
        <w:spacing w:before="100" w:beforeAutospacing="1"/>
        <w:ind w:firstLineChars="200" w:firstLine="480"/>
        <w:jc w:val="left"/>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proofErr w:type="gramStart"/>
      <w:r w:rsidRPr="002B4623">
        <w:rPr>
          <w:rFonts w:ascii="宋体" w:eastAsia="宋体" w:hAnsi="宋体" w:cs="宋体"/>
          <w:kern w:val="0"/>
          <w:sz w:val="24"/>
          <w:szCs w:val="24"/>
        </w:rPr>
        <w:t>从债项</w:t>
      </w:r>
      <w:proofErr w:type="gramEnd"/>
      <w:r w:rsidRPr="002B4623">
        <w:rPr>
          <w:rFonts w:ascii="宋体" w:eastAsia="宋体" w:hAnsi="宋体" w:cs="宋体"/>
          <w:kern w:val="0"/>
          <w:sz w:val="24"/>
          <w:szCs w:val="24"/>
        </w:rPr>
        <w:t>信用等级分布情况看，2015年</w:t>
      </w:r>
      <w:r w:rsidRPr="002B4623">
        <w:rPr>
          <w:rFonts w:ascii="宋体" w:eastAsia="宋体" w:hAnsi="宋体" w:cs="宋体"/>
          <w:kern w:val="0"/>
          <w:sz w:val="24"/>
          <w:szCs w:val="24"/>
          <w:shd w:val="clear" w:color="auto" w:fill="FFFFFF"/>
        </w:rPr>
        <w:t>上半年发行企业债券</w:t>
      </w:r>
      <w:r w:rsidRPr="002B4623">
        <w:rPr>
          <w:rFonts w:ascii="宋体" w:eastAsia="宋体" w:hAnsi="宋体" w:cs="宋体"/>
          <w:kern w:val="0"/>
          <w:sz w:val="24"/>
          <w:szCs w:val="24"/>
        </w:rPr>
        <w:t>的信用等级依然分布在AAA级~AA级之间，级别分布态势未有明显变化。其中，AA级企业债券的</w:t>
      </w:r>
      <w:r w:rsidRPr="002B4623">
        <w:rPr>
          <w:rFonts w:ascii="宋体" w:eastAsia="宋体" w:hAnsi="宋体" w:cs="宋体"/>
          <w:kern w:val="0"/>
          <w:sz w:val="24"/>
          <w:szCs w:val="24"/>
        </w:rPr>
        <w:lastRenderedPageBreak/>
        <w:t>发行期数和发行规模分别占总发行期数和发行总额的67.27%和57.49%， AA级企业债券集中度依然较高。</w:t>
      </w:r>
    </w:p>
    <w:p w:rsidR="002B4623" w:rsidRPr="002B4623" w:rsidRDefault="002B4623" w:rsidP="002B4623">
      <w:pPr>
        <w:widowControl/>
        <w:spacing w:before="100" w:beforeAutospacing="1" w:line="200" w:lineRule="exact"/>
        <w:ind w:firstLineChars="300" w:firstLine="720"/>
        <w:jc w:val="left"/>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after="100" w:afterAutospacing="1"/>
        <w:jc w:val="center"/>
        <w:rPr>
          <w:rFonts w:ascii="宋体" w:eastAsia="宋体" w:hAnsi="宋体" w:cs="宋体"/>
          <w:kern w:val="0"/>
          <w:szCs w:val="21"/>
        </w:rPr>
      </w:pPr>
      <w:r w:rsidRPr="002B4623">
        <w:rPr>
          <w:rFonts w:ascii="宋体" w:eastAsia="宋体" w:hAnsi="宋体" w:cs="宋体"/>
          <w:noProof/>
          <w:color w:val="0000FF"/>
          <w:kern w:val="0"/>
          <w:szCs w:val="21"/>
        </w:rPr>
        <w:drawing>
          <wp:inline distT="0" distB="0" distL="0" distR="0">
            <wp:extent cx="4286250" cy="2324100"/>
            <wp:effectExtent l="0" t="0" r="0" b="0"/>
            <wp:docPr id="3" name="图片 3" descr="http://lhcis.com/LHXY/wwwroot/lhxy/upload/Image/mrtp/2015/08/1_3618913033.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cis.com/LHXY/wwwroot/lhxy/upload/Image/mrtp/2015/08/1_3618913033.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324100"/>
                    </a:xfrm>
                    <a:prstGeom prst="rect">
                      <a:avLst/>
                    </a:prstGeom>
                    <a:noFill/>
                    <a:ln>
                      <a:noFill/>
                    </a:ln>
                  </pic:spPr>
                </pic:pic>
              </a:graphicData>
            </a:graphic>
          </wp:inline>
        </w:drawing>
      </w:r>
    </w:p>
    <w:p w:rsidR="002B4623" w:rsidRPr="002B4623" w:rsidRDefault="002B4623" w:rsidP="002B4623">
      <w:pPr>
        <w:widowControl/>
        <w:spacing w:before="100" w:beforeAutospacing="1" w:after="100" w:afterAutospacing="1"/>
        <w:jc w:val="left"/>
        <w:rPr>
          <w:rFonts w:ascii="宋体" w:eastAsia="宋体" w:hAnsi="宋体" w:cs="宋体" w:hint="eastAsia"/>
          <w:kern w:val="0"/>
          <w:szCs w:val="21"/>
        </w:rPr>
      </w:pPr>
      <w:r w:rsidRPr="002B4623">
        <w:rPr>
          <w:rFonts w:ascii="宋体" w:eastAsia="宋体" w:hAnsi="宋体" w:cs="宋体" w:hint="eastAsia"/>
          <w:kern w:val="0"/>
          <w:szCs w:val="21"/>
        </w:rPr>
        <w:t xml:space="preserve">           </w:t>
      </w:r>
      <w:r w:rsidRPr="002B4623">
        <w:rPr>
          <w:rFonts w:ascii="楷体_GB2312" w:eastAsia="楷体_GB2312" w:hAnsi="宋体" w:cs="宋体" w:hint="eastAsia"/>
          <w:kern w:val="0"/>
          <w:sz w:val="18"/>
          <w:szCs w:val="18"/>
        </w:rPr>
        <w:t>资料来源：中国债券信息网、Wind资讯、联</w:t>
      </w:r>
      <w:proofErr w:type="gramStart"/>
      <w:r w:rsidRPr="002B4623">
        <w:rPr>
          <w:rFonts w:ascii="楷体_GB2312" w:eastAsia="楷体_GB2312" w:hAnsi="宋体" w:cs="宋体" w:hint="eastAsia"/>
          <w:kern w:val="0"/>
          <w:sz w:val="18"/>
          <w:szCs w:val="18"/>
        </w:rPr>
        <w:t>合资信</w:t>
      </w:r>
      <w:proofErr w:type="gramEnd"/>
      <w:r w:rsidRPr="002B4623">
        <w:rPr>
          <w:rFonts w:ascii="楷体_GB2312" w:eastAsia="楷体_GB2312" w:hAnsi="宋体" w:cs="宋体" w:hint="eastAsia"/>
          <w:kern w:val="0"/>
          <w:sz w:val="18"/>
          <w:szCs w:val="18"/>
        </w:rPr>
        <w:t>整理</w:t>
      </w:r>
    </w:p>
    <w:p w:rsidR="002B4623" w:rsidRPr="002B4623" w:rsidRDefault="002B4623" w:rsidP="002B4623">
      <w:pPr>
        <w:widowControl/>
        <w:spacing w:before="100" w:beforeAutospacing="1"/>
        <w:jc w:val="center"/>
        <w:rPr>
          <w:rFonts w:ascii="宋体" w:eastAsia="宋体" w:hAnsi="宋体" w:cs="宋体" w:hint="eastAsia"/>
          <w:kern w:val="0"/>
          <w:sz w:val="24"/>
          <w:szCs w:val="24"/>
        </w:rPr>
      </w:pPr>
      <w:r w:rsidRPr="002B4623">
        <w:rPr>
          <w:rFonts w:ascii="宋体" w:eastAsia="宋体" w:hAnsi="宋体" w:cs="宋体"/>
          <w:kern w:val="0"/>
          <w:sz w:val="24"/>
          <w:szCs w:val="24"/>
        </w:rPr>
        <w:t>图</w:t>
      </w:r>
      <w:r w:rsidRPr="002B4623">
        <w:rPr>
          <w:rFonts w:ascii="宋体" w:eastAsia="楷体_GB2312" w:hAnsi="宋体" w:cs="宋体"/>
          <w:kern w:val="0"/>
          <w:sz w:val="24"/>
          <w:szCs w:val="24"/>
        </w:rPr>
        <w:t>1</w:t>
      </w:r>
      <w:r w:rsidRPr="002B4623">
        <w:rPr>
          <w:rFonts w:ascii="宋体" w:eastAsia="宋体" w:hAnsi="宋体" w:cs="宋体"/>
          <w:kern w:val="0"/>
          <w:sz w:val="24"/>
          <w:szCs w:val="24"/>
        </w:rPr>
        <w:t>企业债券信用等级分布情况</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楷体_GB2312" w:hAnsi="宋体" w:cs="宋体"/>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五、企业债券发行期限分布仍主要集中在</w:t>
      </w:r>
      <w:r w:rsidRPr="002B4623">
        <w:rPr>
          <w:rFonts w:ascii="宋体" w:eastAsia="宋体" w:hAnsi="宋体" w:cs="宋体"/>
          <w:b/>
          <w:kern w:val="0"/>
          <w:sz w:val="24"/>
          <w:szCs w:val="24"/>
        </w:rPr>
        <w:t>7</w:t>
      </w:r>
      <w:r w:rsidRPr="002B4623">
        <w:rPr>
          <w:rFonts w:ascii="宋体" w:eastAsia="宋体" w:hAnsi="宋体" w:cs="宋体" w:hint="eastAsia"/>
          <w:b/>
          <w:kern w:val="0"/>
          <w:sz w:val="24"/>
          <w:szCs w:val="24"/>
        </w:rPr>
        <w:t>年期</w:t>
      </w:r>
    </w:p>
    <w:p w:rsidR="002B4623" w:rsidRPr="002B4623" w:rsidRDefault="002B4623" w:rsidP="002B4623">
      <w:pPr>
        <w:widowControl/>
        <w:adjustRightInd w:val="0"/>
        <w:snapToGrid w:val="0"/>
        <w:spacing w:before="100" w:beforeAutospacing="1"/>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从发行期限来看，2015年上</w:t>
      </w:r>
      <w:r w:rsidRPr="002B4623">
        <w:rPr>
          <w:rFonts w:ascii="宋体" w:eastAsia="宋体" w:hAnsi="宋体" w:cs="宋体"/>
          <w:kern w:val="0"/>
          <w:sz w:val="24"/>
          <w:szCs w:val="24"/>
          <w:shd w:val="clear" w:color="auto" w:fill="FFFFFF"/>
        </w:rPr>
        <w:t>半年发行企业债券</w:t>
      </w:r>
      <w:r w:rsidRPr="002B4623">
        <w:rPr>
          <w:rFonts w:ascii="宋体" w:eastAsia="宋体" w:hAnsi="宋体" w:cs="宋体"/>
          <w:kern w:val="0"/>
          <w:sz w:val="24"/>
          <w:szCs w:val="24"/>
        </w:rPr>
        <w:t>仍主要集中在7年期，其发行期数和发行规模在总发行期数和发行总额中的占比分别为80.61%和78.15%；其他期限企业债券发行量依然较少，期限结构分布未有明显变化。</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4"/>
        </w:rPr>
        <w:t xml:space="preserve">3  </w:t>
      </w:r>
      <w:r w:rsidRPr="002B4623">
        <w:rPr>
          <w:rFonts w:ascii="宋体" w:eastAsia="宋体" w:hAnsi="宋体" w:cs="宋体"/>
          <w:kern w:val="0"/>
          <w:sz w:val="24"/>
          <w:szCs w:val="24"/>
        </w:rPr>
        <w:t>企业债券发行期限分布情况表</w:t>
      </w:r>
    </w:p>
    <w:tbl>
      <w:tblPr>
        <w:tblpPr w:leftFromText="180" w:rightFromText="180" w:vertAnchor="text" w:tblpXSpec="center" w:tblpY="1"/>
        <w:tblOverlap w:val="never"/>
        <w:tblW w:w="838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26"/>
        <w:gridCol w:w="1175"/>
        <w:gridCol w:w="1183"/>
        <w:gridCol w:w="1173"/>
        <w:gridCol w:w="1180"/>
        <w:gridCol w:w="1173"/>
        <w:gridCol w:w="1175"/>
      </w:tblGrid>
      <w:tr w:rsidR="002B4623" w:rsidRPr="002B4623" w:rsidTr="002B4623">
        <w:trPr>
          <w:trHeight w:val="312"/>
          <w:jc w:val="center"/>
        </w:trPr>
        <w:tc>
          <w:tcPr>
            <w:tcW w:w="1325" w:type="dxa"/>
            <w:vMerge w:val="restart"/>
            <w:tcBorders>
              <w:top w:val="single" w:sz="12" w:space="0" w:color="auto"/>
              <w:left w:val="nil"/>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发行期限</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（年）</w:t>
            </w:r>
          </w:p>
        </w:tc>
        <w:tc>
          <w:tcPr>
            <w:tcW w:w="2356"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2014年上半年</w:t>
            </w:r>
          </w:p>
        </w:tc>
        <w:tc>
          <w:tcPr>
            <w:tcW w:w="2353"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2014年下半年</w:t>
            </w:r>
          </w:p>
        </w:tc>
        <w:tc>
          <w:tcPr>
            <w:tcW w:w="2348" w:type="dxa"/>
            <w:gridSpan w:val="2"/>
            <w:tcBorders>
              <w:top w:val="single" w:sz="12" w:space="0" w:color="auto"/>
              <w:left w:val="single" w:sz="4" w:space="0" w:color="auto"/>
              <w:bottom w:val="single" w:sz="4" w:space="0" w:color="auto"/>
              <w:right w:val="nil"/>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2015年上半年</w:t>
            </w:r>
          </w:p>
        </w:tc>
      </w:tr>
      <w:tr w:rsidR="002B4623" w:rsidRPr="002B4623" w:rsidTr="002B4623">
        <w:trPr>
          <w:trHeight w:val="312"/>
          <w:jc w:val="center"/>
        </w:trPr>
        <w:tc>
          <w:tcPr>
            <w:tcW w:w="1325" w:type="dxa"/>
            <w:vMerge/>
            <w:tcBorders>
              <w:top w:val="single" w:sz="12" w:space="0" w:color="auto"/>
              <w:left w:val="nil"/>
              <w:bottom w:val="single" w:sz="4" w:space="0" w:color="auto"/>
              <w:right w:val="single" w:sz="4" w:space="0" w:color="auto"/>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期数（期）</w:t>
            </w:r>
          </w:p>
        </w:tc>
        <w:tc>
          <w:tcPr>
            <w:tcW w:w="1182"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（亿元）</w:t>
            </w:r>
          </w:p>
        </w:tc>
        <w:tc>
          <w:tcPr>
            <w:tcW w:w="117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期数（期）</w:t>
            </w:r>
          </w:p>
        </w:tc>
        <w:tc>
          <w:tcPr>
            <w:tcW w:w="1180"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（亿元）</w:t>
            </w:r>
          </w:p>
        </w:tc>
        <w:tc>
          <w:tcPr>
            <w:tcW w:w="117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期数（期）</w:t>
            </w:r>
          </w:p>
        </w:tc>
        <w:tc>
          <w:tcPr>
            <w:tcW w:w="1175" w:type="dxa"/>
            <w:tcBorders>
              <w:top w:val="single" w:sz="4" w:space="0" w:color="auto"/>
              <w:left w:val="single" w:sz="4" w:space="0" w:color="auto"/>
              <w:bottom w:val="single" w:sz="4" w:space="0" w:color="auto"/>
              <w:right w:val="nil"/>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（亿元）</w:t>
            </w:r>
          </w:p>
        </w:tc>
      </w:tr>
      <w:tr w:rsidR="002B4623" w:rsidRPr="002B4623" w:rsidTr="002B4623">
        <w:trPr>
          <w:trHeight w:hRule="exact" w:val="255"/>
          <w:jc w:val="center"/>
        </w:trPr>
        <w:tc>
          <w:tcPr>
            <w:tcW w:w="132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117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10</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1175"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49</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10</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19</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8</w:t>
            </w:r>
          </w:p>
        </w:tc>
        <w:tc>
          <w:tcPr>
            <w:tcW w:w="1175"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43.5</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117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8</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146</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99</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1175"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33</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lastRenderedPageBreak/>
              <w:t>6</w:t>
            </w: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16</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169.5</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18</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135.4</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9</w:t>
            </w:r>
          </w:p>
        </w:tc>
        <w:tc>
          <w:tcPr>
            <w:tcW w:w="1175"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94</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7</w:t>
            </w:r>
          </w:p>
        </w:tc>
        <w:tc>
          <w:tcPr>
            <w:tcW w:w="117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313</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3491.5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162</w:t>
            </w:r>
          </w:p>
        </w:tc>
        <w:tc>
          <w:tcPr>
            <w:tcW w:w="1180"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1852.1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133</w:t>
            </w:r>
          </w:p>
        </w:tc>
        <w:tc>
          <w:tcPr>
            <w:tcW w:w="1175"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1410.9</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8</w:t>
            </w: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47</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20</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1175"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12</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10</w:t>
            </w:r>
          </w:p>
        </w:tc>
        <w:tc>
          <w:tcPr>
            <w:tcW w:w="117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21</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398</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9</w:t>
            </w:r>
          </w:p>
        </w:tc>
        <w:tc>
          <w:tcPr>
            <w:tcW w:w="1180"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191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1175"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105</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11</w:t>
            </w:r>
          </w:p>
        </w:tc>
        <w:tc>
          <w:tcPr>
            <w:tcW w:w="117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20</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1175" w:type="dxa"/>
            <w:tcBorders>
              <w:top w:val="single" w:sz="4" w:space="0" w:color="auto"/>
              <w:left w:val="single" w:sz="4" w:space="0" w:color="auto"/>
              <w:bottom w:val="single" w:sz="4" w:space="0" w:color="auto"/>
              <w:right w:val="nil"/>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w:t>
            </w:r>
          </w:p>
        </w:tc>
      </w:tr>
      <w:tr w:rsidR="002B4623" w:rsidRPr="002B4623" w:rsidTr="002B4623">
        <w:trPr>
          <w:trHeight w:hRule="exact" w:val="301"/>
          <w:jc w:val="center"/>
        </w:trPr>
        <w:tc>
          <w:tcPr>
            <w:tcW w:w="1325"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15</w:t>
            </w: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134</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120</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1175" w:type="dxa"/>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kern w:val="0"/>
                <w:sz w:val="24"/>
                <w:szCs w:val="24"/>
              </w:rPr>
              <w:t>58</w:t>
            </w:r>
          </w:p>
        </w:tc>
      </w:tr>
      <w:tr w:rsidR="002B4623" w:rsidRPr="002B4623" w:rsidTr="002B4623">
        <w:trPr>
          <w:trHeight w:hRule="exact" w:val="301"/>
          <w:jc w:val="center"/>
        </w:trPr>
        <w:tc>
          <w:tcPr>
            <w:tcW w:w="1325" w:type="dxa"/>
            <w:tcBorders>
              <w:top w:val="single" w:sz="4" w:space="0" w:color="auto"/>
              <w:left w:val="nil"/>
              <w:bottom w:val="single" w:sz="12" w:space="0" w:color="auto"/>
              <w:right w:val="single" w:sz="4" w:space="0" w:color="auto"/>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合计</w:t>
            </w:r>
          </w:p>
        </w:tc>
        <w:tc>
          <w:tcPr>
            <w:tcW w:w="1174"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b/>
                <w:kern w:val="0"/>
                <w:sz w:val="24"/>
                <w:szCs w:val="24"/>
              </w:rPr>
              <w:t>369</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b/>
                <w:kern w:val="0"/>
                <w:sz w:val="24"/>
                <w:szCs w:val="24"/>
              </w:rPr>
              <w:t>4402.00</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b/>
                <w:kern w:val="0"/>
                <w:sz w:val="24"/>
                <w:szCs w:val="24"/>
              </w:rPr>
              <w:t>204</w:t>
            </w:r>
          </w:p>
        </w:tc>
        <w:tc>
          <w:tcPr>
            <w:tcW w:w="1180"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b/>
                <w:kern w:val="0"/>
                <w:sz w:val="24"/>
                <w:szCs w:val="24"/>
              </w:rPr>
              <w:t>2466.50</w:t>
            </w:r>
          </w:p>
        </w:tc>
        <w:tc>
          <w:tcPr>
            <w:tcW w:w="1173" w:type="dxa"/>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b/>
                <w:kern w:val="0"/>
                <w:sz w:val="24"/>
                <w:szCs w:val="24"/>
              </w:rPr>
              <w:t>163</w:t>
            </w:r>
          </w:p>
        </w:tc>
        <w:tc>
          <w:tcPr>
            <w:tcW w:w="1175" w:type="dxa"/>
            <w:tcBorders>
              <w:top w:val="single" w:sz="4" w:space="0" w:color="auto"/>
              <w:left w:val="single" w:sz="4" w:space="0" w:color="auto"/>
              <w:bottom w:val="single" w:sz="12" w:space="0" w:color="auto"/>
              <w:right w:val="nil"/>
            </w:tcBorders>
            <w:vAlign w:val="center"/>
            <w:hideMark/>
          </w:tcPr>
          <w:p w:rsidR="002B4623" w:rsidRPr="002B4623" w:rsidRDefault="002B4623" w:rsidP="002B4623">
            <w:pPr>
              <w:widowControl/>
              <w:spacing w:before="100" w:beforeAutospacing="1"/>
              <w:jc w:val="center"/>
              <w:textAlignment w:val="center"/>
              <w:rPr>
                <w:rFonts w:ascii="宋体" w:eastAsia="宋体" w:hAnsi="宋体" w:cs="宋体"/>
                <w:kern w:val="0"/>
                <w:sz w:val="24"/>
                <w:szCs w:val="24"/>
              </w:rPr>
            </w:pPr>
            <w:r w:rsidRPr="002B4623">
              <w:rPr>
                <w:rFonts w:ascii="宋体" w:eastAsia="宋体" w:hAnsi="宋体" w:cs="宋体"/>
                <w:b/>
                <w:kern w:val="0"/>
                <w:sz w:val="24"/>
                <w:szCs w:val="24"/>
              </w:rPr>
              <w:t>1805.40</w:t>
            </w:r>
          </w:p>
        </w:tc>
      </w:tr>
    </w:tbl>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资料来源：中国债券信息网、</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注：本小节数据剔除可续期企业债券。</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0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六、企业债券发行主体仍以地方国有企业为主</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从企业债券发行主体所有制性质来看，2015年上半年国有企业特别是地方国有企业仍然是企业债券最主要的发行主体，其所发企业债券发行期数和发行规模在总发行期数和发行总额中的占比分别为94.55%和88.26%；而民营企业所发企业债券规模有明显增加，但发行期数依然较少且变化不大。</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4"/>
        </w:rPr>
        <w:t xml:space="preserve">4  </w:t>
      </w:r>
      <w:r w:rsidRPr="002B4623">
        <w:rPr>
          <w:rFonts w:ascii="宋体" w:eastAsia="宋体" w:hAnsi="宋体" w:cs="宋体"/>
          <w:kern w:val="0"/>
          <w:sz w:val="24"/>
          <w:szCs w:val="24"/>
        </w:rPr>
        <w:t>不同所有制性质企业的企业债券发行情况</w:t>
      </w:r>
    </w:p>
    <w:tbl>
      <w:tblPr>
        <w:tblW w:w="1015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75"/>
        <w:gridCol w:w="760"/>
        <w:gridCol w:w="982"/>
        <w:gridCol w:w="793"/>
        <w:gridCol w:w="947"/>
        <w:gridCol w:w="769"/>
        <w:gridCol w:w="833"/>
        <w:gridCol w:w="874"/>
        <w:gridCol w:w="945"/>
        <w:gridCol w:w="898"/>
        <w:gridCol w:w="879"/>
      </w:tblGrid>
      <w:tr w:rsidR="002B4623" w:rsidRPr="002B4623" w:rsidTr="002B4623">
        <w:trPr>
          <w:trHeight w:val="275"/>
          <w:jc w:val="center"/>
        </w:trPr>
        <w:tc>
          <w:tcPr>
            <w:tcW w:w="1475" w:type="dxa"/>
            <w:vMerge w:val="restart"/>
            <w:tcBorders>
              <w:top w:val="single" w:sz="12" w:space="0" w:color="auto"/>
              <w:left w:val="nil"/>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line="300" w:lineRule="auto"/>
              <w:jc w:val="center"/>
              <w:rPr>
                <w:rFonts w:ascii="宋体" w:eastAsia="宋体" w:hAnsi="宋体" w:cs="宋体"/>
                <w:kern w:val="0"/>
                <w:sz w:val="24"/>
                <w:szCs w:val="24"/>
              </w:rPr>
            </w:pPr>
            <w:r w:rsidRPr="002B4623">
              <w:rPr>
                <w:rFonts w:ascii="宋体" w:eastAsia="宋体" w:hAnsi="宋体" w:cs="宋体"/>
                <w:b/>
                <w:kern w:val="0"/>
                <w:sz w:val="24"/>
                <w:szCs w:val="24"/>
              </w:rPr>
              <w:t>项目</w:t>
            </w:r>
          </w:p>
        </w:tc>
        <w:tc>
          <w:tcPr>
            <w:tcW w:w="1743"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ind w:rightChars="-62" w:right="-130"/>
              <w:jc w:val="center"/>
              <w:rPr>
                <w:rFonts w:ascii="宋体" w:eastAsia="宋体" w:hAnsi="宋体" w:cs="宋体"/>
                <w:kern w:val="0"/>
                <w:sz w:val="24"/>
                <w:szCs w:val="24"/>
              </w:rPr>
            </w:pPr>
            <w:r w:rsidRPr="002B4623">
              <w:rPr>
                <w:rFonts w:ascii="宋体" w:eastAsia="宋体" w:hAnsi="宋体" w:cs="宋体"/>
                <w:b/>
                <w:kern w:val="0"/>
                <w:sz w:val="24"/>
                <w:szCs w:val="24"/>
              </w:rPr>
              <w:t>2014年上半年</w:t>
            </w:r>
          </w:p>
        </w:tc>
        <w:tc>
          <w:tcPr>
            <w:tcW w:w="1741"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ind w:rightChars="-62" w:right="-130"/>
              <w:jc w:val="center"/>
              <w:rPr>
                <w:rFonts w:ascii="宋体" w:eastAsia="宋体" w:hAnsi="宋体" w:cs="宋体"/>
                <w:kern w:val="0"/>
                <w:sz w:val="24"/>
                <w:szCs w:val="24"/>
              </w:rPr>
            </w:pPr>
            <w:r w:rsidRPr="002B4623">
              <w:rPr>
                <w:rFonts w:ascii="宋体" w:eastAsia="宋体" w:hAnsi="宋体" w:cs="宋体"/>
                <w:b/>
                <w:kern w:val="0"/>
                <w:sz w:val="24"/>
                <w:szCs w:val="24"/>
              </w:rPr>
              <w:t>2014年下半年</w:t>
            </w:r>
          </w:p>
        </w:tc>
        <w:tc>
          <w:tcPr>
            <w:tcW w:w="5202" w:type="dxa"/>
            <w:gridSpan w:val="6"/>
            <w:tcBorders>
              <w:top w:val="single" w:sz="12" w:space="0" w:color="auto"/>
              <w:left w:val="single" w:sz="4" w:space="0" w:color="auto"/>
              <w:bottom w:val="single" w:sz="4" w:space="0" w:color="auto"/>
              <w:right w:val="nil"/>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2015年上半年</w:t>
            </w:r>
          </w:p>
        </w:tc>
      </w:tr>
      <w:tr w:rsidR="002B4623" w:rsidRPr="002B4623" w:rsidTr="002B4623">
        <w:trPr>
          <w:trHeight w:val="835"/>
          <w:jc w:val="center"/>
        </w:trPr>
        <w:tc>
          <w:tcPr>
            <w:tcW w:w="1475" w:type="dxa"/>
            <w:vMerge/>
            <w:tcBorders>
              <w:top w:val="single" w:sz="12" w:space="0" w:color="auto"/>
              <w:left w:val="nil"/>
              <w:bottom w:val="single" w:sz="4" w:space="0" w:color="auto"/>
              <w:right w:val="single" w:sz="4" w:space="0" w:color="auto"/>
            </w:tcBorders>
            <w:vAlign w:val="center"/>
            <w:hideMark/>
          </w:tcPr>
          <w:p w:rsidR="002B4623" w:rsidRPr="002B4623" w:rsidRDefault="002B4623" w:rsidP="002B4623">
            <w:pPr>
              <w:widowControl/>
              <w:spacing w:beforeAutospacing="1" w:afterAutospacing="1"/>
              <w:jc w:val="left"/>
              <w:rPr>
                <w:rFonts w:ascii="宋体" w:eastAsia="宋体" w:hAnsi="宋体" w:cs="宋体"/>
                <w:kern w:val="0"/>
                <w:sz w:val="24"/>
                <w:szCs w:val="24"/>
              </w:rPr>
            </w:pPr>
          </w:p>
        </w:tc>
        <w:tc>
          <w:tcPr>
            <w:tcW w:w="760"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期数（期）</w:t>
            </w:r>
          </w:p>
        </w:tc>
        <w:tc>
          <w:tcPr>
            <w:tcW w:w="982"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（亿元）</w:t>
            </w:r>
          </w:p>
        </w:tc>
        <w:tc>
          <w:tcPr>
            <w:tcW w:w="79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期数（期）</w:t>
            </w:r>
          </w:p>
        </w:tc>
        <w:tc>
          <w:tcPr>
            <w:tcW w:w="947"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（亿元）</w:t>
            </w:r>
          </w:p>
        </w:tc>
        <w:tc>
          <w:tcPr>
            <w:tcW w:w="76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期数（期）</w:t>
            </w:r>
          </w:p>
        </w:tc>
        <w:tc>
          <w:tcPr>
            <w:tcW w:w="83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同比（%）</w:t>
            </w:r>
          </w:p>
        </w:tc>
        <w:tc>
          <w:tcPr>
            <w:tcW w:w="875"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期数</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环比（%）</w:t>
            </w:r>
          </w:p>
        </w:tc>
        <w:tc>
          <w:tcPr>
            <w:tcW w:w="946"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（亿元）</w:t>
            </w:r>
          </w:p>
        </w:tc>
        <w:tc>
          <w:tcPr>
            <w:tcW w:w="89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同比（%）</w:t>
            </w:r>
          </w:p>
        </w:tc>
        <w:tc>
          <w:tcPr>
            <w:tcW w:w="877" w:type="dxa"/>
            <w:tcBorders>
              <w:top w:val="single" w:sz="4" w:space="0" w:color="auto"/>
              <w:left w:val="single" w:sz="4" w:space="0" w:color="auto"/>
              <w:bottom w:val="single" w:sz="4" w:space="0" w:color="auto"/>
              <w:right w:val="nil"/>
            </w:tcBorders>
            <w:shd w:val="clear" w:color="auto" w:fill="548DD4"/>
            <w:vAlign w:val="center"/>
            <w:hideMark/>
          </w:tcPr>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发行</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规模</w:t>
            </w:r>
          </w:p>
          <w:p w:rsidR="002B4623" w:rsidRPr="002B4623" w:rsidRDefault="002B4623" w:rsidP="002B4623">
            <w:pPr>
              <w:widowControl/>
              <w:adjustRightInd w:val="0"/>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环比（%）</w:t>
            </w:r>
          </w:p>
        </w:tc>
      </w:tr>
      <w:tr w:rsidR="002B4623" w:rsidRPr="002B4623" w:rsidTr="002B4623">
        <w:trPr>
          <w:trHeight w:val="275"/>
          <w:jc w:val="center"/>
        </w:trPr>
        <w:tc>
          <w:tcPr>
            <w:tcW w:w="147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中央国有企业</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190.0</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7</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183.0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-20.00 </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-42.86 </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160.0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-15.79 </w:t>
            </w:r>
          </w:p>
        </w:tc>
        <w:tc>
          <w:tcPr>
            <w:tcW w:w="877" w:type="dxa"/>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-12.57 </w:t>
            </w:r>
          </w:p>
        </w:tc>
      </w:tr>
      <w:tr w:rsidR="002B4623" w:rsidRPr="002B4623" w:rsidTr="002B4623">
        <w:trPr>
          <w:trHeight w:val="275"/>
          <w:jc w:val="center"/>
        </w:trPr>
        <w:tc>
          <w:tcPr>
            <w:tcW w:w="1475"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地方国有企业</w:t>
            </w:r>
          </w:p>
        </w:tc>
        <w:tc>
          <w:tcPr>
            <w:tcW w:w="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360</w:t>
            </w:r>
          </w:p>
        </w:tc>
        <w:tc>
          <w:tcPr>
            <w:tcW w:w="9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4179.6</w:t>
            </w:r>
          </w:p>
        </w:tc>
        <w:tc>
          <w:tcPr>
            <w:tcW w:w="7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187</w:t>
            </w:r>
          </w:p>
        </w:tc>
        <w:tc>
          <w:tcPr>
            <w:tcW w:w="9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2240.2</w:t>
            </w:r>
          </w:p>
        </w:tc>
        <w:tc>
          <w:tcPr>
            <w:tcW w:w="76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156</w:t>
            </w:r>
          </w:p>
        </w:tc>
        <w:tc>
          <w:tcPr>
            <w:tcW w:w="8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-56.67 </w:t>
            </w:r>
          </w:p>
        </w:tc>
        <w:tc>
          <w:tcPr>
            <w:tcW w:w="8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-16.58 </w:t>
            </w:r>
          </w:p>
        </w:tc>
        <w:tc>
          <w:tcPr>
            <w:tcW w:w="9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1593.4</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-61.88 </w:t>
            </w:r>
          </w:p>
        </w:tc>
        <w:tc>
          <w:tcPr>
            <w:tcW w:w="877" w:type="dxa"/>
            <w:tcBorders>
              <w:top w:val="single" w:sz="4" w:space="0" w:color="auto"/>
              <w:left w:val="single" w:sz="4" w:space="0" w:color="auto"/>
              <w:bottom w:val="single" w:sz="4" w:space="0" w:color="auto"/>
              <w:right w:val="nil"/>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-28.87 </w:t>
            </w:r>
          </w:p>
        </w:tc>
      </w:tr>
      <w:tr w:rsidR="002B4623" w:rsidRPr="002B4623" w:rsidTr="002B4623">
        <w:trPr>
          <w:trHeight w:val="275"/>
          <w:jc w:val="center"/>
        </w:trPr>
        <w:tc>
          <w:tcPr>
            <w:tcW w:w="147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民营企业</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16.4</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31.3</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150.00 </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0.00 </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217.07 </w:t>
            </w:r>
          </w:p>
        </w:tc>
        <w:tc>
          <w:tcPr>
            <w:tcW w:w="877" w:type="dxa"/>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66.13 </w:t>
            </w:r>
          </w:p>
        </w:tc>
      </w:tr>
      <w:tr w:rsidR="002B4623" w:rsidRPr="002B4623" w:rsidTr="002B4623">
        <w:trPr>
          <w:trHeight w:val="275"/>
          <w:jc w:val="center"/>
        </w:trPr>
        <w:tc>
          <w:tcPr>
            <w:tcW w:w="1475" w:type="dxa"/>
            <w:tcBorders>
              <w:top w:val="single" w:sz="4" w:space="0" w:color="auto"/>
              <w:left w:val="nil"/>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集体企业</w:t>
            </w:r>
          </w:p>
        </w:tc>
        <w:tc>
          <w:tcPr>
            <w:tcW w:w="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9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16.0</w:t>
            </w:r>
          </w:p>
        </w:tc>
        <w:tc>
          <w:tcPr>
            <w:tcW w:w="7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32.0</w:t>
            </w:r>
          </w:p>
        </w:tc>
        <w:tc>
          <w:tcPr>
            <w:tcW w:w="76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8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9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877" w:type="dxa"/>
            <w:tcBorders>
              <w:top w:val="single" w:sz="4" w:space="0" w:color="auto"/>
              <w:left w:val="single" w:sz="4" w:space="0" w:color="auto"/>
              <w:bottom w:val="single" w:sz="4" w:space="0" w:color="auto"/>
              <w:right w:val="nil"/>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r>
      <w:tr w:rsidR="002B4623" w:rsidRPr="002B4623" w:rsidTr="002B4623">
        <w:trPr>
          <w:trHeight w:val="275"/>
          <w:jc w:val="center"/>
        </w:trPr>
        <w:tc>
          <w:tcPr>
            <w:tcW w:w="1475" w:type="dxa"/>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外商独资企业</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877" w:type="dxa"/>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r>
      <w:tr w:rsidR="002B4623" w:rsidRPr="002B4623" w:rsidTr="002B4623">
        <w:trPr>
          <w:trHeight w:val="275"/>
          <w:jc w:val="center"/>
        </w:trPr>
        <w:tc>
          <w:tcPr>
            <w:tcW w:w="1475" w:type="dxa"/>
            <w:tcBorders>
              <w:top w:val="single" w:sz="4" w:space="0" w:color="auto"/>
              <w:left w:val="nil"/>
              <w:bottom w:val="single" w:sz="12"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中外合资企业</w:t>
            </w:r>
          </w:p>
        </w:tc>
        <w:tc>
          <w:tcPr>
            <w:tcW w:w="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9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190.0</w:t>
            </w:r>
          </w:p>
        </w:tc>
        <w:tc>
          <w:tcPr>
            <w:tcW w:w="7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7</w:t>
            </w:r>
          </w:p>
        </w:tc>
        <w:tc>
          <w:tcPr>
            <w:tcW w:w="9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183.0</w:t>
            </w:r>
          </w:p>
        </w:tc>
        <w:tc>
          <w:tcPr>
            <w:tcW w:w="76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8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-20.00 </w:t>
            </w:r>
          </w:p>
        </w:tc>
        <w:tc>
          <w:tcPr>
            <w:tcW w:w="8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-42.86 </w:t>
            </w:r>
          </w:p>
        </w:tc>
        <w:tc>
          <w:tcPr>
            <w:tcW w:w="9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160.0</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-15.79 </w:t>
            </w:r>
          </w:p>
        </w:tc>
        <w:tc>
          <w:tcPr>
            <w:tcW w:w="877" w:type="dxa"/>
            <w:tcBorders>
              <w:top w:val="single" w:sz="4" w:space="0" w:color="auto"/>
              <w:left w:val="single" w:sz="4" w:space="0" w:color="auto"/>
              <w:bottom w:val="single" w:sz="12" w:space="0" w:color="auto"/>
              <w:right w:val="nil"/>
            </w:tcBorders>
            <w:shd w:val="clear" w:color="auto" w:fill="C0C0C0"/>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-12.57 </w:t>
            </w:r>
          </w:p>
        </w:tc>
      </w:tr>
    </w:tbl>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lastRenderedPageBreak/>
        <w:t>注：</w:t>
      </w:r>
      <w:r w:rsidRPr="002B4623">
        <w:rPr>
          <w:rFonts w:ascii="宋体" w:eastAsia="楷体_GB2312" w:hAnsi="宋体" w:cs="宋体"/>
          <w:kern w:val="0"/>
          <w:sz w:val="18"/>
          <w:szCs w:val="18"/>
        </w:rPr>
        <w:t>NA</w:t>
      </w:r>
      <w:r w:rsidRPr="002B4623">
        <w:rPr>
          <w:rFonts w:ascii="宋体" w:eastAsia="宋体" w:hAnsi="宋体" w:cs="宋体"/>
          <w:kern w:val="0"/>
          <w:sz w:val="24"/>
          <w:szCs w:val="24"/>
        </w:rPr>
        <w:t>表示不适用；以下同。</w:t>
      </w:r>
    </w:p>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资料来源：中国债券信息网、</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adjustRightInd w:val="0"/>
        <w:snapToGrid w:val="0"/>
        <w:spacing w:before="100" w:beforeAutospacing="1" w:line="360" w:lineRule="auto"/>
        <w:ind w:firstLineChars="200" w:firstLine="482"/>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七、企业债券担保情况分析</w:t>
      </w:r>
    </w:p>
    <w:p w:rsidR="002B4623" w:rsidRPr="002B4623" w:rsidRDefault="002B4623" w:rsidP="002B4623">
      <w:pPr>
        <w:widowControl/>
        <w:adjustRightInd w:val="0"/>
        <w:snapToGrid w:val="0"/>
        <w:spacing w:before="100" w:beforeAutospacing="1"/>
        <w:ind w:firstLineChars="200" w:firstLine="480"/>
        <w:jc w:val="left"/>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2015年上</w:t>
      </w:r>
      <w:r w:rsidRPr="002B4623">
        <w:rPr>
          <w:rFonts w:ascii="宋体" w:eastAsia="宋体" w:hAnsi="宋体" w:cs="宋体"/>
          <w:kern w:val="0"/>
          <w:sz w:val="24"/>
          <w:szCs w:val="24"/>
          <w:shd w:val="clear" w:color="auto" w:fill="FFFFFF"/>
        </w:rPr>
        <w:t>半年发行的企业债券中，</w:t>
      </w:r>
      <w:r w:rsidRPr="002B4623">
        <w:rPr>
          <w:rFonts w:ascii="宋体" w:eastAsia="宋体" w:hAnsi="宋体" w:cs="宋体"/>
          <w:kern w:val="0"/>
          <w:sz w:val="24"/>
          <w:szCs w:val="24"/>
        </w:rPr>
        <w:t>有担保债券共计47期，发行规模合计482.00亿元，分别占企业债券总发行期数和发行总额的28.48%和26.70%，发行期数</w:t>
      </w:r>
      <w:proofErr w:type="gramStart"/>
      <w:r w:rsidRPr="002B4623">
        <w:rPr>
          <w:rFonts w:ascii="宋体" w:eastAsia="宋体" w:hAnsi="宋体" w:cs="宋体"/>
          <w:kern w:val="0"/>
          <w:sz w:val="24"/>
          <w:szCs w:val="24"/>
        </w:rPr>
        <w:t>占比较</w:t>
      </w:r>
      <w:proofErr w:type="gramEnd"/>
      <w:r w:rsidRPr="002B4623">
        <w:rPr>
          <w:rFonts w:ascii="宋体" w:eastAsia="宋体" w:hAnsi="宋体" w:cs="宋体"/>
          <w:kern w:val="0"/>
          <w:sz w:val="24"/>
          <w:szCs w:val="24"/>
        </w:rPr>
        <w:t>上年同期和上年下半年均有小幅下降，发行规模</w:t>
      </w:r>
      <w:proofErr w:type="gramStart"/>
      <w:r w:rsidRPr="002B4623">
        <w:rPr>
          <w:rFonts w:ascii="宋体" w:eastAsia="宋体" w:hAnsi="宋体" w:cs="宋体"/>
          <w:kern w:val="0"/>
          <w:sz w:val="24"/>
          <w:szCs w:val="24"/>
        </w:rPr>
        <w:t>占比较</w:t>
      </w:r>
      <w:proofErr w:type="gramEnd"/>
      <w:r w:rsidRPr="002B4623">
        <w:rPr>
          <w:rFonts w:ascii="宋体" w:eastAsia="宋体" w:hAnsi="宋体" w:cs="宋体"/>
          <w:kern w:val="0"/>
          <w:sz w:val="24"/>
          <w:szCs w:val="24"/>
        </w:rPr>
        <w:t>上年同期有所下降，但较上年下半年略有提高。从担保方式看，具有担保的企业债券中，有28期采用保证担保，有19期采用抵押担保。采用保证担保方式增信的企业债券的占比与2014年同期相比有所提高，与2014年下半年相比则下降。从增</w:t>
      </w:r>
      <w:proofErr w:type="gramStart"/>
      <w:r w:rsidRPr="002B4623">
        <w:rPr>
          <w:rFonts w:ascii="宋体" w:eastAsia="宋体" w:hAnsi="宋体" w:cs="宋体"/>
          <w:kern w:val="0"/>
          <w:sz w:val="24"/>
          <w:szCs w:val="24"/>
        </w:rPr>
        <w:t>信效果</w:t>
      </w:r>
      <w:proofErr w:type="gramEnd"/>
      <w:r w:rsidRPr="002B4623">
        <w:rPr>
          <w:rFonts w:ascii="宋体" w:eastAsia="宋体" w:hAnsi="宋体" w:cs="宋体"/>
          <w:kern w:val="0"/>
          <w:sz w:val="24"/>
          <w:szCs w:val="24"/>
        </w:rPr>
        <w:t>看，具有担保的企业债券中，共有42期企业债券通过担保增信获得高于发行人主体级别的债项级别，其中有8期通过担保增信获得AAA级；有23期获得AA+级；11期获得A</w:t>
      </w:r>
      <w:r w:rsidRPr="002B4623">
        <w:rPr>
          <w:rFonts w:ascii="宋体" w:eastAsia="宋体" w:hAnsi="宋体" w:cs="宋体"/>
          <w:kern w:val="0"/>
          <w:sz w:val="24"/>
          <w:szCs w:val="24"/>
          <w:shd w:val="clear" w:color="auto" w:fill="FFFFFF"/>
        </w:rPr>
        <w:t>A</w:t>
      </w:r>
      <w:r w:rsidRPr="002B4623">
        <w:rPr>
          <w:rFonts w:ascii="宋体" w:eastAsia="宋体" w:hAnsi="宋体" w:cs="宋体"/>
          <w:kern w:val="0"/>
          <w:sz w:val="24"/>
          <w:szCs w:val="24"/>
        </w:rPr>
        <w:t>级。以期限重置后的7年期企业债券为样本进行统计发现，通过担保增信提升债项级别至AA+和AA的企业债券的发行利率分别高于同日发行、具有相同债项级别的无担保企业债券的平均发行利率26个BP和75个BP，表明市场可能对通过担保提升信用级别的企业</w:t>
      </w:r>
      <w:r w:rsidRPr="002B4623">
        <w:rPr>
          <w:rFonts w:ascii="宋体" w:eastAsia="宋体" w:hAnsi="宋体" w:cs="宋体"/>
          <w:kern w:val="0"/>
          <w:sz w:val="24"/>
          <w:szCs w:val="24"/>
          <w:shd w:val="clear" w:color="auto" w:fill="FFFFFF"/>
        </w:rPr>
        <w:t>债券的认可度不统一。</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八、企业债券发行主体地区分布分析</w:t>
      </w:r>
    </w:p>
    <w:p w:rsidR="002B4623" w:rsidRPr="002B4623" w:rsidRDefault="002B4623" w:rsidP="002B4623">
      <w:pPr>
        <w:widowControl/>
        <w:adjustRightInd w:val="0"/>
        <w:snapToGrid w:val="0"/>
        <w:spacing w:before="100" w:beforeAutospacing="1"/>
        <w:ind w:firstLineChars="200" w:firstLine="482"/>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上半年，湖南、江苏、山东、四川、浙江、安徽等地区企业债发行期数和发行规模排名全国前列。其中，湖南地区企业债券发行期数和发行规模超越江苏省，位列全国首位。从与上年同期和2014年下半年的对比情况来看，江西、新疆取代北京、重庆进入前十名；总体来看各地区发行期数和发行规模分布趋于平均。</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after="100" w:afterAutospacing="1"/>
        <w:jc w:val="center"/>
        <w:rPr>
          <w:rFonts w:ascii="宋体" w:eastAsia="宋体" w:hAnsi="宋体" w:cs="宋体"/>
          <w:kern w:val="0"/>
          <w:szCs w:val="21"/>
        </w:rPr>
      </w:pPr>
      <w:r w:rsidRPr="002B4623">
        <w:rPr>
          <w:rFonts w:ascii="宋体" w:eastAsia="宋体" w:hAnsi="宋体" w:cs="宋体"/>
          <w:noProof/>
          <w:color w:val="0000FF"/>
          <w:kern w:val="0"/>
          <w:szCs w:val="21"/>
        </w:rPr>
        <w:lastRenderedPageBreak/>
        <w:drawing>
          <wp:inline distT="0" distB="0" distL="0" distR="0">
            <wp:extent cx="4286250" cy="2038350"/>
            <wp:effectExtent l="0" t="0" r="0" b="0"/>
            <wp:docPr id="2" name="图片 2" descr="http://lhcis.com/LHXY/wwwroot/lhxy/upload/Image/mrtp/2015/08/1_3618927782.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cis.com/LHXY/wwwroot/lhxy/upload/Image/mrtp/2015/08/1_3618927782.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038350"/>
                    </a:xfrm>
                    <a:prstGeom prst="rect">
                      <a:avLst/>
                    </a:prstGeom>
                    <a:noFill/>
                    <a:ln>
                      <a:noFill/>
                    </a:ln>
                  </pic:spPr>
                </pic:pic>
              </a:graphicData>
            </a:graphic>
          </wp:inline>
        </w:drawing>
      </w:r>
    </w:p>
    <w:p w:rsidR="002B4623" w:rsidRPr="002B4623" w:rsidRDefault="002B4623" w:rsidP="002B4623">
      <w:pPr>
        <w:widowControl/>
        <w:spacing w:before="100" w:beforeAutospacing="1" w:after="100" w:afterAutospacing="1"/>
        <w:jc w:val="left"/>
        <w:rPr>
          <w:rFonts w:ascii="宋体" w:eastAsia="宋体" w:hAnsi="宋体" w:cs="宋体" w:hint="eastAsia"/>
          <w:kern w:val="0"/>
          <w:szCs w:val="21"/>
        </w:rPr>
      </w:pPr>
      <w:r w:rsidRPr="002B4623">
        <w:rPr>
          <w:rFonts w:ascii="宋体" w:eastAsia="宋体" w:hAnsi="宋体" w:cs="宋体" w:hint="eastAsia"/>
          <w:kern w:val="0"/>
          <w:szCs w:val="21"/>
        </w:rPr>
        <w:t> </w:t>
      </w:r>
    </w:p>
    <w:p w:rsidR="002B4623" w:rsidRPr="002B4623" w:rsidRDefault="002B4623" w:rsidP="002B4623">
      <w:pPr>
        <w:widowControl/>
        <w:spacing w:before="100" w:beforeAutospacing="1" w:line="200" w:lineRule="exact"/>
        <w:jc w:val="left"/>
        <w:rPr>
          <w:rFonts w:ascii="宋体" w:eastAsia="宋体" w:hAnsi="宋体" w:cs="宋体" w:hint="eastAsia"/>
          <w:kern w:val="0"/>
          <w:sz w:val="24"/>
          <w:szCs w:val="24"/>
        </w:rPr>
      </w:pPr>
      <w:r w:rsidRPr="002B4623">
        <w:rPr>
          <w:rFonts w:ascii="宋体" w:eastAsia="宋体" w:hAnsi="宋体" w:cs="宋体"/>
          <w:kern w:val="0"/>
          <w:sz w:val="24"/>
          <w:szCs w:val="24"/>
        </w:rPr>
        <w:t>               资料来源：中国债券信息网、</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图</w:t>
      </w:r>
      <w:r w:rsidRPr="002B4623">
        <w:rPr>
          <w:rFonts w:ascii="宋体" w:eastAsia="楷体_GB2312" w:hAnsi="宋体" w:cs="宋体"/>
          <w:kern w:val="0"/>
          <w:sz w:val="24"/>
          <w:szCs w:val="24"/>
        </w:rPr>
        <w:t>2  2015</w:t>
      </w:r>
      <w:r w:rsidRPr="002B4623">
        <w:rPr>
          <w:rFonts w:ascii="宋体" w:eastAsia="宋体" w:hAnsi="宋体" w:cs="宋体"/>
          <w:kern w:val="0"/>
          <w:sz w:val="24"/>
          <w:szCs w:val="24"/>
        </w:rPr>
        <w:t>年上半年发行期数前十位地区企业债券发行情况</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rPr>
          <w:rFonts w:ascii="宋体" w:eastAsia="宋体" w:hAnsi="宋体" w:cs="宋体"/>
          <w:kern w:val="0"/>
          <w:sz w:val="24"/>
          <w:szCs w:val="24"/>
        </w:rPr>
      </w:pPr>
      <w:r w:rsidRPr="002B4623">
        <w:rPr>
          <w:rFonts w:ascii="宋体" w:eastAsia="宋体" w:hAnsi="宋体" w:cs="宋体" w:hint="eastAsia"/>
          <w:b/>
          <w:kern w:val="0"/>
          <w:sz w:val="24"/>
          <w:szCs w:val="24"/>
        </w:rPr>
        <w:t>九、企业债券发行主体新增企业分析</w:t>
      </w:r>
    </w:p>
    <w:p w:rsidR="002B4623" w:rsidRPr="002B4623" w:rsidRDefault="002B4623" w:rsidP="002B4623">
      <w:pPr>
        <w:widowControl/>
        <w:adjustRightInd w:val="0"/>
        <w:snapToGrid w:val="0"/>
        <w:spacing w:before="100" w:beforeAutospacing="1"/>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2015年上半年，共有90家企业首次发行企业债券90期，合计发行规模897.00亿元，发行家数、发行期数和发行规模分别占发行总家数、发行总期数和发行总额的56.25%、54.55%和49.68%，</w:t>
      </w:r>
      <w:proofErr w:type="gramStart"/>
      <w:r w:rsidRPr="002B4623">
        <w:rPr>
          <w:rFonts w:ascii="宋体" w:eastAsia="宋体" w:hAnsi="宋体" w:cs="宋体"/>
          <w:kern w:val="0"/>
          <w:sz w:val="24"/>
          <w:szCs w:val="24"/>
        </w:rPr>
        <w:t>占比较</w:t>
      </w:r>
      <w:proofErr w:type="gramEnd"/>
      <w:r w:rsidRPr="002B4623">
        <w:rPr>
          <w:rFonts w:ascii="宋体" w:eastAsia="宋体" w:hAnsi="宋体" w:cs="宋体"/>
          <w:kern w:val="0"/>
          <w:sz w:val="24"/>
          <w:szCs w:val="24"/>
        </w:rPr>
        <w:t>上年同期均有所上升，但较上年下半年均有所下降。其中，新增发行人企业仍以地方国有企业为主，占比95.55%，主要集中在建筑工程与房地产管理与开发行业；新增发行人主体级别仍以AA-为主，占比73.33%。</w:t>
      </w:r>
    </w:p>
    <w:p w:rsidR="002B4623" w:rsidRPr="002B4623" w:rsidRDefault="002B4623" w:rsidP="002B4623">
      <w:pPr>
        <w:widowControl/>
        <w:adjustRightInd w:val="0"/>
        <w:snapToGrid w:val="0"/>
        <w:spacing w:before="100" w:beforeAutospacing="1" w:line="360" w:lineRule="auto"/>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rPr>
          <w:rFonts w:ascii="宋体" w:eastAsia="宋体" w:hAnsi="宋体" w:cs="宋体"/>
          <w:kern w:val="0"/>
          <w:sz w:val="24"/>
          <w:szCs w:val="24"/>
        </w:rPr>
      </w:pPr>
      <w:r w:rsidRPr="002B4623">
        <w:rPr>
          <w:rFonts w:ascii="宋体" w:eastAsia="宋体" w:hAnsi="宋体" w:cs="宋体" w:hint="eastAsia"/>
          <w:b/>
          <w:kern w:val="0"/>
          <w:sz w:val="24"/>
          <w:szCs w:val="24"/>
        </w:rPr>
        <w:t>十、企业债券发行利率有所下降</w:t>
      </w:r>
    </w:p>
    <w:p w:rsidR="002B4623" w:rsidRPr="002B4623" w:rsidRDefault="002B4623" w:rsidP="002B4623">
      <w:pPr>
        <w:widowControl/>
        <w:adjustRightInd w:val="0"/>
        <w:snapToGrid w:val="0"/>
        <w:spacing w:before="100" w:beforeAutospacing="1"/>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lastRenderedPageBreak/>
        <w:t>2015年上</w:t>
      </w:r>
      <w:r w:rsidRPr="002B4623">
        <w:rPr>
          <w:rFonts w:ascii="宋体" w:eastAsia="宋体" w:hAnsi="宋体" w:cs="宋体"/>
          <w:kern w:val="0"/>
          <w:sz w:val="24"/>
          <w:szCs w:val="24"/>
          <w:shd w:val="clear" w:color="auto" w:fill="FFFFFF"/>
        </w:rPr>
        <w:t>半年发行的企业债券主要采用固定利率发行，有</w:t>
      </w:r>
      <w:r w:rsidRPr="002B4623">
        <w:rPr>
          <w:rFonts w:ascii="宋体" w:eastAsia="宋体" w:hAnsi="宋体" w:cs="宋体"/>
          <w:kern w:val="0"/>
          <w:sz w:val="24"/>
          <w:szCs w:val="24"/>
        </w:rPr>
        <w:t>2期债券采用浮动利率发行。2015年上半年发行企业债券中有25期含有选择权，占企业债券总发行期数的15.15%。</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将</w:t>
      </w:r>
      <w:proofErr w:type="gramStart"/>
      <w:r w:rsidRPr="002B4623">
        <w:rPr>
          <w:rFonts w:ascii="宋体" w:eastAsia="宋体" w:hAnsi="宋体" w:cs="宋体"/>
          <w:kern w:val="0"/>
          <w:sz w:val="24"/>
          <w:szCs w:val="24"/>
        </w:rPr>
        <w:t>含选择</w:t>
      </w:r>
      <w:proofErr w:type="gramEnd"/>
      <w:r w:rsidRPr="002B4623">
        <w:rPr>
          <w:rFonts w:ascii="宋体" w:eastAsia="宋体" w:hAnsi="宋体" w:cs="宋体"/>
          <w:kern w:val="0"/>
          <w:sz w:val="24"/>
          <w:szCs w:val="24"/>
        </w:rPr>
        <w:t>权的债券期限按照选择权之前的期限重置后，2015年上半年新发企业债券的发行期限依然以3年期、5年期和7年期为主，发行利率区间分别为5.28%~8.40%、4.28%~7.50%和4.90%~8.80%。与2014年上半年同期相比，3年期和5年期发行利率区间有所扩大，7年期发行利率区间有所收窄；与2014年下半年相比，3年期和5年期发行利率区间均有所收窄，7年期发行利率区间则有所扩大。</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以发行量最多的7年期企业债券作为样本进行统计，从图2可以看出，2015年上半年7年期企业债券发行利率与7年期银行间固定利率国债到期收益率走势较为一致，呈现波动下降趋势，可能是受到去年政府债务隔离造成</w:t>
      </w:r>
      <w:proofErr w:type="gramStart"/>
      <w:r w:rsidRPr="002B4623">
        <w:rPr>
          <w:rFonts w:ascii="宋体" w:eastAsia="宋体" w:hAnsi="宋体" w:cs="宋体"/>
          <w:kern w:val="0"/>
          <w:sz w:val="24"/>
          <w:szCs w:val="24"/>
        </w:rPr>
        <w:t>城投债信用</w:t>
      </w:r>
      <w:proofErr w:type="gramEnd"/>
      <w:r w:rsidRPr="002B4623">
        <w:rPr>
          <w:rFonts w:ascii="宋体" w:eastAsia="宋体" w:hAnsi="宋体" w:cs="宋体"/>
          <w:kern w:val="0"/>
          <w:sz w:val="24"/>
          <w:szCs w:val="24"/>
        </w:rPr>
        <w:t>分化与年初债券市场违约事件频发的影响，上半年企业债券的发行利率波动性明显加大，特别是AA+级和AA级企业债券。与7年</w:t>
      </w:r>
      <w:proofErr w:type="gramStart"/>
      <w:r w:rsidRPr="002B4623">
        <w:rPr>
          <w:rFonts w:ascii="宋体" w:eastAsia="宋体" w:hAnsi="宋体" w:cs="宋体"/>
          <w:kern w:val="0"/>
          <w:sz w:val="24"/>
          <w:szCs w:val="24"/>
        </w:rPr>
        <w:t>期贷</w:t>
      </w:r>
      <w:proofErr w:type="gramEnd"/>
      <w:r w:rsidRPr="002B4623">
        <w:rPr>
          <w:rFonts w:ascii="宋体" w:eastAsia="宋体" w:hAnsi="宋体" w:cs="宋体"/>
          <w:kern w:val="0"/>
          <w:sz w:val="24"/>
          <w:szCs w:val="24"/>
        </w:rPr>
        <w:t>款基准利率相比，AAA级企业债券发行利率自2014年8月起始终低于7年</w:t>
      </w:r>
      <w:proofErr w:type="gramStart"/>
      <w:r w:rsidRPr="002B4623">
        <w:rPr>
          <w:rFonts w:ascii="宋体" w:eastAsia="宋体" w:hAnsi="宋体" w:cs="宋体"/>
          <w:kern w:val="0"/>
          <w:sz w:val="24"/>
          <w:szCs w:val="24"/>
        </w:rPr>
        <w:t>期贷</w:t>
      </w:r>
      <w:proofErr w:type="gramEnd"/>
      <w:r w:rsidRPr="002B4623">
        <w:rPr>
          <w:rFonts w:ascii="宋体" w:eastAsia="宋体" w:hAnsi="宋体" w:cs="宋体"/>
          <w:kern w:val="0"/>
          <w:sz w:val="24"/>
          <w:szCs w:val="24"/>
        </w:rPr>
        <w:t>款基准利率，AA+级和AA级企业债券发行利率除2014年末一度低于7年</w:t>
      </w:r>
      <w:proofErr w:type="gramStart"/>
      <w:r w:rsidRPr="002B4623">
        <w:rPr>
          <w:rFonts w:ascii="宋体" w:eastAsia="宋体" w:hAnsi="宋体" w:cs="宋体"/>
          <w:kern w:val="0"/>
          <w:sz w:val="24"/>
          <w:szCs w:val="24"/>
        </w:rPr>
        <w:t>期贷</w:t>
      </w:r>
      <w:proofErr w:type="gramEnd"/>
      <w:r w:rsidRPr="002B4623">
        <w:rPr>
          <w:rFonts w:ascii="宋体" w:eastAsia="宋体" w:hAnsi="宋体" w:cs="宋体"/>
          <w:kern w:val="0"/>
          <w:sz w:val="24"/>
          <w:szCs w:val="24"/>
        </w:rPr>
        <w:t>款基准利率外，AA+级基本围绕7年</w:t>
      </w:r>
      <w:proofErr w:type="gramStart"/>
      <w:r w:rsidRPr="002B4623">
        <w:rPr>
          <w:rFonts w:ascii="宋体" w:eastAsia="宋体" w:hAnsi="宋体" w:cs="宋体"/>
          <w:kern w:val="0"/>
          <w:sz w:val="24"/>
          <w:szCs w:val="24"/>
        </w:rPr>
        <w:t>期贷</w:t>
      </w:r>
      <w:proofErr w:type="gramEnd"/>
      <w:r w:rsidRPr="002B4623">
        <w:rPr>
          <w:rFonts w:ascii="宋体" w:eastAsia="宋体" w:hAnsi="宋体" w:cs="宋体"/>
          <w:kern w:val="0"/>
          <w:sz w:val="24"/>
          <w:szCs w:val="24"/>
        </w:rPr>
        <w:t>款基准利率上下波动，AA级则基本高于7年</w:t>
      </w:r>
      <w:proofErr w:type="gramStart"/>
      <w:r w:rsidRPr="002B4623">
        <w:rPr>
          <w:rFonts w:ascii="宋体" w:eastAsia="宋体" w:hAnsi="宋体" w:cs="宋体"/>
          <w:kern w:val="0"/>
          <w:sz w:val="24"/>
          <w:szCs w:val="24"/>
        </w:rPr>
        <w:t>期贷</w:t>
      </w:r>
      <w:proofErr w:type="gramEnd"/>
      <w:r w:rsidRPr="002B4623">
        <w:rPr>
          <w:rFonts w:ascii="宋体" w:eastAsia="宋体" w:hAnsi="宋体" w:cs="宋体"/>
          <w:kern w:val="0"/>
          <w:sz w:val="24"/>
          <w:szCs w:val="24"/>
        </w:rPr>
        <w:t>款基准利率。</w:t>
      </w:r>
    </w:p>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after="100" w:afterAutospacing="1"/>
        <w:jc w:val="center"/>
        <w:rPr>
          <w:rFonts w:ascii="宋体" w:eastAsia="宋体" w:hAnsi="宋体" w:cs="宋体"/>
          <w:kern w:val="0"/>
          <w:szCs w:val="21"/>
        </w:rPr>
      </w:pPr>
      <w:r w:rsidRPr="002B4623">
        <w:rPr>
          <w:rFonts w:ascii="宋体" w:eastAsia="宋体" w:hAnsi="宋体" w:cs="宋体"/>
          <w:noProof/>
          <w:color w:val="0000FF"/>
          <w:kern w:val="0"/>
          <w:szCs w:val="21"/>
        </w:rPr>
        <w:drawing>
          <wp:inline distT="0" distB="0" distL="0" distR="0">
            <wp:extent cx="4286250" cy="2085975"/>
            <wp:effectExtent l="0" t="0" r="0" b="9525"/>
            <wp:docPr id="1" name="图片 1" descr="http://lhcis.com/LHXY/wwwroot/lhxy/upload/Image/mrtp/2015/08/1_361893522.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cis.com/LHXY/wwwroot/lhxy/upload/Image/mrtp/2015/08/1_361893522.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085975"/>
                    </a:xfrm>
                    <a:prstGeom prst="rect">
                      <a:avLst/>
                    </a:prstGeom>
                    <a:noFill/>
                    <a:ln>
                      <a:noFill/>
                    </a:ln>
                  </pic:spPr>
                </pic:pic>
              </a:graphicData>
            </a:graphic>
          </wp:inline>
        </w:drawing>
      </w:r>
    </w:p>
    <w:p w:rsidR="002B4623" w:rsidRPr="002B4623" w:rsidRDefault="002B4623" w:rsidP="002B4623">
      <w:pPr>
        <w:widowControl/>
        <w:spacing w:before="100" w:beforeAutospacing="1" w:after="100" w:afterAutospacing="1"/>
        <w:jc w:val="left"/>
        <w:rPr>
          <w:rFonts w:ascii="宋体" w:eastAsia="宋体" w:hAnsi="宋体" w:cs="宋体" w:hint="eastAsia"/>
          <w:kern w:val="0"/>
          <w:szCs w:val="21"/>
        </w:rPr>
      </w:pPr>
      <w:r w:rsidRPr="002B4623">
        <w:rPr>
          <w:rFonts w:ascii="宋体" w:eastAsia="宋体" w:hAnsi="宋体" w:cs="宋体" w:hint="eastAsia"/>
          <w:kern w:val="0"/>
          <w:szCs w:val="21"/>
        </w:rPr>
        <w:t>               资料来源：中国债券信息网、</w:t>
      </w:r>
      <w:r w:rsidRPr="002B4623">
        <w:rPr>
          <w:rFonts w:ascii="宋体" w:eastAsia="楷体_GB2312" w:hAnsi="宋体" w:cs="宋体" w:hint="eastAsia"/>
          <w:kern w:val="0"/>
          <w:sz w:val="18"/>
          <w:szCs w:val="18"/>
        </w:rPr>
        <w:t>Wind</w:t>
      </w:r>
      <w:r w:rsidRPr="002B4623">
        <w:rPr>
          <w:rFonts w:ascii="宋体" w:eastAsia="宋体" w:hAnsi="宋体" w:cs="宋体" w:hint="eastAsia"/>
          <w:kern w:val="0"/>
          <w:szCs w:val="21"/>
        </w:rPr>
        <w:t>资讯、联</w:t>
      </w:r>
      <w:proofErr w:type="gramStart"/>
      <w:r w:rsidRPr="002B4623">
        <w:rPr>
          <w:rFonts w:ascii="宋体" w:eastAsia="宋体" w:hAnsi="宋体" w:cs="宋体" w:hint="eastAsia"/>
          <w:kern w:val="0"/>
          <w:szCs w:val="21"/>
        </w:rPr>
        <w:t>合资信</w:t>
      </w:r>
      <w:proofErr w:type="gramEnd"/>
      <w:r w:rsidRPr="002B4623">
        <w:rPr>
          <w:rFonts w:ascii="宋体" w:eastAsia="宋体" w:hAnsi="宋体" w:cs="宋体" w:hint="eastAsia"/>
          <w:kern w:val="0"/>
          <w:szCs w:val="21"/>
        </w:rPr>
        <w:t>整理</w:t>
      </w:r>
    </w:p>
    <w:p w:rsidR="002B4623" w:rsidRPr="002B4623" w:rsidRDefault="002B4623" w:rsidP="002B4623">
      <w:pPr>
        <w:widowControl/>
        <w:spacing w:before="100" w:beforeAutospacing="1" w:after="100" w:afterAutospacing="1"/>
        <w:jc w:val="left"/>
        <w:rPr>
          <w:rFonts w:ascii="宋体" w:eastAsia="宋体" w:hAnsi="宋体" w:cs="宋体" w:hint="eastAsia"/>
          <w:kern w:val="0"/>
          <w:szCs w:val="21"/>
        </w:rPr>
      </w:pPr>
      <w:r w:rsidRPr="002B4623">
        <w:rPr>
          <w:rFonts w:ascii="宋体" w:eastAsia="宋体" w:hAnsi="宋体" w:cs="宋体" w:hint="eastAsia"/>
          <w:kern w:val="0"/>
          <w:szCs w:val="21"/>
        </w:rPr>
        <w:t> </w:t>
      </w:r>
    </w:p>
    <w:p w:rsidR="002B4623" w:rsidRPr="002B4623" w:rsidRDefault="002B4623" w:rsidP="002B4623">
      <w:pPr>
        <w:widowControl/>
        <w:spacing w:before="100" w:beforeAutospacing="1"/>
        <w:jc w:val="center"/>
        <w:rPr>
          <w:rFonts w:ascii="宋体" w:eastAsia="宋体" w:hAnsi="宋体" w:cs="宋体" w:hint="eastAsia"/>
          <w:kern w:val="0"/>
          <w:sz w:val="24"/>
          <w:szCs w:val="24"/>
        </w:rPr>
      </w:pPr>
      <w:r w:rsidRPr="002B4623">
        <w:rPr>
          <w:rFonts w:ascii="宋体" w:eastAsia="宋体" w:hAnsi="宋体" w:cs="宋体"/>
          <w:kern w:val="0"/>
          <w:sz w:val="24"/>
          <w:szCs w:val="24"/>
        </w:rPr>
        <w:lastRenderedPageBreak/>
        <w:t>图</w:t>
      </w:r>
      <w:r w:rsidRPr="002B4623">
        <w:rPr>
          <w:rFonts w:ascii="宋体" w:eastAsia="楷体_GB2312" w:hAnsi="宋体" w:cs="宋体"/>
          <w:kern w:val="0"/>
          <w:sz w:val="24"/>
          <w:szCs w:val="24"/>
        </w:rPr>
        <w:t>3  2014</w:t>
      </w:r>
      <w:r w:rsidRPr="002B4623">
        <w:rPr>
          <w:rFonts w:ascii="宋体" w:eastAsia="宋体" w:hAnsi="宋体" w:cs="宋体"/>
          <w:kern w:val="0"/>
          <w:sz w:val="24"/>
          <w:szCs w:val="24"/>
        </w:rPr>
        <w:t>-</w:t>
      </w:r>
      <w:r w:rsidRPr="002B4623">
        <w:rPr>
          <w:rFonts w:ascii="宋体" w:eastAsia="楷体_GB2312" w:hAnsi="宋体" w:cs="宋体"/>
          <w:kern w:val="0"/>
          <w:sz w:val="24"/>
          <w:szCs w:val="24"/>
        </w:rPr>
        <w:t>2015</w:t>
      </w:r>
      <w:r w:rsidRPr="002B4623">
        <w:rPr>
          <w:rFonts w:ascii="宋体" w:eastAsia="宋体" w:hAnsi="宋体" w:cs="宋体"/>
          <w:kern w:val="0"/>
          <w:sz w:val="24"/>
          <w:szCs w:val="24"/>
        </w:rPr>
        <w:t>年上半年</w:t>
      </w:r>
      <w:r w:rsidRPr="002B4623">
        <w:rPr>
          <w:rFonts w:ascii="宋体" w:eastAsia="楷体_GB2312" w:hAnsi="宋体" w:cs="宋体"/>
          <w:kern w:val="0"/>
          <w:sz w:val="24"/>
          <w:szCs w:val="24"/>
        </w:rPr>
        <w:t>7</w:t>
      </w:r>
      <w:r w:rsidRPr="002B4623">
        <w:rPr>
          <w:rFonts w:ascii="宋体" w:eastAsia="宋体" w:hAnsi="宋体" w:cs="宋体"/>
          <w:kern w:val="0"/>
          <w:sz w:val="24"/>
          <w:szCs w:val="24"/>
        </w:rPr>
        <w:t>年期企业债券发行利率情况</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hint="eastAsia"/>
          <w:b/>
          <w:kern w:val="0"/>
          <w:sz w:val="24"/>
          <w:szCs w:val="24"/>
        </w:rPr>
        <w:t>十一、利差分析</w:t>
      </w:r>
      <w:r w:rsidRPr="002B4623">
        <w:rPr>
          <w:rFonts w:ascii="宋体" w:eastAsia="宋体" w:hAnsi="宋体" w:cs="宋体" w:hint="eastAsia"/>
          <w:kern w:val="0"/>
          <w:sz w:val="24"/>
          <w:szCs w:val="24"/>
          <w:vertAlign w:val="superscript"/>
        </w:rPr>
        <w:footnoteReference w:customMarkFollows="1" w:id="5"/>
        <w:t>[5]</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在对利差进行分析时，为了尽量保证利差检验前提条件的一致性，我们对含有选择权的企业债券的期限进行了调整，按选择权之前的期限进行统计（例如债券的原始期限设计为“5+2”，则期限为5年）。调整后，2015年上半年发行企业债券期限主要为5年期和7年期。从表5我们可以看出，相同期限的企业债券的信用等级与发行利率均值和利差</w:t>
      </w:r>
      <w:r w:rsidRPr="002B4623">
        <w:rPr>
          <w:rFonts w:ascii="宋体" w:eastAsia="宋体" w:hAnsi="宋体" w:cs="宋体"/>
          <w:kern w:val="0"/>
          <w:sz w:val="24"/>
          <w:szCs w:val="24"/>
          <w:vertAlign w:val="superscript"/>
        </w:rPr>
        <w:footnoteReference w:customMarkFollows="1" w:id="6"/>
        <w:t>[6]</w:t>
      </w:r>
      <w:r w:rsidRPr="002B4623">
        <w:rPr>
          <w:rFonts w:ascii="宋体" w:eastAsia="宋体" w:hAnsi="宋体" w:cs="宋体"/>
          <w:kern w:val="0"/>
          <w:sz w:val="24"/>
          <w:szCs w:val="24"/>
        </w:rPr>
        <w:t>均值均成反向关系，即债券信用等级越高，发行利率均值和利差均值越小；但相同信用等级的债券，债券期限与利差均值未表现出明显的正向关系，即发行利率均值和利差均值未随着期限的增加而递增。此外，7年期的AA+级与AA级企业债券的级差过小。上述分析结果的准确性可能受样本数据较少的影响。</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剔除期限的影响，我们对7年期企业债券样本做进一步分析。</w:t>
      </w:r>
      <w:r w:rsidRPr="002B4623">
        <w:rPr>
          <w:rFonts w:ascii="宋体" w:eastAsia="宋体" w:hAnsi="宋体" w:cs="宋体"/>
          <w:kern w:val="0"/>
          <w:sz w:val="24"/>
          <w:szCs w:val="24"/>
          <w:shd w:val="clear" w:color="auto" w:fill="FFFFFF"/>
        </w:rPr>
        <w:t>通过对</w:t>
      </w:r>
      <w:r w:rsidRPr="002B4623">
        <w:rPr>
          <w:rFonts w:ascii="宋体" w:eastAsia="宋体" w:hAnsi="宋体" w:cs="宋体"/>
          <w:kern w:val="0"/>
          <w:sz w:val="24"/>
          <w:szCs w:val="24"/>
        </w:rPr>
        <w:t>7年期企业债券的利差进行显著性检验，结果显示在5%的显著水平下，各信用等级企业债券的利差差异均显著，信用等级对于企业债券发行利差具有良好的区分性。</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1"/>
        </w:rPr>
        <w:t>5  2015</w:t>
      </w:r>
      <w:r w:rsidRPr="002B4623">
        <w:rPr>
          <w:rFonts w:ascii="宋体" w:eastAsia="宋体" w:hAnsi="宋体" w:cs="宋体"/>
          <w:kern w:val="0"/>
          <w:sz w:val="24"/>
          <w:szCs w:val="24"/>
        </w:rPr>
        <w:t>年上半年</w:t>
      </w:r>
      <w:r w:rsidRPr="002B4623">
        <w:rPr>
          <w:rFonts w:ascii="宋体" w:eastAsia="楷体_GB2312" w:hAnsi="宋体" w:cs="宋体"/>
          <w:kern w:val="0"/>
          <w:sz w:val="24"/>
          <w:szCs w:val="21"/>
        </w:rPr>
        <w:t>7</w:t>
      </w:r>
      <w:r w:rsidRPr="002B4623">
        <w:rPr>
          <w:rFonts w:ascii="宋体" w:eastAsia="宋体" w:hAnsi="宋体" w:cs="宋体"/>
          <w:kern w:val="0"/>
          <w:sz w:val="24"/>
          <w:szCs w:val="24"/>
        </w:rPr>
        <w:t>年期企业债券的利差分析统计情况表</w:t>
      </w:r>
    </w:p>
    <w:tbl>
      <w:tblPr>
        <w:tblW w:w="486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86"/>
        <w:gridCol w:w="1626"/>
        <w:gridCol w:w="1391"/>
        <w:gridCol w:w="1269"/>
        <w:gridCol w:w="686"/>
        <w:gridCol w:w="922"/>
        <w:gridCol w:w="922"/>
        <w:gridCol w:w="804"/>
      </w:tblGrid>
      <w:tr w:rsidR="002B4623" w:rsidRPr="002B4623" w:rsidTr="002B4623">
        <w:trPr>
          <w:trHeight w:hRule="exact" w:val="567"/>
          <w:jc w:val="center"/>
        </w:trPr>
        <w:tc>
          <w:tcPr>
            <w:tcW w:w="330" w:type="pct"/>
            <w:vMerge w:val="restart"/>
            <w:tcBorders>
              <w:top w:val="single" w:sz="12" w:space="0" w:color="auto"/>
              <w:left w:val="nil"/>
              <w:bottom w:val="single" w:sz="4" w:space="0" w:color="auto"/>
              <w:right w:val="single" w:sz="4" w:space="0" w:color="auto"/>
            </w:tcBorders>
            <w:shd w:val="clear" w:color="auto" w:fill="2E74B5"/>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期限</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2E74B5"/>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债项信用等级</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2E74B5"/>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样本（</w:t>
            </w:r>
            <w:proofErr w:type="gramStart"/>
            <w:r w:rsidRPr="002B4623">
              <w:rPr>
                <w:rFonts w:ascii="宋体" w:eastAsia="宋体" w:hAnsi="宋体" w:cs="宋体"/>
                <w:b/>
                <w:kern w:val="0"/>
                <w:sz w:val="24"/>
                <w:szCs w:val="24"/>
              </w:rPr>
              <w:t>个</w:t>
            </w:r>
            <w:proofErr w:type="gramEnd"/>
            <w:r w:rsidRPr="002B4623">
              <w:rPr>
                <w:rFonts w:ascii="宋体" w:eastAsia="宋体" w:hAnsi="宋体" w:cs="宋体"/>
                <w:b/>
                <w:kern w:val="0"/>
                <w:sz w:val="24"/>
                <w:szCs w:val="24"/>
              </w:rPr>
              <w:t>）</w:t>
            </w:r>
          </w:p>
        </w:tc>
        <w:tc>
          <w:tcPr>
            <w:tcW w:w="1363" w:type="pct"/>
            <w:gridSpan w:val="2"/>
            <w:tcBorders>
              <w:top w:val="single" w:sz="4" w:space="0" w:color="auto"/>
              <w:left w:val="single" w:sz="4" w:space="0" w:color="auto"/>
              <w:bottom w:val="single" w:sz="4" w:space="0" w:color="auto"/>
              <w:right w:val="single" w:sz="4" w:space="0" w:color="auto"/>
            </w:tcBorders>
            <w:shd w:val="clear" w:color="auto" w:fill="2E74B5"/>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利率（%）</w:t>
            </w:r>
          </w:p>
        </w:tc>
        <w:tc>
          <w:tcPr>
            <w:tcW w:w="1787" w:type="pct"/>
            <w:gridSpan w:val="3"/>
            <w:tcBorders>
              <w:top w:val="single" w:sz="12" w:space="0" w:color="auto"/>
              <w:left w:val="single" w:sz="4" w:space="0" w:color="auto"/>
              <w:bottom w:val="single" w:sz="4" w:space="0" w:color="auto"/>
              <w:right w:val="nil"/>
            </w:tcBorders>
            <w:shd w:val="clear" w:color="auto" w:fill="2E74B5"/>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利差</w:t>
            </w:r>
          </w:p>
        </w:tc>
      </w:tr>
      <w:tr w:rsidR="002B4623" w:rsidRPr="002B4623" w:rsidTr="002B4623">
        <w:trPr>
          <w:trHeight w:hRule="exact" w:val="567"/>
          <w:jc w:val="center"/>
        </w:trPr>
        <w:tc>
          <w:tcPr>
            <w:tcW w:w="0" w:type="auto"/>
            <w:vMerge/>
            <w:tcBorders>
              <w:top w:val="single" w:sz="12" w:space="0" w:color="auto"/>
              <w:left w:val="nil"/>
              <w:bottom w:val="single" w:sz="4" w:space="0" w:color="auto"/>
              <w:right w:val="single" w:sz="4" w:space="0" w:color="auto"/>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745" w:type="pct"/>
            <w:tcBorders>
              <w:top w:val="single" w:sz="4" w:space="0" w:color="auto"/>
              <w:left w:val="single" w:sz="4" w:space="0" w:color="auto"/>
              <w:bottom w:val="single" w:sz="4" w:space="0" w:color="auto"/>
              <w:right w:val="single" w:sz="4" w:space="0" w:color="auto"/>
            </w:tcBorders>
            <w:shd w:val="clear" w:color="auto" w:fill="2E74B5"/>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区间</w:t>
            </w:r>
          </w:p>
        </w:tc>
        <w:tc>
          <w:tcPr>
            <w:tcW w:w="617" w:type="pct"/>
            <w:tcBorders>
              <w:top w:val="single" w:sz="4" w:space="0" w:color="auto"/>
              <w:left w:val="single" w:sz="4" w:space="0" w:color="auto"/>
              <w:bottom w:val="single" w:sz="4" w:space="0" w:color="auto"/>
              <w:right w:val="single" w:sz="4" w:space="0" w:color="auto"/>
            </w:tcBorders>
            <w:shd w:val="clear" w:color="auto" w:fill="2E74B5"/>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均值</w:t>
            </w:r>
          </w:p>
        </w:tc>
        <w:tc>
          <w:tcPr>
            <w:tcW w:w="602" w:type="pct"/>
            <w:tcBorders>
              <w:top w:val="single" w:sz="4" w:space="0" w:color="auto"/>
              <w:left w:val="single" w:sz="4" w:space="0" w:color="auto"/>
              <w:bottom w:val="single" w:sz="4" w:space="0" w:color="auto"/>
              <w:right w:val="single" w:sz="4" w:space="0" w:color="auto"/>
            </w:tcBorders>
            <w:shd w:val="clear" w:color="auto" w:fill="2E74B5"/>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均值（BP）</w:t>
            </w:r>
          </w:p>
        </w:tc>
        <w:tc>
          <w:tcPr>
            <w:tcW w:w="608" w:type="pct"/>
            <w:tcBorders>
              <w:top w:val="single" w:sz="4" w:space="0" w:color="auto"/>
              <w:left w:val="single" w:sz="4" w:space="0" w:color="auto"/>
              <w:bottom w:val="single" w:sz="4" w:space="0" w:color="auto"/>
              <w:right w:val="single" w:sz="4" w:space="0" w:color="auto"/>
            </w:tcBorders>
            <w:shd w:val="clear" w:color="auto" w:fill="2E74B5"/>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级差（BP）</w:t>
            </w:r>
          </w:p>
        </w:tc>
        <w:tc>
          <w:tcPr>
            <w:tcW w:w="576" w:type="pct"/>
            <w:tcBorders>
              <w:top w:val="single" w:sz="4" w:space="0" w:color="auto"/>
              <w:left w:val="single" w:sz="4" w:space="0" w:color="auto"/>
              <w:bottom w:val="single" w:sz="4" w:space="0" w:color="auto"/>
              <w:right w:val="nil"/>
            </w:tcBorders>
            <w:shd w:val="clear" w:color="auto" w:fill="2E74B5"/>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变异系数</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w:t>
            </w:r>
          </w:p>
        </w:tc>
      </w:tr>
      <w:tr w:rsidR="002B4623" w:rsidRPr="002B4623" w:rsidTr="002B4623">
        <w:trPr>
          <w:trHeight w:hRule="exact" w:val="340"/>
          <w:jc w:val="center"/>
        </w:trPr>
        <w:tc>
          <w:tcPr>
            <w:tcW w:w="330" w:type="pct"/>
            <w:vMerge w:val="restart"/>
            <w:tcBorders>
              <w:top w:val="single" w:sz="4" w:space="0" w:color="auto"/>
              <w:left w:val="nil"/>
              <w:bottom w:val="single" w:sz="4" w:space="0" w:color="auto"/>
              <w:right w:val="single" w:sz="4" w:space="0" w:color="auto"/>
            </w:tcBorders>
            <w:shd w:val="clear" w:color="auto" w:fill="FFFFFF"/>
            <w:vAlign w:val="center"/>
            <w:hideMark/>
          </w:tcPr>
          <w:p w:rsidR="002B4623" w:rsidRPr="002B4623" w:rsidRDefault="002B4623" w:rsidP="002B4623">
            <w:pPr>
              <w:widowControl/>
              <w:snapToGrid w:val="0"/>
              <w:ind w:leftChars="24" w:left="50"/>
              <w:jc w:val="left"/>
              <w:rPr>
                <w:rFonts w:ascii="宋体" w:eastAsia="宋体" w:hAnsi="宋体" w:cs="宋体"/>
                <w:kern w:val="0"/>
                <w:sz w:val="24"/>
                <w:szCs w:val="24"/>
              </w:rPr>
            </w:pPr>
            <w:r w:rsidRPr="002B4623">
              <w:rPr>
                <w:rFonts w:ascii="宋体" w:eastAsia="宋体" w:hAnsi="宋体" w:cs="宋体"/>
                <w:kern w:val="0"/>
                <w:sz w:val="24"/>
                <w:szCs w:val="24"/>
              </w:rPr>
              <w:t>5</w:t>
            </w:r>
          </w:p>
        </w:tc>
        <w:tc>
          <w:tcPr>
            <w:tcW w:w="8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ind w:firstLineChars="50" w:firstLine="120"/>
              <w:jc w:val="center"/>
              <w:rPr>
                <w:rFonts w:ascii="宋体" w:eastAsia="宋体" w:hAnsi="宋体" w:cs="宋体"/>
                <w:kern w:val="0"/>
                <w:sz w:val="24"/>
                <w:szCs w:val="24"/>
              </w:rPr>
            </w:pPr>
            <w:r w:rsidRPr="002B4623">
              <w:rPr>
                <w:rFonts w:ascii="宋体" w:eastAsia="宋体" w:hAnsi="宋体" w:cs="宋体"/>
                <w:kern w:val="0"/>
                <w:sz w:val="24"/>
                <w:szCs w:val="24"/>
              </w:rPr>
              <w:t>AAA</w:t>
            </w:r>
          </w:p>
        </w:tc>
        <w:tc>
          <w:tcPr>
            <w:tcW w:w="6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w:t>
            </w:r>
          </w:p>
        </w:tc>
        <w:tc>
          <w:tcPr>
            <w:tcW w:w="7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4.28~6.50</w:t>
            </w:r>
          </w:p>
        </w:tc>
        <w:tc>
          <w:tcPr>
            <w:tcW w:w="6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5.16</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164.46</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576" w:type="pct"/>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49.89</w:t>
            </w:r>
          </w:p>
        </w:tc>
      </w:tr>
      <w:tr w:rsidR="002B4623" w:rsidRPr="002B4623" w:rsidTr="002B4623">
        <w:trPr>
          <w:trHeight w:hRule="exact" w:val="340"/>
          <w:jc w:val="center"/>
        </w:trPr>
        <w:tc>
          <w:tcPr>
            <w:tcW w:w="0" w:type="auto"/>
            <w:vMerge/>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Autospacing="1" w:afterAutospacing="1"/>
              <w:jc w:val="left"/>
              <w:rPr>
                <w:rFonts w:ascii="宋体" w:eastAsia="宋体" w:hAnsi="宋体" w:cs="宋体"/>
                <w:kern w:val="0"/>
                <w:sz w:val="24"/>
                <w:szCs w:val="24"/>
              </w:rPr>
            </w:pPr>
          </w:p>
        </w:tc>
        <w:tc>
          <w:tcPr>
            <w:tcW w:w="82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ind w:firstLineChars="50" w:firstLine="120"/>
              <w:jc w:val="center"/>
              <w:rPr>
                <w:rFonts w:ascii="宋体" w:eastAsia="宋体" w:hAnsi="宋体" w:cs="宋体"/>
                <w:kern w:val="0"/>
                <w:sz w:val="24"/>
                <w:szCs w:val="24"/>
              </w:rPr>
            </w:pPr>
            <w:r w:rsidRPr="002B4623">
              <w:rPr>
                <w:rFonts w:ascii="宋体" w:eastAsia="宋体" w:hAnsi="宋体" w:cs="宋体"/>
                <w:kern w:val="0"/>
                <w:sz w:val="24"/>
                <w:szCs w:val="24"/>
              </w:rPr>
              <w:t>AA+</w:t>
            </w:r>
          </w:p>
        </w:tc>
        <w:tc>
          <w:tcPr>
            <w:tcW w:w="69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74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5.30~5.90</w:t>
            </w:r>
          </w:p>
        </w:tc>
        <w:tc>
          <w:tcPr>
            <w:tcW w:w="61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5.60</w:t>
            </w:r>
          </w:p>
        </w:tc>
        <w:tc>
          <w:tcPr>
            <w:tcW w:w="6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216.20</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51.74</w:t>
            </w:r>
          </w:p>
        </w:tc>
        <w:tc>
          <w:tcPr>
            <w:tcW w:w="576" w:type="pct"/>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17.12</w:t>
            </w:r>
          </w:p>
        </w:tc>
      </w:tr>
      <w:tr w:rsidR="002B4623" w:rsidRPr="002B4623" w:rsidTr="002B4623">
        <w:trPr>
          <w:trHeight w:hRule="exact" w:val="340"/>
          <w:jc w:val="center"/>
        </w:trPr>
        <w:tc>
          <w:tcPr>
            <w:tcW w:w="0" w:type="auto"/>
            <w:vMerge/>
            <w:tcBorders>
              <w:top w:val="single" w:sz="4" w:space="0" w:color="auto"/>
              <w:left w:val="nil"/>
              <w:bottom w:val="single" w:sz="4" w:space="0" w:color="auto"/>
              <w:right w:val="single" w:sz="4" w:space="0" w:color="auto"/>
            </w:tcBorders>
            <w:vAlign w:val="center"/>
            <w:hideMark/>
          </w:tcPr>
          <w:p w:rsidR="002B4623" w:rsidRPr="002B4623" w:rsidRDefault="002B4623" w:rsidP="002B4623">
            <w:pPr>
              <w:widowControl/>
              <w:spacing w:beforeAutospacing="1" w:afterAutospacing="1"/>
              <w:jc w:val="left"/>
              <w:rPr>
                <w:rFonts w:ascii="宋体" w:eastAsia="宋体" w:hAnsi="宋体" w:cs="宋体"/>
                <w:kern w:val="0"/>
                <w:sz w:val="24"/>
                <w:szCs w:val="24"/>
              </w:rPr>
            </w:pPr>
          </w:p>
        </w:tc>
        <w:tc>
          <w:tcPr>
            <w:tcW w:w="8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ind w:firstLineChars="50" w:firstLine="120"/>
              <w:jc w:val="center"/>
              <w:rPr>
                <w:rFonts w:ascii="宋体" w:eastAsia="宋体" w:hAnsi="宋体" w:cs="宋体"/>
                <w:kern w:val="0"/>
                <w:sz w:val="24"/>
                <w:szCs w:val="24"/>
              </w:rPr>
            </w:pPr>
            <w:r w:rsidRPr="002B4623">
              <w:rPr>
                <w:rFonts w:ascii="宋体" w:eastAsia="宋体" w:hAnsi="宋体" w:cs="宋体"/>
                <w:kern w:val="0"/>
                <w:sz w:val="24"/>
                <w:szCs w:val="24"/>
              </w:rPr>
              <w:t>AA</w:t>
            </w:r>
          </w:p>
        </w:tc>
        <w:tc>
          <w:tcPr>
            <w:tcW w:w="6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7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6.00~7.50</w:t>
            </w:r>
          </w:p>
        </w:tc>
        <w:tc>
          <w:tcPr>
            <w:tcW w:w="6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6.62</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317.57</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101.37</w:t>
            </w:r>
          </w:p>
        </w:tc>
        <w:tc>
          <w:tcPr>
            <w:tcW w:w="576" w:type="pct"/>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20.61</w:t>
            </w:r>
          </w:p>
        </w:tc>
      </w:tr>
      <w:tr w:rsidR="002B4623" w:rsidRPr="002B4623" w:rsidTr="002B4623">
        <w:trPr>
          <w:trHeight w:hRule="exact" w:val="340"/>
          <w:jc w:val="center"/>
        </w:trPr>
        <w:tc>
          <w:tcPr>
            <w:tcW w:w="330" w:type="pct"/>
            <w:vMerge w:val="restart"/>
            <w:tcBorders>
              <w:top w:val="single" w:sz="4" w:space="0" w:color="auto"/>
              <w:left w:val="nil"/>
              <w:bottom w:val="single" w:sz="12" w:space="0" w:color="auto"/>
              <w:right w:val="single" w:sz="4" w:space="0" w:color="auto"/>
            </w:tcBorders>
            <w:shd w:val="clear" w:color="auto" w:fill="D9D9D9"/>
            <w:vAlign w:val="center"/>
            <w:hideMark/>
          </w:tcPr>
          <w:p w:rsidR="002B4623" w:rsidRPr="002B4623" w:rsidRDefault="002B4623" w:rsidP="002B4623">
            <w:pPr>
              <w:widowControl/>
              <w:snapToGrid w:val="0"/>
              <w:ind w:leftChars="24" w:left="50"/>
              <w:jc w:val="left"/>
              <w:rPr>
                <w:rFonts w:ascii="宋体" w:eastAsia="宋体" w:hAnsi="宋体" w:cs="宋体"/>
                <w:kern w:val="0"/>
                <w:sz w:val="24"/>
                <w:szCs w:val="24"/>
              </w:rPr>
            </w:pPr>
            <w:r w:rsidRPr="002B4623">
              <w:rPr>
                <w:rFonts w:ascii="宋体" w:eastAsia="宋体" w:hAnsi="宋体" w:cs="宋体"/>
                <w:kern w:val="0"/>
                <w:sz w:val="24"/>
                <w:szCs w:val="24"/>
              </w:rPr>
              <w:t>7</w:t>
            </w:r>
          </w:p>
        </w:tc>
        <w:tc>
          <w:tcPr>
            <w:tcW w:w="82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ind w:firstLineChars="50" w:firstLine="120"/>
              <w:jc w:val="center"/>
              <w:rPr>
                <w:rFonts w:ascii="宋体" w:eastAsia="宋体" w:hAnsi="宋体" w:cs="宋体"/>
                <w:kern w:val="0"/>
                <w:sz w:val="24"/>
                <w:szCs w:val="24"/>
              </w:rPr>
            </w:pPr>
            <w:r w:rsidRPr="002B4623">
              <w:rPr>
                <w:rFonts w:ascii="宋体" w:eastAsia="宋体" w:hAnsi="宋体" w:cs="宋体"/>
                <w:kern w:val="0"/>
                <w:sz w:val="24"/>
                <w:szCs w:val="24"/>
              </w:rPr>
              <w:t>AAA</w:t>
            </w:r>
          </w:p>
        </w:tc>
        <w:tc>
          <w:tcPr>
            <w:tcW w:w="69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74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4.90~5.57</w:t>
            </w:r>
          </w:p>
        </w:tc>
        <w:tc>
          <w:tcPr>
            <w:tcW w:w="61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5.23</w:t>
            </w:r>
          </w:p>
        </w:tc>
        <w:tc>
          <w:tcPr>
            <w:tcW w:w="6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165.95</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c>
          <w:tcPr>
            <w:tcW w:w="576" w:type="pct"/>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18.16</w:t>
            </w:r>
          </w:p>
        </w:tc>
      </w:tr>
      <w:tr w:rsidR="002B4623" w:rsidRPr="002B4623" w:rsidTr="002B4623">
        <w:trPr>
          <w:trHeight w:hRule="exact" w:val="340"/>
          <w:jc w:val="center"/>
        </w:trPr>
        <w:tc>
          <w:tcPr>
            <w:tcW w:w="0" w:type="auto"/>
            <w:vMerge/>
            <w:tcBorders>
              <w:top w:val="single" w:sz="4" w:space="0" w:color="auto"/>
              <w:left w:val="nil"/>
              <w:bottom w:val="single" w:sz="12" w:space="0" w:color="auto"/>
              <w:right w:val="single" w:sz="4" w:space="0" w:color="auto"/>
            </w:tcBorders>
            <w:vAlign w:val="center"/>
            <w:hideMark/>
          </w:tcPr>
          <w:p w:rsidR="002B4623" w:rsidRPr="002B4623" w:rsidRDefault="002B4623" w:rsidP="002B4623">
            <w:pPr>
              <w:widowControl/>
              <w:spacing w:beforeAutospacing="1" w:afterAutospacing="1"/>
              <w:jc w:val="left"/>
              <w:rPr>
                <w:rFonts w:ascii="宋体" w:eastAsia="宋体" w:hAnsi="宋体" w:cs="宋体"/>
                <w:kern w:val="0"/>
                <w:sz w:val="24"/>
                <w:szCs w:val="24"/>
              </w:rPr>
            </w:pPr>
          </w:p>
        </w:tc>
        <w:tc>
          <w:tcPr>
            <w:tcW w:w="8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ind w:firstLineChars="50" w:firstLine="120"/>
              <w:jc w:val="center"/>
              <w:rPr>
                <w:rFonts w:ascii="宋体" w:eastAsia="宋体" w:hAnsi="宋体" w:cs="宋体"/>
                <w:kern w:val="0"/>
                <w:sz w:val="24"/>
                <w:szCs w:val="24"/>
              </w:rPr>
            </w:pPr>
            <w:r w:rsidRPr="002B4623">
              <w:rPr>
                <w:rFonts w:ascii="宋体" w:eastAsia="宋体" w:hAnsi="宋体" w:cs="宋体"/>
                <w:kern w:val="0"/>
                <w:sz w:val="24"/>
                <w:szCs w:val="24"/>
              </w:rPr>
              <w:t>AA+</w:t>
            </w:r>
          </w:p>
        </w:tc>
        <w:tc>
          <w:tcPr>
            <w:tcW w:w="6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29</w:t>
            </w:r>
          </w:p>
        </w:tc>
        <w:tc>
          <w:tcPr>
            <w:tcW w:w="7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5.48~6.95</w:t>
            </w:r>
          </w:p>
        </w:tc>
        <w:tc>
          <w:tcPr>
            <w:tcW w:w="6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6.12</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267.53</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101.58</w:t>
            </w:r>
          </w:p>
        </w:tc>
        <w:tc>
          <w:tcPr>
            <w:tcW w:w="576" w:type="pct"/>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16.13</w:t>
            </w:r>
          </w:p>
        </w:tc>
      </w:tr>
      <w:tr w:rsidR="002B4623" w:rsidRPr="002B4623" w:rsidTr="002B4623">
        <w:trPr>
          <w:trHeight w:hRule="exact" w:val="340"/>
          <w:jc w:val="center"/>
        </w:trPr>
        <w:tc>
          <w:tcPr>
            <w:tcW w:w="0" w:type="auto"/>
            <w:vMerge/>
            <w:tcBorders>
              <w:top w:val="single" w:sz="4" w:space="0" w:color="auto"/>
              <w:left w:val="nil"/>
              <w:bottom w:val="single" w:sz="12" w:space="0" w:color="auto"/>
              <w:right w:val="single" w:sz="4" w:space="0" w:color="auto"/>
            </w:tcBorders>
            <w:vAlign w:val="center"/>
            <w:hideMark/>
          </w:tcPr>
          <w:p w:rsidR="002B4623" w:rsidRPr="002B4623" w:rsidRDefault="002B4623" w:rsidP="002B4623">
            <w:pPr>
              <w:widowControl/>
              <w:spacing w:beforeAutospacing="1" w:afterAutospacing="1"/>
              <w:jc w:val="left"/>
              <w:rPr>
                <w:rFonts w:ascii="宋体" w:eastAsia="宋体" w:hAnsi="宋体" w:cs="宋体"/>
                <w:kern w:val="0"/>
                <w:sz w:val="24"/>
                <w:szCs w:val="24"/>
              </w:rPr>
            </w:pPr>
          </w:p>
        </w:tc>
        <w:tc>
          <w:tcPr>
            <w:tcW w:w="82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ind w:firstLineChars="50" w:firstLine="120"/>
              <w:jc w:val="center"/>
              <w:rPr>
                <w:rFonts w:ascii="宋体" w:eastAsia="宋体" w:hAnsi="宋体" w:cs="宋体"/>
                <w:kern w:val="0"/>
                <w:sz w:val="24"/>
                <w:szCs w:val="24"/>
              </w:rPr>
            </w:pPr>
            <w:r w:rsidRPr="002B4623">
              <w:rPr>
                <w:rFonts w:ascii="宋体" w:eastAsia="宋体" w:hAnsi="宋体" w:cs="宋体"/>
                <w:kern w:val="0"/>
                <w:sz w:val="24"/>
                <w:szCs w:val="24"/>
              </w:rPr>
              <w:t>AA</w:t>
            </w:r>
          </w:p>
        </w:tc>
        <w:tc>
          <w:tcPr>
            <w:tcW w:w="69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93</w:t>
            </w:r>
          </w:p>
        </w:tc>
        <w:tc>
          <w:tcPr>
            <w:tcW w:w="74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5.00~8.80</w:t>
            </w:r>
          </w:p>
        </w:tc>
        <w:tc>
          <w:tcPr>
            <w:tcW w:w="61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6.46</w:t>
            </w:r>
          </w:p>
        </w:tc>
        <w:tc>
          <w:tcPr>
            <w:tcW w:w="6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303.34</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35.81</w:t>
            </w:r>
          </w:p>
        </w:tc>
        <w:tc>
          <w:tcPr>
            <w:tcW w:w="576" w:type="pct"/>
            <w:tcBorders>
              <w:top w:val="single" w:sz="4" w:space="0" w:color="auto"/>
              <w:left w:val="single" w:sz="4" w:space="0" w:color="auto"/>
              <w:bottom w:val="single" w:sz="12"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16.00</w:t>
            </w:r>
          </w:p>
        </w:tc>
      </w:tr>
    </w:tbl>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注：</w:t>
      </w:r>
      <w:r w:rsidRPr="002B4623">
        <w:rPr>
          <w:rFonts w:ascii="宋体" w:eastAsia="楷体_GB2312" w:hAnsi="宋体" w:cs="宋体"/>
          <w:kern w:val="0"/>
          <w:sz w:val="18"/>
          <w:szCs w:val="18"/>
        </w:rPr>
        <w:t xml:space="preserve">1. </w:t>
      </w:r>
      <w:r w:rsidRPr="002B4623">
        <w:rPr>
          <w:rFonts w:ascii="宋体" w:eastAsia="宋体" w:hAnsi="宋体" w:cs="宋体"/>
          <w:kern w:val="0"/>
          <w:sz w:val="24"/>
          <w:szCs w:val="24"/>
        </w:rPr>
        <w:t>如果债券存在选择权，期限为选择权之前的期限，例如债券的原始期限设计为</w:t>
      </w:r>
      <w:r w:rsidRPr="002B4623">
        <w:rPr>
          <w:rFonts w:ascii="宋体" w:eastAsia="楷体_GB2312" w:hAnsi="宋体" w:cs="宋体"/>
          <w:kern w:val="0"/>
          <w:sz w:val="18"/>
          <w:szCs w:val="18"/>
        </w:rPr>
        <w:t>“5+2”</w:t>
      </w:r>
      <w:r w:rsidRPr="002B4623">
        <w:rPr>
          <w:rFonts w:ascii="宋体" w:eastAsia="宋体" w:hAnsi="宋体" w:cs="宋体"/>
          <w:kern w:val="0"/>
          <w:sz w:val="24"/>
          <w:szCs w:val="24"/>
        </w:rPr>
        <w:t>，则期限为</w:t>
      </w:r>
      <w:r w:rsidRPr="002B4623">
        <w:rPr>
          <w:rFonts w:ascii="宋体" w:eastAsia="楷体_GB2312" w:hAnsi="宋体" w:cs="宋体"/>
          <w:kern w:val="0"/>
          <w:sz w:val="18"/>
          <w:szCs w:val="18"/>
        </w:rPr>
        <w:t>5</w:t>
      </w:r>
      <w:r w:rsidRPr="002B4623">
        <w:rPr>
          <w:rFonts w:ascii="宋体" w:eastAsia="宋体" w:hAnsi="宋体" w:cs="宋体"/>
          <w:kern w:val="0"/>
          <w:sz w:val="24"/>
          <w:szCs w:val="24"/>
        </w:rPr>
        <w:t>年；</w:t>
      </w:r>
    </w:p>
    <w:p w:rsidR="002B4623" w:rsidRPr="002B4623" w:rsidRDefault="002B4623" w:rsidP="002B4623">
      <w:pPr>
        <w:widowControl/>
        <w:spacing w:before="100" w:beforeAutospacing="1" w:line="200" w:lineRule="exact"/>
        <w:ind w:firstLineChars="200" w:firstLine="360"/>
        <w:jc w:val="left"/>
        <w:rPr>
          <w:rFonts w:ascii="宋体" w:eastAsia="宋体" w:hAnsi="宋体" w:cs="宋体"/>
          <w:kern w:val="0"/>
          <w:sz w:val="24"/>
          <w:szCs w:val="24"/>
        </w:rPr>
      </w:pPr>
      <w:r w:rsidRPr="002B4623">
        <w:rPr>
          <w:rFonts w:ascii="宋体" w:eastAsia="楷体_GB2312" w:hAnsi="宋体" w:cs="宋体"/>
          <w:kern w:val="0"/>
          <w:sz w:val="18"/>
          <w:szCs w:val="18"/>
        </w:rPr>
        <w:t xml:space="preserve">2. </w:t>
      </w:r>
      <w:r w:rsidRPr="002B4623">
        <w:rPr>
          <w:rFonts w:ascii="宋体" w:eastAsia="宋体" w:hAnsi="宋体" w:cs="宋体"/>
          <w:kern w:val="0"/>
          <w:sz w:val="24"/>
          <w:szCs w:val="24"/>
        </w:rPr>
        <w:t>级差为本信用等级的发行利差均值减去比该信用等级高一</w:t>
      </w:r>
      <w:proofErr w:type="gramStart"/>
      <w:r w:rsidRPr="002B4623">
        <w:rPr>
          <w:rFonts w:ascii="宋体" w:eastAsia="宋体" w:hAnsi="宋体" w:cs="宋体"/>
          <w:kern w:val="0"/>
          <w:sz w:val="24"/>
          <w:szCs w:val="24"/>
        </w:rPr>
        <w:t>个子级</w:t>
      </w:r>
      <w:proofErr w:type="gramEnd"/>
      <w:r w:rsidRPr="002B4623">
        <w:rPr>
          <w:rFonts w:ascii="宋体" w:eastAsia="宋体" w:hAnsi="宋体" w:cs="宋体"/>
          <w:kern w:val="0"/>
          <w:sz w:val="24"/>
          <w:szCs w:val="24"/>
        </w:rPr>
        <w:t>的发行利差均值，变异系数为标准差与均值的比；</w:t>
      </w:r>
    </w:p>
    <w:p w:rsidR="002B4623" w:rsidRPr="002B4623" w:rsidRDefault="002B4623" w:rsidP="002B4623">
      <w:pPr>
        <w:widowControl/>
        <w:spacing w:before="100" w:beforeAutospacing="1" w:line="200" w:lineRule="exact"/>
        <w:ind w:firstLineChars="200" w:firstLine="360"/>
        <w:jc w:val="left"/>
        <w:rPr>
          <w:rFonts w:ascii="宋体" w:eastAsia="宋体" w:hAnsi="宋体" w:cs="宋体"/>
          <w:kern w:val="0"/>
          <w:sz w:val="24"/>
          <w:szCs w:val="24"/>
        </w:rPr>
      </w:pPr>
      <w:r w:rsidRPr="002B4623">
        <w:rPr>
          <w:rFonts w:ascii="宋体" w:eastAsia="楷体_GB2312" w:hAnsi="宋体" w:cs="宋体"/>
          <w:kern w:val="0"/>
          <w:sz w:val="18"/>
          <w:szCs w:val="18"/>
        </w:rPr>
        <w:t>3. NA</w:t>
      </w:r>
      <w:r w:rsidRPr="002B4623">
        <w:rPr>
          <w:rFonts w:ascii="宋体" w:eastAsia="宋体" w:hAnsi="宋体" w:cs="宋体"/>
          <w:kern w:val="0"/>
          <w:sz w:val="24"/>
          <w:szCs w:val="24"/>
        </w:rPr>
        <w:t>表示不适用。</w:t>
      </w:r>
    </w:p>
    <w:p w:rsidR="002B4623" w:rsidRPr="002B4623" w:rsidRDefault="002B4623" w:rsidP="002B4623">
      <w:pPr>
        <w:widowControl/>
        <w:spacing w:before="100" w:beforeAutospacing="1" w:line="200" w:lineRule="exact"/>
        <w:jc w:val="left"/>
        <w:rPr>
          <w:rFonts w:ascii="宋体" w:eastAsia="宋体" w:hAnsi="宋体" w:cs="宋体"/>
          <w:kern w:val="0"/>
          <w:sz w:val="24"/>
          <w:szCs w:val="24"/>
        </w:rPr>
      </w:pPr>
      <w:r w:rsidRPr="002B4623">
        <w:rPr>
          <w:rFonts w:ascii="宋体" w:eastAsia="宋体" w:hAnsi="宋体" w:cs="宋体"/>
          <w:kern w:val="0"/>
          <w:sz w:val="24"/>
          <w:szCs w:val="24"/>
        </w:rPr>
        <w:t>资料来源：中国债券信息网、</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adjustRightInd w:val="0"/>
        <w:snapToGrid w:val="0"/>
        <w:spacing w:before="100" w:beforeAutospacing="1" w:line="312" w:lineRule="auto"/>
        <w:jc w:val="left"/>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在利差变化方面，2015年上半年，AAA级企业债券的利差均值较上年同比和环比均有明显回落；AA+级和AA级企业债券的利差均值同比有所下降，</w:t>
      </w:r>
      <w:proofErr w:type="gramStart"/>
      <w:r w:rsidRPr="002B4623">
        <w:rPr>
          <w:rFonts w:ascii="宋体" w:eastAsia="宋体" w:hAnsi="宋体" w:cs="宋体"/>
          <w:kern w:val="0"/>
          <w:sz w:val="24"/>
          <w:szCs w:val="24"/>
        </w:rPr>
        <w:t>但环比</w:t>
      </w:r>
      <w:proofErr w:type="gramEnd"/>
      <w:r w:rsidRPr="002B4623">
        <w:rPr>
          <w:rFonts w:ascii="宋体" w:eastAsia="宋体" w:hAnsi="宋体" w:cs="宋体"/>
          <w:kern w:val="0"/>
          <w:sz w:val="24"/>
          <w:szCs w:val="24"/>
        </w:rPr>
        <w:t>略有上升。</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利差波动性方面，2015年上半年，除AA级企业债券的变异系数较上年同期略有扩大外，整体来看企业债券利差的波动幅度有所减小。</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1"/>
        </w:rPr>
        <w:t>6   7</w:t>
      </w:r>
      <w:r w:rsidRPr="002B4623">
        <w:rPr>
          <w:rFonts w:ascii="宋体" w:eastAsia="宋体" w:hAnsi="宋体" w:cs="宋体"/>
          <w:kern w:val="0"/>
          <w:sz w:val="24"/>
          <w:szCs w:val="24"/>
        </w:rPr>
        <w:t>年期企业债券利差波动情况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1"/>
        <w:gridCol w:w="1151"/>
        <w:gridCol w:w="1228"/>
        <w:gridCol w:w="1161"/>
        <w:gridCol w:w="1218"/>
        <w:gridCol w:w="1166"/>
        <w:gridCol w:w="1211"/>
      </w:tblGrid>
      <w:tr w:rsidR="002B4623" w:rsidRPr="002B4623" w:rsidTr="002B4623">
        <w:trPr>
          <w:trHeight w:val="318"/>
          <w:jc w:val="center"/>
        </w:trPr>
        <w:tc>
          <w:tcPr>
            <w:tcW w:w="705" w:type="pct"/>
            <w:vMerge w:val="restart"/>
            <w:tcBorders>
              <w:top w:val="single" w:sz="12" w:space="0" w:color="auto"/>
              <w:left w:val="nil"/>
              <w:bottom w:val="single" w:sz="4" w:space="0" w:color="auto"/>
              <w:right w:val="single" w:sz="4" w:space="0" w:color="auto"/>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债项级别</w:t>
            </w:r>
          </w:p>
        </w:tc>
        <w:tc>
          <w:tcPr>
            <w:tcW w:w="1432" w:type="pct"/>
            <w:gridSpan w:val="2"/>
            <w:tcBorders>
              <w:top w:val="single" w:sz="4" w:space="0" w:color="auto"/>
              <w:left w:val="single" w:sz="4" w:space="0" w:color="auto"/>
              <w:bottom w:val="single" w:sz="4" w:space="0" w:color="auto"/>
              <w:right w:val="single" w:sz="4" w:space="0" w:color="auto"/>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2014年上半年利差</w:t>
            </w:r>
          </w:p>
        </w:tc>
        <w:tc>
          <w:tcPr>
            <w:tcW w:w="1432" w:type="pct"/>
            <w:gridSpan w:val="2"/>
            <w:tcBorders>
              <w:top w:val="single" w:sz="4" w:space="0" w:color="auto"/>
              <w:left w:val="single" w:sz="4" w:space="0" w:color="auto"/>
              <w:bottom w:val="single" w:sz="4" w:space="0" w:color="auto"/>
              <w:right w:val="single" w:sz="4" w:space="0" w:color="auto"/>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2014年下半年利差</w:t>
            </w:r>
          </w:p>
        </w:tc>
        <w:tc>
          <w:tcPr>
            <w:tcW w:w="1432" w:type="pct"/>
            <w:gridSpan w:val="2"/>
            <w:tcBorders>
              <w:top w:val="single" w:sz="12" w:space="0" w:color="auto"/>
              <w:left w:val="single" w:sz="4" w:space="0" w:color="auto"/>
              <w:bottom w:val="single" w:sz="4" w:space="0" w:color="auto"/>
              <w:right w:val="nil"/>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2015年上半年利差</w:t>
            </w:r>
          </w:p>
        </w:tc>
      </w:tr>
      <w:tr w:rsidR="002B4623" w:rsidRPr="002B4623" w:rsidTr="002B4623">
        <w:trPr>
          <w:trHeight w:val="284"/>
          <w:jc w:val="center"/>
        </w:trPr>
        <w:tc>
          <w:tcPr>
            <w:tcW w:w="0" w:type="auto"/>
            <w:vMerge/>
            <w:tcBorders>
              <w:top w:val="single" w:sz="12" w:space="0" w:color="auto"/>
              <w:left w:val="nil"/>
              <w:bottom w:val="single" w:sz="4" w:space="0" w:color="auto"/>
              <w:right w:val="single" w:sz="4" w:space="0" w:color="auto"/>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693" w:type="pct"/>
            <w:tcBorders>
              <w:top w:val="single" w:sz="4" w:space="0" w:color="auto"/>
              <w:left w:val="single" w:sz="4" w:space="0" w:color="auto"/>
              <w:bottom w:val="single" w:sz="4" w:space="0" w:color="auto"/>
              <w:right w:val="single" w:sz="4" w:space="0" w:color="auto"/>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均值</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（BP）</w:t>
            </w:r>
          </w:p>
        </w:tc>
        <w:tc>
          <w:tcPr>
            <w:tcW w:w="739" w:type="pct"/>
            <w:tcBorders>
              <w:top w:val="single" w:sz="4" w:space="0" w:color="auto"/>
              <w:left w:val="single" w:sz="4" w:space="0" w:color="auto"/>
              <w:bottom w:val="single" w:sz="4" w:space="0" w:color="auto"/>
              <w:right w:val="single" w:sz="4" w:space="0" w:color="auto"/>
            </w:tcBorders>
            <w:shd w:val="clear" w:color="auto" w:fill="2E74B5"/>
            <w:tcMar>
              <w:top w:w="10" w:type="dxa"/>
              <w:left w:w="10" w:type="dxa"/>
              <w:bottom w:w="0" w:type="dxa"/>
              <w:right w:w="10"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变异系数</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均值</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（BP）</w:t>
            </w:r>
          </w:p>
        </w:tc>
        <w:tc>
          <w:tcPr>
            <w:tcW w:w="733" w:type="pct"/>
            <w:tcBorders>
              <w:top w:val="single" w:sz="4" w:space="0" w:color="auto"/>
              <w:left w:val="single" w:sz="4" w:space="0" w:color="auto"/>
              <w:bottom w:val="single" w:sz="4" w:space="0" w:color="auto"/>
              <w:right w:val="single" w:sz="4" w:space="0" w:color="auto"/>
            </w:tcBorders>
            <w:shd w:val="clear" w:color="auto" w:fill="2E74B5"/>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变异系数</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w:t>
            </w:r>
          </w:p>
        </w:tc>
        <w:tc>
          <w:tcPr>
            <w:tcW w:w="702" w:type="pct"/>
            <w:tcBorders>
              <w:top w:val="single" w:sz="4" w:space="0" w:color="auto"/>
              <w:left w:val="single" w:sz="4" w:space="0" w:color="auto"/>
              <w:bottom w:val="single" w:sz="4" w:space="0" w:color="auto"/>
              <w:right w:val="single" w:sz="4" w:space="0" w:color="auto"/>
            </w:tcBorders>
            <w:shd w:val="clear" w:color="auto" w:fill="2E74B5"/>
            <w:noWrap/>
            <w:tcMar>
              <w:top w:w="10" w:type="dxa"/>
              <w:left w:w="10" w:type="dxa"/>
              <w:bottom w:w="0" w:type="dxa"/>
              <w:right w:w="10" w:type="dxa"/>
            </w:tcMar>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均值</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（BP）</w:t>
            </w:r>
          </w:p>
        </w:tc>
        <w:tc>
          <w:tcPr>
            <w:tcW w:w="730" w:type="pct"/>
            <w:tcBorders>
              <w:top w:val="single" w:sz="4" w:space="0" w:color="auto"/>
              <w:left w:val="single" w:sz="4" w:space="0" w:color="auto"/>
              <w:bottom w:val="single" w:sz="4" w:space="0" w:color="auto"/>
              <w:right w:val="nil"/>
            </w:tcBorders>
            <w:shd w:val="clear" w:color="auto" w:fill="2E74B5"/>
            <w:vAlign w:val="center"/>
            <w:hideMark/>
          </w:tcPr>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变异系数</w:t>
            </w:r>
          </w:p>
          <w:p w:rsidR="002B4623" w:rsidRPr="002B4623" w:rsidRDefault="002B4623" w:rsidP="002B4623">
            <w:pPr>
              <w:widowControl/>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w:t>
            </w:r>
          </w:p>
        </w:tc>
      </w:tr>
      <w:tr w:rsidR="002B4623" w:rsidRPr="002B4623" w:rsidTr="002B4623">
        <w:trPr>
          <w:trHeight w:val="356"/>
          <w:jc w:val="center"/>
        </w:trPr>
        <w:tc>
          <w:tcPr>
            <w:tcW w:w="705" w:type="pct"/>
            <w:tcBorders>
              <w:top w:val="single" w:sz="4"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bottom"/>
            <w:hideMark/>
          </w:tcPr>
          <w:p w:rsidR="002B4623" w:rsidRPr="002B4623" w:rsidRDefault="002B4623" w:rsidP="002B4623">
            <w:pPr>
              <w:widowControl/>
              <w:spacing w:before="100" w:beforeAutospacing="1"/>
              <w:ind w:firstLineChars="169" w:firstLine="406"/>
              <w:jc w:val="left"/>
              <w:rPr>
                <w:rFonts w:ascii="宋体" w:eastAsia="宋体" w:hAnsi="宋体" w:cs="宋体"/>
                <w:kern w:val="0"/>
                <w:sz w:val="24"/>
                <w:szCs w:val="24"/>
              </w:rPr>
            </w:pPr>
            <w:r w:rsidRPr="002B4623">
              <w:rPr>
                <w:rFonts w:ascii="宋体" w:eastAsia="宋体" w:hAnsi="宋体" w:cs="宋体"/>
                <w:kern w:val="0"/>
                <w:sz w:val="24"/>
                <w:szCs w:val="24"/>
              </w:rPr>
              <w:t>AAA</w:t>
            </w:r>
          </w:p>
        </w:tc>
        <w:tc>
          <w:tcPr>
            <w:tcW w:w="693"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288.71</w:t>
            </w:r>
          </w:p>
        </w:tc>
        <w:tc>
          <w:tcPr>
            <w:tcW w:w="739"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20.72</w:t>
            </w:r>
          </w:p>
        </w:tc>
        <w:tc>
          <w:tcPr>
            <w:tcW w:w="69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246.27</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41.62</w:t>
            </w:r>
          </w:p>
        </w:tc>
        <w:tc>
          <w:tcPr>
            <w:tcW w:w="702"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165.95</w:t>
            </w:r>
          </w:p>
        </w:tc>
        <w:tc>
          <w:tcPr>
            <w:tcW w:w="730" w:type="pct"/>
            <w:tcBorders>
              <w:top w:val="single" w:sz="4" w:space="0" w:color="auto"/>
              <w:left w:val="single" w:sz="4" w:space="0" w:color="auto"/>
              <w:bottom w:val="single" w:sz="4"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18.16 </w:t>
            </w:r>
          </w:p>
        </w:tc>
      </w:tr>
      <w:tr w:rsidR="002B4623" w:rsidRPr="002B4623" w:rsidTr="002B4623">
        <w:trPr>
          <w:trHeight w:val="350"/>
          <w:jc w:val="center"/>
        </w:trPr>
        <w:tc>
          <w:tcPr>
            <w:tcW w:w="705" w:type="pct"/>
            <w:tcBorders>
              <w:top w:val="single" w:sz="4" w:space="0" w:color="auto"/>
              <w:left w:val="nil"/>
              <w:bottom w:val="single" w:sz="4" w:space="0" w:color="auto"/>
              <w:right w:val="single" w:sz="4" w:space="0" w:color="auto"/>
            </w:tcBorders>
            <w:shd w:val="clear" w:color="auto" w:fill="D9D9D9"/>
            <w:noWrap/>
            <w:tcMar>
              <w:top w:w="10" w:type="dxa"/>
              <w:left w:w="10" w:type="dxa"/>
              <w:bottom w:w="0" w:type="dxa"/>
              <w:right w:w="10" w:type="dxa"/>
            </w:tcMar>
            <w:vAlign w:val="bottom"/>
            <w:hideMark/>
          </w:tcPr>
          <w:p w:rsidR="002B4623" w:rsidRPr="002B4623" w:rsidRDefault="002B4623" w:rsidP="002B4623">
            <w:pPr>
              <w:widowControl/>
              <w:spacing w:before="100" w:beforeAutospacing="1"/>
              <w:ind w:firstLineChars="169" w:firstLine="406"/>
              <w:jc w:val="left"/>
              <w:rPr>
                <w:rFonts w:ascii="宋体" w:eastAsia="宋体" w:hAnsi="宋体" w:cs="宋体"/>
                <w:kern w:val="0"/>
                <w:sz w:val="24"/>
                <w:szCs w:val="24"/>
              </w:rPr>
            </w:pPr>
            <w:r w:rsidRPr="002B4623">
              <w:rPr>
                <w:rFonts w:ascii="宋体" w:eastAsia="宋体" w:hAnsi="宋体" w:cs="宋体"/>
                <w:kern w:val="0"/>
                <w:sz w:val="24"/>
                <w:szCs w:val="24"/>
              </w:rPr>
              <w:t>AA+</w:t>
            </w:r>
          </w:p>
        </w:tc>
        <w:tc>
          <w:tcPr>
            <w:tcW w:w="693" w:type="pct"/>
            <w:tcBorders>
              <w:top w:val="single" w:sz="4" w:space="0" w:color="auto"/>
              <w:left w:val="single" w:sz="4" w:space="0" w:color="auto"/>
              <w:bottom w:val="single" w:sz="4" w:space="0" w:color="auto"/>
              <w:right w:val="single" w:sz="4" w:space="0" w:color="auto"/>
            </w:tcBorders>
            <w:shd w:val="clear" w:color="auto" w:fill="D9D9D9"/>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313.32</w:t>
            </w:r>
          </w:p>
        </w:tc>
        <w:tc>
          <w:tcPr>
            <w:tcW w:w="739" w:type="pct"/>
            <w:tcBorders>
              <w:top w:val="single" w:sz="4" w:space="0" w:color="auto"/>
              <w:left w:val="single" w:sz="4" w:space="0" w:color="auto"/>
              <w:bottom w:val="single" w:sz="4" w:space="0" w:color="auto"/>
              <w:right w:val="single" w:sz="4" w:space="0" w:color="auto"/>
            </w:tcBorders>
            <w:shd w:val="clear" w:color="auto" w:fill="D9D9D9"/>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17.50</w:t>
            </w:r>
          </w:p>
        </w:tc>
        <w:tc>
          <w:tcPr>
            <w:tcW w:w="699" w:type="pct"/>
            <w:tcBorders>
              <w:top w:val="single" w:sz="4" w:space="0" w:color="auto"/>
              <w:left w:val="single" w:sz="4" w:space="0" w:color="auto"/>
              <w:bottom w:val="single" w:sz="4" w:space="0" w:color="auto"/>
              <w:right w:val="single" w:sz="4" w:space="0" w:color="auto"/>
            </w:tcBorders>
            <w:shd w:val="clear" w:color="auto" w:fill="D9D9D9"/>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263.17</w:t>
            </w: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27.37</w:t>
            </w:r>
          </w:p>
        </w:tc>
        <w:tc>
          <w:tcPr>
            <w:tcW w:w="702" w:type="pct"/>
            <w:tcBorders>
              <w:top w:val="single" w:sz="4" w:space="0" w:color="auto"/>
              <w:left w:val="single" w:sz="4" w:space="0" w:color="auto"/>
              <w:bottom w:val="single" w:sz="4" w:space="0" w:color="auto"/>
              <w:right w:val="single" w:sz="4" w:space="0" w:color="auto"/>
            </w:tcBorders>
            <w:shd w:val="clear" w:color="auto" w:fill="D9D9D9"/>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267.53</w:t>
            </w:r>
          </w:p>
        </w:tc>
        <w:tc>
          <w:tcPr>
            <w:tcW w:w="730" w:type="pct"/>
            <w:tcBorders>
              <w:top w:val="single" w:sz="4" w:space="0" w:color="auto"/>
              <w:left w:val="single" w:sz="4" w:space="0" w:color="auto"/>
              <w:bottom w:val="single" w:sz="4" w:space="0" w:color="auto"/>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16.13 </w:t>
            </w:r>
          </w:p>
        </w:tc>
      </w:tr>
      <w:tr w:rsidR="002B4623" w:rsidRPr="002B4623" w:rsidTr="002B4623">
        <w:trPr>
          <w:trHeight w:val="284"/>
          <w:jc w:val="center"/>
        </w:trPr>
        <w:tc>
          <w:tcPr>
            <w:tcW w:w="705" w:type="pct"/>
            <w:tcBorders>
              <w:top w:val="single" w:sz="4" w:space="0" w:color="auto"/>
              <w:left w:val="nil"/>
              <w:bottom w:val="single" w:sz="12" w:space="0" w:color="auto"/>
              <w:right w:val="single" w:sz="4" w:space="0" w:color="auto"/>
            </w:tcBorders>
            <w:shd w:val="clear" w:color="auto" w:fill="FFFFFF"/>
            <w:noWrap/>
            <w:tcMar>
              <w:top w:w="10" w:type="dxa"/>
              <w:left w:w="10" w:type="dxa"/>
              <w:bottom w:w="0" w:type="dxa"/>
              <w:right w:w="10" w:type="dxa"/>
            </w:tcMar>
            <w:vAlign w:val="bottom"/>
            <w:hideMark/>
          </w:tcPr>
          <w:p w:rsidR="002B4623" w:rsidRPr="002B4623" w:rsidRDefault="002B4623" w:rsidP="002B4623">
            <w:pPr>
              <w:widowControl/>
              <w:spacing w:before="100" w:beforeAutospacing="1"/>
              <w:ind w:firstLineChars="169" w:firstLine="406"/>
              <w:jc w:val="left"/>
              <w:rPr>
                <w:rFonts w:ascii="宋体" w:eastAsia="宋体" w:hAnsi="宋体" w:cs="宋体"/>
                <w:kern w:val="0"/>
                <w:sz w:val="24"/>
                <w:szCs w:val="24"/>
              </w:rPr>
            </w:pPr>
            <w:r w:rsidRPr="002B4623">
              <w:rPr>
                <w:rFonts w:ascii="宋体" w:eastAsia="宋体" w:hAnsi="宋体" w:cs="宋体"/>
                <w:kern w:val="0"/>
                <w:sz w:val="24"/>
                <w:szCs w:val="24"/>
              </w:rPr>
              <w:t>AA</w:t>
            </w:r>
          </w:p>
        </w:tc>
        <w:tc>
          <w:tcPr>
            <w:tcW w:w="693"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351.94</w:t>
            </w:r>
          </w:p>
        </w:tc>
        <w:tc>
          <w:tcPr>
            <w:tcW w:w="739"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13.24</w:t>
            </w:r>
          </w:p>
        </w:tc>
        <w:tc>
          <w:tcPr>
            <w:tcW w:w="69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282.99</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22.73</w:t>
            </w:r>
          </w:p>
        </w:tc>
        <w:tc>
          <w:tcPr>
            <w:tcW w:w="702"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303.34</w:t>
            </w:r>
          </w:p>
        </w:tc>
        <w:tc>
          <w:tcPr>
            <w:tcW w:w="730" w:type="pct"/>
            <w:tcBorders>
              <w:top w:val="single" w:sz="4" w:space="0" w:color="auto"/>
              <w:left w:val="single" w:sz="4" w:space="0" w:color="auto"/>
              <w:bottom w:val="single" w:sz="12" w:space="0" w:color="auto"/>
              <w:right w:val="nil"/>
            </w:tcBorders>
            <w:shd w:val="clear" w:color="auto" w:fill="FFFFFF"/>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16.00 </w:t>
            </w:r>
          </w:p>
        </w:tc>
      </w:tr>
    </w:tbl>
    <w:p w:rsidR="002B4623" w:rsidRPr="002B4623" w:rsidRDefault="002B4623" w:rsidP="002B4623">
      <w:pPr>
        <w:widowControl/>
        <w:adjustRightInd w:val="0"/>
        <w:snapToGrid w:val="0"/>
        <w:spacing w:before="100" w:beforeAutospacing="1" w:line="360" w:lineRule="auto"/>
        <w:jc w:val="left"/>
        <w:rPr>
          <w:rFonts w:ascii="宋体" w:eastAsia="宋体" w:hAnsi="宋体" w:cs="宋体"/>
          <w:kern w:val="0"/>
          <w:sz w:val="24"/>
          <w:szCs w:val="24"/>
        </w:rPr>
      </w:pPr>
      <w:r w:rsidRPr="002B4623">
        <w:rPr>
          <w:rFonts w:ascii="宋体" w:eastAsia="宋体" w:hAnsi="宋体" w:cs="宋体"/>
          <w:b/>
          <w:kern w:val="0"/>
          <w:sz w:val="24"/>
          <w:szCs w:val="24"/>
        </w:rPr>
        <w:t> </w:t>
      </w:r>
    </w:p>
    <w:p w:rsidR="002B4623" w:rsidRPr="002B4623" w:rsidRDefault="002B4623" w:rsidP="002B4623">
      <w:pPr>
        <w:widowControl/>
        <w:spacing w:before="100" w:beforeAutospacing="1" w:after="100" w:afterAutospacing="1"/>
        <w:jc w:val="left"/>
        <w:rPr>
          <w:rFonts w:ascii="宋体" w:eastAsia="宋体" w:hAnsi="宋体" w:cs="宋体"/>
          <w:kern w:val="0"/>
          <w:szCs w:val="21"/>
        </w:rPr>
      </w:pPr>
      <w:r w:rsidRPr="002B4623">
        <w:rPr>
          <w:rFonts w:ascii="宋体" w:eastAsia="宋体" w:hAnsi="宋体" w:cs="宋体" w:hint="eastAsia"/>
          <w:kern w:val="0"/>
          <w:szCs w:val="21"/>
        </w:rPr>
        <w:t> </w:t>
      </w:r>
    </w:p>
    <w:p w:rsidR="002B4623" w:rsidRPr="002B4623" w:rsidRDefault="002B4623" w:rsidP="002B4623">
      <w:pPr>
        <w:widowControl/>
        <w:adjustRightInd w:val="0"/>
        <w:snapToGrid w:val="0"/>
        <w:spacing w:before="100" w:beforeAutospacing="1" w:line="360" w:lineRule="auto"/>
        <w:jc w:val="left"/>
        <w:rPr>
          <w:rFonts w:ascii="宋体" w:eastAsia="宋体" w:hAnsi="宋体" w:cs="宋体" w:hint="eastAsia"/>
          <w:kern w:val="0"/>
          <w:sz w:val="24"/>
          <w:szCs w:val="24"/>
        </w:rPr>
      </w:pPr>
      <w:r w:rsidRPr="002B4623">
        <w:rPr>
          <w:rFonts w:ascii="宋体" w:eastAsia="宋体" w:hAnsi="宋体" w:cs="宋体" w:hint="eastAsia"/>
          <w:b/>
          <w:kern w:val="0"/>
          <w:sz w:val="24"/>
          <w:szCs w:val="24"/>
        </w:rPr>
        <w:t>十二、市场对评级机构信用等级认可度</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从一定意义上来说，相同等级的企业债券，它所对应的利差均值越小，波动范围（标准差）越窄，市场对该信用等级的认可度越高，反之则认可度不高。从</w:t>
      </w:r>
      <w:r w:rsidRPr="002B4623">
        <w:rPr>
          <w:rFonts w:ascii="宋体" w:eastAsia="宋体" w:hAnsi="宋体" w:cs="宋体"/>
          <w:kern w:val="0"/>
          <w:sz w:val="24"/>
          <w:szCs w:val="24"/>
        </w:rPr>
        <w:lastRenderedPageBreak/>
        <w:t>这一假说出发，我们以发行量最多的7年期企业债券作为样本，统计了大公、东方金诚、联合资信、鹏元、新世纪和中诚信六家评级机构评定的7年期企业债券信用等级的利差，结果如下：</w:t>
      </w:r>
    </w:p>
    <w:p w:rsidR="002B4623" w:rsidRPr="002B4623" w:rsidRDefault="002B4623" w:rsidP="002B4623">
      <w:pPr>
        <w:widowControl/>
        <w:adjustRightInd w:val="0"/>
        <w:snapToGrid w:val="0"/>
        <w:spacing w:before="100" w:beforeAutospacing="1"/>
        <w:ind w:firstLineChars="200" w:firstLine="480"/>
        <w:rPr>
          <w:rFonts w:ascii="宋体" w:eastAsia="宋体" w:hAnsi="宋体" w:cs="宋体"/>
          <w:kern w:val="0"/>
          <w:sz w:val="24"/>
          <w:szCs w:val="24"/>
        </w:rPr>
      </w:pPr>
      <w:r w:rsidRPr="002B4623">
        <w:rPr>
          <w:rFonts w:ascii="宋体" w:eastAsia="楷体_GB2312" w:hAnsi="宋体" w:cs="宋体"/>
          <w:kern w:val="0"/>
          <w:sz w:val="24"/>
          <w:szCs w:val="21"/>
        </w:rPr>
        <w:t> </w:t>
      </w:r>
    </w:p>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表</w:t>
      </w:r>
      <w:r w:rsidRPr="002B4623">
        <w:rPr>
          <w:rFonts w:ascii="宋体" w:eastAsia="楷体_GB2312" w:hAnsi="宋体" w:cs="宋体"/>
          <w:kern w:val="0"/>
          <w:sz w:val="24"/>
          <w:szCs w:val="21"/>
        </w:rPr>
        <w:t>7  2015</w:t>
      </w:r>
      <w:r w:rsidRPr="002B4623">
        <w:rPr>
          <w:rFonts w:ascii="宋体" w:eastAsia="宋体" w:hAnsi="宋体" w:cs="宋体"/>
          <w:kern w:val="0"/>
          <w:sz w:val="24"/>
          <w:szCs w:val="24"/>
        </w:rPr>
        <w:t>年上半年各评级机构所评</w:t>
      </w:r>
      <w:r w:rsidRPr="002B4623">
        <w:rPr>
          <w:rFonts w:ascii="宋体" w:eastAsia="楷体_GB2312" w:hAnsi="宋体" w:cs="宋体"/>
          <w:kern w:val="0"/>
          <w:sz w:val="24"/>
          <w:szCs w:val="21"/>
        </w:rPr>
        <w:t>7</w:t>
      </w:r>
      <w:r w:rsidRPr="002B4623">
        <w:rPr>
          <w:rFonts w:ascii="宋体" w:eastAsia="宋体" w:hAnsi="宋体" w:cs="宋体"/>
          <w:kern w:val="0"/>
          <w:sz w:val="24"/>
          <w:szCs w:val="24"/>
        </w:rPr>
        <w:t>年期企业债券利差情况</w:t>
      </w:r>
    </w:p>
    <w:tbl>
      <w:tblPr>
        <w:tblW w:w="4850" w:type="pct"/>
        <w:jc w:val="center"/>
        <w:tblBorders>
          <w:top w:val="single" w:sz="12" w:space="0" w:color="000000"/>
          <w:bottom w:val="single" w:sz="12" w:space="0" w:color="000000"/>
          <w:insideH w:val="single" w:sz="2" w:space="0" w:color="000000"/>
          <w:insideV w:val="single" w:sz="2" w:space="0" w:color="000000"/>
        </w:tblBorders>
        <w:tblLayout w:type="fixed"/>
        <w:tblCellMar>
          <w:left w:w="93" w:type="dxa"/>
          <w:right w:w="93" w:type="dxa"/>
        </w:tblCellMar>
        <w:tblLook w:val="04A0" w:firstRow="1" w:lastRow="0" w:firstColumn="1" w:lastColumn="0" w:noHBand="0" w:noVBand="1"/>
      </w:tblPr>
      <w:tblGrid>
        <w:gridCol w:w="1707"/>
        <w:gridCol w:w="1795"/>
        <w:gridCol w:w="1266"/>
        <w:gridCol w:w="1608"/>
        <w:gridCol w:w="1681"/>
      </w:tblGrid>
      <w:tr w:rsidR="002B4623" w:rsidRPr="002B4623" w:rsidTr="002B4623">
        <w:trPr>
          <w:trHeight w:hRule="exact" w:val="340"/>
          <w:jc w:val="center"/>
        </w:trPr>
        <w:tc>
          <w:tcPr>
            <w:tcW w:w="1724" w:type="dxa"/>
            <w:vMerge w:val="restart"/>
            <w:tcBorders>
              <w:top w:val="single" w:sz="12" w:space="0" w:color="000000"/>
              <w:left w:val="nil"/>
              <w:bottom w:val="single" w:sz="2" w:space="0" w:color="000000"/>
              <w:right w:val="single" w:sz="2" w:space="0" w:color="000000"/>
            </w:tcBorders>
            <w:shd w:val="clear" w:color="auto" w:fill="2E74B5"/>
            <w:vAlign w:val="center"/>
            <w:hideMark/>
          </w:tcPr>
          <w:p w:rsidR="002B4623" w:rsidRPr="002B4623" w:rsidRDefault="002B4623" w:rsidP="002B4623">
            <w:pPr>
              <w:widowControl/>
              <w:adjustRightIn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债项级别</w:t>
            </w:r>
          </w:p>
        </w:tc>
        <w:tc>
          <w:tcPr>
            <w:tcW w:w="1812" w:type="dxa"/>
            <w:vMerge w:val="restart"/>
            <w:tcBorders>
              <w:top w:val="single" w:sz="2" w:space="0" w:color="000000"/>
              <w:left w:val="single" w:sz="2" w:space="0" w:color="000000"/>
              <w:bottom w:val="single" w:sz="2" w:space="0" w:color="000000"/>
              <w:right w:val="single" w:sz="2" w:space="0" w:color="000000"/>
            </w:tcBorders>
            <w:shd w:val="clear" w:color="auto" w:fill="2E74B5"/>
            <w:vAlign w:val="center"/>
            <w:hideMark/>
          </w:tcPr>
          <w:p w:rsidR="002B4623" w:rsidRPr="002B4623" w:rsidRDefault="002B4623" w:rsidP="002B4623">
            <w:pPr>
              <w:widowControl/>
              <w:adjustRightIn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评级机构</w:t>
            </w:r>
          </w:p>
        </w:tc>
        <w:tc>
          <w:tcPr>
            <w:tcW w:w="1277" w:type="dxa"/>
            <w:vMerge w:val="restart"/>
            <w:tcBorders>
              <w:top w:val="single" w:sz="2" w:space="0" w:color="000000"/>
              <w:left w:val="single" w:sz="2" w:space="0" w:color="000000"/>
              <w:bottom w:val="single" w:sz="2" w:space="0" w:color="000000"/>
              <w:right w:val="single" w:sz="2" w:space="0" w:color="000000"/>
            </w:tcBorders>
            <w:shd w:val="clear" w:color="auto" w:fill="2E74B5"/>
            <w:vAlign w:val="center"/>
            <w:hideMark/>
          </w:tcPr>
          <w:p w:rsidR="002B4623" w:rsidRPr="002B4623" w:rsidRDefault="002B4623" w:rsidP="002B4623">
            <w:pPr>
              <w:widowControl/>
              <w:adjustRightIn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样本数（</w:t>
            </w:r>
            <w:proofErr w:type="gramStart"/>
            <w:r w:rsidRPr="002B4623">
              <w:rPr>
                <w:rFonts w:ascii="宋体" w:eastAsia="宋体" w:hAnsi="宋体" w:cs="宋体"/>
                <w:b/>
                <w:kern w:val="0"/>
                <w:sz w:val="24"/>
                <w:szCs w:val="24"/>
              </w:rPr>
              <w:t>个</w:t>
            </w:r>
            <w:proofErr w:type="gramEnd"/>
            <w:r w:rsidRPr="002B4623">
              <w:rPr>
                <w:rFonts w:ascii="宋体" w:eastAsia="宋体" w:hAnsi="宋体" w:cs="宋体"/>
                <w:b/>
                <w:kern w:val="0"/>
                <w:sz w:val="24"/>
                <w:szCs w:val="24"/>
              </w:rPr>
              <w:t>）</w:t>
            </w:r>
          </w:p>
        </w:tc>
        <w:tc>
          <w:tcPr>
            <w:tcW w:w="3320" w:type="dxa"/>
            <w:gridSpan w:val="2"/>
            <w:tcBorders>
              <w:top w:val="single" w:sz="12" w:space="0" w:color="000000"/>
              <w:left w:val="single" w:sz="2" w:space="0" w:color="000000"/>
              <w:bottom w:val="single" w:sz="2" w:space="0" w:color="000000"/>
              <w:right w:val="nil"/>
            </w:tcBorders>
            <w:shd w:val="clear" w:color="auto" w:fill="2E74B5"/>
            <w:vAlign w:val="center"/>
            <w:hideMark/>
          </w:tcPr>
          <w:p w:rsidR="002B4623" w:rsidRPr="002B4623" w:rsidRDefault="002B4623" w:rsidP="002B4623">
            <w:pPr>
              <w:widowControl/>
              <w:adjustRightIn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利差</w:t>
            </w:r>
          </w:p>
        </w:tc>
      </w:tr>
      <w:tr w:rsidR="002B4623" w:rsidRPr="002B4623" w:rsidTr="002B4623">
        <w:trPr>
          <w:trHeight w:hRule="exact" w:val="340"/>
          <w:jc w:val="center"/>
        </w:trPr>
        <w:tc>
          <w:tcPr>
            <w:tcW w:w="1724" w:type="dxa"/>
            <w:vMerge/>
            <w:tcBorders>
              <w:top w:val="single" w:sz="1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vMerge/>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277" w:type="dxa"/>
            <w:vMerge/>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623" w:type="dxa"/>
            <w:tcBorders>
              <w:top w:val="single" w:sz="2" w:space="0" w:color="000000"/>
              <w:left w:val="single" w:sz="2" w:space="0" w:color="000000"/>
              <w:bottom w:val="single" w:sz="2" w:space="0" w:color="000000"/>
              <w:right w:val="single" w:sz="2" w:space="0" w:color="000000"/>
            </w:tcBorders>
            <w:shd w:val="clear" w:color="auto" w:fill="2E74B5"/>
            <w:vAlign w:val="center"/>
            <w:hideMark/>
          </w:tcPr>
          <w:p w:rsidR="002B4623" w:rsidRPr="002B4623" w:rsidRDefault="002B4623" w:rsidP="002B4623">
            <w:pPr>
              <w:widowControl/>
              <w:tabs>
                <w:tab w:val="left" w:pos="3240"/>
              </w:tabs>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均值（BP）</w:t>
            </w:r>
          </w:p>
        </w:tc>
        <w:tc>
          <w:tcPr>
            <w:tcW w:w="1697" w:type="dxa"/>
            <w:tcBorders>
              <w:top w:val="single" w:sz="2" w:space="0" w:color="000000"/>
              <w:left w:val="single" w:sz="2" w:space="0" w:color="000000"/>
              <w:bottom w:val="single" w:sz="2" w:space="0" w:color="000000"/>
              <w:right w:val="nil"/>
            </w:tcBorders>
            <w:shd w:val="clear" w:color="auto" w:fill="2E74B5"/>
            <w:vAlign w:val="center"/>
            <w:hideMark/>
          </w:tcPr>
          <w:p w:rsidR="002B4623" w:rsidRPr="002B4623" w:rsidRDefault="002B4623" w:rsidP="002B4623">
            <w:pPr>
              <w:widowControl/>
              <w:tabs>
                <w:tab w:val="left" w:pos="3240"/>
              </w:tabs>
              <w:snapToGrid w:val="0"/>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标准差（BP）</w:t>
            </w:r>
          </w:p>
        </w:tc>
      </w:tr>
      <w:tr w:rsidR="002B4623" w:rsidRPr="002B4623" w:rsidTr="002B4623">
        <w:trPr>
          <w:trHeight w:hRule="exact" w:val="340"/>
          <w:jc w:val="center"/>
        </w:trPr>
        <w:tc>
          <w:tcPr>
            <w:tcW w:w="1724" w:type="dxa"/>
            <w:vMerge w:val="restart"/>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snapToGrid w:val="0"/>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AAA</w:t>
            </w: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大公</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124.53</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新世纪</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173.98</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NA</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中诚信</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182.65</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19.64 </w:t>
            </w:r>
          </w:p>
        </w:tc>
      </w:tr>
      <w:tr w:rsidR="002B4623" w:rsidRPr="002B4623" w:rsidTr="002B4623">
        <w:trPr>
          <w:trHeight w:hRule="exact" w:val="340"/>
          <w:jc w:val="center"/>
        </w:trPr>
        <w:tc>
          <w:tcPr>
            <w:tcW w:w="1724" w:type="dxa"/>
            <w:vMerge w:val="restart"/>
            <w:tcBorders>
              <w:top w:val="single" w:sz="2" w:space="0" w:color="000000"/>
              <w:left w:val="nil"/>
              <w:bottom w:val="single" w:sz="2" w:space="0" w:color="000000"/>
              <w:right w:val="single" w:sz="2" w:space="0" w:color="000000"/>
            </w:tcBorders>
            <w:shd w:val="clear" w:color="auto" w:fill="D9D9D9"/>
            <w:vAlign w:val="center"/>
            <w:hideMark/>
          </w:tcPr>
          <w:p w:rsidR="002B4623" w:rsidRPr="002B4623" w:rsidRDefault="002B4623" w:rsidP="002B4623">
            <w:pPr>
              <w:widowControl/>
              <w:snapToGrid w:val="0"/>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AA+</w:t>
            </w:r>
          </w:p>
        </w:tc>
        <w:tc>
          <w:tcPr>
            <w:tcW w:w="1812"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大公</w:t>
            </w:r>
          </w:p>
        </w:tc>
        <w:tc>
          <w:tcPr>
            <w:tcW w:w="127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162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211.47</w:t>
            </w:r>
          </w:p>
        </w:tc>
        <w:tc>
          <w:tcPr>
            <w:tcW w:w="1697" w:type="dxa"/>
            <w:tcBorders>
              <w:top w:val="single" w:sz="2" w:space="0" w:color="000000"/>
              <w:left w:val="single" w:sz="2" w:space="0" w:color="000000"/>
              <w:bottom w:val="single" w:sz="2" w:space="0" w:color="000000"/>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16.47 </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东方金诚</w:t>
            </w:r>
          </w:p>
        </w:tc>
        <w:tc>
          <w:tcPr>
            <w:tcW w:w="127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4</w:t>
            </w:r>
          </w:p>
        </w:tc>
        <w:tc>
          <w:tcPr>
            <w:tcW w:w="162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291.52</w:t>
            </w:r>
          </w:p>
        </w:tc>
        <w:tc>
          <w:tcPr>
            <w:tcW w:w="1697" w:type="dxa"/>
            <w:tcBorders>
              <w:top w:val="single" w:sz="2" w:space="0" w:color="000000"/>
              <w:left w:val="single" w:sz="2" w:space="0" w:color="000000"/>
              <w:bottom w:val="single" w:sz="2" w:space="0" w:color="000000"/>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18.48 </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联</w:t>
            </w:r>
            <w:proofErr w:type="gramStart"/>
            <w:r w:rsidRPr="002B4623">
              <w:rPr>
                <w:rFonts w:ascii="宋体" w:eastAsia="宋体" w:hAnsi="宋体" w:cs="宋体"/>
                <w:kern w:val="0"/>
                <w:sz w:val="24"/>
                <w:szCs w:val="24"/>
              </w:rPr>
              <w:t>合资信</w:t>
            </w:r>
            <w:proofErr w:type="gramEnd"/>
          </w:p>
        </w:tc>
        <w:tc>
          <w:tcPr>
            <w:tcW w:w="127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162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277.46</w:t>
            </w:r>
          </w:p>
        </w:tc>
        <w:tc>
          <w:tcPr>
            <w:tcW w:w="1697" w:type="dxa"/>
            <w:tcBorders>
              <w:top w:val="single" w:sz="2" w:space="0" w:color="000000"/>
              <w:left w:val="single" w:sz="2" w:space="0" w:color="000000"/>
              <w:bottom w:val="single" w:sz="2" w:space="0" w:color="000000"/>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 xml:space="preserve">68.25 </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鹏元</w:t>
            </w:r>
          </w:p>
        </w:tc>
        <w:tc>
          <w:tcPr>
            <w:tcW w:w="127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14</w:t>
            </w:r>
          </w:p>
        </w:tc>
        <w:tc>
          <w:tcPr>
            <w:tcW w:w="162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273.82</w:t>
            </w:r>
          </w:p>
        </w:tc>
        <w:tc>
          <w:tcPr>
            <w:tcW w:w="1697" w:type="dxa"/>
            <w:tcBorders>
              <w:top w:val="single" w:sz="2" w:space="0" w:color="000000"/>
              <w:left w:val="single" w:sz="2" w:space="0" w:color="000000"/>
              <w:bottom w:val="single" w:sz="2" w:space="0" w:color="000000"/>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42.23 </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新世纪</w:t>
            </w:r>
          </w:p>
        </w:tc>
        <w:tc>
          <w:tcPr>
            <w:tcW w:w="127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w:t>
            </w:r>
          </w:p>
        </w:tc>
        <w:tc>
          <w:tcPr>
            <w:tcW w:w="162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252.14</w:t>
            </w:r>
          </w:p>
        </w:tc>
        <w:tc>
          <w:tcPr>
            <w:tcW w:w="1697" w:type="dxa"/>
            <w:tcBorders>
              <w:top w:val="single" w:sz="2" w:space="0" w:color="000000"/>
              <w:left w:val="single" w:sz="2" w:space="0" w:color="000000"/>
              <w:bottom w:val="single" w:sz="2" w:space="0" w:color="000000"/>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20.17 </w:t>
            </w:r>
          </w:p>
        </w:tc>
      </w:tr>
      <w:tr w:rsidR="002B4623" w:rsidRPr="002B4623" w:rsidTr="002B4623">
        <w:trPr>
          <w:trHeight w:hRule="exact" w:val="340"/>
          <w:jc w:val="center"/>
        </w:trPr>
        <w:tc>
          <w:tcPr>
            <w:tcW w:w="1724" w:type="dxa"/>
            <w:vMerge/>
            <w:tcBorders>
              <w:top w:val="single" w:sz="2" w:space="0" w:color="000000"/>
              <w:left w:val="nil"/>
              <w:bottom w:val="single" w:sz="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中诚信</w:t>
            </w:r>
          </w:p>
        </w:tc>
        <w:tc>
          <w:tcPr>
            <w:tcW w:w="127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w:t>
            </w:r>
          </w:p>
        </w:tc>
        <w:tc>
          <w:tcPr>
            <w:tcW w:w="162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262.55</w:t>
            </w:r>
          </w:p>
        </w:tc>
        <w:tc>
          <w:tcPr>
            <w:tcW w:w="1697" w:type="dxa"/>
            <w:tcBorders>
              <w:top w:val="single" w:sz="2" w:space="0" w:color="000000"/>
              <w:left w:val="single" w:sz="2" w:space="0" w:color="000000"/>
              <w:bottom w:val="single" w:sz="2" w:space="0" w:color="000000"/>
              <w:right w:val="nil"/>
            </w:tcBorders>
            <w:shd w:val="clear" w:color="auto" w:fill="D9D9D9"/>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47.63 </w:t>
            </w:r>
          </w:p>
        </w:tc>
      </w:tr>
      <w:tr w:rsidR="002B4623" w:rsidRPr="002B4623" w:rsidTr="002B4623">
        <w:trPr>
          <w:trHeight w:hRule="exact" w:val="340"/>
          <w:jc w:val="center"/>
        </w:trPr>
        <w:tc>
          <w:tcPr>
            <w:tcW w:w="1724" w:type="dxa"/>
            <w:vMerge w:val="restart"/>
            <w:tcBorders>
              <w:top w:val="single" w:sz="2" w:space="0" w:color="000000"/>
              <w:left w:val="nil"/>
              <w:bottom w:val="single" w:sz="12" w:space="0" w:color="000000"/>
              <w:right w:val="single" w:sz="2" w:space="0" w:color="000000"/>
            </w:tcBorders>
            <w:vAlign w:val="center"/>
            <w:hideMark/>
          </w:tcPr>
          <w:p w:rsidR="002B4623" w:rsidRPr="002B4623" w:rsidRDefault="002B4623" w:rsidP="002B4623">
            <w:pPr>
              <w:widowControl/>
              <w:snapToGrid w:val="0"/>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AA</w:t>
            </w: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大公</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9</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256.62</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47.26 </w:t>
            </w:r>
          </w:p>
        </w:tc>
      </w:tr>
      <w:tr w:rsidR="002B4623" w:rsidRPr="002B4623" w:rsidTr="002B4623">
        <w:trPr>
          <w:trHeight w:hRule="exact" w:val="340"/>
          <w:jc w:val="center"/>
        </w:trPr>
        <w:tc>
          <w:tcPr>
            <w:tcW w:w="1724" w:type="dxa"/>
            <w:vMerge/>
            <w:tcBorders>
              <w:top w:val="single" w:sz="2" w:space="0" w:color="000000"/>
              <w:left w:val="nil"/>
              <w:bottom w:val="single" w:sz="1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东方金诚</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14</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315.67</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45.30 </w:t>
            </w:r>
          </w:p>
        </w:tc>
      </w:tr>
      <w:tr w:rsidR="002B4623" w:rsidRPr="002B4623" w:rsidTr="002B4623">
        <w:trPr>
          <w:trHeight w:hRule="exact" w:val="340"/>
          <w:jc w:val="center"/>
        </w:trPr>
        <w:tc>
          <w:tcPr>
            <w:tcW w:w="1724" w:type="dxa"/>
            <w:vMerge/>
            <w:tcBorders>
              <w:top w:val="single" w:sz="2" w:space="0" w:color="000000"/>
              <w:left w:val="nil"/>
              <w:bottom w:val="single" w:sz="1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联</w:t>
            </w:r>
            <w:proofErr w:type="gramStart"/>
            <w:r w:rsidRPr="002B4623">
              <w:rPr>
                <w:rFonts w:ascii="宋体" w:eastAsia="宋体" w:hAnsi="宋体" w:cs="宋体"/>
                <w:kern w:val="0"/>
                <w:sz w:val="24"/>
                <w:szCs w:val="24"/>
              </w:rPr>
              <w:t>合资信</w:t>
            </w:r>
            <w:proofErr w:type="gramEnd"/>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22</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297.55</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39.87 </w:t>
            </w:r>
          </w:p>
        </w:tc>
      </w:tr>
      <w:tr w:rsidR="002B4623" w:rsidRPr="002B4623" w:rsidTr="002B4623">
        <w:trPr>
          <w:trHeight w:hRule="exact" w:val="340"/>
          <w:jc w:val="center"/>
        </w:trPr>
        <w:tc>
          <w:tcPr>
            <w:tcW w:w="1724" w:type="dxa"/>
            <w:vMerge/>
            <w:tcBorders>
              <w:top w:val="single" w:sz="2" w:space="0" w:color="000000"/>
              <w:left w:val="nil"/>
              <w:bottom w:val="single" w:sz="1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鹏元</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28</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324.30</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b/>
                <w:kern w:val="0"/>
                <w:sz w:val="24"/>
                <w:szCs w:val="24"/>
              </w:rPr>
              <w:t xml:space="preserve">55.63 </w:t>
            </w:r>
          </w:p>
        </w:tc>
      </w:tr>
      <w:tr w:rsidR="002B4623" w:rsidRPr="002B4623" w:rsidTr="002B4623">
        <w:trPr>
          <w:trHeight w:hRule="exact" w:val="340"/>
          <w:jc w:val="center"/>
        </w:trPr>
        <w:tc>
          <w:tcPr>
            <w:tcW w:w="1724" w:type="dxa"/>
            <w:vMerge/>
            <w:tcBorders>
              <w:top w:val="single" w:sz="2" w:space="0" w:color="000000"/>
              <w:left w:val="nil"/>
              <w:bottom w:val="single" w:sz="1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新世纪</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6</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304.45</w:t>
            </w:r>
          </w:p>
        </w:tc>
        <w:tc>
          <w:tcPr>
            <w:tcW w:w="1697" w:type="dxa"/>
            <w:tcBorders>
              <w:top w:val="single" w:sz="2" w:space="0" w:color="000000"/>
              <w:left w:val="single" w:sz="2" w:space="0" w:color="000000"/>
              <w:bottom w:val="single" w:sz="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42.04 </w:t>
            </w:r>
          </w:p>
        </w:tc>
      </w:tr>
      <w:tr w:rsidR="002B4623" w:rsidRPr="002B4623" w:rsidTr="002B4623">
        <w:trPr>
          <w:trHeight w:hRule="exact" w:val="340"/>
          <w:jc w:val="center"/>
        </w:trPr>
        <w:tc>
          <w:tcPr>
            <w:tcW w:w="1724" w:type="dxa"/>
            <w:vMerge/>
            <w:tcBorders>
              <w:top w:val="single" w:sz="2" w:space="0" w:color="000000"/>
              <w:left w:val="nil"/>
              <w:bottom w:val="single" w:sz="12" w:space="0" w:color="000000"/>
              <w:right w:val="single" w:sz="2" w:space="0" w:color="000000"/>
            </w:tcBorders>
            <w:vAlign w:val="center"/>
            <w:hideMark/>
          </w:tcPr>
          <w:p w:rsidR="002B4623" w:rsidRPr="002B4623" w:rsidRDefault="002B4623" w:rsidP="002B4623">
            <w:pPr>
              <w:widowControl/>
              <w:jc w:val="left"/>
              <w:rPr>
                <w:rFonts w:ascii="宋体" w:eastAsia="宋体" w:hAnsi="宋体" w:cs="宋体"/>
                <w:kern w:val="0"/>
                <w:sz w:val="24"/>
                <w:szCs w:val="24"/>
              </w:rPr>
            </w:pPr>
          </w:p>
        </w:tc>
        <w:tc>
          <w:tcPr>
            <w:tcW w:w="1812"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left"/>
              <w:rPr>
                <w:rFonts w:ascii="宋体" w:eastAsia="宋体" w:hAnsi="宋体" w:cs="宋体"/>
                <w:kern w:val="0"/>
                <w:sz w:val="24"/>
                <w:szCs w:val="24"/>
              </w:rPr>
            </w:pPr>
            <w:r w:rsidRPr="002B4623">
              <w:rPr>
                <w:rFonts w:ascii="宋体" w:eastAsia="宋体" w:hAnsi="宋体" w:cs="宋体"/>
                <w:kern w:val="0"/>
                <w:sz w:val="24"/>
                <w:szCs w:val="24"/>
              </w:rPr>
              <w:t>中诚信</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14</w:t>
            </w:r>
          </w:p>
        </w:tc>
        <w:tc>
          <w:tcPr>
            <w:tcW w:w="1623" w:type="dxa"/>
            <w:tcBorders>
              <w:top w:val="single" w:sz="2" w:space="0" w:color="000000"/>
              <w:left w:val="single" w:sz="2" w:space="0" w:color="000000"/>
              <w:bottom w:val="single" w:sz="2" w:space="0" w:color="000000"/>
              <w:right w:val="single" w:sz="2" w:space="0" w:color="000000"/>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287.71</w:t>
            </w:r>
          </w:p>
        </w:tc>
        <w:tc>
          <w:tcPr>
            <w:tcW w:w="1697" w:type="dxa"/>
            <w:tcBorders>
              <w:top w:val="single" w:sz="2" w:space="0" w:color="000000"/>
              <w:left w:val="single" w:sz="2" w:space="0" w:color="000000"/>
              <w:bottom w:val="single" w:sz="12" w:space="0" w:color="000000"/>
              <w:right w:val="nil"/>
            </w:tcBorders>
            <w:vAlign w:val="center"/>
            <w:hideMark/>
          </w:tcPr>
          <w:p w:rsidR="002B4623" w:rsidRPr="002B4623" w:rsidRDefault="002B4623" w:rsidP="002B4623">
            <w:pPr>
              <w:widowControl/>
              <w:spacing w:before="100" w:beforeAutospacing="1"/>
              <w:jc w:val="center"/>
              <w:rPr>
                <w:rFonts w:ascii="宋体" w:eastAsia="宋体" w:hAnsi="宋体" w:cs="宋体"/>
                <w:kern w:val="0"/>
                <w:sz w:val="24"/>
                <w:szCs w:val="24"/>
              </w:rPr>
            </w:pPr>
            <w:r w:rsidRPr="002B4623">
              <w:rPr>
                <w:rFonts w:ascii="宋体" w:eastAsia="宋体" w:hAnsi="宋体" w:cs="宋体"/>
                <w:kern w:val="0"/>
                <w:sz w:val="24"/>
                <w:szCs w:val="24"/>
              </w:rPr>
              <w:t xml:space="preserve">25.21 </w:t>
            </w:r>
          </w:p>
        </w:tc>
      </w:tr>
    </w:tbl>
    <w:p w:rsidR="002B4623" w:rsidRPr="002B4623" w:rsidRDefault="002B4623" w:rsidP="002B4623">
      <w:pPr>
        <w:widowControl/>
        <w:spacing w:before="100" w:beforeAutospacing="1" w:line="180" w:lineRule="exact"/>
        <w:jc w:val="left"/>
        <w:rPr>
          <w:rFonts w:ascii="宋体" w:eastAsia="宋体" w:hAnsi="宋体" w:cs="宋体"/>
          <w:kern w:val="0"/>
          <w:sz w:val="24"/>
          <w:szCs w:val="24"/>
        </w:rPr>
      </w:pPr>
      <w:r w:rsidRPr="002B4623">
        <w:rPr>
          <w:rFonts w:ascii="宋体" w:eastAsia="宋体" w:hAnsi="宋体" w:cs="宋体"/>
          <w:kern w:val="0"/>
          <w:sz w:val="24"/>
          <w:szCs w:val="24"/>
        </w:rPr>
        <w:t>资料来源：</w:t>
      </w:r>
      <w:r w:rsidRPr="002B4623">
        <w:rPr>
          <w:rFonts w:ascii="宋体" w:eastAsia="楷体_GB2312" w:hAnsi="宋体" w:cs="宋体"/>
          <w:kern w:val="0"/>
          <w:sz w:val="18"/>
          <w:szCs w:val="18"/>
        </w:rPr>
        <w:t>Wind</w:t>
      </w:r>
      <w:r w:rsidRPr="002B4623">
        <w:rPr>
          <w:rFonts w:ascii="宋体" w:eastAsia="宋体" w:hAnsi="宋体" w:cs="宋体"/>
          <w:kern w:val="0"/>
          <w:sz w:val="24"/>
          <w:szCs w:val="24"/>
        </w:rPr>
        <w:t>资讯、中国债券信息网、联</w:t>
      </w:r>
      <w:proofErr w:type="gramStart"/>
      <w:r w:rsidRPr="002B4623">
        <w:rPr>
          <w:rFonts w:ascii="宋体" w:eastAsia="宋体" w:hAnsi="宋体" w:cs="宋体"/>
          <w:kern w:val="0"/>
          <w:sz w:val="24"/>
          <w:szCs w:val="24"/>
        </w:rPr>
        <w:t>合资信</w:t>
      </w:r>
      <w:proofErr w:type="gramEnd"/>
      <w:r w:rsidRPr="002B4623">
        <w:rPr>
          <w:rFonts w:ascii="宋体" w:eastAsia="宋体" w:hAnsi="宋体" w:cs="宋体"/>
          <w:kern w:val="0"/>
          <w:sz w:val="24"/>
          <w:szCs w:val="24"/>
        </w:rPr>
        <w:t>整理</w:t>
      </w:r>
    </w:p>
    <w:p w:rsidR="002B4623" w:rsidRPr="002B4623" w:rsidRDefault="002B4623" w:rsidP="002B4623">
      <w:pPr>
        <w:widowControl/>
        <w:spacing w:before="100" w:beforeAutospacing="1" w:line="300" w:lineRule="exact"/>
        <w:jc w:val="left"/>
        <w:rPr>
          <w:rFonts w:ascii="宋体" w:eastAsia="宋体" w:hAnsi="宋体" w:cs="宋体"/>
          <w:kern w:val="0"/>
          <w:sz w:val="24"/>
          <w:szCs w:val="24"/>
        </w:rPr>
      </w:pPr>
      <w:r w:rsidRPr="002B4623">
        <w:rPr>
          <w:rFonts w:ascii="宋体" w:eastAsia="楷体_GB2312" w:hAnsi="宋体" w:cs="宋体"/>
          <w:kern w:val="0"/>
          <w:sz w:val="18"/>
          <w:szCs w:val="18"/>
        </w:rPr>
        <w:t> </w:t>
      </w:r>
    </w:p>
    <w:p w:rsidR="002B4623" w:rsidRPr="002B4623" w:rsidRDefault="002B4623" w:rsidP="002B4623">
      <w:pPr>
        <w:widowControl/>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从各家机构对样本量较多的AA级企业债券的评级情况来看，各评级机构所评的企业债券均值和标准差的表现不一，市场对各家机构出具的评级结果未表现出一致认可。</w:t>
      </w:r>
    </w:p>
    <w:p w:rsidR="002B4623" w:rsidRPr="002B4623" w:rsidRDefault="002B4623" w:rsidP="002B4623">
      <w:pPr>
        <w:widowControl/>
        <w:spacing w:before="100" w:beforeAutospacing="1" w:after="100" w:afterAutospacing="1"/>
        <w:jc w:val="left"/>
        <w:rPr>
          <w:rFonts w:ascii="宋体" w:eastAsia="宋体" w:hAnsi="宋体" w:cs="宋体"/>
          <w:kern w:val="0"/>
          <w:szCs w:val="21"/>
        </w:rPr>
      </w:pPr>
      <w:r w:rsidRPr="002B4623">
        <w:rPr>
          <w:rFonts w:ascii="宋体" w:eastAsia="宋体" w:hAnsi="宋体" w:cs="宋体" w:hint="eastAsia"/>
          <w:kern w:val="0"/>
          <w:szCs w:val="21"/>
        </w:rPr>
        <w:t> </w:t>
      </w:r>
    </w:p>
    <w:p w:rsidR="002B4623" w:rsidRPr="002B4623" w:rsidRDefault="002B4623" w:rsidP="002B4623">
      <w:pPr>
        <w:widowControl/>
        <w:tabs>
          <w:tab w:val="left" w:pos="3822"/>
        </w:tabs>
        <w:adjustRightInd w:val="0"/>
        <w:snapToGrid w:val="0"/>
        <w:spacing w:before="100" w:beforeAutospacing="1" w:line="360" w:lineRule="auto"/>
        <w:jc w:val="left"/>
        <w:rPr>
          <w:rFonts w:ascii="宋体" w:eastAsia="宋体" w:hAnsi="宋体" w:cs="宋体" w:hint="eastAsia"/>
          <w:kern w:val="0"/>
          <w:sz w:val="24"/>
          <w:szCs w:val="24"/>
        </w:rPr>
      </w:pPr>
      <w:r w:rsidRPr="002B4623">
        <w:rPr>
          <w:rFonts w:ascii="宋体" w:eastAsia="宋体" w:hAnsi="宋体" w:cs="宋体" w:hint="eastAsia"/>
          <w:b/>
          <w:kern w:val="0"/>
          <w:sz w:val="24"/>
          <w:szCs w:val="24"/>
        </w:rPr>
        <w:t>十三、</w:t>
      </w:r>
      <w:r w:rsidRPr="002B4623">
        <w:rPr>
          <w:rFonts w:ascii="宋体" w:eastAsia="宋体" w:hAnsi="宋体" w:cs="宋体"/>
          <w:b/>
          <w:kern w:val="0"/>
          <w:sz w:val="24"/>
          <w:szCs w:val="24"/>
        </w:rPr>
        <w:t>2015</w:t>
      </w:r>
      <w:r w:rsidRPr="002B4623">
        <w:rPr>
          <w:rFonts w:ascii="宋体" w:eastAsia="宋体" w:hAnsi="宋体" w:cs="宋体" w:hint="eastAsia"/>
          <w:b/>
          <w:kern w:val="0"/>
          <w:sz w:val="24"/>
          <w:szCs w:val="24"/>
        </w:rPr>
        <w:t>年下半年企业债券市场展望</w:t>
      </w:r>
    </w:p>
    <w:p w:rsidR="002B4623" w:rsidRPr="002B4623" w:rsidRDefault="002B4623" w:rsidP="002B4623">
      <w:pPr>
        <w:widowControl/>
        <w:tabs>
          <w:tab w:val="left" w:pos="3822"/>
        </w:tabs>
        <w:adjustRightInd w:val="0"/>
        <w:snapToGrid w:val="0"/>
        <w:spacing w:before="100" w:beforeAutospacing="1"/>
        <w:ind w:firstLineChars="200" w:firstLine="480"/>
        <w:jc w:val="left"/>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tabs>
          <w:tab w:val="left" w:pos="3822"/>
        </w:tabs>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1. 宏观经济指标企稳回升，经济好转的态势有望延续</w:t>
      </w:r>
    </w:p>
    <w:p w:rsidR="002B4623" w:rsidRPr="002B4623" w:rsidRDefault="002B4623" w:rsidP="002B4623">
      <w:pPr>
        <w:widowControl/>
        <w:tabs>
          <w:tab w:val="left" w:pos="3822"/>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lastRenderedPageBreak/>
        <w:t>从宏观基本面来看，上半年我国继续保持积极的财政政策和稳健的货币政策，央行两次降息、降准；政府加码基建投资，大力推动配合“一带一路”建设的国内铁路、电力、管网基建；</w:t>
      </w:r>
      <w:proofErr w:type="gramStart"/>
      <w:r w:rsidRPr="002B4623">
        <w:rPr>
          <w:rFonts w:ascii="宋体" w:eastAsia="宋体" w:hAnsi="宋体" w:cs="宋体"/>
          <w:kern w:val="0"/>
          <w:sz w:val="24"/>
          <w:szCs w:val="24"/>
        </w:rPr>
        <w:t>发改委发布近</w:t>
      </w:r>
      <w:proofErr w:type="gramEnd"/>
      <w:r w:rsidRPr="002B4623">
        <w:rPr>
          <w:rFonts w:ascii="宋体" w:eastAsia="宋体" w:hAnsi="宋体" w:cs="宋体"/>
          <w:kern w:val="0"/>
          <w:sz w:val="24"/>
          <w:szCs w:val="24"/>
        </w:rPr>
        <w:t>2</w:t>
      </w:r>
      <w:proofErr w:type="gramStart"/>
      <w:r w:rsidRPr="002B4623">
        <w:rPr>
          <w:rFonts w:ascii="宋体" w:eastAsia="宋体" w:hAnsi="宋体" w:cs="宋体"/>
          <w:kern w:val="0"/>
          <w:sz w:val="24"/>
          <w:szCs w:val="24"/>
        </w:rPr>
        <w:t>万亿</w:t>
      </w:r>
      <w:proofErr w:type="gramEnd"/>
      <w:r w:rsidRPr="002B4623">
        <w:rPr>
          <w:rFonts w:ascii="宋体" w:eastAsia="宋体" w:hAnsi="宋体" w:cs="宋体"/>
          <w:kern w:val="0"/>
          <w:sz w:val="24"/>
          <w:szCs w:val="24"/>
        </w:rPr>
        <w:t>元PPP推介项目，引导社会资本参与公共服务设施建设；国务院发布《推进财政资金统筹使用方案》，加速盘活上万亿元的财政存量资金，并将资金统筹用于棚户区改造、城市基础设施、铁路公路建设、重大水利工程等重点领域。在</w:t>
      </w:r>
      <w:proofErr w:type="gramStart"/>
      <w:r w:rsidRPr="002B4623">
        <w:rPr>
          <w:rFonts w:ascii="宋体" w:eastAsia="宋体" w:hAnsi="宋体" w:cs="宋体"/>
          <w:kern w:val="0"/>
          <w:sz w:val="24"/>
          <w:szCs w:val="24"/>
        </w:rPr>
        <w:t>稳增长</w:t>
      </w:r>
      <w:proofErr w:type="gramEnd"/>
      <w:r w:rsidRPr="002B4623">
        <w:rPr>
          <w:rFonts w:ascii="宋体" w:eastAsia="宋体" w:hAnsi="宋体" w:cs="宋体"/>
          <w:kern w:val="0"/>
          <w:sz w:val="24"/>
          <w:szCs w:val="24"/>
        </w:rPr>
        <w:t>力度加大、财政政策和货币政策协同发力的背景下，上半年主要宏观经济指标出现回升势头。2015年一、二季度GDP增速均为7%，投资、消费、出口、工业增加值等主要经济指标呈现回升趋势。6月份，官方制造业采购经理人指数（PMI）持平于上月的50.2，连续两个月位于荣枯线上方，显示制造业企稳回升；全国居民消费价格总水平（CPI）同比上涨1.4%，涨幅温和；但工业生产者出厂价格（PPI）同比下降4.8%，表明工业领域仍然存在产能过剩、需求不足的问题。随着前期出台的各项</w:t>
      </w:r>
      <w:proofErr w:type="gramStart"/>
      <w:r w:rsidRPr="002B4623">
        <w:rPr>
          <w:rFonts w:ascii="宋体" w:eastAsia="宋体" w:hAnsi="宋体" w:cs="宋体"/>
          <w:kern w:val="0"/>
          <w:sz w:val="24"/>
          <w:szCs w:val="24"/>
        </w:rPr>
        <w:t>稳增长</w:t>
      </w:r>
      <w:proofErr w:type="gramEnd"/>
      <w:r w:rsidRPr="002B4623">
        <w:rPr>
          <w:rFonts w:ascii="宋体" w:eastAsia="宋体" w:hAnsi="宋体" w:cs="宋体"/>
          <w:kern w:val="0"/>
          <w:sz w:val="24"/>
          <w:szCs w:val="24"/>
        </w:rPr>
        <w:t>政策和改革措施效果的进一步显现，经济好转态势有望延续，预计下半年经济有望企稳回升。</w:t>
      </w:r>
    </w:p>
    <w:p w:rsidR="002B4623" w:rsidRPr="002B4623" w:rsidRDefault="002B4623" w:rsidP="002B4623">
      <w:pPr>
        <w:widowControl/>
        <w:tabs>
          <w:tab w:val="left" w:pos="3822"/>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tabs>
          <w:tab w:val="left" w:pos="3822"/>
        </w:tabs>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2. 市场资金面将维持宽松，企业发债成本将进一步下降</w:t>
      </w:r>
    </w:p>
    <w:p w:rsidR="002B4623" w:rsidRPr="002B4623" w:rsidRDefault="002B4623" w:rsidP="002B4623">
      <w:pPr>
        <w:widowControl/>
        <w:tabs>
          <w:tab w:val="left" w:pos="3822"/>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2015年上半年，面对经济下行压力，央行持续通过降息、</w:t>
      </w:r>
      <w:proofErr w:type="gramStart"/>
      <w:r w:rsidRPr="002B4623">
        <w:rPr>
          <w:rFonts w:ascii="宋体" w:eastAsia="宋体" w:hAnsi="宋体" w:cs="宋体"/>
          <w:kern w:val="0"/>
          <w:sz w:val="24"/>
          <w:szCs w:val="24"/>
        </w:rPr>
        <w:t>降准释放</w:t>
      </w:r>
      <w:proofErr w:type="gramEnd"/>
      <w:r w:rsidRPr="002B4623">
        <w:rPr>
          <w:rFonts w:ascii="宋体" w:eastAsia="宋体" w:hAnsi="宋体" w:cs="宋体"/>
          <w:kern w:val="0"/>
          <w:sz w:val="24"/>
          <w:szCs w:val="24"/>
        </w:rPr>
        <w:t>宽松信号，并灵活运用各种货币政策工具组合调节市场流动性，市场资金面较为宽松，融资成本有所下降。1-6月，CPI同比维持在1.5%以下，PPI同比始终为负值，经济面临一定的通缩压力。预计2015年下半年，货币政策有望进一步放松，市场融资成本将继续走低，支持实体经济发展，以达到刺激经济增长的目的。企业债券发行利率也将相应呈现下降趋势。</w:t>
      </w:r>
    </w:p>
    <w:p w:rsidR="002B4623" w:rsidRPr="002B4623" w:rsidRDefault="002B4623" w:rsidP="002B4623">
      <w:pPr>
        <w:widowControl/>
        <w:tabs>
          <w:tab w:val="left" w:pos="3822"/>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tabs>
          <w:tab w:val="left" w:pos="3822"/>
        </w:tabs>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3. 改革与创新成为债券市场发展新增长点，企业债券面临改革转型</w:t>
      </w:r>
    </w:p>
    <w:p w:rsidR="002B4623" w:rsidRPr="002B4623" w:rsidRDefault="002B4623" w:rsidP="002B4623">
      <w:pPr>
        <w:widowControl/>
        <w:tabs>
          <w:tab w:val="left" w:pos="3822"/>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2015年，债券市场持续向好发展，一方面为支持实体经济发展，国家多次强调要合理发挥资本市场作用，扩大直接融资规模，为债券市场发展提供了政策支持；另一方面债券市场不断通过改革和创新，满足市场需求，实现市场规模持续</w:t>
      </w:r>
      <w:r w:rsidRPr="002B4623">
        <w:rPr>
          <w:rFonts w:ascii="宋体" w:eastAsia="宋体" w:hAnsi="宋体" w:cs="宋体"/>
          <w:kern w:val="0"/>
          <w:sz w:val="24"/>
          <w:szCs w:val="24"/>
        </w:rPr>
        <w:lastRenderedPageBreak/>
        <w:t>扩容。债券市场的发展为企业债券奠定了良好的发展环境。然而，受43号文影响，2014年下半年以来</w:t>
      </w:r>
      <w:proofErr w:type="gramStart"/>
      <w:r w:rsidRPr="002B4623">
        <w:rPr>
          <w:rFonts w:ascii="宋体" w:eastAsia="宋体" w:hAnsi="宋体" w:cs="宋体"/>
          <w:kern w:val="0"/>
          <w:sz w:val="24"/>
          <w:szCs w:val="24"/>
        </w:rPr>
        <w:t>城投债发行</w:t>
      </w:r>
      <w:proofErr w:type="gramEnd"/>
      <w:r w:rsidRPr="002B4623">
        <w:rPr>
          <w:rFonts w:ascii="宋体" w:eastAsia="宋体" w:hAnsi="宋体" w:cs="宋体"/>
          <w:kern w:val="0"/>
          <w:sz w:val="24"/>
          <w:szCs w:val="24"/>
        </w:rPr>
        <w:t>受限，同时银行间市场交易商协会对</w:t>
      </w:r>
      <w:proofErr w:type="gramStart"/>
      <w:r w:rsidRPr="002B4623">
        <w:rPr>
          <w:rFonts w:ascii="宋体" w:eastAsia="宋体" w:hAnsi="宋体" w:cs="宋体"/>
          <w:kern w:val="0"/>
          <w:sz w:val="24"/>
          <w:szCs w:val="24"/>
        </w:rPr>
        <w:t>城投类企业</w:t>
      </w:r>
      <w:proofErr w:type="gramEnd"/>
      <w:r w:rsidRPr="002B4623">
        <w:rPr>
          <w:rFonts w:ascii="宋体" w:eastAsia="宋体" w:hAnsi="宋体" w:cs="宋体"/>
          <w:kern w:val="0"/>
          <w:sz w:val="24"/>
          <w:szCs w:val="24"/>
        </w:rPr>
        <w:t>发债条件的放宽和“融十条”公司债券主体的扩容，对企业债券的发行形成一定分流影响，以</w:t>
      </w:r>
      <w:proofErr w:type="gramStart"/>
      <w:r w:rsidRPr="002B4623">
        <w:rPr>
          <w:rFonts w:ascii="宋体" w:eastAsia="宋体" w:hAnsi="宋体" w:cs="宋体"/>
          <w:kern w:val="0"/>
          <w:sz w:val="24"/>
          <w:szCs w:val="24"/>
        </w:rPr>
        <w:t>城投债为</w:t>
      </w:r>
      <w:proofErr w:type="gramEnd"/>
      <w:r w:rsidRPr="002B4623">
        <w:rPr>
          <w:rFonts w:ascii="宋体" w:eastAsia="宋体" w:hAnsi="宋体" w:cs="宋体"/>
          <w:kern w:val="0"/>
          <w:sz w:val="24"/>
          <w:szCs w:val="24"/>
        </w:rPr>
        <w:t>主要构成的企业债券发展受到较大影响，企业债券面临定位转型。2015年上半年，</w:t>
      </w:r>
      <w:proofErr w:type="gramStart"/>
      <w:r w:rsidRPr="002B4623">
        <w:rPr>
          <w:rFonts w:ascii="宋体" w:eastAsia="宋体" w:hAnsi="宋体" w:cs="宋体"/>
          <w:kern w:val="0"/>
          <w:sz w:val="24"/>
          <w:szCs w:val="24"/>
        </w:rPr>
        <w:t>发改委</w:t>
      </w:r>
      <w:proofErr w:type="gramEnd"/>
      <w:r w:rsidRPr="002B4623">
        <w:rPr>
          <w:rFonts w:ascii="宋体" w:eastAsia="宋体" w:hAnsi="宋体" w:cs="宋体"/>
          <w:kern w:val="0"/>
          <w:sz w:val="24"/>
          <w:szCs w:val="24"/>
        </w:rPr>
        <w:t>多次发文，放宽企业债券发行门槛，改进发行管理，允许满足条件的企业“借新还旧”，大力推广创新产品，这些都有助于企业债券的扩容。预计下半年，上述改革效果将有所体现。未来，专项债券和项目收益债券将逐步成为企业债券的新增长点。</w:t>
      </w:r>
    </w:p>
    <w:p w:rsidR="002B4623" w:rsidRPr="002B4623" w:rsidRDefault="002B4623" w:rsidP="002B4623">
      <w:pPr>
        <w:widowControl/>
        <w:tabs>
          <w:tab w:val="left" w:pos="3822"/>
        </w:tabs>
        <w:adjustRightInd w:val="0"/>
        <w:snapToGrid w:val="0"/>
        <w:spacing w:before="100" w:beforeAutospacing="1" w:line="360" w:lineRule="auto"/>
        <w:ind w:firstLineChars="200" w:firstLine="480"/>
        <w:rPr>
          <w:rFonts w:ascii="宋体" w:eastAsia="宋体" w:hAnsi="宋体" w:cs="宋体"/>
          <w:kern w:val="0"/>
          <w:sz w:val="24"/>
          <w:szCs w:val="24"/>
        </w:rPr>
      </w:pPr>
      <w:r w:rsidRPr="002B4623">
        <w:rPr>
          <w:rFonts w:ascii="宋体" w:eastAsia="宋体" w:hAnsi="宋体" w:cs="宋体"/>
          <w:kern w:val="0"/>
          <w:sz w:val="24"/>
          <w:szCs w:val="24"/>
        </w:rPr>
        <w:t> </w:t>
      </w:r>
    </w:p>
    <w:p w:rsidR="002B4623" w:rsidRPr="002B4623" w:rsidRDefault="002B4623" w:rsidP="002B4623">
      <w:pPr>
        <w:widowControl/>
        <w:tabs>
          <w:tab w:val="left" w:pos="3822"/>
        </w:tabs>
        <w:adjustRightInd w:val="0"/>
        <w:snapToGrid w:val="0"/>
        <w:spacing w:before="100" w:beforeAutospacing="1" w:line="360" w:lineRule="auto"/>
        <w:ind w:firstLineChars="200" w:firstLine="482"/>
        <w:rPr>
          <w:rFonts w:ascii="宋体" w:eastAsia="宋体" w:hAnsi="宋体" w:cs="宋体"/>
          <w:kern w:val="0"/>
          <w:sz w:val="24"/>
          <w:szCs w:val="24"/>
        </w:rPr>
      </w:pPr>
      <w:r w:rsidRPr="002B4623">
        <w:rPr>
          <w:rFonts w:ascii="宋体" w:eastAsia="宋体" w:hAnsi="宋体" w:cs="宋体"/>
          <w:b/>
          <w:kern w:val="0"/>
          <w:sz w:val="24"/>
          <w:szCs w:val="24"/>
        </w:rPr>
        <w:t>4. 债市信用风险事件多发，企业债券将获得投资者偏爱，发行利差或将进一步下降</w:t>
      </w:r>
    </w:p>
    <w:p w:rsidR="002B4623" w:rsidRPr="002B4623" w:rsidRDefault="002B4623" w:rsidP="002B4623">
      <w:pPr>
        <w:widowControl/>
        <w:tabs>
          <w:tab w:val="left" w:pos="420"/>
        </w:tabs>
        <w:spacing w:line="360" w:lineRule="auto"/>
        <w:ind w:firstLine="420"/>
        <w:rPr>
          <w:rFonts w:ascii="宋体" w:eastAsia="宋体" w:hAnsi="宋体" w:cs="宋体"/>
          <w:kern w:val="0"/>
          <w:szCs w:val="21"/>
        </w:rPr>
      </w:pPr>
      <w:r w:rsidRPr="002B4623">
        <w:rPr>
          <w:rFonts w:ascii="宋体" w:eastAsia="宋体" w:hAnsi="宋体" w:cs="宋体" w:hint="eastAsia"/>
          <w:kern w:val="0"/>
          <w:szCs w:val="21"/>
        </w:rPr>
        <w:t>2015年以来，债券市场已发生多起违约事件，但截至目前企业债券尚未发生一例违约事件。2015年上半年，</w:t>
      </w:r>
      <w:proofErr w:type="gramStart"/>
      <w:r w:rsidRPr="002B4623">
        <w:rPr>
          <w:rFonts w:ascii="宋体" w:eastAsia="宋体" w:hAnsi="宋体" w:cs="宋体" w:hint="eastAsia"/>
          <w:kern w:val="0"/>
          <w:szCs w:val="21"/>
        </w:rPr>
        <w:t>发改委</w:t>
      </w:r>
      <w:proofErr w:type="gramEnd"/>
      <w:r w:rsidRPr="002B4623">
        <w:rPr>
          <w:rFonts w:ascii="宋体" w:eastAsia="宋体" w:hAnsi="宋体" w:cs="宋体" w:hint="eastAsia"/>
          <w:kern w:val="0"/>
          <w:szCs w:val="21"/>
        </w:rPr>
        <w:t>通过行政手段严防企业债券信用风险，不允许企业债券发生违约，为企业债券投资者注入了强心剂。预计2015年下半年，企业债券发行利差或进一步下降。</w:t>
      </w:r>
    </w:p>
    <w:p w:rsidR="002B4623" w:rsidRPr="002B4623" w:rsidRDefault="002B4623" w:rsidP="002B4623">
      <w:pPr>
        <w:widowControl/>
        <w:tabs>
          <w:tab w:val="left" w:pos="420"/>
        </w:tabs>
        <w:spacing w:line="360" w:lineRule="auto"/>
        <w:ind w:firstLine="420"/>
        <w:rPr>
          <w:rFonts w:ascii="宋体" w:eastAsia="宋体" w:hAnsi="宋体" w:cs="宋体" w:hint="eastAsia"/>
          <w:kern w:val="0"/>
          <w:szCs w:val="21"/>
        </w:rPr>
      </w:pPr>
      <w:r w:rsidRPr="002B4623">
        <w:rPr>
          <w:rFonts w:ascii="宋体" w:eastAsia="宋体" w:hAnsi="宋体" w:cs="宋体" w:hint="eastAsia"/>
          <w:kern w:val="0"/>
          <w:szCs w:val="21"/>
        </w:rPr>
        <w:t> </w:t>
      </w:r>
    </w:p>
    <w:p w:rsidR="002B4623" w:rsidRPr="002B4623" w:rsidRDefault="002B4623" w:rsidP="002B4623">
      <w:pPr>
        <w:widowControl/>
        <w:spacing w:before="100" w:beforeAutospacing="1" w:after="100" w:afterAutospacing="1"/>
        <w:jc w:val="left"/>
        <w:rPr>
          <w:rFonts w:ascii="宋体" w:eastAsia="宋体" w:hAnsi="宋体" w:cs="宋体" w:hint="eastAsia"/>
          <w:kern w:val="0"/>
          <w:szCs w:val="21"/>
        </w:rPr>
      </w:pPr>
      <w:r w:rsidRPr="002B4623">
        <w:rPr>
          <w:rFonts w:ascii="宋体" w:eastAsia="宋体" w:hAnsi="宋体" w:cs="宋体" w:hint="eastAsia"/>
          <w:kern w:val="0"/>
          <w:sz w:val="24"/>
          <w:szCs w:val="24"/>
        </w:rPr>
        <w:t>作者：</w:t>
      </w:r>
      <w:r w:rsidRPr="002B4623">
        <w:rPr>
          <w:rFonts w:ascii="宋体" w:eastAsia="宋体" w:hAnsi="宋体" w:cs="宋体" w:hint="eastAsia"/>
          <w:bCs/>
          <w:color w:val="000000"/>
          <w:kern w:val="0"/>
          <w:sz w:val="24"/>
          <w:szCs w:val="24"/>
        </w:rPr>
        <w:t>联</w:t>
      </w:r>
      <w:proofErr w:type="gramStart"/>
      <w:r w:rsidRPr="002B4623">
        <w:rPr>
          <w:rFonts w:ascii="宋体" w:eastAsia="宋体" w:hAnsi="宋体" w:cs="宋体" w:hint="eastAsia"/>
          <w:bCs/>
          <w:color w:val="000000"/>
          <w:kern w:val="0"/>
          <w:sz w:val="24"/>
          <w:szCs w:val="24"/>
        </w:rPr>
        <w:t>合资信</w:t>
      </w:r>
      <w:proofErr w:type="gramEnd"/>
      <w:r w:rsidRPr="002B4623">
        <w:rPr>
          <w:rFonts w:ascii="宋体" w:eastAsia="宋体" w:hAnsi="宋体" w:cs="宋体" w:hint="eastAsia"/>
          <w:bCs/>
          <w:color w:val="000000"/>
          <w:kern w:val="0"/>
          <w:sz w:val="24"/>
          <w:szCs w:val="24"/>
        </w:rPr>
        <w:t>评估有限公司</w:t>
      </w:r>
      <w:r w:rsidRPr="002B4623">
        <w:rPr>
          <w:rFonts w:ascii="宋体" w:eastAsia="宋体" w:hAnsi="宋体" w:cs="宋体" w:hint="eastAsia"/>
          <w:kern w:val="0"/>
          <w:sz w:val="24"/>
          <w:szCs w:val="24"/>
        </w:rPr>
        <w:t xml:space="preserve">   </w:t>
      </w:r>
      <w:proofErr w:type="gramStart"/>
      <w:r w:rsidRPr="002B4623">
        <w:rPr>
          <w:rFonts w:ascii="宋体" w:eastAsia="宋体" w:hAnsi="宋体" w:cs="宋体" w:hint="eastAsia"/>
          <w:kern w:val="0"/>
          <w:szCs w:val="21"/>
        </w:rPr>
        <w:t>聂</w:t>
      </w:r>
      <w:proofErr w:type="gramEnd"/>
      <w:r w:rsidRPr="002B4623">
        <w:rPr>
          <w:rFonts w:ascii="宋体" w:eastAsia="宋体" w:hAnsi="宋体" w:cs="宋体" w:hint="eastAsia"/>
          <w:kern w:val="0"/>
          <w:szCs w:val="21"/>
        </w:rPr>
        <w:t>逆</w:t>
      </w:r>
      <w:r w:rsidRPr="002B4623">
        <w:rPr>
          <w:rFonts w:ascii="宋体" w:eastAsia="宋体" w:hAnsi="宋体" w:cs="宋体" w:hint="eastAsia"/>
          <w:kern w:val="0"/>
          <w:sz w:val="24"/>
          <w:szCs w:val="24"/>
        </w:rPr>
        <w:t xml:space="preserve">  </w:t>
      </w:r>
      <w:r w:rsidRPr="002B4623">
        <w:rPr>
          <w:rFonts w:ascii="宋体" w:eastAsia="宋体" w:hAnsi="宋体" w:cs="宋体" w:hint="eastAsia"/>
          <w:kern w:val="0"/>
          <w:szCs w:val="21"/>
        </w:rPr>
        <w:t>王柠</w:t>
      </w:r>
      <w:r w:rsidRPr="002B4623">
        <w:rPr>
          <w:rFonts w:ascii="宋体" w:eastAsia="宋体" w:hAnsi="宋体" w:cs="宋体" w:hint="eastAsia"/>
          <w:kern w:val="0"/>
          <w:sz w:val="24"/>
          <w:szCs w:val="24"/>
        </w:rPr>
        <w:t xml:space="preserve">  </w:t>
      </w:r>
      <w:r w:rsidRPr="002B4623">
        <w:rPr>
          <w:rFonts w:ascii="宋体" w:eastAsia="宋体" w:hAnsi="宋体" w:cs="宋体" w:hint="eastAsia"/>
          <w:kern w:val="0"/>
          <w:szCs w:val="21"/>
        </w:rPr>
        <w:t>张婷婷</w:t>
      </w:r>
    </w:p>
    <w:p w:rsidR="002B4623" w:rsidRPr="002B4623" w:rsidRDefault="002B4623" w:rsidP="002B4623">
      <w:pPr>
        <w:widowControl/>
        <w:jc w:val="left"/>
        <w:rPr>
          <w:rFonts w:ascii="宋体" w:eastAsia="宋体" w:hAnsi="宋体" w:cs="宋体" w:hint="eastAsia"/>
          <w:kern w:val="0"/>
          <w:szCs w:val="21"/>
        </w:rPr>
      </w:pPr>
      <w:r w:rsidRPr="002B4623">
        <w:rPr>
          <w:rFonts w:ascii="宋体" w:eastAsia="宋体" w:hAnsi="宋体" w:cs="宋体" w:hint="eastAsia"/>
          <w:kern w:val="0"/>
          <w:szCs w:val="21"/>
        </w:rPr>
        <w:br w:type="textWrapping" w:clear="all"/>
      </w:r>
    </w:p>
    <w:p w:rsidR="002B4623" w:rsidRPr="002B4623" w:rsidRDefault="002B4623" w:rsidP="002B4623">
      <w:pPr>
        <w:widowControl/>
        <w:jc w:val="left"/>
        <w:rPr>
          <w:rFonts w:ascii="宋体" w:eastAsia="宋体" w:hAnsi="宋体" w:cs="宋体" w:hint="eastAsia"/>
          <w:kern w:val="0"/>
          <w:szCs w:val="21"/>
        </w:rPr>
      </w:pPr>
      <w:r w:rsidRPr="002B4623">
        <w:rPr>
          <w:rFonts w:ascii="宋体" w:eastAsia="宋体" w:hAnsi="宋体" w:cs="宋体" w:hint="eastAsia"/>
          <w:kern w:val="0"/>
          <w:szCs w:val="21"/>
        </w:rPr>
        <w:pict>
          <v:rect id="_x0000_i1025" style="width:137.05pt;height:.75pt" o:hrpct="330" o:hrstd="t" o:hr="t" fillcolor="#a0a0a0" stroked="f"/>
        </w:pict>
      </w:r>
    </w:p>
    <w:p w:rsidR="002B4623" w:rsidRPr="002B4623" w:rsidRDefault="002B4623" w:rsidP="002B4623">
      <w:pPr>
        <w:widowControl/>
        <w:spacing w:before="100" w:beforeAutospacing="1" w:after="100" w:afterAutospacing="1"/>
        <w:jc w:val="left"/>
        <w:rPr>
          <w:rFonts w:ascii="宋体" w:eastAsia="宋体" w:hAnsi="宋体" w:cs="宋体" w:hint="eastAsia"/>
          <w:kern w:val="0"/>
          <w:szCs w:val="21"/>
        </w:rPr>
      </w:pPr>
      <w:r w:rsidRPr="002B4623">
        <w:rPr>
          <w:rFonts w:ascii="宋体" w:eastAsia="宋体" w:hAnsi="宋体" w:cs="宋体" w:hint="eastAsia"/>
          <w:kern w:val="0"/>
          <w:szCs w:val="21"/>
        </w:rPr>
        <w:t> </w:t>
      </w:r>
    </w:p>
    <w:p w:rsidR="00180A7E" w:rsidRDefault="00180A7E"/>
    <w:sectPr w:rsidR="00180A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56" w:rsidRDefault="00260F56" w:rsidP="002B4623">
      <w:r>
        <w:separator/>
      </w:r>
    </w:p>
  </w:endnote>
  <w:endnote w:type="continuationSeparator" w:id="0">
    <w:p w:rsidR="00260F56" w:rsidRDefault="00260F56" w:rsidP="002B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56" w:rsidRDefault="00260F56" w:rsidP="002B4623">
      <w:r>
        <w:separator/>
      </w:r>
    </w:p>
  </w:footnote>
  <w:footnote w:type="continuationSeparator" w:id="0">
    <w:p w:rsidR="00260F56" w:rsidRDefault="00260F56" w:rsidP="002B4623">
      <w:r>
        <w:continuationSeparator/>
      </w:r>
    </w:p>
  </w:footnote>
  <w:footnote w:id="1">
    <w:p w:rsidR="002B4623" w:rsidRDefault="002B4623" w:rsidP="002B4623">
      <w:pPr>
        <w:pStyle w:val="a7"/>
        <w:rPr>
          <w:rFonts w:hint="eastAsia"/>
          <w:sz w:val="21"/>
          <w:szCs w:val="21"/>
        </w:rPr>
      </w:pPr>
      <w:r>
        <w:rPr>
          <w:rStyle w:val="a4"/>
          <w:rFonts w:hint="eastAsia"/>
          <w:sz w:val="21"/>
          <w:szCs w:val="21"/>
          <w:vertAlign w:val="superscript"/>
          <w:lang w:val="x-none"/>
        </w:rPr>
        <w:t>[1]</w:t>
      </w:r>
      <w:r>
        <w:rPr>
          <w:rFonts w:hint="eastAsia"/>
          <w:sz w:val="21"/>
          <w:szCs w:val="21"/>
          <w:lang w:val="x-none"/>
        </w:rPr>
        <w:t>本报告不包含集合债券的统计分析。</w:t>
      </w:r>
    </w:p>
  </w:footnote>
  <w:footnote w:id="2">
    <w:p w:rsidR="002B4623" w:rsidRDefault="002B4623" w:rsidP="002B4623">
      <w:pPr>
        <w:pStyle w:val="a7"/>
        <w:rPr>
          <w:rFonts w:hint="eastAsia"/>
          <w:sz w:val="21"/>
          <w:szCs w:val="21"/>
        </w:rPr>
      </w:pPr>
      <w:r>
        <w:rPr>
          <w:rStyle w:val="a4"/>
          <w:rFonts w:hint="eastAsia"/>
          <w:sz w:val="21"/>
          <w:szCs w:val="21"/>
          <w:vertAlign w:val="superscript"/>
          <w:lang w:val="x-none"/>
        </w:rPr>
        <w:t>[2]</w:t>
      </w:r>
      <w:r>
        <w:rPr>
          <w:rFonts w:hint="eastAsia"/>
          <w:sz w:val="21"/>
          <w:szCs w:val="21"/>
          <w:lang w:val="x-none"/>
        </w:rPr>
        <w:t>1327号</w:t>
      </w:r>
      <w:proofErr w:type="gramStart"/>
      <w:r>
        <w:rPr>
          <w:rFonts w:hint="eastAsia"/>
          <w:sz w:val="21"/>
          <w:szCs w:val="21"/>
          <w:lang w:val="x-none"/>
        </w:rPr>
        <w:t>文对于</w:t>
      </w:r>
      <w:proofErr w:type="gramEnd"/>
      <w:r>
        <w:rPr>
          <w:rFonts w:hint="eastAsia"/>
          <w:sz w:val="21"/>
          <w:szCs w:val="21"/>
          <w:lang w:val="x-none"/>
        </w:rPr>
        <w:t>发债企业数量指标的要求是：在发债募集基金投向符合国家产业政策的条件下，省会城市（</w:t>
      </w:r>
      <w:r>
        <w:rPr>
          <w:rFonts w:hint="eastAsia"/>
          <w:sz w:val="21"/>
          <w:szCs w:val="21"/>
          <w:lang w:val="x-none"/>
        </w:rPr>
        <w:t>计划单列市）所属城投企业，每年发行企业债券不超过4支；地级市所属城投企业每年发行企业债券不超过2支；经济总量较大、综合财力较强的百强县（县级市）所属县域城投企业，每年发行不超过2支企业债券；其他县（县级市）所属县域城投企业，债项级别达到</w:t>
      </w:r>
      <w:proofErr w:type="spellStart"/>
      <w:r>
        <w:rPr>
          <w:rFonts w:hint="eastAsia"/>
          <w:sz w:val="21"/>
          <w:szCs w:val="21"/>
          <w:lang w:val="x-none"/>
        </w:rPr>
        <w:t>AA+及以上的，每年可发行不超过</w:t>
      </w:r>
      <w:proofErr w:type="spellEnd"/>
      <w:r>
        <w:rPr>
          <w:rFonts w:hint="eastAsia"/>
          <w:sz w:val="21"/>
          <w:szCs w:val="21"/>
          <w:lang w:val="x-none"/>
        </w:rPr>
        <w:t>2支企业债券。</w:t>
      </w:r>
    </w:p>
  </w:footnote>
  <w:footnote w:id="3">
    <w:p w:rsidR="002B4623" w:rsidRDefault="002B4623" w:rsidP="002B4623">
      <w:pPr>
        <w:pStyle w:val="a7"/>
        <w:rPr>
          <w:rFonts w:hint="eastAsia"/>
          <w:sz w:val="21"/>
          <w:szCs w:val="21"/>
        </w:rPr>
      </w:pPr>
      <w:r>
        <w:rPr>
          <w:rStyle w:val="a4"/>
          <w:rFonts w:hint="eastAsia"/>
          <w:sz w:val="21"/>
          <w:szCs w:val="21"/>
          <w:vertAlign w:val="superscript"/>
          <w:lang w:val="x-none"/>
        </w:rPr>
        <w:t>[3]</w:t>
      </w:r>
      <w:r>
        <w:rPr>
          <w:rFonts w:hint="eastAsia"/>
          <w:sz w:val="21"/>
          <w:szCs w:val="21"/>
          <w:lang w:val="x-none"/>
        </w:rPr>
        <w:t>条件包括符合国发[2014]43号文件精神，在建</w:t>
      </w:r>
      <w:proofErr w:type="gramStart"/>
      <w:r>
        <w:rPr>
          <w:rFonts w:hint="eastAsia"/>
          <w:sz w:val="21"/>
          <w:szCs w:val="21"/>
          <w:lang w:val="x-none"/>
        </w:rPr>
        <w:t>募投项目</w:t>
      </w:r>
      <w:proofErr w:type="gramEnd"/>
      <w:r>
        <w:rPr>
          <w:rFonts w:hint="eastAsia"/>
          <w:sz w:val="21"/>
          <w:szCs w:val="21"/>
          <w:lang w:val="x-none"/>
        </w:rPr>
        <w:t>具有稳定收益，或以资产抵质押、第三方担保等作为增信措施；企业主体长期信用</w:t>
      </w:r>
      <w:proofErr w:type="gramStart"/>
      <w:r>
        <w:rPr>
          <w:rFonts w:hint="eastAsia"/>
          <w:sz w:val="21"/>
          <w:szCs w:val="21"/>
          <w:lang w:val="x-none"/>
        </w:rPr>
        <w:t>评级和债项</w:t>
      </w:r>
      <w:proofErr w:type="gramEnd"/>
      <w:r>
        <w:rPr>
          <w:rFonts w:hint="eastAsia"/>
          <w:sz w:val="21"/>
          <w:szCs w:val="21"/>
          <w:lang w:val="x-none"/>
        </w:rPr>
        <w:t>评级不低于原有评级；新发行债券规模不超过被置换债券的本息余额。</w:t>
      </w:r>
    </w:p>
  </w:footnote>
  <w:footnote w:id="4">
    <w:p w:rsidR="002B4623" w:rsidRDefault="002B4623" w:rsidP="002B4623">
      <w:pPr>
        <w:pStyle w:val="a7"/>
        <w:rPr>
          <w:rFonts w:hint="eastAsia"/>
          <w:sz w:val="21"/>
          <w:szCs w:val="21"/>
        </w:rPr>
      </w:pPr>
      <w:r>
        <w:rPr>
          <w:rStyle w:val="a4"/>
          <w:rFonts w:hint="eastAsia"/>
          <w:sz w:val="21"/>
          <w:szCs w:val="21"/>
          <w:vertAlign w:val="superscript"/>
          <w:lang w:val="x-none"/>
        </w:rPr>
        <w:t>[4]</w:t>
      </w:r>
      <w:proofErr w:type="gramStart"/>
      <w:r>
        <w:rPr>
          <w:rFonts w:hint="eastAsia"/>
          <w:sz w:val="21"/>
          <w:szCs w:val="21"/>
          <w:lang w:val="x-none"/>
        </w:rPr>
        <w:t>城投类企业</w:t>
      </w:r>
      <w:proofErr w:type="gramEnd"/>
      <w:r>
        <w:rPr>
          <w:rFonts w:hint="eastAsia"/>
          <w:sz w:val="21"/>
          <w:szCs w:val="21"/>
          <w:lang w:val="x-none"/>
        </w:rPr>
        <w:t>和一般生产经营类企业需提供担保措施的资产负债率要求分别放宽至65%和75%；</w:t>
      </w:r>
      <w:proofErr w:type="spellStart"/>
      <w:r>
        <w:rPr>
          <w:rFonts w:hint="eastAsia"/>
          <w:sz w:val="21"/>
          <w:szCs w:val="21"/>
          <w:lang w:val="x-none"/>
        </w:rPr>
        <w:t>主体评级AA+的，相应资产负债率放宽至</w:t>
      </w:r>
      <w:proofErr w:type="spellEnd"/>
      <w:r>
        <w:rPr>
          <w:rFonts w:hint="eastAsia"/>
          <w:sz w:val="21"/>
          <w:szCs w:val="21"/>
          <w:lang w:val="x-none"/>
        </w:rPr>
        <w:t>70%和80%；</w:t>
      </w:r>
      <w:proofErr w:type="spellStart"/>
      <w:r>
        <w:rPr>
          <w:rFonts w:hint="eastAsia"/>
          <w:sz w:val="21"/>
          <w:szCs w:val="21"/>
          <w:lang w:val="x-none"/>
        </w:rPr>
        <w:t>主体评级AAA的，相应资产负债率放宽至</w:t>
      </w:r>
      <w:proofErr w:type="spellEnd"/>
      <w:r>
        <w:rPr>
          <w:rFonts w:hint="eastAsia"/>
          <w:sz w:val="21"/>
          <w:szCs w:val="21"/>
          <w:lang w:val="x-none"/>
        </w:rPr>
        <w:t>75%和85%。</w:t>
      </w:r>
    </w:p>
  </w:footnote>
  <w:footnote w:id="5">
    <w:p w:rsidR="002B4623" w:rsidRDefault="002B4623" w:rsidP="002B4623">
      <w:pPr>
        <w:adjustRightInd w:val="0"/>
        <w:snapToGrid w:val="0"/>
        <w:spacing w:before="100" w:beforeAutospacing="1" w:after="100" w:afterAutospacing="1"/>
        <w:rPr>
          <w:rFonts w:hint="eastAsia"/>
          <w:sz w:val="24"/>
          <w:szCs w:val="24"/>
        </w:rPr>
      </w:pPr>
      <w:r>
        <w:rPr>
          <w:rStyle w:val="a4"/>
          <w:vertAlign w:val="superscript"/>
        </w:rPr>
        <w:t>[5]</w:t>
      </w:r>
      <w:r>
        <w:rPr>
          <w:rFonts w:hint="eastAsia"/>
        </w:rPr>
        <w:t>本小节数据样本剔除</w:t>
      </w:r>
      <w:r>
        <w:rPr>
          <w:sz w:val="18"/>
          <w:szCs w:val="18"/>
        </w:rPr>
        <w:t>2</w:t>
      </w:r>
      <w:r>
        <w:t>期采用浮动利率发行的企业债券（可续期债），对剩余样本数共</w:t>
      </w:r>
      <w:r>
        <w:rPr>
          <w:sz w:val="18"/>
          <w:szCs w:val="18"/>
        </w:rPr>
        <w:t>150</w:t>
      </w:r>
      <w:r>
        <w:t>期的企业债券进行利差检验分析</w:t>
      </w:r>
    </w:p>
  </w:footnote>
  <w:footnote w:id="6">
    <w:p w:rsidR="002B4623" w:rsidRDefault="002B4623" w:rsidP="002B4623">
      <w:pPr>
        <w:pStyle w:val="a7"/>
        <w:rPr>
          <w:sz w:val="21"/>
          <w:szCs w:val="21"/>
        </w:rPr>
      </w:pPr>
      <w:r>
        <w:rPr>
          <w:rStyle w:val="a4"/>
          <w:rFonts w:hint="eastAsia"/>
          <w:sz w:val="21"/>
          <w:szCs w:val="21"/>
          <w:vertAlign w:val="superscript"/>
          <w:lang w:val="x-none"/>
        </w:rPr>
        <w:t>[6]</w:t>
      </w:r>
      <w:r>
        <w:rPr>
          <w:rFonts w:hint="eastAsia"/>
          <w:sz w:val="21"/>
          <w:szCs w:val="21"/>
          <w:lang w:val="x-none"/>
        </w:rPr>
        <w:t>企业债券发行利差为企业债券发行利率与当期同期限银行间固定利率国债到期收益率的差。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23"/>
    <w:rsid w:val="00180A7E"/>
    <w:rsid w:val="00260F56"/>
    <w:rsid w:val="002B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DBB15-6E4F-4C18-A0E9-F00DF4CC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B46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B462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B462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B4623"/>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2B4623"/>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2B462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4623"/>
    <w:rPr>
      <w:rFonts w:ascii="宋体" w:eastAsia="宋体" w:hAnsi="宋体" w:cs="宋体"/>
      <w:b/>
      <w:bCs/>
      <w:kern w:val="36"/>
      <w:sz w:val="48"/>
      <w:szCs w:val="48"/>
    </w:rPr>
  </w:style>
  <w:style w:type="character" w:customStyle="1" w:styleId="2Char">
    <w:name w:val="标题 2 Char"/>
    <w:basedOn w:val="a0"/>
    <w:link w:val="2"/>
    <w:uiPriority w:val="9"/>
    <w:rsid w:val="002B4623"/>
    <w:rPr>
      <w:rFonts w:ascii="宋体" w:eastAsia="宋体" w:hAnsi="宋体" w:cs="宋体"/>
      <w:b/>
      <w:bCs/>
      <w:kern w:val="0"/>
      <w:sz w:val="36"/>
      <w:szCs w:val="36"/>
    </w:rPr>
  </w:style>
  <w:style w:type="character" w:customStyle="1" w:styleId="3Char">
    <w:name w:val="标题 3 Char"/>
    <w:basedOn w:val="a0"/>
    <w:link w:val="3"/>
    <w:uiPriority w:val="9"/>
    <w:rsid w:val="002B4623"/>
    <w:rPr>
      <w:rFonts w:ascii="宋体" w:eastAsia="宋体" w:hAnsi="宋体" w:cs="宋体"/>
      <w:b/>
      <w:bCs/>
      <w:kern w:val="0"/>
      <w:sz w:val="27"/>
      <w:szCs w:val="27"/>
    </w:rPr>
  </w:style>
  <w:style w:type="character" w:customStyle="1" w:styleId="4Char">
    <w:name w:val="标题 4 Char"/>
    <w:basedOn w:val="a0"/>
    <w:link w:val="4"/>
    <w:uiPriority w:val="9"/>
    <w:rsid w:val="002B4623"/>
    <w:rPr>
      <w:rFonts w:ascii="宋体" w:eastAsia="宋体" w:hAnsi="宋体" w:cs="宋体"/>
      <w:b/>
      <w:bCs/>
      <w:kern w:val="0"/>
      <w:sz w:val="24"/>
      <w:szCs w:val="24"/>
    </w:rPr>
  </w:style>
  <w:style w:type="character" w:customStyle="1" w:styleId="5Char">
    <w:name w:val="标题 5 Char"/>
    <w:basedOn w:val="a0"/>
    <w:link w:val="5"/>
    <w:uiPriority w:val="9"/>
    <w:rsid w:val="002B4623"/>
    <w:rPr>
      <w:rFonts w:ascii="宋体" w:eastAsia="宋体" w:hAnsi="宋体" w:cs="宋体"/>
      <w:b/>
      <w:bCs/>
      <w:kern w:val="0"/>
      <w:sz w:val="20"/>
      <w:szCs w:val="20"/>
    </w:rPr>
  </w:style>
  <w:style w:type="character" w:customStyle="1" w:styleId="6Char">
    <w:name w:val="标题 6 Char"/>
    <w:basedOn w:val="a0"/>
    <w:link w:val="6"/>
    <w:uiPriority w:val="9"/>
    <w:rsid w:val="002B4623"/>
    <w:rPr>
      <w:rFonts w:ascii="宋体" w:eastAsia="宋体" w:hAnsi="宋体" w:cs="宋体"/>
      <w:b/>
      <w:bCs/>
      <w:kern w:val="0"/>
      <w:sz w:val="15"/>
      <w:szCs w:val="15"/>
    </w:rPr>
  </w:style>
  <w:style w:type="paragraph" w:styleId="HTML">
    <w:name w:val="HTML Address"/>
    <w:basedOn w:val="a"/>
    <w:link w:val="HTMLChar"/>
    <w:uiPriority w:val="99"/>
    <w:semiHidden/>
    <w:unhideWhenUsed/>
    <w:rsid w:val="002B4623"/>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2B4623"/>
    <w:rPr>
      <w:rFonts w:ascii="宋体" w:eastAsia="宋体" w:hAnsi="宋体" w:cs="宋体"/>
      <w:i/>
      <w:iCs/>
      <w:kern w:val="0"/>
      <w:sz w:val="24"/>
      <w:szCs w:val="24"/>
    </w:rPr>
  </w:style>
  <w:style w:type="paragraph" w:styleId="HTML0">
    <w:name w:val="HTML Preformatted"/>
    <w:basedOn w:val="a"/>
    <w:link w:val="HTMLChar0"/>
    <w:uiPriority w:val="99"/>
    <w:semiHidden/>
    <w:unhideWhenUsed/>
    <w:rsid w:val="002B4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0">
    <w:name w:val="HTML 预设格式 Char"/>
    <w:basedOn w:val="a0"/>
    <w:link w:val="HTML0"/>
    <w:uiPriority w:val="99"/>
    <w:semiHidden/>
    <w:rsid w:val="002B4623"/>
    <w:rPr>
      <w:rFonts w:ascii="宋体" w:eastAsia="宋体" w:hAnsi="宋体" w:cs="宋体"/>
      <w:kern w:val="0"/>
      <w:sz w:val="24"/>
      <w:szCs w:val="24"/>
    </w:rPr>
  </w:style>
  <w:style w:type="paragraph" w:styleId="a3">
    <w:name w:val="Normal (Web)"/>
    <w:basedOn w:val="a"/>
    <w:uiPriority w:val="99"/>
    <w:semiHidden/>
    <w:unhideWhenUsed/>
    <w:rsid w:val="002B4623"/>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2B4623"/>
    <w:pPr>
      <w:widowControl/>
      <w:spacing w:before="100" w:beforeAutospacing="1" w:after="100" w:afterAutospacing="1"/>
      <w:jc w:val="left"/>
    </w:pPr>
    <w:rPr>
      <w:rFonts w:ascii="宋体" w:eastAsia="宋体" w:hAnsi="宋体" w:cs="宋体"/>
      <w:b/>
      <w:bCs/>
      <w:kern w:val="0"/>
      <w:sz w:val="24"/>
      <w:szCs w:val="24"/>
    </w:rPr>
  </w:style>
  <w:style w:type="paragraph" w:customStyle="1" w:styleId="title">
    <w:name w:val="title"/>
    <w:basedOn w:val="a"/>
    <w:rsid w:val="002B4623"/>
    <w:pPr>
      <w:widowControl/>
      <w:spacing w:before="100" w:beforeAutospacing="1" w:after="100" w:afterAutospacing="1"/>
      <w:jc w:val="left"/>
    </w:pPr>
    <w:rPr>
      <w:rFonts w:ascii="宋体" w:eastAsia="宋体" w:hAnsi="宋体" w:cs="宋体"/>
      <w:b/>
      <w:bCs/>
      <w:color w:val="CC3300"/>
      <w:kern w:val="0"/>
      <w:sz w:val="27"/>
      <w:szCs w:val="27"/>
    </w:rPr>
  </w:style>
  <w:style w:type="paragraph" w:customStyle="1" w:styleId="code">
    <w:name w:val="code"/>
    <w:basedOn w:val="a"/>
    <w:rsid w:val="002B4623"/>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eastAsia="宋体" w:hAnsi="Courier New" w:cs="Courier New"/>
      <w:color w:val="000066"/>
      <w:kern w:val="0"/>
      <w:sz w:val="24"/>
      <w:szCs w:val="24"/>
    </w:rPr>
  </w:style>
  <w:style w:type="paragraph" w:customStyle="1" w:styleId="fckflash">
    <w:name w:val="fck__flash"/>
    <w:basedOn w:val="a"/>
    <w:rsid w:val="002B4623"/>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fckunknownobject">
    <w:name w:val="fck__unknownobject"/>
    <w:basedOn w:val="a"/>
    <w:rsid w:val="002B4623"/>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fckanchor">
    <w:name w:val="fck__anchor"/>
    <w:basedOn w:val="a"/>
    <w:rsid w:val="002B4623"/>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fckanchorc">
    <w:name w:val="fck__anchorc"/>
    <w:basedOn w:val="a"/>
    <w:rsid w:val="002B4623"/>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eastAsia="宋体" w:hAnsi="宋体" w:cs="宋体"/>
      <w:kern w:val="0"/>
      <w:sz w:val="24"/>
      <w:szCs w:val="24"/>
    </w:rPr>
  </w:style>
  <w:style w:type="paragraph" w:customStyle="1" w:styleId="fckpagebreak">
    <w:name w:val="fck__pagebreak"/>
    <w:basedOn w:val="a"/>
    <w:rsid w:val="002B4623"/>
    <w:pPr>
      <w:widowControl/>
      <w:pBdr>
        <w:top w:val="dotted" w:sz="6" w:space="0" w:color="999999"/>
        <w:bottom w:val="dotted" w:sz="6" w:space="0" w:color="999999"/>
      </w:pBdr>
      <w:spacing w:before="100" w:beforeAutospacing="1" w:after="100" w:afterAutospacing="1"/>
      <w:jc w:val="left"/>
    </w:pPr>
    <w:rPr>
      <w:rFonts w:ascii="宋体" w:eastAsia="宋体" w:hAnsi="宋体" w:cs="宋体"/>
      <w:kern w:val="0"/>
      <w:sz w:val="24"/>
      <w:szCs w:val="24"/>
    </w:rPr>
  </w:style>
  <w:style w:type="paragraph" w:customStyle="1" w:styleId="fckinputhidden">
    <w:name w:val="fck__inputhidden"/>
    <w:basedOn w:val="a"/>
    <w:rsid w:val="002B4623"/>
    <w:pPr>
      <w:widowControl/>
      <w:spacing w:before="100" w:beforeAutospacing="1" w:after="100" w:afterAutospacing="1"/>
      <w:jc w:val="left"/>
      <w:textAlignment w:val="bottom"/>
    </w:pPr>
    <w:rPr>
      <w:rFonts w:ascii="宋体" w:eastAsia="宋体" w:hAnsi="宋体" w:cs="宋体"/>
      <w:kern w:val="0"/>
      <w:sz w:val="24"/>
      <w:szCs w:val="24"/>
    </w:rPr>
  </w:style>
  <w:style w:type="character" w:styleId="a4">
    <w:name w:val="footnote reference"/>
    <w:basedOn w:val="a0"/>
    <w:uiPriority w:val="99"/>
    <w:semiHidden/>
    <w:unhideWhenUsed/>
    <w:rsid w:val="002B4623"/>
  </w:style>
  <w:style w:type="character" w:styleId="a5">
    <w:name w:val="Hyperlink"/>
    <w:basedOn w:val="a0"/>
    <w:uiPriority w:val="99"/>
    <w:semiHidden/>
    <w:unhideWhenUsed/>
    <w:rsid w:val="002B4623"/>
    <w:rPr>
      <w:color w:val="0000FF"/>
      <w:u w:val="single"/>
    </w:rPr>
  </w:style>
  <w:style w:type="character" w:styleId="a6">
    <w:name w:val="FollowedHyperlink"/>
    <w:basedOn w:val="a0"/>
    <w:uiPriority w:val="99"/>
    <w:semiHidden/>
    <w:unhideWhenUsed/>
    <w:rsid w:val="002B4623"/>
    <w:rPr>
      <w:color w:val="800080"/>
      <w:u w:val="single"/>
    </w:rPr>
  </w:style>
  <w:style w:type="paragraph" w:customStyle="1" w:styleId="default">
    <w:name w:val="default"/>
    <w:basedOn w:val="a"/>
    <w:rsid w:val="002B4623"/>
    <w:pPr>
      <w:widowControl/>
      <w:spacing w:before="100" w:beforeAutospacing="1" w:after="100" w:afterAutospacing="1"/>
      <w:jc w:val="left"/>
    </w:pPr>
    <w:rPr>
      <w:rFonts w:ascii="宋体" w:eastAsia="宋体" w:hAnsi="宋体" w:cs="宋体"/>
      <w:kern w:val="0"/>
      <w:sz w:val="24"/>
      <w:szCs w:val="24"/>
    </w:rPr>
  </w:style>
  <w:style w:type="paragraph" w:styleId="a7">
    <w:name w:val="footnote text"/>
    <w:basedOn w:val="a"/>
    <w:link w:val="Char"/>
    <w:uiPriority w:val="99"/>
    <w:semiHidden/>
    <w:unhideWhenUsed/>
    <w:rsid w:val="002B462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脚注文本 Char"/>
    <w:basedOn w:val="a0"/>
    <w:link w:val="a7"/>
    <w:uiPriority w:val="99"/>
    <w:semiHidden/>
    <w:rsid w:val="002B462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8019">
      <w:bodyDiv w:val="1"/>
      <w:marLeft w:val="0"/>
      <w:marRight w:val="0"/>
      <w:marTop w:val="0"/>
      <w:marBottom w:val="0"/>
      <w:divBdr>
        <w:top w:val="none" w:sz="0" w:space="0" w:color="auto"/>
        <w:left w:val="none" w:sz="0" w:space="0" w:color="auto"/>
        <w:bottom w:val="none" w:sz="0" w:space="0" w:color="auto"/>
        <w:right w:val="none" w:sz="0" w:space="0" w:color="auto"/>
      </w:divBdr>
      <w:divsChild>
        <w:div w:id="91147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hcis.com/LHXY/wwwroot/lhxy/upload/Image/mrtp/2015/08/361892659.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hcis.com/LHXY/wwwroot/lhxy/upload/Image/mrtp/2015/08/3618914905.png"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lhcis.com/LHXY/wwwroot/lhxy/upload/Image/mrtp/2015/08/3618936412.png"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XueYuan</dc:creator>
  <cp:keywords/>
  <dc:description/>
  <cp:lastModifiedBy>XueYuan</cp:lastModifiedBy>
  <cp:revision>1</cp:revision>
  <dcterms:created xsi:type="dcterms:W3CDTF">2017-09-06T07:29:00Z</dcterms:created>
  <dcterms:modified xsi:type="dcterms:W3CDTF">2017-09-06T07:30:00Z</dcterms:modified>
</cp:coreProperties>
</file>