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F2" w:rsidRPr="004A5BF2" w:rsidRDefault="004A5BF2" w:rsidP="004A5BF2">
      <w:pPr>
        <w:widowControl/>
        <w:spacing w:before="100" w:beforeAutospacing="1" w:after="100" w:afterAutospacing="1"/>
        <w:jc w:val="center"/>
        <w:rPr>
          <w:rFonts w:ascii="宋体" w:eastAsia="宋体" w:hAnsi="宋体" w:cs="宋体"/>
          <w:kern w:val="0"/>
          <w:szCs w:val="21"/>
        </w:rPr>
      </w:pPr>
      <w:bookmarkStart w:id="0" w:name="_GoBack"/>
      <w:r w:rsidRPr="004A5BF2">
        <w:rPr>
          <w:rFonts w:ascii="Times New Roman" w:eastAsia="宋体" w:hAnsi="Times New Roman" w:cs="Times New Roman"/>
          <w:kern w:val="0"/>
          <w:sz w:val="32"/>
          <w:szCs w:val="32"/>
        </w:rPr>
        <w:t xml:space="preserve">2015 </w:t>
      </w:r>
      <w:r w:rsidRPr="004A5BF2">
        <w:rPr>
          <w:rFonts w:ascii="宋体" w:eastAsia="宋体" w:hAnsi="宋体" w:cs="宋体" w:hint="eastAsia"/>
          <w:kern w:val="0"/>
          <w:sz w:val="32"/>
          <w:szCs w:val="32"/>
        </w:rPr>
        <w:t>年第一季度短期融资</w:t>
      </w:r>
      <w:proofErr w:type="gramStart"/>
      <w:r w:rsidRPr="004A5BF2">
        <w:rPr>
          <w:rFonts w:ascii="宋体" w:eastAsia="宋体" w:hAnsi="宋体" w:cs="宋体" w:hint="eastAsia"/>
          <w:kern w:val="0"/>
          <w:sz w:val="32"/>
          <w:szCs w:val="32"/>
        </w:rPr>
        <w:t>券</w:t>
      </w:r>
      <w:proofErr w:type="gramEnd"/>
      <w:r w:rsidRPr="004A5BF2">
        <w:rPr>
          <w:rFonts w:ascii="宋体" w:eastAsia="宋体" w:hAnsi="宋体" w:cs="宋体" w:hint="eastAsia"/>
          <w:kern w:val="0"/>
          <w:sz w:val="32"/>
          <w:szCs w:val="32"/>
        </w:rPr>
        <w:t>利差分析报告</w:t>
      </w:r>
    </w:p>
    <w:bookmarkEnd w:id="0"/>
    <w:p w:rsidR="004A5BF2" w:rsidRPr="004A5BF2" w:rsidRDefault="004A5BF2" w:rsidP="004A5BF2">
      <w:pPr>
        <w:widowControl/>
        <w:spacing w:before="100" w:beforeAutospacing="1" w:after="100" w:afterAutospacing="1"/>
        <w:ind w:rightChars="87" w:right="183"/>
        <w:jc w:val="center"/>
        <w:rPr>
          <w:rFonts w:ascii="宋体" w:eastAsia="宋体" w:hAnsi="宋体" w:cs="宋体" w:hint="eastAsia"/>
          <w:kern w:val="0"/>
          <w:sz w:val="24"/>
          <w:szCs w:val="24"/>
        </w:rPr>
      </w:pPr>
      <w:r w:rsidRPr="004A5BF2">
        <w:rPr>
          <w:rFonts w:ascii="宋体" w:eastAsia="宋体" w:hAnsi="宋体" w:cs="宋体" w:hint="eastAsia"/>
          <w:kern w:val="0"/>
          <w:szCs w:val="21"/>
        </w:rPr>
        <w:t>释义</w:t>
      </w:r>
    </w:p>
    <w:p w:rsidR="004A5BF2" w:rsidRPr="004A5BF2" w:rsidRDefault="004A5BF2" w:rsidP="004A5BF2">
      <w:pPr>
        <w:widowControl/>
        <w:spacing w:before="240" w:after="240" w:line="360" w:lineRule="auto"/>
        <w:ind w:right="183" w:firstLine="420"/>
        <w:jc w:val="left"/>
        <w:rPr>
          <w:rFonts w:ascii="宋体" w:eastAsia="宋体" w:hAnsi="宋体" w:cs="宋体"/>
          <w:kern w:val="0"/>
          <w:sz w:val="24"/>
          <w:szCs w:val="24"/>
        </w:rPr>
      </w:pPr>
      <w:r w:rsidRPr="004A5BF2">
        <w:rPr>
          <w:rFonts w:ascii="宋体" w:eastAsia="宋体" w:hAnsi="宋体" w:cs="宋体" w:hint="eastAsia"/>
          <w:kern w:val="0"/>
          <w:szCs w:val="21"/>
        </w:rPr>
        <w:t>短融：短期融资</w:t>
      </w:r>
      <w:proofErr w:type="gramStart"/>
      <w:r w:rsidRPr="004A5BF2">
        <w:rPr>
          <w:rFonts w:ascii="宋体" w:eastAsia="宋体" w:hAnsi="宋体" w:cs="宋体" w:hint="eastAsia"/>
          <w:kern w:val="0"/>
          <w:szCs w:val="21"/>
        </w:rPr>
        <w:t>券</w:t>
      </w:r>
      <w:proofErr w:type="gramEnd"/>
      <w:r w:rsidRPr="004A5BF2">
        <w:rPr>
          <w:rFonts w:ascii="宋体" w:eastAsia="宋体" w:hAnsi="宋体" w:cs="宋体" w:hint="eastAsia"/>
          <w:kern w:val="0"/>
          <w:szCs w:val="21"/>
        </w:rPr>
        <w:t>，指中华人民共和国境内具有法人资格的非金融企业，依照相关规定的条件和程序，在银行间债券市场发行并约定在一年期限内还本付息的有价证券。如无特殊说明本文均不包含超短融。</w:t>
      </w:r>
    </w:p>
    <w:p w:rsidR="004A5BF2" w:rsidRPr="004A5BF2" w:rsidRDefault="004A5BF2" w:rsidP="004A5BF2">
      <w:pPr>
        <w:widowControl/>
        <w:spacing w:before="240" w:after="240" w:line="360" w:lineRule="auto"/>
        <w:ind w:right="183" w:firstLine="420"/>
        <w:jc w:val="left"/>
        <w:rPr>
          <w:rFonts w:ascii="宋体" w:eastAsia="宋体" w:hAnsi="宋体" w:cs="宋体"/>
          <w:kern w:val="0"/>
          <w:sz w:val="24"/>
          <w:szCs w:val="24"/>
        </w:rPr>
      </w:pPr>
      <w:r w:rsidRPr="004A5BF2">
        <w:rPr>
          <w:rFonts w:ascii="宋体" w:eastAsia="宋体" w:hAnsi="宋体" w:cs="宋体" w:hint="eastAsia"/>
          <w:kern w:val="0"/>
          <w:szCs w:val="21"/>
        </w:rPr>
        <w:t>本季度：</w:t>
      </w:r>
      <w:r w:rsidRPr="004A5BF2">
        <w:rPr>
          <w:rFonts w:ascii="Times New Roman" w:eastAsia="宋体" w:hAnsi="Times New Roman" w:cs="Times New Roman"/>
          <w:kern w:val="0"/>
          <w:szCs w:val="21"/>
        </w:rPr>
        <w:t>2015</w:t>
      </w:r>
      <w:r w:rsidRPr="004A5BF2">
        <w:rPr>
          <w:rFonts w:ascii="宋体" w:eastAsia="宋体" w:hAnsi="宋体" w:cs="宋体" w:hint="eastAsia"/>
          <w:kern w:val="0"/>
          <w:szCs w:val="21"/>
        </w:rPr>
        <w:t>年</w:t>
      </w:r>
      <w:r w:rsidRPr="004A5BF2">
        <w:rPr>
          <w:rFonts w:ascii="Times New Roman" w:eastAsia="宋体" w:hAnsi="Times New Roman" w:cs="Times New Roman"/>
          <w:kern w:val="0"/>
          <w:szCs w:val="21"/>
        </w:rPr>
        <w:t>1</w:t>
      </w:r>
      <w:r w:rsidRPr="004A5BF2">
        <w:rPr>
          <w:rFonts w:ascii="宋体" w:eastAsia="宋体" w:hAnsi="宋体" w:cs="宋体" w:hint="eastAsia"/>
          <w:kern w:val="0"/>
          <w:szCs w:val="21"/>
        </w:rPr>
        <w:t>月</w:t>
      </w:r>
      <w:r w:rsidRPr="004A5BF2">
        <w:rPr>
          <w:rFonts w:ascii="Times New Roman" w:eastAsia="宋体" w:hAnsi="Times New Roman" w:cs="Times New Roman"/>
          <w:kern w:val="0"/>
          <w:szCs w:val="21"/>
        </w:rPr>
        <w:t>1</w:t>
      </w:r>
      <w:r w:rsidRPr="004A5BF2">
        <w:rPr>
          <w:rFonts w:ascii="宋体" w:eastAsia="宋体" w:hAnsi="宋体" w:cs="宋体" w:hint="eastAsia"/>
          <w:kern w:val="0"/>
          <w:szCs w:val="21"/>
        </w:rPr>
        <w:t>日</w:t>
      </w:r>
      <w:r w:rsidRPr="004A5BF2">
        <w:rPr>
          <w:rFonts w:ascii="Times New Roman" w:eastAsia="宋体" w:hAnsi="Times New Roman" w:cs="Times New Roman"/>
          <w:kern w:val="0"/>
          <w:szCs w:val="21"/>
        </w:rPr>
        <w:t>~2015</w:t>
      </w:r>
      <w:r w:rsidRPr="004A5BF2">
        <w:rPr>
          <w:rFonts w:ascii="宋体" w:eastAsia="宋体" w:hAnsi="宋体" w:cs="宋体" w:hint="eastAsia"/>
          <w:kern w:val="0"/>
          <w:szCs w:val="21"/>
        </w:rPr>
        <w:t>年</w:t>
      </w:r>
      <w:r w:rsidRPr="004A5BF2">
        <w:rPr>
          <w:rFonts w:ascii="Times New Roman" w:eastAsia="宋体" w:hAnsi="Times New Roman" w:cs="Times New Roman"/>
          <w:kern w:val="0"/>
          <w:szCs w:val="21"/>
        </w:rPr>
        <w:t>3</w:t>
      </w:r>
      <w:r w:rsidRPr="004A5BF2">
        <w:rPr>
          <w:rFonts w:ascii="宋体" w:eastAsia="宋体" w:hAnsi="宋体" w:cs="宋体" w:hint="eastAsia"/>
          <w:kern w:val="0"/>
          <w:szCs w:val="21"/>
        </w:rPr>
        <w:t>月</w:t>
      </w:r>
      <w:r w:rsidRPr="004A5BF2">
        <w:rPr>
          <w:rFonts w:ascii="Times New Roman" w:eastAsia="宋体" w:hAnsi="Times New Roman" w:cs="Times New Roman"/>
          <w:kern w:val="0"/>
          <w:szCs w:val="21"/>
        </w:rPr>
        <w:t>31</w:t>
      </w:r>
      <w:r w:rsidRPr="004A5BF2">
        <w:rPr>
          <w:rFonts w:ascii="宋体" w:eastAsia="宋体" w:hAnsi="宋体" w:cs="宋体" w:hint="eastAsia"/>
          <w:kern w:val="0"/>
          <w:szCs w:val="21"/>
        </w:rPr>
        <w:t>日</w:t>
      </w:r>
    </w:p>
    <w:p w:rsidR="004A5BF2" w:rsidRPr="004A5BF2" w:rsidRDefault="004A5BF2" w:rsidP="004A5BF2">
      <w:pPr>
        <w:widowControl/>
        <w:spacing w:before="240" w:after="240" w:line="360" w:lineRule="auto"/>
        <w:ind w:right="183" w:firstLine="420"/>
        <w:jc w:val="left"/>
        <w:rPr>
          <w:rFonts w:ascii="宋体" w:eastAsia="宋体" w:hAnsi="宋体" w:cs="宋体"/>
          <w:kern w:val="0"/>
          <w:sz w:val="24"/>
          <w:szCs w:val="24"/>
        </w:rPr>
      </w:pPr>
      <w:r w:rsidRPr="004A5BF2">
        <w:rPr>
          <w:rFonts w:ascii="宋体" w:eastAsia="宋体" w:hAnsi="宋体" w:cs="宋体" w:hint="eastAsia"/>
          <w:kern w:val="0"/>
          <w:szCs w:val="21"/>
        </w:rPr>
        <w:t>国债利率：一年期银行间固定利率国债到期收益率</w:t>
      </w:r>
    </w:p>
    <w:p w:rsidR="004A5BF2" w:rsidRPr="004A5BF2" w:rsidRDefault="004A5BF2" w:rsidP="004A5BF2">
      <w:pPr>
        <w:widowControl/>
        <w:spacing w:before="240" w:after="240" w:line="360" w:lineRule="auto"/>
        <w:ind w:right="183" w:firstLine="420"/>
        <w:jc w:val="left"/>
        <w:rPr>
          <w:rFonts w:ascii="宋体" w:eastAsia="宋体" w:hAnsi="宋体" w:cs="宋体"/>
          <w:kern w:val="0"/>
          <w:sz w:val="24"/>
          <w:szCs w:val="24"/>
        </w:rPr>
      </w:pPr>
      <w:r w:rsidRPr="004A5BF2">
        <w:rPr>
          <w:rFonts w:ascii="宋体" w:eastAsia="宋体" w:hAnsi="宋体" w:cs="宋体" w:hint="eastAsia"/>
          <w:kern w:val="0"/>
          <w:szCs w:val="21"/>
        </w:rPr>
        <w:t>利差</w:t>
      </w:r>
      <w:r w:rsidRPr="004A5BF2">
        <w:rPr>
          <w:rFonts w:ascii="Times New Roman" w:eastAsia="宋体" w:hAnsi="Times New Roman" w:cs="Times New Roman"/>
          <w:kern w:val="0"/>
          <w:szCs w:val="21"/>
        </w:rPr>
        <w:t>I</w:t>
      </w:r>
      <w:r w:rsidRPr="004A5BF2">
        <w:rPr>
          <w:rFonts w:ascii="宋体" w:eastAsia="宋体" w:hAnsi="宋体" w:cs="宋体" w:hint="eastAsia"/>
          <w:kern w:val="0"/>
          <w:szCs w:val="21"/>
        </w:rPr>
        <w:t>：发行利差，</w:t>
      </w:r>
      <w:proofErr w:type="gramStart"/>
      <w:r w:rsidRPr="004A5BF2">
        <w:rPr>
          <w:rFonts w:ascii="宋体" w:eastAsia="宋体" w:hAnsi="宋体" w:cs="宋体" w:hint="eastAsia"/>
          <w:kern w:val="0"/>
          <w:szCs w:val="21"/>
        </w:rPr>
        <w:t>短融的</w:t>
      </w:r>
      <w:proofErr w:type="gramEnd"/>
      <w:r w:rsidRPr="004A5BF2">
        <w:rPr>
          <w:rFonts w:ascii="宋体" w:eastAsia="宋体" w:hAnsi="宋体" w:cs="宋体" w:hint="eastAsia"/>
          <w:kern w:val="0"/>
          <w:szCs w:val="21"/>
        </w:rPr>
        <w:t>发行利率与其起息日的国债利率的差额，反映在特定利率市场环境</w:t>
      </w:r>
      <w:proofErr w:type="gramStart"/>
      <w:r w:rsidRPr="004A5BF2">
        <w:rPr>
          <w:rFonts w:ascii="宋体" w:eastAsia="宋体" w:hAnsi="宋体" w:cs="宋体" w:hint="eastAsia"/>
          <w:kern w:val="0"/>
          <w:szCs w:val="21"/>
        </w:rPr>
        <w:t>下短融的</w:t>
      </w:r>
      <w:proofErr w:type="gramEnd"/>
      <w:r w:rsidRPr="004A5BF2">
        <w:rPr>
          <w:rFonts w:ascii="宋体" w:eastAsia="宋体" w:hAnsi="宋体" w:cs="宋体" w:hint="eastAsia"/>
          <w:kern w:val="0"/>
          <w:szCs w:val="21"/>
        </w:rPr>
        <w:t>信用风险溢价水平。</w:t>
      </w:r>
    </w:p>
    <w:p w:rsidR="004A5BF2" w:rsidRPr="004A5BF2" w:rsidRDefault="004A5BF2" w:rsidP="004A5BF2">
      <w:pPr>
        <w:widowControl/>
        <w:spacing w:before="100" w:beforeAutospacing="1" w:after="100" w:afterAutospacing="1"/>
        <w:jc w:val="left"/>
        <w:rPr>
          <w:rFonts w:ascii="宋体" w:eastAsia="宋体" w:hAnsi="宋体" w:cs="宋体"/>
          <w:kern w:val="0"/>
          <w:szCs w:val="21"/>
        </w:rPr>
      </w:pPr>
      <w:r w:rsidRPr="004A5BF2">
        <w:rPr>
          <w:rFonts w:ascii="宋体" w:eastAsia="宋体" w:hAnsi="宋体" w:cs="宋体" w:hint="eastAsia"/>
          <w:kern w:val="0"/>
          <w:szCs w:val="21"/>
        </w:rPr>
        <w:t>    利差</w:t>
      </w:r>
      <w:r w:rsidRPr="004A5BF2">
        <w:rPr>
          <w:rFonts w:ascii="Times New Roman" w:eastAsia="宋体" w:hAnsi="Times New Roman" w:cs="Times New Roman"/>
          <w:kern w:val="0"/>
          <w:szCs w:val="21"/>
        </w:rPr>
        <w:t>II</w:t>
      </w:r>
      <w:r w:rsidRPr="004A5BF2">
        <w:rPr>
          <w:rFonts w:ascii="宋体" w:eastAsia="宋体" w:hAnsi="宋体" w:cs="宋体" w:hint="eastAsia"/>
          <w:kern w:val="0"/>
          <w:szCs w:val="21"/>
        </w:rPr>
        <w:t>：交易利差，</w:t>
      </w:r>
      <w:proofErr w:type="gramStart"/>
      <w:r w:rsidRPr="004A5BF2">
        <w:rPr>
          <w:rFonts w:ascii="宋体" w:eastAsia="宋体" w:hAnsi="宋体" w:cs="宋体" w:hint="eastAsia"/>
          <w:kern w:val="0"/>
          <w:szCs w:val="21"/>
        </w:rPr>
        <w:t>短融上市</w:t>
      </w:r>
      <w:proofErr w:type="gramEnd"/>
      <w:r w:rsidRPr="004A5BF2">
        <w:rPr>
          <w:rFonts w:ascii="宋体" w:eastAsia="宋体" w:hAnsi="宋体" w:cs="宋体" w:hint="eastAsia"/>
          <w:kern w:val="0"/>
          <w:szCs w:val="21"/>
        </w:rPr>
        <w:t>后两周内的首个交易日的收益率和当日的国债利率的差额，在一定程度上反映了在特定利率市场环境</w:t>
      </w:r>
      <w:proofErr w:type="gramStart"/>
      <w:r w:rsidRPr="004A5BF2">
        <w:rPr>
          <w:rFonts w:ascii="宋体" w:eastAsia="宋体" w:hAnsi="宋体" w:cs="宋体" w:hint="eastAsia"/>
          <w:kern w:val="0"/>
          <w:szCs w:val="21"/>
        </w:rPr>
        <w:t>下短融的</w:t>
      </w:r>
      <w:proofErr w:type="gramEnd"/>
      <w:r w:rsidRPr="004A5BF2">
        <w:rPr>
          <w:rFonts w:ascii="宋体" w:eastAsia="宋体" w:hAnsi="宋体" w:cs="宋体" w:hint="eastAsia"/>
          <w:kern w:val="0"/>
          <w:szCs w:val="21"/>
        </w:rPr>
        <w:t>信用风险溢价水平。</w:t>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Times New Roman" w:eastAsia="宋体" w:hAnsi="Times New Roman" w:cs="Times New Roman"/>
          <w:kern w:val="0"/>
          <w:szCs w:val="21"/>
        </w:rPr>
        <w:t>一、</w:t>
      </w:r>
      <w:proofErr w:type="gramStart"/>
      <w:r w:rsidRPr="004A5BF2">
        <w:rPr>
          <w:rFonts w:ascii="宋体" w:eastAsia="宋体" w:hAnsi="宋体" w:cs="宋体" w:hint="eastAsia"/>
          <w:kern w:val="0"/>
          <w:szCs w:val="21"/>
        </w:rPr>
        <w:t>短融发行</w:t>
      </w:r>
      <w:proofErr w:type="gramEnd"/>
      <w:r w:rsidRPr="004A5BF2">
        <w:rPr>
          <w:rFonts w:ascii="宋体" w:eastAsia="宋体" w:hAnsi="宋体" w:cs="宋体" w:hint="eastAsia"/>
          <w:kern w:val="0"/>
          <w:szCs w:val="21"/>
        </w:rPr>
        <w:t>基本情况</w:t>
      </w:r>
    </w:p>
    <w:p w:rsidR="004A5BF2" w:rsidRPr="004A5BF2" w:rsidRDefault="004A5BF2" w:rsidP="004A5BF2">
      <w:pPr>
        <w:widowControl/>
        <w:spacing w:beforeLines="50" w:before="156" w:afterLines="50" w:after="156" w:line="360" w:lineRule="auto"/>
        <w:ind w:rightChars="87" w:right="183" w:firstLineChars="200" w:firstLine="420"/>
        <w:jc w:val="left"/>
        <w:rPr>
          <w:rFonts w:ascii="宋体" w:eastAsia="宋体" w:hAnsi="宋体" w:cs="宋体" w:hint="eastAsia"/>
          <w:kern w:val="0"/>
          <w:sz w:val="24"/>
          <w:szCs w:val="24"/>
        </w:rPr>
      </w:pPr>
      <w:r w:rsidRPr="004A5BF2">
        <w:rPr>
          <w:rFonts w:ascii="宋体" w:eastAsia="宋体" w:hAnsi="宋体" w:cs="宋体" w:hint="eastAsia"/>
          <w:kern w:val="0"/>
          <w:szCs w:val="21"/>
        </w:rPr>
        <w:t>本季度，央行继续推行宽松的货币政策释放流动性，市场总体资金面较为宽松，银行间债券市场共有</w:t>
      </w:r>
      <w:r w:rsidRPr="004A5BF2">
        <w:rPr>
          <w:rFonts w:ascii="Times New Roman" w:eastAsia="宋体" w:hAnsi="Times New Roman" w:cs="Times New Roman"/>
          <w:kern w:val="0"/>
          <w:szCs w:val="21"/>
        </w:rPr>
        <w:t xml:space="preserve"> 335 </w:t>
      </w:r>
      <w:r w:rsidRPr="004A5BF2">
        <w:rPr>
          <w:rFonts w:ascii="宋体" w:eastAsia="宋体" w:hAnsi="宋体" w:cs="宋体" w:hint="eastAsia"/>
          <w:kern w:val="0"/>
          <w:szCs w:val="21"/>
        </w:rPr>
        <w:t>家非金融企业</w:t>
      </w:r>
      <w:proofErr w:type="gramStart"/>
      <w:r w:rsidRPr="004A5BF2">
        <w:rPr>
          <w:rFonts w:ascii="宋体" w:eastAsia="宋体" w:hAnsi="宋体" w:cs="宋体" w:hint="eastAsia"/>
          <w:kern w:val="0"/>
          <w:szCs w:val="21"/>
        </w:rPr>
        <w:t>发行短融</w:t>
      </w:r>
      <w:proofErr w:type="gramEnd"/>
      <w:r w:rsidRPr="004A5BF2">
        <w:rPr>
          <w:rFonts w:ascii="Times New Roman" w:eastAsia="宋体" w:hAnsi="Times New Roman" w:cs="Times New Roman"/>
          <w:kern w:val="0"/>
          <w:szCs w:val="21"/>
        </w:rPr>
        <w:t xml:space="preserve"> 445 </w:t>
      </w:r>
      <w:r w:rsidRPr="004A5BF2">
        <w:rPr>
          <w:rFonts w:ascii="宋体" w:eastAsia="宋体" w:hAnsi="宋体" w:cs="宋体" w:hint="eastAsia"/>
          <w:kern w:val="0"/>
          <w:szCs w:val="21"/>
        </w:rPr>
        <w:t>期（含超短融），合计发行规模为</w:t>
      </w:r>
      <w:r w:rsidRPr="004A5BF2">
        <w:rPr>
          <w:rFonts w:ascii="Times New Roman" w:eastAsia="宋体" w:hAnsi="Times New Roman" w:cs="Times New Roman"/>
          <w:kern w:val="0"/>
          <w:szCs w:val="21"/>
        </w:rPr>
        <w:t xml:space="preserve"> 6436.70 </w:t>
      </w:r>
      <w:r w:rsidRPr="004A5BF2">
        <w:rPr>
          <w:rFonts w:ascii="宋体" w:eastAsia="宋体" w:hAnsi="宋体" w:cs="宋体" w:hint="eastAsia"/>
          <w:kern w:val="0"/>
          <w:szCs w:val="21"/>
        </w:rPr>
        <w:t>亿元，发行期数和发行规模较上年四季度和上年同期均有所增长。其中共有</w:t>
      </w:r>
      <w:r w:rsidRPr="004A5BF2">
        <w:rPr>
          <w:rFonts w:ascii="Times New Roman" w:eastAsia="宋体" w:hAnsi="Times New Roman" w:cs="Times New Roman"/>
          <w:kern w:val="0"/>
          <w:szCs w:val="21"/>
        </w:rPr>
        <w:t xml:space="preserve"> 197 </w:t>
      </w:r>
      <w:r w:rsidRPr="004A5BF2">
        <w:rPr>
          <w:rFonts w:ascii="宋体" w:eastAsia="宋体" w:hAnsi="宋体" w:cs="宋体" w:hint="eastAsia"/>
          <w:kern w:val="0"/>
          <w:szCs w:val="21"/>
        </w:rPr>
        <w:t>家企业累计</w:t>
      </w:r>
      <w:proofErr w:type="gramStart"/>
      <w:r w:rsidRPr="004A5BF2">
        <w:rPr>
          <w:rFonts w:ascii="宋体" w:eastAsia="宋体" w:hAnsi="宋体" w:cs="宋体" w:hint="eastAsia"/>
          <w:kern w:val="0"/>
          <w:szCs w:val="21"/>
        </w:rPr>
        <w:t>发行短融</w:t>
      </w:r>
      <w:proofErr w:type="gramEnd"/>
      <w:r w:rsidRPr="004A5BF2">
        <w:rPr>
          <w:rFonts w:ascii="Times New Roman" w:eastAsia="宋体" w:hAnsi="Times New Roman" w:cs="Times New Roman"/>
          <w:kern w:val="0"/>
          <w:szCs w:val="21"/>
        </w:rPr>
        <w:t xml:space="preserve"> 207 </w:t>
      </w:r>
      <w:r w:rsidRPr="004A5BF2">
        <w:rPr>
          <w:rFonts w:ascii="宋体" w:eastAsia="宋体" w:hAnsi="宋体" w:cs="宋体" w:hint="eastAsia"/>
          <w:kern w:val="0"/>
          <w:szCs w:val="21"/>
        </w:rPr>
        <w:t>期（不含超短融），发行总额为</w:t>
      </w:r>
      <w:r w:rsidRPr="004A5BF2">
        <w:rPr>
          <w:rFonts w:ascii="Times New Roman" w:eastAsia="宋体" w:hAnsi="Times New Roman" w:cs="Times New Roman"/>
          <w:kern w:val="0"/>
          <w:szCs w:val="21"/>
        </w:rPr>
        <w:t xml:space="preserve">1764.80 </w:t>
      </w:r>
      <w:r w:rsidRPr="004A5BF2">
        <w:rPr>
          <w:rFonts w:ascii="宋体" w:eastAsia="宋体" w:hAnsi="宋体" w:cs="宋体" w:hint="eastAsia"/>
          <w:kern w:val="0"/>
          <w:szCs w:val="21"/>
        </w:rPr>
        <w:t>亿元，发行期数和发行规模较上年四季度和上年同期均有所下降，环比分别下降</w:t>
      </w:r>
      <w:r w:rsidRPr="004A5BF2">
        <w:rPr>
          <w:rFonts w:ascii="Times New Roman" w:eastAsia="宋体" w:hAnsi="Times New Roman" w:cs="Times New Roman"/>
          <w:kern w:val="0"/>
          <w:szCs w:val="21"/>
        </w:rPr>
        <w:t xml:space="preserve"> 5.48%</w:t>
      </w:r>
      <w:r w:rsidRPr="004A5BF2">
        <w:rPr>
          <w:rFonts w:ascii="宋体" w:eastAsia="宋体" w:hAnsi="宋体" w:cs="宋体" w:hint="eastAsia"/>
          <w:kern w:val="0"/>
          <w:szCs w:val="21"/>
        </w:rPr>
        <w:t>和</w:t>
      </w:r>
      <w:r w:rsidRPr="004A5BF2">
        <w:rPr>
          <w:rFonts w:ascii="Times New Roman" w:eastAsia="宋体" w:hAnsi="Times New Roman" w:cs="Times New Roman"/>
          <w:kern w:val="0"/>
          <w:szCs w:val="21"/>
        </w:rPr>
        <w:t xml:space="preserve"> 19.85%</w:t>
      </w:r>
      <w:r w:rsidRPr="004A5BF2">
        <w:rPr>
          <w:rFonts w:ascii="宋体" w:eastAsia="宋体" w:hAnsi="宋体" w:cs="宋体" w:hint="eastAsia"/>
          <w:kern w:val="0"/>
          <w:szCs w:val="21"/>
        </w:rPr>
        <w:t>，同比则分别下降</w:t>
      </w:r>
      <w:r w:rsidRPr="004A5BF2">
        <w:rPr>
          <w:rFonts w:ascii="Times New Roman" w:eastAsia="宋体" w:hAnsi="Times New Roman" w:cs="Times New Roman"/>
          <w:kern w:val="0"/>
          <w:szCs w:val="21"/>
        </w:rPr>
        <w:t xml:space="preserve"> 10.00%</w:t>
      </w:r>
      <w:r w:rsidRPr="004A5BF2">
        <w:rPr>
          <w:rFonts w:ascii="宋体" w:eastAsia="宋体" w:hAnsi="宋体" w:cs="宋体" w:hint="eastAsia"/>
          <w:kern w:val="0"/>
          <w:szCs w:val="21"/>
        </w:rPr>
        <w:t>和</w:t>
      </w:r>
      <w:r w:rsidRPr="004A5BF2">
        <w:rPr>
          <w:rFonts w:ascii="Times New Roman" w:eastAsia="宋体" w:hAnsi="Times New Roman" w:cs="Times New Roman"/>
          <w:kern w:val="0"/>
          <w:szCs w:val="21"/>
        </w:rPr>
        <w:t xml:space="preserve"> 26.14%</w:t>
      </w:r>
      <w:r w:rsidRPr="004A5BF2">
        <w:rPr>
          <w:rFonts w:ascii="宋体" w:eastAsia="宋体" w:hAnsi="宋体" w:cs="宋体" w:hint="eastAsia"/>
          <w:kern w:val="0"/>
          <w:szCs w:val="21"/>
        </w:rPr>
        <w:t>。</w:t>
      </w:r>
    </w:p>
    <w:p w:rsidR="004A5BF2" w:rsidRPr="004A5BF2" w:rsidRDefault="004A5BF2" w:rsidP="004A5BF2">
      <w:pPr>
        <w:widowControl/>
        <w:spacing w:beforeLines="50" w:before="156" w:afterLines="50" w:after="156" w:line="360" w:lineRule="auto"/>
        <w:ind w:rightChars="87" w:right="183" w:firstLineChars="200" w:firstLine="420"/>
        <w:jc w:val="left"/>
        <w:rPr>
          <w:rFonts w:ascii="宋体" w:eastAsia="宋体" w:hAnsi="宋体" w:cs="宋体"/>
          <w:kern w:val="0"/>
          <w:sz w:val="24"/>
          <w:szCs w:val="24"/>
        </w:rPr>
      </w:pPr>
      <w:r w:rsidRPr="004A5BF2">
        <w:rPr>
          <w:rFonts w:ascii="宋体" w:eastAsia="宋体" w:hAnsi="宋体" w:cs="宋体" w:hint="eastAsia"/>
          <w:kern w:val="0"/>
          <w:szCs w:val="21"/>
        </w:rPr>
        <w:t>本季度，</w:t>
      </w:r>
      <w:proofErr w:type="gramStart"/>
      <w:r w:rsidRPr="004A5BF2">
        <w:rPr>
          <w:rFonts w:ascii="宋体" w:eastAsia="宋体" w:hAnsi="宋体" w:cs="宋体" w:hint="eastAsia"/>
          <w:kern w:val="0"/>
          <w:szCs w:val="21"/>
        </w:rPr>
        <w:t>短融发行</w:t>
      </w:r>
      <w:proofErr w:type="gramEnd"/>
      <w:r w:rsidRPr="004A5BF2">
        <w:rPr>
          <w:rFonts w:ascii="宋体" w:eastAsia="宋体" w:hAnsi="宋体" w:cs="宋体" w:hint="eastAsia"/>
          <w:kern w:val="0"/>
          <w:szCs w:val="21"/>
        </w:rPr>
        <w:t>主体的信用等级仍主要分布在</w:t>
      </w:r>
      <w:r w:rsidRPr="004A5BF2">
        <w:rPr>
          <w:rFonts w:ascii="Times New Roman" w:eastAsia="宋体" w:hAnsi="Times New Roman" w:cs="Times New Roman"/>
          <w:kern w:val="0"/>
          <w:szCs w:val="21"/>
        </w:rPr>
        <w:t xml:space="preserve"> AAA </w:t>
      </w:r>
      <w:r w:rsidRPr="004A5BF2">
        <w:rPr>
          <w:rFonts w:ascii="宋体" w:eastAsia="宋体" w:hAnsi="宋体" w:cs="宋体" w:hint="eastAsia"/>
          <w:kern w:val="0"/>
          <w:szCs w:val="21"/>
        </w:rPr>
        <w:t>级</w:t>
      </w:r>
      <w:r w:rsidRPr="004A5BF2">
        <w:rPr>
          <w:rFonts w:ascii="Times New Roman" w:eastAsia="宋体" w:hAnsi="Times New Roman" w:cs="Times New Roman"/>
          <w:kern w:val="0"/>
          <w:szCs w:val="21"/>
        </w:rPr>
        <w:t xml:space="preserve">~AA </w:t>
      </w:r>
      <w:r w:rsidRPr="004A5BF2">
        <w:rPr>
          <w:rFonts w:ascii="宋体" w:eastAsia="宋体" w:hAnsi="宋体" w:cs="宋体" w:hint="eastAsia"/>
          <w:kern w:val="0"/>
          <w:szCs w:val="21"/>
        </w:rPr>
        <w:t>级。</w:t>
      </w:r>
    </w:p>
    <w:p w:rsidR="004A5BF2" w:rsidRPr="004A5BF2" w:rsidRDefault="004A5BF2" w:rsidP="004A5BF2">
      <w:pPr>
        <w:widowControl/>
        <w:spacing w:before="100" w:beforeAutospacing="1" w:after="100" w:afterAutospacing="1" w:line="360" w:lineRule="auto"/>
        <w:ind w:rightChars="87" w:right="183" w:firstLineChars="200" w:firstLine="420"/>
        <w:jc w:val="left"/>
        <w:rPr>
          <w:rFonts w:ascii="宋体" w:eastAsia="宋体" w:hAnsi="宋体" w:cs="宋体"/>
          <w:kern w:val="0"/>
          <w:sz w:val="24"/>
          <w:szCs w:val="24"/>
        </w:rPr>
      </w:pPr>
      <w:r w:rsidRPr="004A5BF2">
        <w:rPr>
          <w:rFonts w:ascii="宋体" w:eastAsia="宋体" w:hAnsi="宋体" w:cs="宋体" w:hint="eastAsia"/>
          <w:kern w:val="0"/>
          <w:szCs w:val="21"/>
        </w:rPr>
        <w:t>从发行期数来看，本季度各信用级别主体</w:t>
      </w:r>
      <w:proofErr w:type="gramStart"/>
      <w:r w:rsidRPr="004A5BF2">
        <w:rPr>
          <w:rFonts w:ascii="宋体" w:eastAsia="宋体" w:hAnsi="宋体" w:cs="宋体" w:hint="eastAsia"/>
          <w:kern w:val="0"/>
          <w:szCs w:val="21"/>
        </w:rPr>
        <w:t>所发短融的</w:t>
      </w:r>
      <w:proofErr w:type="gramEnd"/>
      <w:r w:rsidRPr="004A5BF2">
        <w:rPr>
          <w:rFonts w:ascii="宋体" w:eastAsia="宋体" w:hAnsi="宋体" w:cs="宋体" w:hint="eastAsia"/>
          <w:kern w:val="0"/>
          <w:szCs w:val="21"/>
        </w:rPr>
        <w:t>期数分布仍主要集中在</w:t>
      </w:r>
      <w:r w:rsidRPr="004A5BF2">
        <w:rPr>
          <w:rFonts w:ascii="Times New Roman" w:eastAsia="宋体" w:hAnsi="Times New Roman" w:cs="Times New Roman"/>
          <w:kern w:val="0"/>
          <w:szCs w:val="21"/>
        </w:rPr>
        <w:t>AA+~AA-</w:t>
      </w:r>
      <w:r w:rsidRPr="004A5BF2">
        <w:rPr>
          <w:rFonts w:ascii="宋体" w:eastAsia="宋体" w:hAnsi="宋体" w:cs="宋体" w:hint="eastAsia"/>
          <w:kern w:val="0"/>
          <w:szCs w:val="21"/>
        </w:rPr>
        <w:t>级，发行期数占发行总期数的</w:t>
      </w:r>
      <w:r w:rsidRPr="004A5BF2">
        <w:rPr>
          <w:rFonts w:ascii="Times New Roman" w:eastAsia="宋体" w:hAnsi="Times New Roman" w:cs="Times New Roman"/>
          <w:kern w:val="0"/>
          <w:szCs w:val="21"/>
        </w:rPr>
        <w:t xml:space="preserve"> 81.16%</w:t>
      </w:r>
      <w:r w:rsidRPr="004A5BF2">
        <w:rPr>
          <w:rFonts w:ascii="宋体" w:eastAsia="宋体" w:hAnsi="宋体" w:cs="宋体" w:hint="eastAsia"/>
          <w:kern w:val="0"/>
          <w:szCs w:val="21"/>
        </w:rPr>
        <w:t>，其中</w:t>
      </w:r>
      <w:r w:rsidRPr="004A5BF2">
        <w:rPr>
          <w:rFonts w:ascii="Times New Roman" w:eastAsia="宋体" w:hAnsi="Times New Roman" w:cs="Times New Roman"/>
          <w:kern w:val="0"/>
          <w:szCs w:val="21"/>
        </w:rPr>
        <w:t xml:space="preserve"> AA </w:t>
      </w:r>
      <w:proofErr w:type="gramStart"/>
      <w:r w:rsidRPr="004A5BF2">
        <w:rPr>
          <w:rFonts w:ascii="宋体" w:eastAsia="宋体" w:hAnsi="宋体" w:cs="宋体" w:hint="eastAsia"/>
          <w:kern w:val="0"/>
          <w:szCs w:val="21"/>
        </w:rPr>
        <w:t>级主体</w:t>
      </w:r>
      <w:proofErr w:type="gramEnd"/>
      <w:r w:rsidRPr="004A5BF2">
        <w:rPr>
          <w:rFonts w:ascii="宋体" w:eastAsia="宋体" w:hAnsi="宋体" w:cs="宋体" w:hint="eastAsia"/>
          <w:kern w:val="0"/>
          <w:szCs w:val="21"/>
        </w:rPr>
        <w:t>发行</w:t>
      </w:r>
      <w:proofErr w:type="gramStart"/>
      <w:r w:rsidRPr="004A5BF2">
        <w:rPr>
          <w:rFonts w:ascii="宋体" w:eastAsia="宋体" w:hAnsi="宋体" w:cs="宋体" w:hint="eastAsia"/>
          <w:kern w:val="0"/>
          <w:szCs w:val="21"/>
        </w:rPr>
        <w:t>的短融期数</w:t>
      </w:r>
      <w:proofErr w:type="gramEnd"/>
      <w:r w:rsidRPr="004A5BF2">
        <w:rPr>
          <w:rFonts w:ascii="宋体" w:eastAsia="宋体" w:hAnsi="宋体" w:cs="宋体" w:hint="eastAsia"/>
          <w:kern w:val="0"/>
          <w:szCs w:val="21"/>
        </w:rPr>
        <w:t>仍然最多，占总期数的</w:t>
      </w:r>
      <w:r w:rsidRPr="004A5BF2">
        <w:rPr>
          <w:rFonts w:ascii="Times New Roman" w:eastAsia="宋体" w:hAnsi="Times New Roman" w:cs="Times New Roman"/>
          <w:kern w:val="0"/>
          <w:szCs w:val="21"/>
        </w:rPr>
        <w:t xml:space="preserve"> 38.16%</w:t>
      </w:r>
      <w:r w:rsidRPr="004A5BF2">
        <w:rPr>
          <w:rFonts w:ascii="宋体" w:eastAsia="宋体" w:hAnsi="宋体" w:cs="宋体" w:hint="eastAsia"/>
          <w:kern w:val="0"/>
          <w:szCs w:val="21"/>
        </w:rPr>
        <w:t>。与上年四季度相比，</w:t>
      </w:r>
      <w:r w:rsidRPr="004A5BF2">
        <w:rPr>
          <w:rFonts w:ascii="Times New Roman" w:eastAsia="宋体" w:hAnsi="Times New Roman" w:cs="Times New Roman"/>
          <w:kern w:val="0"/>
          <w:szCs w:val="21"/>
        </w:rPr>
        <w:t>AA-</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期数和其在总期数中的占比有较大幅度增长。与上年同期相比，</w:t>
      </w:r>
      <w:r w:rsidRPr="004A5BF2">
        <w:rPr>
          <w:rFonts w:ascii="Times New Roman" w:eastAsia="宋体" w:hAnsi="Times New Roman" w:cs="Times New Roman"/>
          <w:kern w:val="0"/>
          <w:szCs w:val="21"/>
        </w:rPr>
        <w:t xml:space="preserve">AA </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期数优势更加凸显，</w:t>
      </w:r>
      <w:r w:rsidRPr="004A5BF2">
        <w:rPr>
          <w:rFonts w:ascii="Times New Roman" w:eastAsia="宋体" w:hAnsi="Times New Roman" w:cs="Times New Roman"/>
          <w:kern w:val="0"/>
          <w:szCs w:val="21"/>
        </w:rPr>
        <w:t>AA+</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期数超过</w:t>
      </w:r>
      <w:r w:rsidRPr="004A5BF2">
        <w:rPr>
          <w:rFonts w:ascii="Times New Roman" w:eastAsia="宋体" w:hAnsi="Times New Roman" w:cs="Times New Roman"/>
          <w:kern w:val="0"/>
          <w:szCs w:val="21"/>
        </w:rPr>
        <w:t xml:space="preserve"> AA-</w:t>
      </w:r>
      <w:r w:rsidRPr="004A5BF2">
        <w:rPr>
          <w:rFonts w:ascii="宋体" w:eastAsia="宋体" w:hAnsi="宋体" w:cs="宋体" w:hint="eastAsia"/>
          <w:kern w:val="0"/>
          <w:szCs w:val="21"/>
        </w:rPr>
        <w:t>级。</w:t>
      </w:r>
    </w:p>
    <w:p w:rsidR="004A5BF2" w:rsidRPr="004A5BF2" w:rsidRDefault="004A5BF2" w:rsidP="004A5BF2">
      <w:pPr>
        <w:widowControl/>
        <w:spacing w:before="100" w:beforeAutospacing="1" w:after="100" w:afterAutospacing="1"/>
        <w:jc w:val="left"/>
        <w:rPr>
          <w:rFonts w:ascii="宋体" w:eastAsia="宋体" w:hAnsi="宋体" w:cs="宋体"/>
          <w:kern w:val="0"/>
          <w:szCs w:val="21"/>
        </w:rPr>
      </w:pPr>
      <w:r w:rsidRPr="004A5BF2">
        <w:rPr>
          <w:rFonts w:ascii="宋体" w:eastAsia="宋体" w:hAnsi="宋体" w:cs="宋体" w:hint="eastAsia"/>
          <w:kern w:val="0"/>
          <w:szCs w:val="21"/>
        </w:rPr>
        <w:lastRenderedPageBreak/>
        <w:t>从发行规模来看，本季度各信用级别主体</w:t>
      </w:r>
      <w:proofErr w:type="gramStart"/>
      <w:r w:rsidRPr="004A5BF2">
        <w:rPr>
          <w:rFonts w:ascii="宋体" w:eastAsia="宋体" w:hAnsi="宋体" w:cs="宋体" w:hint="eastAsia"/>
          <w:kern w:val="0"/>
          <w:szCs w:val="21"/>
        </w:rPr>
        <w:t>所发短融的</w:t>
      </w:r>
      <w:proofErr w:type="gramEnd"/>
      <w:r w:rsidRPr="004A5BF2">
        <w:rPr>
          <w:rFonts w:ascii="宋体" w:eastAsia="宋体" w:hAnsi="宋体" w:cs="宋体" w:hint="eastAsia"/>
          <w:kern w:val="0"/>
          <w:szCs w:val="21"/>
        </w:rPr>
        <w:t>规模分布主要集中在</w:t>
      </w:r>
      <w:r w:rsidRPr="004A5BF2">
        <w:rPr>
          <w:rFonts w:ascii="Times New Roman" w:eastAsia="宋体" w:hAnsi="Times New Roman" w:cs="Times New Roman"/>
          <w:kern w:val="0"/>
          <w:szCs w:val="21"/>
        </w:rPr>
        <w:t xml:space="preserve">AAA </w:t>
      </w:r>
      <w:r w:rsidRPr="004A5BF2">
        <w:rPr>
          <w:rFonts w:ascii="宋体" w:eastAsia="宋体" w:hAnsi="宋体" w:cs="宋体" w:hint="eastAsia"/>
          <w:kern w:val="0"/>
          <w:szCs w:val="21"/>
        </w:rPr>
        <w:t>级</w:t>
      </w:r>
      <w:r w:rsidRPr="004A5BF2">
        <w:rPr>
          <w:rFonts w:ascii="Times New Roman" w:eastAsia="宋体" w:hAnsi="Times New Roman" w:cs="Times New Roman"/>
          <w:kern w:val="0"/>
          <w:szCs w:val="21"/>
        </w:rPr>
        <w:t xml:space="preserve">~AA </w:t>
      </w:r>
      <w:r w:rsidRPr="004A5BF2">
        <w:rPr>
          <w:rFonts w:ascii="宋体" w:eastAsia="宋体" w:hAnsi="宋体" w:cs="宋体" w:hint="eastAsia"/>
          <w:kern w:val="0"/>
          <w:szCs w:val="21"/>
        </w:rPr>
        <w:t>级，占发行总规模的</w:t>
      </w:r>
      <w:r w:rsidRPr="004A5BF2">
        <w:rPr>
          <w:rFonts w:ascii="Times New Roman" w:eastAsia="宋体" w:hAnsi="Times New Roman" w:cs="Times New Roman"/>
          <w:kern w:val="0"/>
          <w:szCs w:val="21"/>
        </w:rPr>
        <w:t xml:space="preserve"> 91.88%</w:t>
      </w:r>
      <w:r w:rsidRPr="004A5BF2">
        <w:rPr>
          <w:rFonts w:ascii="宋体" w:eastAsia="宋体" w:hAnsi="宋体" w:cs="宋体" w:hint="eastAsia"/>
          <w:kern w:val="0"/>
          <w:szCs w:val="21"/>
        </w:rPr>
        <w:t>，其中</w:t>
      </w:r>
      <w:r w:rsidRPr="004A5BF2">
        <w:rPr>
          <w:rFonts w:ascii="Times New Roman" w:eastAsia="宋体" w:hAnsi="Times New Roman" w:cs="Times New Roman"/>
          <w:kern w:val="0"/>
          <w:szCs w:val="21"/>
        </w:rPr>
        <w:t xml:space="preserve"> AAA </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的规模仍然最大，占发行总规模的</w:t>
      </w:r>
      <w:r w:rsidRPr="004A5BF2">
        <w:rPr>
          <w:rFonts w:ascii="Times New Roman" w:eastAsia="宋体" w:hAnsi="Times New Roman" w:cs="Times New Roman"/>
          <w:kern w:val="0"/>
          <w:szCs w:val="21"/>
        </w:rPr>
        <w:t xml:space="preserve"> 41.42%</w:t>
      </w:r>
      <w:r w:rsidRPr="004A5BF2">
        <w:rPr>
          <w:rFonts w:ascii="宋体" w:eastAsia="宋体" w:hAnsi="宋体" w:cs="宋体" w:hint="eastAsia"/>
          <w:kern w:val="0"/>
          <w:szCs w:val="21"/>
        </w:rPr>
        <w:t>。与上年四季度相比，</w:t>
      </w:r>
      <w:r w:rsidRPr="004A5BF2">
        <w:rPr>
          <w:rFonts w:ascii="Times New Roman" w:eastAsia="宋体" w:hAnsi="Times New Roman" w:cs="Times New Roman"/>
          <w:kern w:val="0"/>
          <w:szCs w:val="21"/>
        </w:rPr>
        <w:t xml:space="preserve">AAA </w:t>
      </w:r>
      <w:r w:rsidRPr="004A5BF2">
        <w:rPr>
          <w:rFonts w:ascii="宋体" w:eastAsia="宋体" w:hAnsi="宋体" w:cs="宋体" w:hint="eastAsia"/>
          <w:kern w:val="0"/>
          <w:szCs w:val="21"/>
        </w:rPr>
        <w:t>级和</w:t>
      </w:r>
      <w:r w:rsidRPr="004A5BF2">
        <w:rPr>
          <w:rFonts w:ascii="Times New Roman" w:eastAsia="宋体" w:hAnsi="Times New Roman" w:cs="Times New Roman"/>
          <w:kern w:val="0"/>
          <w:szCs w:val="21"/>
        </w:rPr>
        <w:t xml:space="preserve"> AA-</w:t>
      </w:r>
      <w:proofErr w:type="gramStart"/>
      <w:r w:rsidRPr="004A5BF2">
        <w:rPr>
          <w:rFonts w:ascii="宋体" w:eastAsia="宋体" w:hAnsi="宋体" w:cs="宋体" w:hint="eastAsia"/>
          <w:kern w:val="0"/>
          <w:szCs w:val="21"/>
        </w:rPr>
        <w:t>级主体所发短融规模</w:t>
      </w:r>
      <w:proofErr w:type="gramEnd"/>
      <w:r w:rsidRPr="004A5BF2">
        <w:rPr>
          <w:rFonts w:ascii="宋体" w:eastAsia="宋体" w:hAnsi="宋体" w:cs="宋体" w:hint="eastAsia"/>
          <w:kern w:val="0"/>
          <w:szCs w:val="21"/>
        </w:rPr>
        <w:t>在总规模的占比有所升高，</w:t>
      </w:r>
      <w:r w:rsidRPr="004A5BF2">
        <w:rPr>
          <w:rFonts w:ascii="Times New Roman" w:eastAsia="宋体" w:hAnsi="Times New Roman" w:cs="Times New Roman"/>
          <w:kern w:val="0"/>
          <w:szCs w:val="21"/>
        </w:rPr>
        <w:t xml:space="preserve">AAA </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的规模占比优势更为明显。与上年同期相比，</w:t>
      </w:r>
      <w:r w:rsidRPr="004A5BF2">
        <w:rPr>
          <w:rFonts w:ascii="Times New Roman" w:eastAsia="宋体" w:hAnsi="Times New Roman" w:cs="Times New Roman"/>
          <w:kern w:val="0"/>
          <w:szCs w:val="21"/>
        </w:rPr>
        <w:t xml:space="preserve">AA </w:t>
      </w:r>
      <w:proofErr w:type="gramStart"/>
      <w:r w:rsidRPr="004A5BF2">
        <w:rPr>
          <w:rFonts w:ascii="宋体" w:eastAsia="宋体" w:hAnsi="宋体" w:cs="宋体" w:hint="eastAsia"/>
          <w:kern w:val="0"/>
          <w:szCs w:val="21"/>
        </w:rPr>
        <w:t>级主体所发短融规模</w:t>
      </w:r>
      <w:proofErr w:type="gramEnd"/>
      <w:r w:rsidRPr="004A5BF2">
        <w:rPr>
          <w:rFonts w:ascii="宋体" w:eastAsia="宋体" w:hAnsi="宋体" w:cs="宋体" w:hint="eastAsia"/>
          <w:kern w:val="0"/>
          <w:szCs w:val="21"/>
        </w:rPr>
        <w:t>在总规模的占比有所升高，且其占比超过</w:t>
      </w:r>
      <w:r w:rsidRPr="004A5BF2">
        <w:rPr>
          <w:rFonts w:ascii="Times New Roman" w:eastAsia="宋体" w:hAnsi="Times New Roman" w:cs="Times New Roman"/>
          <w:kern w:val="0"/>
          <w:szCs w:val="21"/>
        </w:rPr>
        <w:t xml:space="preserve"> AA+</w:t>
      </w:r>
      <w:r w:rsidRPr="004A5BF2">
        <w:rPr>
          <w:rFonts w:ascii="宋体" w:eastAsia="宋体" w:hAnsi="宋体" w:cs="宋体" w:hint="eastAsia"/>
          <w:kern w:val="0"/>
          <w:szCs w:val="21"/>
        </w:rPr>
        <w:t>级。</w:t>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noProof/>
          <w:kern w:val="0"/>
          <w:szCs w:val="21"/>
        </w:rPr>
        <w:drawing>
          <wp:inline distT="0" distB="0" distL="0" distR="0">
            <wp:extent cx="4276725" cy="2305050"/>
            <wp:effectExtent l="0" t="0" r="9525" b="0"/>
            <wp:docPr id="6" name="图片 6" descr="http://lhcis.com/LHXY/wwwroot/lhxy/upload/Image/mrtp/2015/04/1_3617576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cis.com/LHXY/wwwroot/lhxy/upload/Image/mrtp/2015/04/1_361757639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6725" cy="2305050"/>
                    </a:xfrm>
                    <a:prstGeom prst="rect">
                      <a:avLst/>
                    </a:prstGeom>
                    <a:noFill/>
                    <a:ln>
                      <a:noFill/>
                    </a:ln>
                  </pic:spPr>
                </pic:pic>
              </a:graphicData>
            </a:graphic>
          </wp:inline>
        </w:drawing>
      </w:r>
    </w:p>
    <w:p w:rsidR="004A5BF2" w:rsidRPr="004A5BF2" w:rsidRDefault="004A5BF2" w:rsidP="004A5BF2">
      <w:pPr>
        <w:widowControl/>
        <w:spacing w:before="100" w:beforeAutospacing="1" w:after="100" w:afterAutospacing="1" w:line="360" w:lineRule="auto"/>
        <w:ind w:rightChars="87" w:right="183"/>
        <w:jc w:val="left"/>
        <w:rPr>
          <w:rFonts w:ascii="宋体" w:eastAsia="宋体" w:hAnsi="宋体" w:cs="宋体" w:hint="eastAsia"/>
          <w:kern w:val="0"/>
          <w:sz w:val="24"/>
          <w:szCs w:val="24"/>
        </w:rPr>
      </w:pPr>
      <w:r w:rsidRPr="004A5BF2">
        <w:rPr>
          <w:rFonts w:ascii="宋体" w:eastAsia="宋体" w:hAnsi="宋体" w:cs="宋体" w:hint="eastAsia"/>
          <w:kern w:val="0"/>
          <w:szCs w:val="21"/>
        </w:rPr>
        <w:t>二、利率分析</w:t>
      </w:r>
    </w:p>
    <w:p w:rsidR="004A5BF2" w:rsidRPr="004A5BF2" w:rsidRDefault="004A5BF2" w:rsidP="004A5BF2">
      <w:pPr>
        <w:widowControl/>
        <w:spacing w:before="100" w:beforeAutospacing="1" w:after="100" w:afterAutospacing="1" w:line="360" w:lineRule="auto"/>
        <w:ind w:rightChars="87" w:right="183" w:firstLineChars="200" w:firstLine="420"/>
        <w:jc w:val="left"/>
        <w:rPr>
          <w:rFonts w:ascii="宋体" w:eastAsia="宋体" w:hAnsi="宋体" w:cs="宋体"/>
          <w:kern w:val="0"/>
          <w:sz w:val="24"/>
          <w:szCs w:val="24"/>
        </w:rPr>
      </w:pPr>
      <w:r w:rsidRPr="004A5BF2">
        <w:rPr>
          <w:rFonts w:ascii="宋体" w:eastAsia="宋体" w:hAnsi="宋体" w:cs="宋体" w:hint="eastAsia"/>
          <w:kern w:val="0"/>
          <w:szCs w:val="21"/>
        </w:rPr>
        <w:t>本季度，央行先后</w:t>
      </w:r>
      <w:proofErr w:type="gramStart"/>
      <w:r w:rsidRPr="004A5BF2">
        <w:rPr>
          <w:rFonts w:ascii="宋体" w:eastAsia="宋体" w:hAnsi="宋体" w:cs="宋体" w:hint="eastAsia"/>
          <w:kern w:val="0"/>
          <w:szCs w:val="21"/>
        </w:rPr>
        <w:t>通过降准</w:t>
      </w:r>
      <w:proofErr w:type="gramEnd"/>
      <w:r w:rsidRPr="004A5BF2">
        <w:rPr>
          <w:rFonts w:ascii="Times New Roman" w:eastAsia="宋体" w:hAnsi="Times New Roman" w:cs="Times New Roman"/>
          <w:kern w:val="0"/>
          <w:szCs w:val="21"/>
          <w:vertAlign w:val="superscript"/>
        </w:rPr>
        <w:t>1</w:t>
      </w:r>
      <w:r w:rsidRPr="004A5BF2">
        <w:rPr>
          <w:rFonts w:ascii="宋体" w:eastAsia="宋体" w:hAnsi="宋体" w:cs="宋体" w:hint="eastAsia"/>
          <w:kern w:val="0"/>
          <w:szCs w:val="21"/>
        </w:rPr>
        <w:t>、降息</w:t>
      </w:r>
      <w:r w:rsidRPr="004A5BF2">
        <w:rPr>
          <w:rFonts w:ascii="Times New Roman" w:eastAsia="宋体" w:hAnsi="Times New Roman" w:cs="Times New Roman"/>
          <w:kern w:val="0"/>
          <w:szCs w:val="21"/>
          <w:vertAlign w:val="superscript"/>
        </w:rPr>
        <w:t>2</w:t>
      </w:r>
      <w:r w:rsidRPr="004A5BF2">
        <w:rPr>
          <w:rFonts w:ascii="宋体" w:eastAsia="宋体" w:hAnsi="宋体" w:cs="宋体" w:hint="eastAsia"/>
          <w:kern w:val="0"/>
          <w:szCs w:val="21"/>
        </w:rPr>
        <w:t>方式释放流动性，公开市场共进行三次正回购利率下调（由</w:t>
      </w:r>
      <w:r w:rsidRPr="004A5BF2">
        <w:rPr>
          <w:rFonts w:ascii="Times New Roman" w:eastAsia="宋体" w:hAnsi="Times New Roman" w:cs="Times New Roman"/>
          <w:kern w:val="0"/>
          <w:szCs w:val="21"/>
        </w:rPr>
        <w:t xml:space="preserve"> 3.85%</w:t>
      </w:r>
      <w:r w:rsidRPr="004A5BF2">
        <w:rPr>
          <w:rFonts w:ascii="宋体" w:eastAsia="宋体" w:hAnsi="宋体" w:cs="宋体" w:hint="eastAsia"/>
          <w:kern w:val="0"/>
          <w:szCs w:val="21"/>
        </w:rPr>
        <w:t>下调至</w:t>
      </w:r>
      <w:r w:rsidRPr="004A5BF2">
        <w:rPr>
          <w:rFonts w:ascii="Times New Roman" w:eastAsia="宋体" w:hAnsi="Times New Roman" w:cs="Times New Roman"/>
          <w:kern w:val="0"/>
          <w:szCs w:val="21"/>
        </w:rPr>
        <w:t xml:space="preserve"> 3.55%</w:t>
      </w:r>
      <w:r w:rsidRPr="004A5BF2">
        <w:rPr>
          <w:rFonts w:ascii="宋体" w:eastAsia="宋体" w:hAnsi="宋体" w:cs="宋体" w:hint="eastAsia"/>
          <w:kern w:val="0"/>
          <w:szCs w:val="21"/>
        </w:rPr>
        <w:t>），共实现净投放</w:t>
      </w:r>
      <w:r w:rsidRPr="004A5BF2">
        <w:rPr>
          <w:rFonts w:ascii="Times New Roman" w:eastAsia="宋体" w:hAnsi="Times New Roman" w:cs="Times New Roman"/>
          <w:kern w:val="0"/>
          <w:szCs w:val="21"/>
        </w:rPr>
        <w:t xml:space="preserve"> 450 </w:t>
      </w:r>
      <w:r w:rsidRPr="004A5BF2">
        <w:rPr>
          <w:rFonts w:ascii="宋体" w:eastAsia="宋体" w:hAnsi="宋体" w:cs="宋体" w:hint="eastAsia"/>
          <w:kern w:val="0"/>
          <w:szCs w:val="21"/>
        </w:rPr>
        <w:t>亿元</w:t>
      </w:r>
      <w:r w:rsidRPr="004A5BF2">
        <w:rPr>
          <w:rFonts w:ascii="Times New Roman" w:eastAsia="宋体" w:hAnsi="Times New Roman" w:cs="Times New Roman"/>
          <w:kern w:val="0"/>
          <w:szCs w:val="21"/>
          <w:vertAlign w:val="superscript"/>
        </w:rPr>
        <w:t>3</w:t>
      </w:r>
      <w:r w:rsidRPr="004A5BF2">
        <w:rPr>
          <w:rFonts w:ascii="宋体" w:eastAsia="宋体" w:hAnsi="宋体" w:cs="宋体" w:hint="eastAsia"/>
          <w:kern w:val="0"/>
          <w:szCs w:val="21"/>
        </w:rPr>
        <w:t>，远高于同期季节性投放水平，并通过</w:t>
      </w:r>
      <w:r w:rsidRPr="004A5BF2">
        <w:rPr>
          <w:rFonts w:ascii="Times New Roman" w:eastAsia="宋体" w:hAnsi="Times New Roman" w:cs="Times New Roman"/>
          <w:kern w:val="0"/>
          <w:szCs w:val="21"/>
        </w:rPr>
        <w:t xml:space="preserve"> SLO</w:t>
      </w:r>
      <w:r w:rsidRPr="004A5BF2">
        <w:rPr>
          <w:rFonts w:ascii="宋体" w:eastAsia="宋体" w:hAnsi="宋体" w:cs="宋体" w:hint="eastAsia"/>
          <w:kern w:val="0"/>
          <w:szCs w:val="21"/>
        </w:rPr>
        <w:t>（短期流动性调节工具）、</w:t>
      </w:r>
      <w:r w:rsidRPr="004A5BF2">
        <w:rPr>
          <w:rFonts w:ascii="Times New Roman" w:eastAsia="宋体" w:hAnsi="Times New Roman" w:cs="Times New Roman"/>
          <w:kern w:val="0"/>
          <w:szCs w:val="21"/>
        </w:rPr>
        <w:t>SLF</w:t>
      </w:r>
      <w:r w:rsidRPr="004A5BF2">
        <w:rPr>
          <w:rFonts w:ascii="宋体" w:eastAsia="宋体" w:hAnsi="宋体" w:cs="宋体" w:hint="eastAsia"/>
          <w:kern w:val="0"/>
          <w:szCs w:val="21"/>
        </w:rPr>
        <w:t>（常设借贷便利）、</w:t>
      </w:r>
      <w:r w:rsidRPr="004A5BF2">
        <w:rPr>
          <w:rFonts w:ascii="Times New Roman" w:eastAsia="宋体" w:hAnsi="Times New Roman" w:cs="Times New Roman"/>
          <w:kern w:val="0"/>
          <w:szCs w:val="21"/>
        </w:rPr>
        <w:t>MLF</w:t>
      </w:r>
      <w:r w:rsidRPr="004A5BF2">
        <w:rPr>
          <w:rFonts w:ascii="宋体" w:eastAsia="宋体" w:hAnsi="宋体" w:cs="宋体" w:hint="eastAsia"/>
          <w:kern w:val="0"/>
          <w:szCs w:val="21"/>
        </w:rPr>
        <w:t>（中期借贷便利）等方式投放资金，使货币市场保持了较宽松的环境。在此背景下，本季度银行间市场流动性较为充足，利率整体上呈现先抑后扬的趋势。</w:t>
      </w:r>
    </w:p>
    <w:p w:rsidR="004A5BF2" w:rsidRPr="004A5BF2" w:rsidRDefault="004A5BF2" w:rsidP="004A5BF2">
      <w:pPr>
        <w:widowControl/>
        <w:spacing w:before="100" w:beforeAutospacing="1" w:after="100" w:afterAutospacing="1"/>
        <w:jc w:val="left"/>
        <w:rPr>
          <w:rFonts w:ascii="宋体" w:eastAsia="宋体" w:hAnsi="宋体" w:cs="宋体"/>
          <w:kern w:val="0"/>
          <w:szCs w:val="21"/>
        </w:rPr>
      </w:pPr>
      <w:r w:rsidRPr="004A5BF2">
        <w:rPr>
          <w:rFonts w:ascii="宋体" w:eastAsia="宋体" w:hAnsi="宋体" w:cs="宋体" w:hint="eastAsia"/>
          <w:kern w:val="0"/>
          <w:szCs w:val="21"/>
        </w:rPr>
        <w:t>     具体来看，一年</w:t>
      </w:r>
      <w:proofErr w:type="gramStart"/>
      <w:r w:rsidRPr="004A5BF2">
        <w:rPr>
          <w:rFonts w:ascii="宋体" w:eastAsia="宋体" w:hAnsi="宋体" w:cs="宋体" w:hint="eastAsia"/>
          <w:kern w:val="0"/>
          <w:szCs w:val="21"/>
        </w:rPr>
        <w:t>期贷</w:t>
      </w:r>
      <w:proofErr w:type="gramEnd"/>
      <w:r w:rsidRPr="004A5BF2">
        <w:rPr>
          <w:rFonts w:ascii="宋体" w:eastAsia="宋体" w:hAnsi="宋体" w:cs="宋体" w:hint="eastAsia"/>
          <w:kern w:val="0"/>
          <w:szCs w:val="21"/>
        </w:rPr>
        <w:t>款基准利率继</w:t>
      </w:r>
      <w:r w:rsidRPr="004A5BF2">
        <w:rPr>
          <w:rFonts w:ascii="Times New Roman" w:eastAsia="宋体" w:hAnsi="Times New Roman" w:cs="Times New Roman"/>
          <w:kern w:val="0"/>
          <w:szCs w:val="21"/>
        </w:rPr>
        <w:t xml:space="preserve"> 2014 </w:t>
      </w:r>
      <w:r w:rsidRPr="004A5BF2">
        <w:rPr>
          <w:rFonts w:ascii="宋体" w:eastAsia="宋体" w:hAnsi="宋体" w:cs="宋体" w:hint="eastAsia"/>
          <w:kern w:val="0"/>
          <w:szCs w:val="21"/>
        </w:rPr>
        <w:t>年</w:t>
      </w:r>
      <w:r w:rsidRPr="004A5BF2">
        <w:rPr>
          <w:rFonts w:ascii="Times New Roman" w:eastAsia="宋体" w:hAnsi="Times New Roman" w:cs="Times New Roman"/>
          <w:kern w:val="0"/>
          <w:szCs w:val="21"/>
        </w:rPr>
        <w:t xml:space="preserve"> 11 </w:t>
      </w:r>
      <w:r w:rsidRPr="004A5BF2">
        <w:rPr>
          <w:rFonts w:ascii="宋体" w:eastAsia="宋体" w:hAnsi="宋体" w:cs="宋体" w:hint="eastAsia"/>
          <w:kern w:val="0"/>
          <w:szCs w:val="21"/>
        </w:rPr>
        <w:t>月下调</w:t>
      </w:r>
      <w:r w:rsidRPr="004A5BF2">
        <w:rPr>
          <w:rFonts w:ascii="Times New Roman" w:eastAsia="宋体" w:hAnsi="Times New Roman" w:cs="Times New Roman"/>
          <w:kern w:val="0"/>
          <w:szCs w:val="21"/>
          <w:vertAlign w:val="superscript"/>
        </w:rPr>
        <w:t>4</w:t>
      </w:r>
      <w:r w:rsidRPr="004A5BF2">
        <w:rPr>
          <w:rFonts w:ascii="宋体" w:eastAsia="宋体" w:hAnsi="宋体" w:cs="宋体" w:hint="eastAsia"/>
          <w:kern w:val="0"/>
          <w:szCs w:val="21"/>
        </w:rPr>
        <w:t>后，于本季度</w:t>
      </w:r>
      <w:r w:rsidRPr="004A5BF2">
        <w:rPr>
          <w:rFonts w:ascii="Times New Roman" w:eastAsia="宋体" w:hAnsi="Times New Roman" w:cs="Times New Roman"/>
          <w:kern w:val="0"/>
          <w:szCs w:val="21"/>
        </w:rPr>
        <w:t xml:space="preserve"> 3 </w:t>
      </w:r>
      <w:r w:rsidRPr="004A5BF2">
        <w:rPr>
          <w:rFonts w:ascii="宋体" w:eastAsia="宋体" w:hAnsi="宋体" w:cs="宋体" w:hint="eastAsia"/>
          <w:kern w:val="0"/>
          <w:szCs w:val="21"/>
        </w:rPr>
        <w:t>月</w:t>
      </w:r>
      <w:r w:rsidRPr="004A5BF2">
        <w:rPr>
          <w:rFonts w:ascii="Times New Roman" w:eastAsia="宋体" w:hAnsi="Times New Roman" w:cs="Times New Roman"/>
          <w:kern w:val="0"/>
          <w:szCs w:val="21"/>
        </w:rPr>
        <w:t xml:space="preserve"> 1 </w:t>
      </w:r>
      <w:r w:rsidRPr="004A5BF2">
        <w:rPr>
          <w:rFonts w:ascii="宋体" w:eastAsia="宋体" w:hAnsi="宋体" w:cs="宋体" w:hint="eastAsia"/>
          <w:kern w:val="0"/>
          <w:szCs w:val="21"/>
        </w:rPr>
        <w:t>日再次下调</w:t>
      </w:r>
      <w:r w:rsidRPr="004A5BF2">
        <w:rPr>
          <w:rFonts w:ascii="Times New Roman" w:eastAsia="宋体" w:hAnsi="Times New Roman" w:cs="Times New Roman"/>
          <w:kern w:val="0"/>
          <w:szCs w:val="21"/>
        </w:rPr>
        <w:t xml:space="preserve"> 0.25 </w:t>
      </w:r>
      <w:proofErr w:type="gramStart"/>
      <w:r w:rsidRPr="004A5BF2">
        <w:rPr>
          <w:rFonts w:ascii="宋体" w:eastAsia="宋体" w:hAnsi="宋体" w:cs="宋体" w:hint="eastAsia"/>
          <w:kern w:val="0"/>
          <w:szCs w:val="21"/>
        </w:rPr>
        <w:t>个</w:t>
      </w:r>
      <w:proofErr w:type="gramEnd"/>
      <w:r w:rsidRPr="004A5BF2">
        <w:rPr>
          <w:rFonts w:ascii="宋体" w:eastAsia="宋体" w:hAnsi="宋体" w:cs="宋体" w:hint="eastAsia"/>
          <w:kern w:val="0"/>
          <w:szCs w:val="21"/>
        </w:rPr>
        <w:t>百分点至</w:t>
      </w:r>
      <w:r w:rsidRPr="004A5BF2">
        <w:rPr>
          <w:rFonts w:ascii="Times New Roman" w:eastAsia="宋体" w:hAnsi="Times New Roman" w:cs="Times New Roman"/>
          <w:kern w:val="0"/>
          <w:szCs w:val="21"/>
        </w:rPr>
        <w:t xml:space="preserve"> 5.35%</w:t>
      </w:r>
      <w:r w:rsidRPr="004A5BF2">
        <w:rPr>
          <w:rFonts w:ascii="宋体" w:eastAsia="宋体" w:hAnsi="宋体" w:cs="宋体" w:hint="eastAsia"/>
          <w:kern w:val="0"/>
          <w:szCs w:val="21"/>
        </w:rPr>
        <w:t>。一年期银行间固定利率国债到期收益率相对较为平稳，自</w:t>
      </w:r>
      <w:r w:rsidRPr="004A5BF2">
        <w:rPr>
          <w:rFonts w:ascii="Times New Roman" w:eastAsia="宋体" w:hAnsi="Times New Roman" w:cs="Times New Roman"/>
          <w:kern w:val="0"/>
          <w:szCs w:val="21"/>
        </w:rPr>
        <w:t xml:space="preserve"> 2014 </w:t>
      </w:r>
      <w:r w:rsidRPr="004A5BF2">
        <w:rPr>
          <w:rFonts w:ascii="宋体" w:eastAsia="宋体" w:hAnsi="宋体" w:cs="宋体" w:hint="eastAsia"/>
          <w:kern w:val="0"/>
          <w:szCs w:val="21"/>
        </w:rPr>
        <w:t>年</w:t>
      </w:r>
      <w:r w:rsidRPr="004A5BF2">
        <w:rPr>
          <w:rFonts w:ascii="Times New Roman" w:eastAsia="宋体" w:hAnsi="Times New Roman" w:cs="Times New Roman"/>
          <w:kern w:val="0"/>
          <w:szCs w:val="21"/>
        </w:rPr>
        <w:t xml:space="preserve"> 1 </w:t>
      </w:r>
      <w:r w:rsidRPr="004A5BF2">
        <w:rPr>
          <w:rFonts w:ascii="宋体" w:eastAsia="宋体" w:hAnsi="宋体" w:cs="宋体" w:hint="eastAsia"/>
          <w:kern w:val="0"/>
          <w:szCs w:val="21"/>
        </w:rPr>
        <w:t>月份达到峰值</w:t>
      </w:r>
      <w:r w:rsidRPr="004A5BF2">
        <w:rPr>
          <w:rFonts w:ascii="Times New Roman" w:eastAsia="宋体" w:hAnsi="Times New Roman" w:cs="Times New Roman"/>
          <w:kern w:val="0"/>
          <w:szCs w:val="21"/>
        </w:rPr>
        <w:t xml:space="preserve"> 4.25%</w:t>
      </w:r>
      <w:r w:rsidRPr="004A5BF2">
        <w:rPr>
          <w:rFonts w:ascii="宋体" w:eastAsia="宋体" w:hAnsi="宋体" w:cs="宋体" w:hint="eastAsia"/>
          <w:kern w:val="0"/>
          <w:szCs w:val="21"/>
        </w:rPr>
        <w:t>后有所回落，且走势进一步平坦化，上年末受降息影响波动性略有增加，本季度呈现先抑后扬的趋势，但整体上维持平稳低位水平，平均利率为</w:t>
      </w:r>
      <w:r w:rsidRPr="004A5BF2">
        <w:rPr>
          <w:rFonts w:ascii="Times New Roman" w:eastAsia="宋体" w:hAnsi="Times New Roman" w:cs="Times New Roman"/>
          <w:kern w:val="0"/>
          <w:szCs w:val="21"/>
        </w:rPr>
        <w:t xml:space="preserve"> 3.12%</w:t>
      </w:r>
      <w:r w:rsidRPr="004A5BF2">
        <w:rPr>
          <w:rFonts w:ascii="宋体" w:eastAsia="宋体" w:hAnsi="宋体" w:cs="宋体" w:hint="eastAsia"/>
          <w:kern w:val="0"/>
          <w:szCs w:val="21"/>
        </w:rPr>
        <w:t>，较上年四季度（</w:t>
      </w:r>
      <w:r w:rsidRPr="004A5BF2">
        <w:rPr>
          <w:rFonts w:ascii="Times New Roman" w:eastAsia="宋体" w:hAnsi="Times New Roman" w:cs="Times New Roman"/>
          <w:kern w:val="0"/>
          <w:szCs w:val="21"/>
        </w:rPr>
        <w:t>3.33%</w:t>
      </w:r>
      <w:r w:rsidRPr="004A5BF2">
        <w:rPr>
          <w:rFonts w:ascii="宋体" w:eastAsia="宋体" w:hAnsi="宋体" w:cs="宋体" w:hint="eastAsia"/>
          <w:kern w:val="0"/>
          <w:szCs w:val="21"/>
        </w:rPr>
        <w:t>）和上年同期（</w:t>
      </w:r>
      <w:r w:rsidRPr="004A5BF2">
        <w:rPr>
          <w:rFonts w:ascii="Times New Roman" w:eastAsia="宋体" w:hAnsi="Times New Roman" w:cs="Times New Roman"/>
          <w:kern w:val="0"/>
          <w:szCs w:val="21"/>
        </w:rPr>
        <w:t>3.52%</w:t>
      </w:r>
      <w:r w:rsidRPr="004A5BF2">
        <w:rPr>
          <w:rFonts w:ascii="宋体" w:eastAsia="宋体" w:hAnsi="宋体" w:cs="宋体" w:hint="eastAsia"/>
          <w:kern w:val="0"/>
          <w:szCs w:val="21"/>
        </w:rPr>
        <w:t>）均有下降。</w:t>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noProof/>
          <w:kern w:val="0"/>
          <w:szCs w:val="21"/>
        </w:rPr>
        <w:lastRenderedPageBreak/>
        <w:drawing>
          <wp:inline distT="0" distB="0" distL="0" distR="0">
            <wp:extent cx="4286250" cy="2819400"/>
            <wp:effectExtent l="0" t="0" r="0" b="0"/>
            <wp:docPr id="5" name="图片 5" descr="http://lhcis.com/LHXY/wwwroot/lhxy/upload/Image/mrtp/2015/04/1_3617589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cis.com/LHXY/wwwroot/lhxy/upload/Image/mrtp/2015/04/1_3617589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19400"/>
                    </a:xfrm>
                    <a:prstGeom prst="rect">
                      <a:avLst/>
                    </a:prstGeom>
                    <a:noFill/>
                    <a:ln>
                      <a:noFill/>
                    </a:ln>
                  </pic:spPr>
                </pic:pic>
              </a:graphicData>
            </a:graphic>
          </wp:inline>
        </w:drawing>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hint="eastAsia"/>
          <w:kern w:val="0"/>
          <w:szCs w:val="21"/>
        </w:rPr>
        <w:t> </w:t>
      </w:r>
    </w:p>
    <w:p w:rsidR="004A5BF2" w:rsidRPr="004A5BF2" w:rsidRDefault="004A5BF2" w:rsidP="004A5BF2">
      <w:pPr>
        <w:widowControl/>
        <w:spacing w:before="100" w:beforeAutospacing="1" w:after="100" w:afterAutospacing="1" w:line="360" w:lineRule="auto"/>
        <w:ind w:rightChars="87" w:right="183" w:firstLineChars="200" w:firstLine="420"/>
        <w:jc w:val="left"/>
        <w:rPr>
          <w:rFonts w:ascii="宋体" w:eastAsia="宋体" w:hAnsi="宋体" w:cs="宋体" w:hint="eastAsia"/>
          <w:kern w:val="0"/>
          <w:sz w:val="24"/>
          <w:szCs w:val="24"/>
        </w:rPr>
      </w:pPr>
      <w:r w:rsidRPr="004A5BF2">
        <w:rPr>
          <w:rFonts w:ascii="宋体" w:eastAsia="宋体" w:hAnsi="宋体" w:cs="宋体" w:hint="eastAsia"/>
          <w:kern w:val="0"/>
          <w:szCs w:val="21"/>
        </w:rPr>
        <w:t>一年</w:t>
      </w:r>
      <w:proofErr w:type="gramStart"/>
      <w:r w:rsidRPr="004A5BF2">
        <w:rPr>
          <w:rFonts w:ascii="宋体" w:eastAsia="宋体" w:hAnsi="宋体" w:cs="宋体" w:hint="eastAsia"/>
          <w:kern w:val="0"/>
          <w:szCs w:val="21"/>
        </w:rPr>
        <w:t>期短融的</w:t>
      </w:r>
      <w:proofErr w:type="gramEnd"/>
      <w:r w:rsidRPr="004A5BF2">
        <w:rPr>
          <w:rFonts w:ascii="宋体" w:eastAsia="宋体" w:hAnsi="宋体" w:cs="宋体" w:hint="eastAsia"/>
          <w:kern w:val="0"/>
          <w:szCs w:val="21"/>
        </w:rPr>
        <w:t>平均发行利率于</w:t>
      </w:r>
      <w:r w:rsidRPr="004A5BF2">
        <w:rPr>
          <w:rFonts w:ascii="Times New Roman" w:eastAsia="宋体" w:hAnsi="Times New Roman" w:cs="Times New Roman"/>
          <w:kern w:val="0"/>
          <w:szCs w:val="21"/>
        </w:rPr>
        <w:t xml:space="preserve"> 2014 </w:t>
      </w:r>
      <w:r w:rsidRPr="004A5BF2">
        <w:rPr>
          <w:rFonts w:ascii="宋体" w:eastAsia="宋体" w:hAnsi="宋体" w:cs="宋体" w:hint="eastAsia"/>
          <w:kern w:val="0"/>
          <w:szCs w:val="21"/>
        </w:rPr>
        <w:t>年二季度起逐步降至一年</w:t>
      </w:r>
      <w:proofErr w:type="gramStart"/>
      <w:r w:rsidRPr="004A5BF2">
        <w:rPr>
          <w:rFonts w:ascii="宋体" w:eastAsia="宋体" w:hAnsi="宋体" w:cs="宋体" w:hint="eastAsia"/>
          <w:kern w:val="0"/>
          <w:szCs w:val="21"/>
        </w:rPr>
        <w:t>期贷</w:t>
      </w:r>
      <w:proofErr w:type="gramEnd"/>
      <w:r w:rsidRPr="004A5BF2">
        <w:rPr>
          <w:rFonts w:ascii="宋体" w:eastAsia="宋体" w:hAnsi="宋体" w:cs="宋体" w:hint="eastAsia"/>
          <w:kern w:val="0"/>
          <w:szCs w:val="21"/>
        </w:rPr>
        <w:t>款基准利率以下，此后进一步回落，年末受流动性趋紧的影响略有回升。本季度</w:t>
      </w:r>
      <w:proofErr w:type="gramStart"/>
      <w:r w:rsidRPr="004A5BF2">
        <w:rPr>
          <w:rFonts w:ascii="宋体" w:eastAsia="宋体" w:hAnsi="宋体" w:cs="宋体" w:hint="eastAsia"/>
          <w:kern w:val="0"/>
          <w:szCs w:val="21"/>
        </w:rPr>
        <w:t>短融平均</w:t>
      </w:r>
      <w:proofErr w:type="gramEnd"/>
      <w:r w:rsidRPr="004A5BF2">
        <w:rPr>
          <w:rFonts w:ascii="宋体" w:eastAsia="宋体" w:hAnsi="宋体" w:cs="宋体" w:hint="eastAsia"/>
          <w:kern w:val="0"/>
          <w:szCs w:val="21"/>
        </w:rPr>
        <w:t>发行利率呈现先抑后扬的趋势，平均利率为</w:t>
      </w:r>
      <w:r w:rsidRPr="004A5BF2">
        <w:rPr>
          <w:rFonts w:ascii="Times New Roman" w:eastAsia="宋体" w:hAnsi="Times New Roman" w:cs="Times New Roman"/>
          <w:kern w:val="0"/>
          <w:szCs w:val="21"/>
        </w:rPr>
        <w:t xml:space="preserve"> 5.88%</w:t>
      </w:r>
      <w:r w:rsidRPr="004A5BF2">
        <w:rPr>
          <w:rFonts w:ascii="宋体" w:eastAsia="宋体" w:hAnsi="宋体" w:cs="宋体" w:hint="eastAsia"/>
          <w:kern w:val="0"/>
          <w:szCs w:val="21"/>
        </w:rPr>
        <w:t>，再次突破一年</w:t>
      </w:r>
      <w:proofErr w:type="gramStart"/>
      <w:r w:rsidRPr="004A5BF2">
        <w:rPr>
          <w:rFonts w:ascii="宋体" w:eastAsia="宋体" w:hAnsi="宋体" w:cs="宋体" w:hint="eastAsia"/>
          <w:kern w:val="0"/>
          <w:szCs w:val="21"/>
        </w:rPr>
        <w:t>期贷</w:t>
      </w:r>
      <w:proofErr w:type="gramEnd"/>
      <w:r w:rsidRPr="004A5BF2">
        <w:rPr>
          <w:rFonts w:ascii="宋体" w:eastAsia="宋体" w:hAnsi="宋体" w:cs="宋体" w:hint="eastAsia"/>
          <w:kern w:val="0"/>
          <w:szCs w:val="21"/>
        </w:rPr>
        <w:t>款基准利率，平均利率较上年第四季度</w:t>
      </w:r>
      <w:r w:rsidRPr="004A5BF2">
        <w:rPr>
          <w:rFonts w:ascii="Times New Roman" w:eastAsia="宋体" w:hAnsi="Times New Roman" w:cs="Times New Roman"/>
          <w:kern w:val="0"/>
          <w:szCs w:val="21"/>
        </w:rPr>
        <w:t xml:space="preserve"> 5.40%</w:t>
      </w:r>
      <w:r w:rsidRPr="004A5BF2">
        <w:rPr>
          <w:rFonts w:ascii="宋体" w:eastAsia="宋体" w:hAnsi="宋体" w:cs="宋体" w:hint="eastAsia"/>
          <w:kern w:val="0"/>
          <w:szCs w:val="21"/>
        </w:rPr>
        <w:t>的平均水平略有回升，但较上年同期</w:t>
      </w:r>
      <w:r w:rsidRPr="004A5BF2">
        <w:rPr>
          <w:rFonts w:ascii="Times New Roman" w:eastAsia="宋体" w:hAnsi="Times New Roman" w:cs="Times New Roman"/>
          <w:kern w:val="0"/>
          <w:szCs w:val="21"/>
        </w:rPr>
        <w:t xml:space="preserve"> 6.72%</w:t>
      </w:r>
      <w:r w:rsidRPr="004A5BF2">
        <w:rPr>
          <w:rFonts w:ascii="宋体" w:eastAsia="宋体" w:hAnsi="宋体" w:cs="宋体" w:hint="eastAsia"/>
          <w:kern w:val="0"/>
          <w:szCs w:val="21"/>
        </w:rPr>
        <w:t>的平均水平有较大幅度下降。</w:t>
      </w:r>
    </w:p>
    <w:p w:rsidR="004A5BF2" w:rsidRPr="004A5BF2" w:rsidRDefault="004A5BF2" w:rsidP="004A5BF2">
      <w:pPr>
        <w:widowControl/>
        <w:spacing w:before="100" w:beforeAutospacing="1" w:after="100" w:afterAutospacing="1" w:line="360" w:lineRule="auto"/>
        <w:ind w:rightChars="87" w:right="183" w:firstLineChars="200" w:firstLine="420"/>
        <w:jc w:val="left"/>
        <w:rPr>
          <w:rFonts w:ascii="宋体" w:eastAsia="宋体" w:hAnsi="宋体" w:cs="宋体"/>
          <w:kern w:val="0"/>
          <w:sz w:val="24"/>
          <w:szCs w:val="24"/>
        </w:rPr>
      </w:pPr>
      <w:r w:rsidRPr="004A5BF2">
        <w:rPr>
          <w:rFonts w:ascii="宋体" w:eastAsia="宋体" w:hAnsi="宋体" w:cs="宋体" w:hint="eastAsia"/>
          <w:kern w:val="0"/>
          <w:szCs w:val="21"/>
        </w:rPr>
        <w:t>各级</w:t>
      </w:r>
      <w:proofErr w:type="gramStart"/>
      <w:r w:rsidRPr="004A5BF2">
        <w:rPr>
          <w:rFonts w:ascii="宋体" w:eastAsia="宋体" w:hAnsi="宋体" w:cs="宋体" w:hint="eastAsia"/>
          <w:kern w:val="0"/>
          <w:szCs w:val="21"/>
        </w:rPr>
        <w:t>别主体所发短融</w:t>
      </w:r>
      <w:proofErr w:type="gramEnd"/>
      <w:r w:rsidRPr="004A5BF2">
        <w:rPr>
          <w:rFonts w:ascii="宋体" w:eastAsia="宋体" w:hAnsi="宋体" w:cs="宋体" w:hint="eastAsia"/>
          <w:kern w:val="0"/>
          <w:szCs w:val="21"/>
        </w:rPr>
        <w:t>的发行利率走势与七天银行间债券回购加权平均利率（</w:t>
      </w:r>
      <w:r w:rsidRPr="004A5BF2">
        <w:rPr>
          <w:rFonts w:ascii="Times New Roman" w:eastAsia="宋体" w:hAnsi="Times New Roman" w:cs="Times New Roman"/>
          <w:kern w:val="0"/>
          <w:szCs w:val="21"/>
        </w:rPr>
        <w:t>R007</w:t>
      </w:r>
      <w:r w:rsidRPr="004A5BF2">
        <w:rPr>
          <w:rFonts w:ascii="宋体" w:eastAsia="宋体" w:hAnsi="宋体" w:cs="宋体" w:hint="eastAsia"/>
          <w:kern w:val="0"/>
          <w:szCs w:val="21"/>
        </w:rPr>
        <w:t>）和一年期银行间固定利率国债收益率的走势大致相同，均呈现先抑后扬趋势，除</w:t>
      </w:r>
      <w:r w:rsidRPr="004A5BF2">
        <w:rPr>
          <w:rFonts w:ascii="Times New Roman" w:eastAsia="宋体" w:hAnsi="Times New Roman" w:cs="Times New Roman"/>
          <w:kern w:val="0"/>
          <w:szCs w:val="21"/>
        </w:rPr>
        <w:t xml:space="preserve"> AAA </w:t>
      </w:r>
      <w:r w:rsidRPr="004A5BF2">
        <w:rPr>
          <w:rFonts w:ascii="宋体" w:eastAsia="宋体" w:hAnsi="宋体" w:cs="宋体" w:hint="eastAsia"/>
          <w:kern w:val="0"/>
          <w:szCs w:val="21"/>
        </w:rPr>
        <w:t>级和</w:t>
      </w:r>
      <w:r w:rsidRPr="004A5BF2">
        <w:rPr>
          <w:rFonts w:ascii="Times New Roman" w:eastAsia="宋体" w:hAnsi="Times New Roman" w:cs="Times New Roman"/>
          <w:kern w:val="0"/>
          <w:szCs w:val="21"/>
        </w:rPr>
        <w:t xml:space="preserve"> AA+</w:t>
      </w:r>
      <w:r w:rsidRPr="004A5BF2">
        <w:rPr>
          <w:rFonts w:ascii="宋体" w:eastAsia="宋体" w:hAnsi="宋体" w:cs="宋体" w:hint="eastAsia"/>
          <w:kern w:val="0"/>
          <w:szCs w:val="21"/>
        </w:rPr>
        <w:t>级外，其他级别主体</w:t>
      </w:r>
      <w:proofErr w:type="gramStart"/>
      <w:r w:rsidRPr="004A5BF2">
        <w:rPr>
          <w:rFonts w:ascii="宋体" w:eastAsia="宋体" w:hAnsi="宋体" w:cs="宋体" w:hint="eastAsia"/>
          <w:kern w:val="0"/>
          <w:szCs w:val="21"/>
        </w:rPr>
        <w:t>所发短融的</w:t>
      </w:r>
      <w:proofErr w:type="gramEnd"/>
      <w:r w:rsidRPr="004A5BF2">
        <w:rPr>
          <w:rFonts w:ascii="宋体" w:eastAsia="宋体" w:hAnsi="宋体" w:cs="宋体" w:hint="eastAsia"/>
          <w:kern w:val="0"/>
          <w:szCs w:val="21"/>
        </w:rPr>
        <w:t>发行利率均区分程度较高。本季度，</w:t>
      </w:r>
      <w:r w:rsidRPr="004A5BF2">
        <w:rPr>
          <w:rFonts w:ascii="Times New Roman" w:eastAsia="宋体" w:hAnsi="Times New Roman" w:cs="Times New Roman"/>
          <w:kern w:val="0"/>
          <w:szCs w:val="21"/>
        </w:rPr>
        <w:t xml:space="preserve">AAA </w:t>
      </w:r>
      <w:r w:rsidRPr="004A5BF2">
        <w:rPr>
          <w:rFonts w:ascii="宋体" w:eastAsia="宋体" w:hAnsi="宋体" w:cs="宋体" w:hint="eastAsia"/>
          <w:kern w:val="0"/>
          <w:szCs w:val="21"/>
        </w:rPr>
        <w:t>级和</w:t>
      </w:r>
      <w:r w:rsidRPr="004A5BF2">
        <w:rPr>
          <w:rFonts w:ascii="Times New Roman" w:eastAsia="宋体" w:hAnsi="Times New Roman" w:cs="Times New Roman"/>
          <w:kern w:val="0"/>
          <w:szCs w:val="21"/>
        </w:rPr>
        <w:t xml:space="preserve"> AA+</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的发行利率基本低于一年</w:t>
      </w:r>
      <w:proofErr w:type="gramStart"/>
      <w:r w:rsidRPr="004A5BF2">
        <w:rPr>
          <w:rFonts w:ascii="宋体" w:eastAsia="宋体" w:hAnsi="宋体" w:cs="宋体" w:hint="eastAsia"/>
          <w:kern w:val="0"/>
          <w:szCs w:val="21"/>
        </w:rPr>
        <w:t>期贷</w:t>
      </w:r>
      <w:proofErr w:type="gramEnd"/>
      <w:r w:rsidRPr="004A5BF2">
        <w:rPr>
          <w:rFonts w:ascii="宋体" w:eastAsia="宋体" w:hAnsi="宋体" w:cs="宋体" w:hint="eastAsia"/>
          <w:kern w:val="0"/>
          <w:szCs w:val="21"/>
        </w:rPr>
        <w:t>款基准利率，</w:t>
      </w:r>
      <w:r w:rsidRPr="004A5BF2">
        <w:rPr>
          <w:rFonts w:ascii="Times New Roman" w:eastAsia="宋体" w:hAnsi="Times New Roman" w:cs="Times New Roman"/>
          <w:kern w:val="0"/>
          <w:szCs w:val="21"/>
        </w:rPr>
        <w:t xml:space="preserve">AA </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的发行利率围绕一年</w:t>
      </w:r>
      <w:proofErr w:type="gramStart"/>
      <w:r w:rsidRPr="004A5BF2">
        <w:rPr>
          <w:rFonts w:ascii="宋体" w:eastAsia="宋体" w:hAnsi="宋体" w:cs="宋体" w:hint="eastAsia"/>
          <w:kern w:val="0"/>
          <w:szCs w:val="21"/>
        </w:rPr>
        <w:t>期贷</w:t>
      </w:r>
      <w:proofErr w:type="gramEnd"/>
      <w:r w:rsidRPr="004A5BF2">
        <w:rPr>
          <w:rFonts w:ascii="宋体" w:eastAsia="宋体" w:hAnsi="宋体" w:cs="宋体" w:hint="eastAsia"/>
          <w:kern w:val="0"/>
          <w:szCs w:val="21"/>
        </w:rPr>
        <w:t>款基准利率大幅波动，</w:t>
      </w:r>
      <w:r w:rsidRPr="004A5BF2">
        <w:rPr>
          <w:rFonts w:ascii="Times New Roman" w:eastAsia="宋体" w:hAnsi="Times New Roman" w:cs="Times New Roman"/>
          <w:kern w:val="0"/>
          <w:szCs w:val="21"/>
        </w:rPr>
        <w:t>AA-</w:t>
      </w:r>
      <w:r w:rsidRPr="004A5BF2">
        <w:rPr>
          <w:rFonts w:ascii="宋体" w:eastAsia="宋体" w:hAnsi="宋体" w:cs="宋体" w:hint="eastAsia"/>
          <w:kern w:val="0"/>
          <w:szCs w:val="21"/>
        </w:rPr>
        <w:t>级及以下主体</w:t>
      </w:r>
      <w:proofErr w:type="gramStart"/>
      <w:r w:rsidRPr="004A5BF2">
        <w:rPr>
          <w:rFonts w:ascii="宋体" w:eastAsia="宋体" w:hAnsi="宋体" w:cs="宋体" w:hint="eastAsia"/>
          <w:kern w:val="0"/>
          <w:szCs w:val="21"/>
        </w:rPr>
        <w:t>所发短融的</w:t>
      </w:r>
      <w:proofErr w:type="gramEnd"/>
      <w:r w:rsidRPr="004A5BF2">
        <w:rPr>
          <w:rFonts w:ascii="宋体" w:eastAsia="宋体" w:hAnsi="宋体" w:cs="宋体" w:hint="eastAsia"/>
          <w:kern w:val="0"/>
          <w:szCs w:val="21"/>
        </w:rPr>
        <w:t>发行利率则高于一年</w:t>
      </w:r>
      <w:proofErr w:type="gramStart"/>
      <w:r w:rsidRPr="004A5BF2">
        <w:rPr>
          <w:rFonts w:ascii="宋体" w:eastAsia="宋体" w:hAnsi="宋体" w:cs="宋体" w:hint="eastAsia"/>
          <w:kern w:val="0"/>
          <w:szCs w:val="21"/>
        </w:rPr>
        <w:t>期贷</w:t>
      </w:r>
      <w:proofErr w:type="gramEnd"/>
      <w:r w:rsidRPr="004A5BF2">
        <w:rPr>
          <w:rFonts w:ascii="宋体" w:eastAsia="宋体" w:hAnsi="宋体" w:cs="宋体" w:hint="eastAsia"/>
          <w:kern w:val="0"/>
          <w:szCs w:val="21"/>
        </w:rPr>
        <w:t>款基准利率。</w:t>
      </w:r>
    </w:p>
    <w:p w:rsidR="004A5BF2" w:rsidRPr="004A5BF2" w:rsidRDefault="004A5BF2" w:rsidP="004A5BF2">
      <w:pPr>
        <w:widowControl/>
        <w:spacing w:before="100" w:beforeAutospacing="1" w:after="100" w:afterAutospacing="1" w:line="360" w:lineRule="auto"/>
        <w:ind w:rightChars="87" w:right="183"/>
        <w:jc w:val="left"/>
        <w:rPr>
          <w:rFonts w:ascii="宋体" w:eastAsia="宋体" w:hAnsi="宋体" w:cs="宋体"/>
          <w:kern w:val="0"/>
          <w:sz w:val="24"/>
          <w:szCs w:val="24"/>
        </w:rPr>
      </w:pPr>
      <w:r w:rsidRPr="004A5BF2">
        <w:rPr>
          <w:rFonts w:ascii="宋体" w:eastAsia="宋体" w:hAnsi="宋体" w:cs="宋体" w:hint="eastAsia"/>
          <w:kern w:val="0"/>
          <w:szCs w:val="21"/>
        </w:rPr>
        <w:t>三、利差分析</w:t>
      </w:r>
    </w:p>
    <w:p w:rsidR="004A5BF2" w:rsidRPr="004A5BF2" w:rsidRDefault="004A5BF2" w:rsidP="004A5BF2">
      <w:pPr>
        <w:widowControl/>
        <w:spacing w:before="100" w:beforeAutospacing="1" w:after="100" w:afterAutospacing="1" w:line="360" w:lineRule="auto"/>
        <w:ind w:rightChars="87" w:right="183" w:firstLineChars="200" w:firstLine="420"/>
        <w:jc w:val="left"/>
        <w:rPr>
          <w:rFonts w:ascii="宋体" w:eastAsia="宋体" w:hAnsi="宋体" w:cs="宋体"/>
          <w:kern w:val="0"/>
          <w:sz w:val="24"/>
          <w:szCs w:val="24"/>
        </w:rPr>
      </w:pPr>
      <w:r w:rsidRPr="004A5BF2">
        <w:rPr>
          <w:rFonts w:ascii="宋体" w:eastAsia="宋体" w:hAnsi="宋体" w:cs="宋体" w:hint="eastAsia"/>
          <w:kern w:val="0"/>
          <w:szCs w:val="21"/>
        </w:rPr>
        <w:t>本季度，剔除</w:t>
      </w:r>
      <w:r w:rsidRPr="004A5BF2">
        <w:rPr>
          <w:rFonts w:ascii="Times New Roman" w:eastAsia="宋体" w:hAnsi="Times New Roman" w:cs="Times New Roman"/>
          <w:kern w:val="0"/>
          <w:szCs w:val="21"/>
        </w:rPr>
        <w:t xml:space="preserve"> 2</w:t>
      </w:r>
      <w:r w:rsidRPr="004A5BF2">
        <w:rPr>
          <w:rFonts w:ascii="宋体" w:eastAsia="宋体" w:hAnsi="宋体" w:cs="宋体" w:hint="eastAsia"/>
          <w:kern w:val="0"/>
          <w:szCs w:val="21"/>
        </w:rPr>
        <w:t>期发行期限在</w:t>
      </w:r>
      <w:r w:rsidRPr="004A5BF2">
        <w:rPr>
          <w:rFonts w:ascii="Times New Roman" w:eastAsia="宋体" w:hAnsi="Times New Roman" w:cs="Times New Roman"/>
          <w:kern w:val="0"/>
          <w:szCs w:val="21"/>
        </w:rPr>
        <w:t xml:space="preserve"> 1</w:t>
      </w:r>
      <w:r w:rsidRPr="004A5BF2">
        <w:rPr>
          <w:rFonts w:ascii="宋体" w:eastAsia="宋体" w:hAnsi="宋体" w:cs="宋体" w:hint="eastAsia"/>
          <w:kern w:val="0"/>
          <w:szCs w:val="21"/>
        </w:rPr>
        <w:t>年内以及截至报告日仍无交易</w:t>
      </w:r>
      <w:proofErr w:type="gramStart"/>
      <w:r w:rsidRPr="004A5BF2">
        <w:rPr>
          <w:rFonts w:ascii="宋体" w:eastAsia="宋体" w:hAnsi="宋体" w:cs="宋体" w:hint="eastAsia"/>
          <w:kern w:val="0"/>
          <w:szCs w:val="21"/>
        </w:rPr>
        <w:t>的短融</w:t>
      </w:r>
      <w:proofErr w:type="gramEnd"/>
      <w:r w:rsidRPr="004A5BF2">
        <w:rPr>
          <w:rFonts w:ascii="Times New Roman" w:eastAsia="宋体" w:hAnsi="Times New Roman" w:cs="Times New Roman"/>
          <w:kern w:val="0"/>
          <w:szCs w:val="21"/>
        </w:rPr>
        <w:t xml:space="preserve"> 6</w:t>
      </w:r>
      <w:r w:rsidRPr="004A5BF2">
        <w:rPr>
          <w:rFonts w:ascii="宋体" w:eastAsia="宋体" w:hAnsi="宋体" w:cs="宋体" w:hint="eastAsia"/>
          <w:kern w:val="0"/>
          <w:szCs w:val="21"/>
        </w:rPr>
        <w:t>期（截至</w:t>
      </w:r>
      <w:r w:rsidRPr="004A5BF2">
        <w:rPr>
          <w:rFonts w:ascii="Times New Roman" w:eastAsia="宋体" w:hAnsi="Times New Roman" w:cs="Times New Roman"/>
          <w:kern w:val="0"/>
          <w:szCs w:val="21"/>
        </w:rPr>
        <w:t xml:space="preserve"> 4 </w:t>
      </w:r>
      <w:r w:rsidRPr="004A5BF2">
        <w:rPr>
          <w:rFonts w:ascii="宋体" w:eastAsia="宋体" w:hAnsi="宋体" w:cs="宋体" w:hint="eastAsia"/>
          <w:kern w:val="0"/>
          <w:szCs w:val="21"/>
        </w:rPr>
        <w:t>月</w:t>
      </w:r>
      <w:r w:rsidRPr="004A5BF2">
        <w:rPr>
          <w:rFonts w:ascii="Times New Roman" w:eastAsia="宋体" w:hAnsi="Times New Roman" w:cs="Times New Roman"/>
          <w:kern w:val="0"/>
          <w:szCs w:val="21"/>
        </w:rPr>
        <w:t xml:space="preserve"> 3</w:t>
      </w:r>
      <w:r w:rsidRPr="004A5BF2">
        <w:rPr>
          <w:rFonts w:ascii="宋体" w:eastAsia="宋体" w:hAnsi="宋体" w:cs="宋体" w:hint="eastAsia"/>
          <w:kern w:val="0"/>
          <w:szCs w:val="21"/>
        </w:rPr>
        <w:t>日之前）后，</w:t>
      </w:r>
      <w:proofErr w:type="gramStart"/>
      <w:r w:rsidRPr="004A5BF2">
        <w:rPr>
          <w:rFonts w:ascii="宋体" w:eastAsia="宋体" w:hAnsi="宋体" w:cs="宋体" w:hint="eastAsia"/>
          <w:kern w:val="0"/>
          <w:szCs w:val="21"/>
        </w:rPr>
        <w:t>短融样本</w:t>
      </w:r>
      <w:proofErr w:type="gramEnd"/>
      <w:r w:rsidRPr="004A5BF2">
        <w:rPr>
          <w:rFonts w:ascii="宋体" w:eastAsia="宋体" w:hAnsi="宋体" w:cs="宋体" w:hint="eastAsia"/>
          <w:kern w:val="0"/>
          <w:szCs w:val="21"/>
        </w:rPr>
        <w:t>共计</w:t>
      </w:r>
      <w:r w:rsidRPr="004A5BF2">
        <w:rPr>
          <w:rFonts w:ascii="Times New Roman" w:eastAsia="宋体" w:hAnsi="Times New Roman" w:cs="Times New Roman"/>
          <w:kern w:val="0"/>
          <w:szCs w:val="21"/>
        </w:rPr>
        <w:t xml:space="preserve"> 199</w:t>
      </w:r>
      <w:r w:rsidRPr="004A5BF2">
        <w:rPr>
          <w:rFonts w:ascii="宋体" w:eastAsia="宋体" w:hAnsi="宋体" w:cs="宋体" w:hint="eastAsia"/>
          <w:kern w:val="0"/>
          <w:szCs w:val="21"/>
        </w:rPr>
        <w:t>期。后文分析中，如无特殊说明，均采用上述</w:t>
      </w:r>
      <w:r w:rsidRPr="004A5BF2">
        <w:rPr>
          <w:rFonts w:ascii="Times New Roman" w:eastAsia="宋体" w:hAnsi="Times New Roman" w:cs="Times New Roman"/>
          <w:kern w:val="0"/>
          <w:szCs w:val="21"/>
        </w:rPr>
        <w:t xml:space="preserve"> 199 </w:t>
      </w:r>
      <w:r w:rsidRPr="004A5BF2">
        <w:rPr>
          <w:rFonts w:ascii="宋体" w:eastAsia="宋体" w:hAnsi="宋体" w:cs="宋体" w:hint="eastAsia"/>
          <w:kern w:val="0"/>
          <w:szCs w:val="21"/>
        </w:rPr>
        <w:t>期作为样本。</w:t>
      </w:r>
    </w:p>
    <w:p w:rsidR="004A5BF2" w:rsidRPr="004A5BF2" w:rsidRDefault="004A5BF2" w:rsidP="004A5BF2">
      <w:pPr>
        <w:widowControl/>
        <w:spacing w:before="100" w:beforeAutospacing="1" w:after="100" w:afterAutospacing="1" w:line="360" w:lineRule="auto"/>
        <w:ind w:rightChars="87" w:right="183" w:firstLineChars="200" w:firstLine="420"/>
        <w:jc w:val="left"/>
        <w:rPr>
          <w:rFonts w:ascii="宋体" w:eastAsia="宋体" w:hAnsi="宋体" w:cs="宋体"/>
          <w:kern w:val="0"/>
          <w:sz w:val="24"/>
          <w:szCs w:val="24"/>
        </w:rPr>
      </w:pPr>
      <w:r w:rsidRPr="004A5BF2">
        <w:rPr>
          <w:rFonts w:ascii="宋体" w:eastAsia="宋体" w:hAnsi="宋体" w:cs="宋体" w:hint="eastAsia"/>
          <w:kern w:val="0"/>
          <w:szCs w:val="21"/>
        </w:rPr>
        <w:lastRenderedPageBreak/>
        <w:t>目前，</w:t>
      </w:r>
      <w:proofErr w:type="gramStart"/>
      <w:r w:rsidRPr="004A5BF2">
        <w:rPr>
          <w:rFonts w:ascii="宋体" w:eastAsia="宋体" w:hAnsi="宋体" w:cs="宋体" w:hint="eastAsia"/>
          <w:kern w:val="0"/>
          <w:szCs w:val="21"/>
        </w:rPr>
        <w:t>短融的</w:t>
      </w:r>
      <w:proofErr w:type="gramEnd"/>
      <w:r w:rsidRPr="004A5BF2">
        <w:rPr>
          <w:rFonts w:ascii="宋体" w:eastAsia="宋体" w:hAnsi="宋体" w:cs="宋体" w:hint="eastAsia"/>
          <w:kern w:val="0"/>
          <w:szCs w:val="21"/>
        </w:rPr>
        <w:t>信用评级包括主体信用等级的</w:t>
      </w:r>
      <w:proofErr w:type="gramStart"/>
      <w:r w:rsidRPr="004A5BF2">
        <w:rPr>
          <w:rFonts w:ascii="宋体" w:eastAsia="宋体" w:hAnsi="宋体" w:cs="宋体" w:hint="eastAsia"/>
          <w:kern w:val="0"/>
          <w:szCs w:val="21"/>
        </w:rPr>
        <w:t>评定和债项</w:t>
      </w:r>
      <w:proofErr w:type="gramEnd"/>
      <w:r w:rsidRPr="004A5BF2">
        <w:rPr>
          <w:rFonts w:ascii="宋体" w:eastAsia="宋体" w:hAnsi="宋体" w:cs="宋体" w:hint="eastAsia"/>
          <w:kern w:val="0"/>
          <w:szCs w:val="21"/>
        </w:rPr>
        <w:t>信用等级的评定。由于几乎所有</w:t>
      </w:r>
      <w:proofErr w:type="gramStart"/>
      <w:r w:rsidRPr="004A5BF2">
        <w:rPr>
          <w:rFonts w:ascii="宋体" w:eastAsia="宋体" w:hAnsi="宋体" w:cs="宋体" w:hint="eastAsia"/>
          <w:kern w:val="0"/>
          <w:szCs w:val="21"/>
        </w:rPr>
        <w:t>的短融信用</w:t>
      </w:r>
      <w:proofErr w:type="gramEnd"/>
      <w:r w:rsidRPr="004A5BF2">
        <w:rPr>
          <w:rFonts w:ascii="宋体" w:eastAsia="宋体" w:hAnsi="宋体" w:cs="宋体" w:hint="eastAsia"/>
          <w:kern w:val="0"/>
          <w:szCs w:val="21"/>
        </w:rPr>
        <w:t>等级为</w:t>
      </w:r>
      <w:r w:rsidRPr="004A5BF2">
        <w:rPr>
          <w:rFonts w:ascii="Times New Roman" w:eastAsia="宋体" w:hAnsi="Times New Roman" w:cs="Times New Roman"/>
          <w:kern w:val="0"/>
          <w:szCs w:val="21"/>
        </w:rPr>
        <w:t>“A-1”</w:t>
      </w:r>
      <w:r w:rsidRPr="004A5BF2">
        <w:rPr>
          <w:rFonts w:ascii="宋体" w:eastAsia="宋体" w:hAnsi="宋体" w:cs="宋体" w:hint="eastAsia"/>
          <w:kern w:val="0"/>
          <w:szCs w:val="21"/>
        </w:rPr>
        <w:t>级，债项的信用等级难以用于分析不同信用等级与债券发行及交易定价之间的关系，因此在本文中，我们将</w:t>
      </w:r>
      <w:proofErr w:type="gramStart"/>
      <w:r w:rsidRPr="004A5BF2">
        <w:rPr>
          <w:rFonts w:ascii="宋体" w:eastAsia="宋体" w:hAnsi="宋体" w:cs="宋体" w:hint="eastAsia"/>
          <w:kern w:val="0"/>
          <w:szCs w:val="21"/>
        </w:rPr>
        <w:t>采用短融的</w:t>
      </w:r>
      <w:proofErr w:type="gramEnd"/>
      <w:r w:rsidRPr="004A5BF2">
        <w:rPr>
          <w:rFonts w:ascii="宋体" w:eastAsia="宋体" w:hAnsi="宋体" w:cs="宋体" w:hint="eastAsia"/>
          <w:kern w:val="0"/>
          <w:szCs w:val="21"/>
        </w:rPr>
        <w:t>发行主体信用等级来进行利差分析。</w:t>
      </w:r>
    </w:p>
    <w:p w:rsidR="004A5BF2" w:rsidRPr="004A5BF2" w:rsidRDefault="004A5BF2" w:rsidP="004A5BF2">
      <w:pPr>
        <w:widowControl/>
        <w:spacing w:before="100" w:beforeAutospacing="1" w:after="100" w:afterAutospacing="1"/>
        <w:jc w:val="left"/>
        <w:rPr>
          <w:rFonts w:ascii="宋体" w:eastAsia="宋体" w:hAnsi="宋体" w:cs="宋体"/>
          <w:kern w:val="0"/>
          <w:szCs w:val="21"/>
        </w:rPr>
      </w:pPr>
      <w:r w:rsidRPr="004A5BF2">
        <w:rPr>
          <w:rFonts w:ascii="宋体" w:eastAsia="宋体" w:hAnsi="宋体" w:cs="宋体" w:hint="eastAsia"/>
          <w:kern w:val="0"/>
          <w:szCs w:val="21"/>
        </w:rPr>
        <w:t xml:space="preserve">    </w:t>
      </w:r>
      <w:proofErr w:type="gramStart"/>
      <w:r w:rsidRPr="004A5BF2">
        <w:rPr>
          <w:rFonts w:ascii="宋体" w:eastAsia="宋体" w:hAnsi="宋体" w:cs="宋体" w:hint="eastAsia"/>
          <w:kern w:val="0"/>
          <w:szCs w:val="21"/>
        </w:rPr>
        <w:t>短融发行</w:t>
      </w:r>
      <w:proofErr w:type="gramEnd"/>
      <w:r w:rsidRPr="004A5BF2">
        <w:rPr>
          <w:rFonts w:ascii="宋体" w:eastAsia="宋体" w:hAnsi="宋体" w:cs="宋体" w:hint="eastAsia"/>
          <w:kern w:val="0"/>
          <w:szCs w:val="21"/>
        </w:rPr>
        <w:t>利差和交易利差</w:t>
      </w:r>
      <w:proofErr w:type="gramStart"/>
      <w:r w:rsidRPr="004A5BF2">
        <w:rPr>
          <w:rFonts w:ascii="宋体" w:eastAsia="宋体" w:hAnsi="宋体" w:cs="宋体" w:hint="eastAsia"/>
          <w:kern w:val="0"/>
          <w:szCs w:val="21"/>
        </w:rPr>
        <w:t>除上年</w:t>
      </w:r>
      <w:proofErr w:type="gramEnd"/>
      <w:r w:rsidRPr="004A5BF2">
        <w:rPr>
          <w:rFonts w:ascii="宋体" w:eastAsia="宋体" w:hAnsi="宋体" w:cs="宋体" w:hint="eastAsia"/>
          <w:kern w:val="0"/>
          <w:szCs w:val="21"/>
        </w:rPr>
        <w:t>末流动性趋紧略有扩大外，</w:t>
      </w:r>
      <w:proofErr w:type="gramStart"/>
      <w:r w:rsidRPr="004A5BF2">
        <w:rPr>
          <w:rFonts w:ascii="宋体" w:eastAsia="宋体" w:hAnsi="宋体" w:cs="宋体" w:hint="eastAsia"/>
          <w:kern w:val="0"/>
          <w:szCs w:val="21"/>
        </w:rPr>
        <w:t>自上年</w:t>
      </w:r>
      <w:proofErr w:type="gramEnd"/>
      <w:r w:rsidRPr="004A5BF2">
        <w:rPr>
          <w:rFonts w:ascii="宋体" w:eastAsia="宋体" w:hAnsi="宋体" w:cs="宋体" w:hint="eastAsia"/>
          <w:kern w:val="0"/>
          <w:szCs w:val="21"/>
        </w:rPr>
        <w:t>二季度起呈逐步收窄的趋势。本季度宽松政策继续释放流动性，市场资金面较为宽松，利差延续下行走势，较上年同期明显收窄（见表</w:t>
      </w:r>
      <w:r w:rsidRPr="004A5BF2">
        <w:rPr>
          <w:rFonts w:ascii="Times New Roman" w:eastAsia="宋体" w:hAnsi="Times New Roman" w:cs="Times New Roman"/>
          <w:kern w:val="0"/>
          <w:szCs w:val="21"/>
        </w:rPr>
        <w:t xml:space="preserve"> 1</w:t>
      </w:r>
      <w:r w:rsidRPr="004A5BF2">
        <w:rPr>
          <w:rFonts w:ascii="宋体" w:eastAsia="宋体" w:hAnsi="宋体" w:cs="宋体" w:hint="eastAsia"/>
          <w:kern w:val="0"/>
          <w:szCs w:val="21"/>
        </w:rPr>
        <w:t>），但较上年四季度则有所扩大。这可能是受季度因素影响，并且</w:t>
      </w:r>
      <w:r w:rsidRPr="004A5BF2">
        <w:rPr>
          <w:rFonts w:ascii="Times New Roman" w:eastAsia="宋体" w:hAnsi="Times New Roman" w:cs="Times New Roman"/>
          <w:kern w:val="0"/>
          <w:szCs w:val="21"/>
        </w:rPr>
        <w:t xml:space="preserve"> 1</w:t>
      </w:r>
      <w:r w:rsidRPr="004A5BF2">
        <w:rPr>
          <w:rFonts w:ascii="宋体" w:eastAsia="宋体" w:hAnsi="宋体" w:cs="宋体" w:hint="eastAsia"/>
          <w:kern w:val="0"/>
          <w:szCs w:val="21"/>
        </w:rPr>
        <w:t>、</w:t>
      </w:r>
      <w:r w:rsidRPr="004A5BF2">
        <w:rPr>
          <w:rFonts w:ascii="Times New Roman" w:eastAsia="宋体" w:hAnsi="Times New Roman" w:cs="Times New Roman"/>
          <w:kern w:val="0"/>
          <w:szCs w:val="21"/>
        </w:rPr>
        <w:t xml:space="preserve">2 </w:t>
      </w:r>
      <w:r w:rsidRPr="004A5BF2">
        <w:rPr>
          <w:rFonts w:ascii="宋体" w:eastAsia="宋体" w:hAnsi="宋体" w:cs="宋体" w:hint="eastAsia"/>
          <w:kern w:val="0"/>
          <w:szCs w:val="21"/>
        </w:rPr>
        <w:t>月份发生</w:t>
      </w:r>
      <w:r w:rsidRPr="004A5BF2">
        <w:rPr>
          <w:rFonts w:ascii="Times New Roman" w:eastAsia="宋体" w:hAnsi="Times New Roman" w:cs="Times New Roman"/>
          <w:kern w:val="0"/>
          <w:szCs w:val="21"/>
        </w:rPr>
        <w:t xml:space="preserve">“12 </w:t>
      </w:r>
      <w:r w:rsidRPr="004A5BF2">
        <w:rPr>
          <w:rFonts w:ascii="宋体" w:eastAsia="宋体" w:hAnsi="宋体" w:cs="宋体" w:hint="eastAsia"/>
          <w:kern w:val="0"/>
          <w:szCs w:val="21"/>
        </w:rPr>
        <w:t>东飞债</w:t>
      </w:r>
      <w:r w:rsidRPr="004A5BF2">
        <w:rPr>
          <w:rFonts w:ascii="Times New Roman" w:eastAsia="宋体" w:hAnsi="Times New Roman" w:cs="Times New Roman"/>
          <w:kern w:val="0"/>
          <w:szCs w:val="21"/>
        </w:rPr>
        <w:t>”</w:t>
      </w:r>
      <w:r w:rsidRPr="004A5BF2">
        <w:rPr>
          <w:rFonts w:ascii="宋体" w:eastAsia="宋体" w:hAnsi="宋体" w:cs="宋体" w:hint="eastAsia"/>
          <w:kern w:val="0"/>
          <w:szCs w:val="21"/>
        </w:rPr>
        <w:t>、</w:t>
      </w:r>
      <w:r w:rsidRPr="004A5BF2">
        <w:rPr>
          <w:rFonts w:ascii="Times New Roman" w:eastAsia="宋体" w:hAnsi="Times New Roman" w:cs="Times New Roman"/>
          <w:kern w:val="0"/>
          <w:szCs w:val="21"/>
        </w:rPr>
        <w:t xml:space="preserve">“12 </w:t>
      </w:r>
      <w:r w:rsidRPr="004A5BF2">
        <w:rPr>
          <w:rFonts w:ascii="宋体" w:eastAsia="宋体" w:hAnsi="宋体" w:cs="宋体" w:hint="eastAsia"/>
          <w:kern w:val="0"/>
          <w:szCs w:val="21"/>
        </w:rPr>
        <w:t>蓝博债</w:t>
      </w:r>
      <w:r w:rsidRPr="004A5BF2">
        <w:rPr>
          <w:rFonts w:ascii="Times New Roman" w:eastAsia="宋体" w:hAnsi="Times New Roman" w:cs="Times New Roman"/>
          <w:kern w:val="0"/>
          <w:szCs w:val="21"/>
        </w:rPr>
        <w:t>”</w:t>
      </w:r>
      <w:r w:rsidRPr="004A5BF2">
        <w:rPr>
          <w:rFonts w:ascii="宋体" w:eastAsia="宋体" w:hAnsi="宋体" w:cs="宋体" w:hint="eastAsia"/>
          <w:kern w:val="0"/>
          <w:szCs w:val="21"/>
        </w:rPr>
        <w:t>、</w:t>
      </w:r>
      <w:r w:rsidRPr="004A5BF2">
        <w:rPr>
          <w:rFonts w:ascii="Times New Roman" w:eastAsia="宋体" w:hAnsi="Times New Roman" w:cs="Times New Roman"/>
          <w:kern w:val="0"/>
          <w:szCs w:val="21"/>
        </w:rPr>
        <w:t>“12</w:t>
      </w:r>
      <w:r w:rsidRPr="004A5BF2">
        <w:rPr>
          <w:rFonts w:ascii="宋体" w:eastAsia="宋体" w:hAnsi="宋体" w:cs="宋体" w:hint="eastAsia"/>
          <w:kern w:val="0"/>
          <w:szCs w:val="21"/>
        </w:rPr>
        <w:t>致富债</w:t>
      </w:r>
      <w:r w:rsidRPr="004A5BF2">
        <w:rPr>
          <w:rFonts w:ascii="Times New Roman" w:eastAsia="宋体" w:hAnsi="Times New Roman" w:cs="Times New Roman"/>
          <w:kern w:val="0"/>
          <w:szCs w:val="21"/>
        </w:rPr>
        <w:t>”</w:t>
      </w:r>
      <w:r w:rsidRPr="004A5BF2">
        <w:rPr>
          <w:rFonts w:ascii="宋体" w:eastAsia="宋体" w:hAnsi="宋体" w:cs="宋体" w:hint="eastAsia"/>
          <w:kern w:val="0"/>
          <w:szCs w:val="21"/>
        </w:rPr>
        <w:t>等多起债券违约事件，导致投资者的风险溢价要求有所提高。</w:t>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noProof/>
          <w:kern w:val="0"/>
          <w:szCs w:val="21"/>
        </w:rPr>
        <w:drawing>
          <wp:inline distT="0" distB="0" distL="0" distR="0">
            <wp:extent cx="4286250" cy="1685925"/>
            <wp:effectExtent l="0" t="0" r="0" b="9525"/>
            <wp:docPr id="4" name="图片 4" descr="http://lhcis.com/LHXY/wwwroot/lhxy/upload/Image/mrtp/2015/04/1_361759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cis.com/LHXY/wwwroot/lhxy/upload/Image/mrtp/2015/04/1_3617591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685925"/>
                    </a:xfrm>
                    <a:prstGeom prst="rect">
                      <a:avLst/>
                    </a:prstGeom>
                    <a:noFill/>
                    <a:ln>
                      <a:noFill/>
                    </a:ln>
                  </pic:spPr>
                </pic:pic>
              </a:graphicData>
            </a:graphic>
          </wp:inline>
        </w:drawing>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宋体" w:eastAsia="宋体" w:hAnsi="宋体" w:cs="宋体" w:hint="eastAsia"/>
          <w:kern w:val="0"/>
          <w:szCs w:val="21"/>
        </w:rPr>
        <w:t> </w:t>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hint="eastAsia"/>
          <w:kern w:val="0"/>
          <w:szCs w:val="21"/>
        </w:rPr>
        <w:t> </w:t>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宋体" w:eastAsia="宋体" w:hAnsi="宋体" w:cs="宋体" w:hint="eastAsia"/>
          <w:kern w:val="0"/>
          <w:szCs w:val="21"/>
        </w:rPr>
        <w:t>    通过表</w:t>
      </w:r>
      <w:r w:rsidRPr="004A5BF2">
        <w:rPr>
          <w:rFonts w:ascii="Times New Roman" w:eastAsia="宋体" w:hAnsi="Times New Roman" w:cs="Times New Roman"/>
          <w:kern w:val="0"/>
          <w:szCs w:val="21"/>
        </w:rPr>
        <w:t xml:space="preserve"> 2</w:t>
      </w:r>
      <w:r w:rsidRPr="004A5BF2">
        <w:rPr>
          <w:rFonts w:ascii="宋体" w:eastAsia="宋体" w:hAnsi="宋体" w:cs="宋体" w:hint="eastAsia"/>
          <w:kern w:val="0"/>
          <w:szCs w:val="21"/>
        </w:rPr>
        <w:t>及图</w:t>
      </w:r>
      <w:r w:rsidRPr="004A5BF2">
        <w:rPr>
          <w:rFonts w:ascii="Times New Roman" w:eastAsia="宋体" w:hAnsi="Times New Roman" w:cs="Times New Roman"/>
          <w:kern w:val="0"/>
          <w:szCs w:val="21"/>
        </w:rPr>
        <w:t xml:space="preserve"> 3</w:t>
      </w:r>
      <w:r w:rsidRPr="004A5BF2">
        <w:rPr>
          <w:rFonts w:ascii="宋体" w:eastAsia="宋体" w:hAnsi="宋体" w:cs="宋体" w:hint="eastAsia"/>
          <w:kern w:val="0"/>
          <w:szCs w:val="21"/>
        </w:rPr>
        <w:t>可以看出，本季度</w:t>
      </w:r>
      <w:proofErr w:type="gramStart"/>
      <w:r w:rsidRPr="004A5BF2">
        <w:rPr>
          <w:rFonts w:ascii="宋体" w:eastAsia="宋体" w:hAnsi="宋体" w:cs="宋体" w:hint="eastAsia"/>
          <w:kern w:val="0"/>
          <w:szCs w:val="21"/>
        </w:rPr>
        <w:t>新发短融的</w:t>
      </w:r>
      <w:proofErr w:type="gramEnd"/>
      <w:r w:rsidRPr="004A5BF2">
        <w:rPr>
          <w:rFonts w:ascii="宋体" w:eastAsia="宋体" w:hAnsi="宋体" w:cs="宋体" w:hint="eastAsia"/>
          <w:kern w:val="0"/>
          <w:szCs w:val="21"/>
        </w:rPr>
        <w:t>发行主体信用等级</w:t>
      </w:r>
      <w:proofErr w:type="gramStart"/>
      <w:r w:rsidRPr="004A5BF2">
        <w:rPr>
          <w:rFonts w:ascii="宋体" w:eastAsia="宋体" w:hAnsi="宋体" w:cs="宋体" w:hint="eastAsia"/>
          <w:kern w:val="0"/>
          <w:szCs w:val="21"/>
        </w:rPr>
        <w:t>对短融利差</w:t>
      </w:r>
      <w:proofErr w:type="gramEnd"/>
      <w:r w:rsidRPr="004A5BF2">
        <w:rPr>
          <w:rFonts w:ascii="宋体" w:eastAsia="宋体" w:hAnsi="宋体" w:cs="宋体" w:hint="eastAsia"/>
          <w:kern w:val="0"/>
          <w:szCs w:val="21"/>
        </w:rPr>
        <w:t>呈现出明显的区分度，主体信用等级越低，平均发行利率、利差</w:t>
      </w:r>
      <w:r w:rsidRPr="004A5BF2">
        <w:rPr>
          <w:rFonts w:ascii="Times New Roman" w:eastAsia="宋体" w:hAnsi="Times New Roman" w:cs="Times New Roman"/>
          <w:kern w:val="0"/>
          <w:szCs w:val="21"/>
        </w:rPr>
        <w:t xml:space="preserve"> I</w:t>
      </w:r>
      <w:r w:rsidRPr="004A5BF2">
        <w:rPr>
          <w:rFonts w:ascii="宋体" w:eastAsia="宋体" w:hAnsi="宋体" w:cs="宋体" w:hint="eastAsia"/>
          <w:kern w:val="0"/>
          <w:szCs w:val="21"/>
        </w:rPr>
        <w:t>和利差</w:t>
      </w:r>
      <w:r w:rsidRPr="004A5BF2">
        <w:rPr>
          <w:rFonts w:ascii="Times New Roman" w:eastAsia="宋体" w:hAnsi="Times New Roman" w:cs="Times New Roman"/>
          <w:kern w:val="0"/>
          <w:szCs w:val="21"/>
        </w:rPr>
        <w:t xml:space="preserve"> II</w:t>
      </w:r>
      <w:r w:rsidRPr="004A5BF2">
        <w:rPr>
          <w:rFonts w:ascii="宋体" w:eastAsia="宋体" w:hAnsi="宋体" w:cs="宋体" w:hint="eastAsia"/>
          <w:kern w:val="0"/>
          <w:szCs w:val="21"/>
        </w:rPr>
        <w:t>的均值越高；除样本量较少的</w:t>
      </w:r>
      <w:r w:rsidRPr="004A5BF2">
        <w:rPr>
          <w:rFonts w:ascii="Times New Roman" w:eastAsia="宋体" w:hAnsi="Times New Roman" w:cs="Times New Roman"/>
          <w:kern w:val="0"/>
          <w:szCs w:val="21"/>
        </w:rPr>
        <w:t xml:space="preserve"> A+</w:t>
      </w:r>
      <w:r w:rsidRPr="004A5BF2">
        <w:rPr>
          <w:rFonts w:ascii="宋体" w:eastAsia="宋体" w:hAnsi="宋体" w:cs="宋体" w:hint="eastAsia"/>
          <w:kern w:val="0"/>
          <w:szCs w:val="21"/>
        </w:rPr>
        <w:t>级外，其余各信用等级级差与信用等级呈现明显的负向关系，表明级别越低，投资者所要求的风险溢价越高。但</w:t>
      </w:r>
      <w:r w:rsidRPr="004A5BF2">
        <w:rPr>
          <w:rFonts w:ascii="Times New Roman" w:eastAsia="宋体" w:hAnsi="Times New Roman" w:cs="Times New Roman"/>
          <w:kern w:val="0"/>
          <w:szCs w:val="21"/>
        </w:rPr>
        <w:t xml:space="preserve"> AA</w:t>
      </w:r>
      <w:r w:rsidRPr="004A5BF2">
        <w:rPr>
          <w:rFonts w:ascii="宋体" w:eastAsia="宋体" w:hAnsi="宋体" w:cs="宋体" w:hint="eastAsia"/>
          <w:kern w:val="0"/>
          <w:szCs w:val="21"/>
        </w:rPr>
        <w:t>级和</w:t>
      </w:r>
      <w:r w:rsidRPr="004A5BF2">
        <w:rPr>
          <w:rFonts w:ascii="Times New Roman" w:eastAsia="宋体" w:hAnsi="Times New Roman" w:cs="Times New Roman"/>
          <w:kern w:val="0"/>
          <w:szCs w:val="21"/>
        </w:rPr>
        <w:t xml:space="preserve"> AA-</w:t>
      </w:r>
      <w:r w:rsidRPr="004A5BF2">
        <w:rPr>
          <w:rFonts w:ascii="宋体" w:eastAsia="宋体" w:hAnsi="宋体" w:cs="宋体" w:hint="eastAsia"/>
          <w:kern w:val="0"/>
          <w:szCs w:val="21"/>
        </w:rPr>
        <w:t>级发行人的利差</w:t>
      </w:r>
      <w:r w:rsidRPr="004A5BF2">
        <w:rPr>
          <w:rFonts w:ascii="Times New Roman" w:eastAsia="宋体" w:hAnsi="Times New Roman" w:cs="Times New Roman"/>
          <w:kern w:val="0"/>
          <w:szCs w:val="21"/>
        </w:rPr>
        <w:t xml:space="preserve"> I</w:t>
      </w:r>
      <w:r w:rsidRPr="004A5BF2">
        <w:rPr>
          <w:rFonts w:ascii="宋体" w:eastAsia="宋体" w:hAnsi="宋体" w:cs="宋体" w:hint="eastAsia"/>
          <w:kern w:val="0"/>
          <w:szCs w:val="21"/>
        </w:rPr>
        <w:t>和利差</w:t>
      </w:r>
      <w:r w:rsidRPr="004A5BF2">
        <w:rPr>
          <w:rFonts w:ascii="Times New Roman" w:eastAsia="宋体" w:hAnsi="Times New Roman" w:cs="Times New Roman"/>
          <w:kern w:val="0"/>
          <w:szCs w:val="21"/>
        </w:rPr>
        <w:t xml:space="preserve"> II</w:t>
      </w:r>
      <w:r w:rsidRPr="004A5BF2">
        <w:rPr>
          <w:rFonts w:ascii="宋体" w:eastAsia="宋体" w:hAnsi="宋体" w:cs="宋体" w:hint="eastAsia"/>
          <w:kern w:val="0"/>
          <w:szCs w:val="21"/>
        </w:rPr>
        <w:t>的级差和变异系数均较大。</w:t>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宋体" w:eastAsia="宋体" w:hAnsi="宋体" w:cs="宋体" w:hint="eastAsia"/>
          <w:kern w:val="0"/>
          <w:szCs w:val="21"/>
        </w:rPr>
        <w:t> </w:t>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noProof/>
          <w:kern w:val="0"/>
          <w:szCs w:val="21"/>
        </w:rPr>
        <w:drawing>
          <wp:inline distT="0" distB="0" distL="0" distR="0">
            <wp:extent cx="4276725" cy="1743075"/>
            <wp:effectExtent l="0" t="0" r="9525" b="9525"/>
            <wp:docPr id="3" name="图片 3" descr="http://lhcis.com/LHXY/wwwroot/lhxy/upload/Image/mrtp/2015/04/1_361760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cis.com/LHXY/wwwroot/lhxy/upload/Image/mrtp/2015/04/1_36176059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1743075"/>
                    </a:xfrm>
                    <a:prstGeom prst="rect">
                      <a:avLst/>
                    </a:prstGeom>
                    <a:noFill/>
                    <a:ln>
                      <a:noFill/>
                    </a:ln>
                  </pic:spPr>
                </pic:pic>
              </a:graphicData>
            </a:graphic>
          </wp:inline>
        </w:drawing>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noProof/>
          <w:kern w:val="0"/>
          <w:szCs w:val="21"/>
        </w:rPr>
        <w:lastRenderedPageBreak/>
        <w:drawing>
          <wp:inline distT="0" distB="0" distL="0" distR="0">
            <wp:extent cx="4276725" cy="2447925"/>
            <wp:effectExtent l="0" t="0" r="9525" b="9525"/>
            <wp:docPr id="2" name="图片 2" descr="http://lhcis.com/LHXY/wwwroot/lhxy/upload/Image/mrtp/2015/04/1_361761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hcis.com/LHXY/wwwroot/lhxy/upload/Image/mrtp/2015/04/1_36176117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2447925"/>
                    </a:xfrm>
                    <a:prstGeom prst="rect">
                      <a:avLst/>
                    </a:prstGeom>
                    <a:noFill/>
                    <a:ln>
                      <a:noFill/>
                    </a:ln>
                  </pic:spPr>
                </pic:pic>
              </a:graphicData>
            </a:graphic>
          </wp:inline>
        </w:drawing>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宋体" w:eastAsia="宋体" w:hAnsi="宋体" w:cs="宋体" w:hint="eastAsia"/>
          <w:kern w:val="0"/>
          <w:szCs w:val="21"/>
        </w:rPr>
        <w:t>    根据对不同主体信用等级所对应</w:t>
      </w:r>
      <w:proofErr w:type="gramStart"/>
      <w:r w:rsidRPr="004A5BF2">
        <w:rPr>
          <w:rFonts w:ascii="宋体" w:eastAsia="宋体" w:hAnsi="宋体" w:cs="宋体" w:hint="eastAsia"/>
          <w:kern w:val="0"/>
          <w:szCs w:val="21"/>
        </w:rPr>
        <w:t>的短融利差</w:t>
      </w:r>
      <w:proofErr w:type="gramEnd"/>
      <w:r w:rsidRPr="004A5BF2">
        <w:rPr>
          <w:rFonts w:ascii="Times New Roman" w:eastAsia="宋体" w:hAnsi="Times New Roman" w:cs="Times New Roman"/>
          <w:kern w:val="0"/>
          <w:szCs w:val="21"/>
        </w:rPr>
        <w:t xml:space="preserve"> I</w:t>
      </w:r>
      <w:r w:rsidRPr="004A5BF2">
        <w:rPr>
          <w:rFonts w:ascii="宋体" w:eastAsia="宋体" w:hAnsi="宋体" w:cs="宋体" w:hint="eastAsia"/>
          <w:kern w:val="0"/>
          <w:szCs w:val="21"/>
        </w:rPr>
        <w:t>和利差</w:t>
      </w:r>
      <w:r w:rsidRPr="004A5BF2">
        <w:rPr>
          <w:rFonts w:ascii="Times New Roman" w:eastAsia="宋体" w:hAnsi="Times New Roman" w:cs="Times New Roman"/>
          <w:kern w:val="0"/>
          <w:szCs w:val="21"/>
        </w:rPr>
        <w:t xml:space="preserve"> II</w:t>
      </w:r>
      <w:r w:rsidRPr="004A5BF2">
        <w:rPr>
          <w:rFonts w:ascii="宋体" w:eastAsia="宋体" w:hAnsi="宋体" w:cs="宋体" w:hint="eastAsia"/>
          <w:kern w:val="0"/>
          <w:szCs w:val="21"/>
        </w:rPr>
        <w:t>的差异性的显著性检验</w:t>
      </w:r>
      <w:r w:rsidRPr="004A5BF2">
        <w:rPr>
          <w:rFonts w:ascii="Times New Roman" w:eastAsia="宋体" w:hAnsi="Times New Roman" w:cs="Times New Roman"/>
          <w:kern w:val="0"/>
          <w:szCs w:val="21"/>
          <w:vertAlign w:val="superscript"/>
        </w:rPr>
        <w:t>5</w:t>
      </w:r>
      <w:r w:rsidRPr="004A5BF2">
        <w:rPr>
          <w:rFonts w:ascii="宋体" w:eastAsia="宋体" w:hAnsi="宋体" w:cs="宋体" w:hint="eastAsia"/>
          <w:kern w:val="0"/>
          <w:szCs w:val="21"/>
        </w:rPr>
        <w:t>，</w:t>
      </w:r>
      <w:r w:rsidRPr="004A5BF2">
        <w:rPr>
          <w:rFonts w:ascii="Times New Roman" w:eastAsia="宋体" w:hAnsi="Times New Roman" w:cs="Times New Roman"/>
          <w:kern w:val="0"/>
          <w:szCs w:val="21"/>
        </w:rPr>
        <w:t xml:space="preserve">AAA </w:t>
      </w:r>
      <w:r w:rsidRPr="004A5BF2">
        <w:rPr>
          <w:rFonts w:ascii="宋体" w:eastAsia="宋体" w:hAnsi="宋体" w:cs="宋体" w:hint="eastAsia"/>
          <w:kern w:val="0"/>
          <w:szCs w:val="21"/>
        </w:rPr>
        <w:t>级与</w:t>
      </w:r>
      <w:r w:rsidRPr="004A5BF2">
        <w:rPr>
          <w:rFonts w:ascii="Times New Roman" w:eastAsia="宋体" w:hAnsi="Times New Roman" w:cs="Times New Roman"/>
          <w:kern w:val="0"/>
          <w:szCs w:val="21"/>
        </w:rPr>
        <w:t xml:space="preserve"> AA+</w:t>
      </w:r>
      <w:r w:rsidRPr="004A5BF2">
        <w:rPr>
          <w:rFonts w:ascii="宋体" w:eastAsia="宋体" w:hAnsi="宋体" w:cs="宋体" w:hint="eastAsia"/>
          <w:kern w:val="0"/>
          <w:szCs w:val="21"/>
        </w:rPr>
        <w:t>级、</w:t>
      </w:r>
      <w:r w:rsidRPr="004A5BF2">
        <w:rPr>
          <w:rFonts w:ascii="Times New Roman" w:eastAsia="宋体" w:hAnsi="Times New Roman" w:cs="Times New Roman"/>
          <w:kern w:val="0"/>
          <w:szCs w:val="21"/>
        </w:rPr>
        <w:t>AA-</w:t>
      </w:r>
      <w:r w:rsidRPr="004A5BF2">
        <w:rPr>
          <w:rFonts w:ascii="宋体" w:eastAsia="宋体" w:hAnsi="宋体" w:cs="宋体" w:hint="eastAsia"/>
          <w:kern w:val="0"/>
          <w:szCs w:val="21"/>
        </w:rPr>
        <w:t>级与</w:t>
      </w:r>
      <w:r w:rsidRPr="004A5BF2">
        <w:rPr>
          <w:rFonts w:ascii="Times New Roman" w:eastAsia="宋体" w:hAnsi="Times New Roman" w:cs="Times New Roman"/>
          <w:kern w:val="0"/>
          <w:szCs w:val="21"/>
        </w:rPr>
        <w:t xml:space="preserve"> A+</w:t>
      </w:r>
      <w:proofErr w:type="gramStart"/>
      <w:r w:rsidRPr="004A5BF2">
        <w:rPr>
          <w:rFonts w:ascii="宋体" w:eastAsia="宋体" w:hAnsi="宋体" w:cs="宋体" w:hint="eastAsia"/>
          <w:kern w:val="0"/>
          <w:szCs w:val="21"/>
        </w:rPr>
        <w:t>级主体所发短融</w:t>
      </w:r>
      <w:proofErr w:type="gramEnd"/>
      <w:r w:rsidRPr="004A5BF2">
        <w:rPr>
          <w:rFonts w:ascii="宋体" w:eastAsia="宋体" w:hAnsi="宋体" w:cs="宋体" w:hint="eastAsia"/>
          <w:kern w:val="0"/>
          <w:szCs w:val="21"/>
        </w:rPr>
        <w:t>的利差</w:t>
      </w:r>
      <w:r w:rsidRPr="004A5BF2">
        <w:rPr>
          <w:rFonts w:ascii="Times New Roman" w:eastAsia="宋体" w:hAnsi="Times New Roman" w:cs="Times New Roman"/>
          <w:kern w:val="0"/>
          <w:szCs w:val="21"/>
        </w:rPr>
        <w:t xml:space="preserve"> I </w:t>
      </w:r>
      <w:r w:rsidRPr="004A5BF2">
        <w:rPr>
          <w:rFonts w:ascii="宋体" w:eastAsia="宋体" w:hAnsi="宋体" w:cs="宋体" w:hint="eastAsia"/>
          <w:kern w:val="0"/>
          <w:szCs w:val="21"/>
        </w:rPr>
        <w:t>及利差</w:t>
      </w:r>
      <w:r w:rsidRPr="004A5BF2">
        <w:rPr>
          <w:rFonts w:ascii="Times New Roman" w:eastAsia="宋体" w:hAnsi="Times New Roman" w:cs="Times New Roman"/>
          <w:kern w:val="0"/>
          <w:szCs w:val="21"/>
        </w:rPr>
        <w:t xml:space="preserve"> II </w:t>
      </w:r>
      <w:r w:rsidRPr="004A5BF2">
        <w:rPr>
          <w:rFonts w:ascii="宋体" w:eastAsia="宋体" w:hAnsi="宋体" w:cs="宋体" w:hint="eastAsia"/>
          <w:kern w:val="0"/>
          <w:szCs w:val="21"/>
        </w:rPr>
        <w:t>的差异不显著，其余各级别之间的利差</w:t>
      </w:r>
      <w:r w:rsidRPr="004A5BF2">
        <w:rPr>
          <w:rFonts w:ascii="Times New Roman" w:eastAsia="宋体" w:hAnsi="Times New Roman" w:cs="Times New Roman"/>
          <w:kern w:val="0"/>
          <w:szCs w:val="21"/>
        </w:rPr>
        <w:t xml:space="preserve"> I</w:t>
      </w:r>
      <w:r w:rsidRPr="004A5BF2">
        <w:rPr>
          <w:rFonts w:ascii="宋体" w:eastAsia="宋体" w:hAnsi="宋体" w:cs="宋体" w:hint="eastAsia"/>
          <w:kern w:val="0"/>
          <w:szCs w:val="21"/>
        </w:rPr>
        <w:t>及利差</w:t>
      </w:r>
      <w:r w:rsidRPr="004A5BF2">
        <w:rPr>
          <w:rFonts w:ascii="Times New Roman" w:eastAsia="宋体" w:hAnsi="Times New Roman" w:cs="Times New Roman"/>
          <w:kern w:val="0"/>
          <w:szCs w:val="21"/>
        </w:rPr>
        <w:t xml:space="preserve"> II</w:t>
      </w:r>
      <w:r w:rsidRPr="004A5BF2">
        <w:rPr>
          <w:rFonts w:ascii="宋体" w:eastAsia="宋体" w:hAnsi="宋体" w:cs="宋体" w:hint="eastAsia"/>
          <w:kern w:val="0"/>
          <w:szCs w:val="21"/>
        </w:rPr>
        <w:t>的差异均显著，反映出</w:t>
      </w:r>
      <w:r w:rsidRPr="004A5BF2">
        <w:rPr>
          <w:rFonts w:ascii="Times New Roman" w:eastAsia="宋体" w:hAnsi="Times New Roman" w:cs="Times New Roman"/>
          <w:kern w:val="0"/>
          <w:szCs w:val="21"/>
        </w:rPr>
        <w:t xml:space="preserve"> AAA </w:t>
      </w:r>
      <w:r w:rsidRPr="004A5BF2">
        <w:rPr>
          <w:rFonts w:ascii="宋体" w:eastAsia="宋体" w:hAnsi="宋体" w:cs="宋体" w:hint="eastAsia"/>
          <w:kern w:val="0"/>
          <w:szCs w:val="21"/>
        </w:rPr>
        <w:t>级与</w:t>
      </w:r>
      <w:r w:rsidRPr="004A5BF2">
        <w:rPr>
          <w:rFonts w:ascii="Times New Roman" w:eastAsia="宋体" w:hAnsi="Times New Roman" w:cs="Times New Roman"/>
          <w:kern w:val="0"/>
          <w:szCs w:val="21"/>
        </w:rPr>
        <w:t xml:space="preserve"> AA+</w:t>
      </w:r>
      <w:r w:rsidRPr="004A5BF2">
        <w:rPr>
          <w:rFonts w:ascii="宋体" w:eastAsia="宋体" w:hAnsi="宋体" w:cs="宋体" w:hint="eastAsia"/>
          <w:kern w:val="0"/>
          <w:szCs w:val="21"/>
        </w:rPr>
        <w:t>级对</w:t>
      </w:r>
      <w:proofErr w:type="gramStart"/>
      <w:r w:rsidRPr="004A5BF2">
        <w:rPr>
          <w:rFonts w:ascii="宋体" w:eastAsia="宋体" w:hAnsi="宋体" w:cs="宋体" w:hint="eastAsia"/>
          <w:kern w:val="0"/>
          <w:szCs w:val="21"/>
        </w:rPr>
        <w:t>短融风险</w:t>
      </w:r>
      <w:proofErr w:type="gramEnd"/>
      <w:r w:rsidRPr="004A5BF2">
        <w:rPr>
          <w:rFonts w:ascii="宋体" w:eastAsia="宋体" w:hAnsi="宋体" w:cs="宋体" w:hint="eastAsia"/>
          <w:kern w:val="0"/>
          <w:szCs w:val="21"/>
        </w:rPr>
        <w:t>定价的区分程度不强，而</w:t>
      </w:r>
      <w:r w:rsidRPr="004A5BF2">
        <w:rPr>
          <w:rFonts w:ascii="Times New Roman" w:eastAsia="宋体" w:hAnsi="Times New Roman" w:cs="Times New Roman"/>
          <w:kern w:val="0"/>
          <w:szCs w:val="21"/>
        </w:rPr>
        <w:t xml:space="preserve"> A+</w:t>
      </w:r>
      <w:r w:rsidRPr="004A5BF2">
        <w:rPr>
          <w:rFonts w:ascii="宋体" w:eastAsia="宋体" w:hAnsi="宋体" w:cs="宋体" w:hint="eastAsia"/>
          <w:kern w:val="0"/>
          <w:szCs w:val="21"/>
        </w:rPr>
        <w:t>级样本数量较少，可能对检验结果的准确性有所影响。</w:t>
      </w:r>
    </w:p>
    <w:p w:rsidR="004A5BF2" w:rsidRPr="004A5BF2" w:rsidRDefault="004A5BF2" w:rsidP="004A5BF2">
      <w:pPr>
        <w:widowControl/>
        <w:spacing w:before="100" w:beforeAutospacing="1" w:after="100" w:afterAutospacing="1"/>
        <w:jc w:val="center"/>
        <w:rPr>
          <w:rFonts w:ascii="宋体" w:eastAsia="宋体" w:hAnsi="宋体" w:cs="宋体" w:hint="eastAsia"/>
          <w:kern w:val="0"/>
          <w:szCs w:val="21"/>
        </w:rPr>
      </w:pPr>
      <w:r w:rsidRPr="004A5BF2">
        <w:rPr>
          <w:rFonts w:ascii="宋体" w:eastAsia="宋体" w:hAnsi="宋体" w:cs="宋体"/>
          <w:noProof/>
          <w:kern w:val="0"/>
          <w:szCs w:val="21"/>
        </w:rPr>
        <w:drawing>
          <wp:inline distT="0" distB="0" distL="0" distR="0">
            <wp:extent cx="4276725" cy="1571625"/>
            <wp:effectExtent l="0" t="0" r="9525" b="9525"/>
            <wp:docPr id="1" name="图片 1" descr="http://lhcis.com/LHXY/wwwroot/lhxy/upload/Image/mrtp/2015/04/1_3617626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cis.com/LHXY/wwwroot/lhxy/upload/Image/mrtp/2015/04/1_36176264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宋体" w:eastAsia="宋体" w:hAnsi="宋体" w:cs="宋体" w:hint="eastAsia"/>
          <w:kern w:val="0"/>
          <w:szCs w:val="21"/>
        </w:rPr>
        <w:t> </w:t>
      </w:r>
    </w:p>
    <w:p w:rsidR="004A5BF2" w:rsidRPr="004A5BF2" w:rsidRDefault="004A5BF2" w:rsidP="004A5BF2">
      <w:pPr>
        <w:widowControl/>
        <w:spacing w:before="100" w:beforeAutospacing="1" w:after="100" w:afterAutospacing="1" w:line="240" w:lineRule="exact"/>
        <w:ind w:rightChars="87" w:right="183"/>
        <w:jc w:val="left"/>
        <w:rPr>
          <w:rFonts w:ascii="宋体" w:eastAsia="宋体" w:hAnsi="宋体" w:cs="宋体" w:hint="eastAsia"/>
          <w:kern w:val="0"/>
          <w:sz w:val="24"/>
          <w:szCs w:val="24"/>
        </w:rPr>
      </w:pPr>
      <w:r w:rsidRPr="004A5BF2">
        <w:rPr>
          <w:rFonts w:ascii="宋体" w:eastAsia="宋体" w:hAnsi="宋体" w:cs="宋体"/>
          <w:kern w:val="0"/>
          <w:sz w:val="24"/>
          <w:szCs w:val="24"/>
          <w:vertAlign w:val="superscript"/>
        </w:rPr>
        <w:t>1</w:t>
      </w:r>
      <w:r w:rsidRPr="004A5BF2">
        <w:rPr>
          <w:rFonts w:ascii="宋体" w:eastAsia="宋体" w:hAnsi="宋体" w:cs="宋体"/>
          <w:kern w:val="0"/>
          <w:sz w:val="24"/>
          <w:szCs w:val="24"/>
        </w:rPr>
        <w:t xml:space="preserve">2015 年 2 月 5 日，中国人民银行下调金融机构人民币存款准备金率 0.5 </w:t>
      </w:r>
      <w:proofErr w:type="gramStart"/>
      <w:r w:rsidRPr="004A5BF2">
        <w:rPr>
          <w:rFonts w:ascii="宋体" w:eastAsia="宋体" w:hAnsi="宋体" w:cs="宋体"/>
          <w:kern w:val="0"/>
          <w:sz w:val="24"/>
          <w:szCs w:val="24"/>
        </w:rPr>
        <w:t>个</w:t>
      </w:r>
      <w:proofErr w:type="gramEnd"/>
      <w:r w:rsidRPr="004A5BF2">
        <w:rPr>
          <w:rFonts w:ascii="宋体" w:eastAsia="宋体" w:hAnsi="宋体" w:cs="宋体"/>
          <w:kern w:val="0"/>
          <w:sz w:val="24"/>
          <w:szCs w:val="24"/>
        </w:rPr>
        <w:t>百分点。同时，对小</w:t>
      </w:r>
      <w:proofErr w:type="gramStart"/>
      <w:r w:rsidRPr="004A5BF2">
        <w:rPr>
          <w:rFonts w:ascii="宋体" w:eastAsia="宋体" w:hAnsi="宋体" w:cs="宋体"/>
          <w:kern w:val="0"/>
          <w:sz w:val="24"/>
          <w:szCs w:val="24"/>
        </w:rPr>
        <w:t>微企业</w:t>
      </w:r>
      <w:proofErr w:type="gramEnd"/>
      <w:r w:rsidRPr="004A5BF2">
        <w:rPr>
          <w:rFonts w:ascii="宋体" w:eastAsia="宋体" w:hAnsi="宋体" w:cs="宋体"/>
          <w:kern w:val="0"/>
          <w:sz w:val="24"/>
          <w:szCs w:val="24"/>
        </w:rPr>
        <w:t>贷款占比达到定向</w:t>
      </w:r>
      <w:proofErr w:type="gramStart"/>
      <w:r w:rsidRPr="004A5BF2">
        <w:rPr>
          <w:rFonts w:ascii="宋体" w:eastAsia="宋体" w:hAnsi="宋体" w:cs="宋体"/>
          <w:kern w:val="0"/>
          <w:sz w:val="24"/>
          <w:szCs w:val="24"/>
        </w:rPr>
        <w:t>降准标准</w:t>
      </w:r>
      <w:proofErr w:type="gramEnd"/>
      <w:r w:rsidRPr="004A5BF2">
        <w:rPr>
          <w:rFonts w:ascii="宋体" w:eastAsia="宋体" w:hAnsi="宋体" w:cs="宋体"/>
          <w:kern w:val="0"/>
          <w:sz w:val="24"/>
          <w:szCs w:val="24"/>
        </w:rPr>
        <w:t xml:space="preserve">的城市商业银行、非县域农村商业银行额外降低人民币存款准备金率 0.5 </w:t>
      </w:r>
      <w:proofErr w:type="gramStart"/>
      <w:r w:rsidRPr="004A5BF2">
        <w:rPr>
          <w:rFonts w:ascii="宋体" w:eastAsia="宋体" w:hAnsi="宋体" w:cs="宋体"/>
          <w:kern w:val="0"/>
          <w:sz w:val="24"/>
          <w:szCs w:val="24"/>
        </w:rPr>
        <w:t>个</w:t>
      </w:r>
      <w:proofErr w:type="gramEnd"/>
      <w:r w:rsidRPr="004A5BF2">
        <w:rPr>
          <w:rFonts w:ascii="宋体" w:eastAsia="宋体" w:hAnsi="宋体" w:cs="宋体"/>
          <w:kern w:val="0"/>
          <w:sz w:val="24"/>
          <w:szCs w:val="24"/>
        </w:rPr>
        <w:t xml:space="preserve">百分点，对中国农业发展银行额外降低人民币存款准备金率 4 </w:t>
      </w:r>
      <w:proofErr w:type="gramStart"/>
      <w:r w:rsidRPr="004A5BF2">
        <w:rPr>
          <w:rFonts w:ascii="宋体" w:eastAsia="宋体" w:hAnsi="宋体" w:cs="宋体"/>
          <w:kern w:val="0"/>
          <w:sz w:val="24"/>
          <w:szCs w:val="24"/>
        </w:rPr>
        <w:t>个</w:t>
      </w:r>
      <w:proofErr w:type="gramEnd"/>
      <w:r w:rsidRPr="004A5BF2">
        <w:rPr>
          <w:rFonts w:ascii="宋体" w:eastAsia="宋体" w:hAnsi="宋体" w:cs="宋体"/>
          <w:kern w:val="0"/>
          <w:sz w:val="24"/>
          <w:szCs w:val="24"/>
        </w:rPr>
        <w:t>百分点。</w:t>
      </w:r>
    </w:p>
    <w:p w:rsidR="004A5BF2" w:rsidRPr="004A5BF2" w:rsidRDefault="004A5BF2" w:rsidP="004A5BF2">
      <w:pPr>
        <w:widowControl/>
        <w:spacing w:before="100" w:beforeAutospacing="1" w:after="100" w:afterAutospacing="1" w:line="240" w:lineRule="exact"/>
        <w:ind w:rightChars="87" w:right="183"/>
        <w:jc w:val="left"/>
        <w:rPr>
          <w:rFonts w:ascii="宋体" w:eastAsia="宋体" w:hAnsi="宋体" w:cs="宋体"/>
          <w:kern w:val="0"/>
          <w:sz w:val="24"/>
          <w:szCs w:val="24"/>
        </w:rPr>
      </w:pPr>
      <w:r w:rsidRPr="004A5BF2">
        <w:rPr>
          <w:rFonts w:ascii="宋体" w:eastAsia="宋体" w:hAnsi="宋体" w:cs="宋体"/>
          <w:kern w:val="0"/>
          <w:sz w:val="24"/>
          <w:szCs w:val="24"/>
          <w:vertAlign w:val="superscript"/>
        </w:rPr>
        <w:t>2</w:t>
      </w:r>
      <w:r w:rsidRPr="004A5BF2">
        <w:rPr>
          <w:rFonts w:ascii="宋体" w:eastAsia="宋体" w:hAnsi="宋体" w:cs="宋体"/>
          <w:kern w:val="0"/>
          <w:sz w:val="24"/>
          <w:szCs w:val="24"/>
        </w:rPr>
        <w:t>2015 年 3 月 1 日，中国人民银行下调金融机构一年</w:t>
      </w:r>
      <w:proofErr w:type="gramStart"/>
      <w:r w:rsidRPr="004A5BF2">
        <w:rPr>
          <w:rFonts w:ascii="宋体" w:eastAsia="宋体" w:hAnsi="宋体" w:cs="宋体"/>
          <w:kern w:val="0"/>
          <w:sz w:val="24"/>
          <w:szCs w:val="24"/>
        </w:rPr>
        <w:t>期贷</w:t>
      </w:r>
      <w:proofErr w:type="gramEnd"/>
      <w:r w:rsidRPr="004A5BF2">
        <w:rPr>
          <w:rFonts w:ascii="宋体" w:eastAsia="宋体" w:hAnsi="宋体" w:cs="宋体"/>
          <w:kern w:val="0"/>
          <w:sz w:val="24"/>
          <w:szCs w:val="24"/>
        </w:rPr>
        <w:t xml:space="preserve">款基准利率 0.25 </w:t>
      </w:r>
      <w:proofErr w:type="gramStart"/>
      <w:r w:rsidRPr="004A5BF2">
        <w:rPr>
          <w:rFonts w:ascii="宋体" w:eastAsia="宋体" w:hAnsi="宋体" w:cs="宋体"/>
          <w:kern w:val="0"/>
          <w:sz w:val="24"/>
          <w:szCs w:val="24"/>
        </w:rPr>
        <w:t>个</w:t>
      </w:r>
      <w:proofErr w:type="gramEnd"/>
      <w:r w:rsidRPr="004A5BF2">
        <w:rPr>
          <w:rFonts w:ascii="宋体" w:eastAsia="宋体" w:hAnsi="宋体" w:cs="宋体"/>
          <w:kern w:val="0"/>
          <w:sz w:val="24"/>
          <w:szCs w:val="24"/>
        </w:rPr>
        <w:t>百分点至 5.35%，其他各档次贷款基准利率相应调整。</w:t>
      </w:r>
    </w:p>
    <w:p w:rsidR="004A5BF2" w:rsidRPr="004A5BF2" w:rsidRDefault="004A5BF2" w:rsidP="004A5BF2">
      <w:pPr>
        <w:widowControl/>
        <w:spacing w:before="100" w:beforeAutospacing="1" w:after="100" w:afterAutospacing="1" w:line="240" w:lineRule="exact"/>
        <w:ind w:rightChars="87" w:right="183"/>
        <w:jc w:val="left"/>
        <w:rPr>
          <w:rFonts w:ascii="宋体" w:eastAsia="宋体" w:hAnsi="宋体" w:cs="宋体"/>
          <w:kern w:val="0"/>
          <w:sz w:val="24"/>
          <w:szCs w:val="24"/>
        </w:rPr>
      </w:pPr>
      <w:r w:rsidRPr="004A5BF2">
        <w:rPr>
          <w:rFonts w:ascii="宋体" w:eastAsia="宋体" w:hAnsi="宋体" w:cs="宋体"/>
          <w:kern w:val="0"/>
          <w:sz w:val="24"/>
          <w:szCs w:val="24"/>
          <w:vertAlign w:val="superscript"/>
        </w:rPr>
        <w:t xml:space="preserve">3 </w:t>
      </w:r>
      <w:r w:rsidRPr="004A5BF2">
        <w:rPr>
          <w:rFonts w:ascii="宋体" w:eastAsia="宋体" w:hAnsi="宋体" w:cs="宋体"/>
          <w:kern w:val="0"/>
          <w:sz w:val="24"/>
          <w:szCs w:val="24"/>
        </w:rPr>
        <w:t>数据来源：Wind 资讯。</w:t>
      </w:r>
    </w:p>
    <w:p w:rsidR="004A5BF2" w:rsidRPr="004A5BF2" w:rsidRDefault="004A5BF2" w:rsidP="004A5BF2">
      <w:pPr>
        <w:widowControl/>
        <w:spacing w:before="100" w:beforeAutospacing="1" w:after="100" w:afterAutospacing="1" w:line="240" w:lineRule="exact"/>
        <w:ind w:rightChars="87" w:right="183"/>
        <w:jc w:val="left"/>
        <w:rPr>
          <w:rFonts w:ascii="宋体" w:eastAsia="宋体" w:hAnsi="宋体" w:cs="宋体"/>
          <w:kern w:val="0"/>
          <w:sz w:val="24"/>
          <w:szCs w:val="24"/>
        </w:rPr>
      </w:pPr>
      <w:r w:rsidRPr="004A5BF2">
        <w:rPr>
          <w:rFonts w:ascii="宋体" w:eastAsia="宋体" w:hAnsi="宋体" w:cs="宋体"/>
          <w:kern w:val="0"/>
          <w:sz w:val="24"/>
          <w:szCs w:val="24"/>
          <w:vertAlign w:val="superscript"/>
        </w:rPr>
        <w:t>4</w:t>
      </w:r>
      <w:r w:rsidRPr="004A5BF2">
        <w:rPr>
          <w:rFonts w:ascii="宋体" w:eastAsia="宋体" w:hAnsi="宋体" w:cs="宋体"/>
          <w:kern w:val="0"/>
          <w:sz w:val="24"/>
          <w:szCs w:val="24"/>
        </w:rPr>
        <w:t>2014 年 11 月 22 日，中国人民银行下调金融机构一年</w:t>
      </w:r>
      <w:proofErr w:type="gramStart"/>
      <w:r w:rsidRPr="004A5BF2">
        <w:rPr>
          <w:rFonts w:ascii="宋体" w:eastAsia="宋体" w:hAnsi="宋体" w:cs="宋体"/>
          <w:kern w:val="0"/>
          <w:sz w:val="24"/>
          <w:szCs w:val="24"/>
        </w:rPr>
        <w:t>期贷</w:t>
      </w:r>
      <w:proofErr w:type="gramEnd"/>
      <w:r w:rsidRPr="004A5BF2">
        <w:rPr>
          <w:rFonts w:ascii="宋体" w:eastAsia="宋体" w:hAnsi="宋体" w:cs="宋体"/>
          <w:kern w:val="0"/>
          <w:sz w:val="24"/>
          <w:szCs w:val="24"/>
        </w:rPr>
        <w:t xml:space="preserve">款基准利率 0.40 </w:t>
      </w:r>
      <w:proofErr w:type="gramStart"/>
      <w:r w:rsidRPr="004A5BF2">
        <w:rPr>
          <w:rFonts w:ascii="宋体" w:eastAsia="宋体" w:hAnsi="宋体" w:cs="宋体"/>
          <w:kern w:val="0"/>
          <w:sz w:val="24"/>
          <w:szCs w:val="24"/>
        </w:rPr>
        <w:t>个</w:t>
      </w:r>
      <w:proofErr w:type="gramEnd"/>
      <w:r w:rsidRPr="004A5BF2">
        <w:rPr>
          <w:rFonts w:ascii="宋体" w:eastAsia="宋体" w:hAnsi="宋体" w:cs="宋体"/>
          <w:kern w:val="0"/>
          <w:sz w:val="24"/>
          <w:szCs w:val="24"/>
        </w:rPr>
        <w:t>百分点至 5.60%，其他各档次贷款基准利率相应调整。</w:t>
      </w:r>
    </w:p>
    <w:p w:rsidR="004A5BF2" w:rsidRPr="004A5BF2" w:rsidRDefault="004A5BF2" w:rsidP="004A5BF2">
      <w:pPr>
        <w:widowControl/>
        <w:spacing w:before="100" w:beforeAutospacing="1" w:after="100" w:afterAutospacing="1"/>
        <w:jc w:val="left"/>
        <w:rPr>
          <w:rFonts w:ascii="宋体" w:eastAsia="宋体" w:hAnsi="宋体" w:cs="宋体"/>
          <w:kern w:val="0"/>
          <w:szCs w:val="21"/>
        </w:rPr>
      </w:pPr>
      <w:r w:rsidRPr="004A5BF2">
        <w:rPr>
          <w:rFonts w:ascii="宋体" w:eastAsia="宋体" w:hAnsi="宋体" w:cs="宋体" w:hint="eastAsia"/>
          <w:kern w:val="0"/>
          <w:szCs w:val="21"/>
          <w:vertAlign w:val="superscript"/>
        </w:rPr>
        <w:t>5</w:t>
      </w:r>
      <w:r w:rsidRPr="004A5BF2">
        <w:rPr>
          <w:rFonts w:ascii="宋体" w:eastAsia="宋体" w:hAnsi="宋体" w:cs="宋体" w:hint="eastAsia"/>
          <w:kern w:val="0"/>
          <w:szCs w:val="21"/>
        </w:rPr>
        <w:t xml:space="preserve">显著性检验采用 </w:t>
      </w:r>
      <w:proofErr w:type="spellStart"/>
      <w:r w:rsidRPr="004A5BF2">
        <w:rPr>
          <w:rFonts w:ascii="宋体" w:eastAsia="宋体" w:hAnsi="宋体" w:cs="宋体" w:hint="eastAsia"/>
          <w:kern w:val="0"/>
          <w:szCs w:val="21"/>
        </w:rPr>
        <w:t>Scheffe</w:t>
      </w:r>
      <w:proofErr w:type="spellEnd"/>
      <w:r w:rsidRPr="004A5BF2">
        <w:rPr>
          <w:rFonts w:ascii="宋体" w:eastAsia="宋体" w:hAnsi="宋体" w:cs="宋体" w:hint="eastAsia"/>
          <w:kern w:val="0"/>
          <w:szCs w:val="21"/>
        </w:rPr>
        <w:t xml:space="preserve"> 检验方法。在 95%的置信水平下，当 P 值小于 5%，则检验结果显著，否则不显著。</w:t>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宋体" w:eastAsia="宋体" w:hAnsi="宋体" w:cs="宋体" w:hint="eastAsia"/>
          <w:kern w:val="0"/>
          <w:szCs w:val="21"/>
        </w:rPr>
        <w:t> </w:t>
      </w:r>
    </w:p>
    <w:p w:rsidR="004A5BF2" w:rsidRPr="004A5BF2" w:rsidRDefault="004A5BF2" w:rsidP="004A5BF2">
      <w:pPr>
        <w:widowControl/>
        <w:spacing w:before="100" w:beforeAutospacing="1" w:after="100" w:afterAutospacing="1"/>
        <w:jc w:val="left"/>
        <w:rPr>
          <w:rFonts w:ascii="宋体" w:eastAsia="宋体" w:hAnsi="宋体" w:cs="宋体" w:hint="eastAsia"/>
          <w:kern w:val="0"/>
          <w:szCs w:val="21"/>
        </w:rPr>
      </w:pPr>
      <w:r w:rsidRPr="004A5BF2">
        <w:rPr>
          <w:rFonts w:ascii="宋体" w:eastAsia="宋体" w:hAnsi="宋体" w:cs="宋体" w:hint="eastAsia"/>
          <w:kern w:val="0"/>
          <w:szCs w:val="21"/>
        </w:rPr>
        <w:lastRenderedPageBreak/>
        <w:t>作者：联</w:t>
      </w:r>
      <w:proofErr w:type="gramStart"/>
      <w:r w:rsidRPr="004A5BF2">
        <w:rPr>
          <w:rFonts w:ascii="宋体" w:eastAsia="宋体" w:hAnsi="宋体" w:cs="宋体" w:hint="eastAsia"/>
          <w:kern w:val="0"/>
          <w:szCs w:val="21"/>
        </w:rPr>
        <w:t>合资信</w:t>
      </w:r>
      <w:proofErr w:type="gramEnd"/>
      <w:r w:rsidRPr="004A5BF2">
        <w:rPr>
          <w:rFonts w:ascii="宋体" w:eastAsia="宋体" w:hAnsi="宋体" w:cs="宋体" w:hint="eastAsia"/>
          <w:kern w:val="0"/>
          <w:szCs w:val="21"/>
        </w:rPr>
        <w:t>评估有限公司</w:t>
      </w:r>
      <w:r w:rsidRPr="004A5BF2">
        <w:rPr>
          <w:rFonts w:ascii="宋体" w:eastAsia="宋体" w:hAnsi="宋体" w:cs="宋体" w:hint="eastAsia"/>
          <w:kern w:val="0"/>
        </w:rPr>
        <w:t xml:space="preserve">  </w:t>
      </w:r>
      <w:r w:rsidRPr="004A5BF2">
        <w:rPr>
          <w:rFonts w:ascii="宋体" w:eastAsia="宋体" w:hAnsi="宋体" w:cs="宋体" w:hint="eastAsia"/>
          <w:kern w:val="0"/>
          <w:szCs w:val="21"/>
        </w:rPr>
        <w:t>王柠</w:t>
      </w:r>
      <w:r w:rsidRPr="004A5BF2">
        <w:rPr>
          <w:rFonts w:ascii="宋体" w:eastAsia="宋体" w:hAnsi="宋体" w:cs="宋体" w:hint="eastAsia"/>
          <w:kern w:val="0"/>
        </w:rPr>
        <w:t xml:space="preserve"> </w:t>
      </w:r>
      <w:r w:rsidRPr="004A5BF2">
        <w:rPr>
          <w:rFonts w:ascii="宋体" w:eastAsia="宋体" w:hAnsi="宋体" w:cs="宋体" w:hint="eastAsia"/>
          <w:kern w:val="0"/>
          <w:szCs w:val="21"/>
        </w:rPr>
        <w:t>刘艳</w:t>
      </w:r>
      <w:r w:rsidRPr="004A5BF2">
        <w:rPr>
          <w:rFonts w:ascii="宋体" w:eastAsia="宋体" w:hAnsi="宋体" w:cs="宋体" w:hint="eastAsia"/>
          <w:kern w:val="0"/>
        </w:rPr>
        <w:t xml:space="preserve"> </w:t>
      </w:r>
      <w:proofErr w:type="gramStart"/>
      <w:r w:rsidRPr="004A5BF2">
        <w:rPr>
          <w:rFonts w:ascii="宋体" w:eastAsia="宋体" w:hAnsi="宋体" w:cs="宋体" w:hint="eastAsia"/>
          <w:kern w:val="0"/>
          <w:szCs w:val="21"/>
        </w:rPr>
        <w:t>聂</w:t>
      </w:r>
      <w:proofErr w:type="gramEnd"/>
      <w:r w:rsidRPr="004A5BF2">
        <w:rPr>
          <w:rFonts w:ascii="宋体" w:eastAsia="宋体" w:hAnsi="宋体" w:cs="宋体" w:hint="eastAsia"/>
          <w:kern w:val="0"/>
          <w:szCs w:val="21"/>
        </w:rPr>
        <w:t>逆</w:t>
      </w:r>
    </w:p>
    <w:p w:rsidR="00180A7E" w:rsidRPr="004A5BF2" w:rsidRDefault="00180A7E"/>
    <w:sectPr w:rsidR="00180A7E" w:rsidRPr="004A5B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F2"/>
    <w:rsid w:val="00180A7E"/>
    <w:rsid w:val="004A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3B97D-E1DF-41EF-989D-25399D0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5B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XueYuan</dc:creator>
  <cp:keywords/>
  <dc:description/>
  <cp:lastModifiedBy>XueYuan</cp:lastModifiedBy>
  <cp:revision>2</cp:revision>
  <dcterms:created xsi:type="dcterms:W3CDTF">2017-09-06T07:26:00Z</dcterms:created>
  <dcterms:modified xsi:type="dcterms:W3CDTF">2017-09-06T07:26:00Z</dcterms:modified>
</cp:coreProperties>
</file>