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7"/>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851"/>
        <w:gridCol w:w="1161"/>
        <w:gridCol w:w="1441"/>
        <w:gridCol w:w="1455"/>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before="0" w:beforeLines="0"/>
              <w:textAlignment w:val="auto"/>
              <w:rPr>
                <w:rFonts w:ascii="Times New Roman" w:hAnsi="Times New Roman" w:eastAsia="宋体" w:cs="Times New Roman"/>
                <w:szCs w:val="21"/>
              </w:rPr>
            </w:pPr>
            <w:r>
              <w:rPr>
                <w:rFonts w:hint="eastAsia" w:ascii="Times New Roman" w:hAnsi="Times New Roman" w:eastAsia="宋体" w:cs="Times New Roman"/>
                <w:b w:val="0"/>
                <w:kern w:val="2"/>
                <w:sz w:val="21"/>
                <w:szCs w:val="21"/>
                <w:lang w:val="en-US" w:eastAsia="zh-CN" w:bidi="ar-SA"/>
              </w:rPr>
              <w:t>宜都兴发化工有限公司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color w:val="auto"/>
              </w:rPr>
              <w:t>2万吨/年液体三氧化硫项目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石油加工业，化学原料、化学品及医药制造业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9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9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lang w:eastAsia="zh-CN"/>
              </w:rPr>
              <w:t>夏</w:t>
            </w:r>
            <w:r>
              <w:rPr>
                <w:rFonts w:hint="eastAsia" w:ascii="Times New Roman" w:hAnsi="Times New Roman" w:cs="Times New Roman"/>
                <w:szCs w:val="21"/>
                <w:lang w:val="en-US" w:eastAsia="zh-CN"/>
              </w:rPr>
              <w:t xml:space="preserve">  </w:t>
            </w:r>
            <w:r>
              <w:rPr>
                <w:rFonts w:hint="eastAsia" w:ascii="Times New Roman" w:hAnsi="Times New Roman" w:cs="Times New Roman"/>
                <w:szCs w:val="21"/>
                <w:lang w:eastAsia="zh-CN"/>
              </w:rPr>
              <w:t>鹏</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王冬梅</w:t>
            </w:r>
          </w:p>
        </w:tc>
        <w:tc>
          <w:tcPr>
            <w:tcW w:w="3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default" w:ascii="Times New Roman" w:hAnsi="Times New Roman" w:eastAsia="宋体" w:cs="Times New Roman"/>
                <w:color w:val="auto"/>
                <w:kern w:val="2"/>
                <w:sz w:val="24"/>
                <w:szCs w:val="24"/>
                <w:highlight w:val="none"/>
                <w:lang w:val="en-US" w:eastAsia="zh-CN" w:bidi="ar-SA"/>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9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9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color w:val="000000" w:themeColor="text1"/>
                <w:szCs w:val="21"/>
                <w:lang w:eastAsia="zh-CN"/>
              </w:rPr>
            </w:pPr>
            <w:r>
              <w:rPr>
                <w:rFonts w:hint="eastAsia" w:ascii="Times New Roman" w:hAnsi="Times New Roman" w:cs="Times New Roman"/>
                <w:color w:val="000000" w:themeColor="text1"/>
                <w:szCs w:val="28"/>
                <w:lang w:eastAsia="zh-CN"/>
              </w:rPr>
              <w:t>鲁小芳、冀仕盛</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2021.8.18</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8"/>
                <w:lang w:eastAsia="zh-CN"/>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周智鑫</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化工工艺</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035980/S011032000110192001446</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42190219314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eastAsia" w:ascii="Times New Roman" w:hAnsi="Times New Roman" w:cs="Times New Roman"/>
                <w:szCs w:val="21"/>
                <w:lang w:eastAsia="zh-CN"/>
              </w:rPr>
              <w:t>夏</w:t>
            </w:r>
            <w:r>
              <w:rPr>
                <w:rFonts w:hint="eastAsia" w:ascii="Times New Roman" w:hAnsi="Times New Roman" w:cs="Times New Roman"/>
                <w:szCs w:val="21"/>
                <w:lang w:val="en-US" w:eastAsia="zh-CN"/>
              </w:rPr>
              <w:t xml:space="preserve">  </w:t>
            </w:r>
            <w:r>
              <w:rPr>
                <w:rFonts w:hint="eastAsia" w:ascii="Times New Roman" w:hAnsi="Times New Roman" w:cs="Times New Roman"/>
                <w:szCs w:val="21"/>
                <w:lang w:eastAsia="zh-CN"/>
              </w:rPr>
              <w:t>鹏</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eastAsia" w:ascii="Times New Roman" w:hAnsi="Times New Roman" w:cs="Times New Roman"/>
                <w:szCs w:val="21"/>
                <w:lang w:eastAsia="zh-CN"/>
              </w:rPr>
              <w:t>化工工艺</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035984/S011032000110192000988</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吴迎春</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化工工艺</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033392</w:t>
            </w: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1800000000200430</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42180199403</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王正飞</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自动化</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035979/S011032000110192001415</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42190219274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冀仕盛</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olor w:val="auto"/>
                <w:sz w:val="24"/>
                <w:szCs w:val="24"/>
              </w:rPr>
              <w:t>电气</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012346</w:t>
            </w:r>
            <w:r>
              <w:rPr>
                <w:rFonts w:hint="default" w:ascii="Times New Roman" w:hAnsi="Times New Roman" w:cs="Times New Roman" w:eastAsiaTheme="minorEastAsia"/>
                <w:szCs w:val="21"/>
                <w:lang w:val="en-US" w:eastAsia="zh-CN"/>
              </w:rPr>
              <w:t>/</w:t>
            </w:r>
            <w:r>
              <w:rPr>
                <w:rFonts w:hint="eastAsia" w:ascii="Times New Roman" w:hAnsi="Times New Roman" w:cs="Times New Roman" w:eastAsiaTheme="minorEastAsia"/>
                <w:szCs w:val="21"/>
                <w:lang w:val="en-US" w:eastAsia="zh-CN"/>
              </w:rPr>
              <w:t>0800000000207709</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鲁小芳</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安全</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036168/S011032000110193000940</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张  苛</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化工</w:t>
            </w:r>
            <w:r>
              <w:rPr>
                <w:rFonts w:hint="eastAsia" w:ascii="Times New Roman" w:hAnsi="Times New Roman" w:eastAsia="宋体" w:cs="Times New Roman"/>
                <w:szCs w:val="21"/>
              </w:rPr>
              <w:t>工艺/化工机械</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028935/1600000000200959</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eastAsia" w:ascii="Times New Roman" w:hAnsi="Times New Roman" w:cs="Times New Roman"/>
                <w:szCs w:val="28"/>
              </w:rPr>
              <w:t>42180199401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余海波</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color w:val="auto"/>
                <w:kern w:val="2"/>
                <w:sz w:val="24"/>
                <w:szCs w:val="24"/>
                <w:highlight w:val="none"/>
                <w:lang w:val="en-US" w:eastAsia="zh-CN" w:bidi="ar-SA"/>
              </w:rPr>
              <w:t>机械</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036169</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lang w:val="en-US" w:eastAsia="zh-CN"/>
              </w:rPr>
              <w:t>S011032000110193001025</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王冬梅</w:t>
            </w:r>
          </w:p>
        </w:tc>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化工工艺</w:t>
            </w:r>
          </w:p>
        </w:tc>
        <w:tc>
          <w:tcPr>
            <w:tcW w:w="26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030942</w:t>
            </w:r>
            <w:r>
              <w:rPr>
                <w:rFonts w:hint="eastAsia" w:ascii="Times New Roman" w:hAnsi="Times New Roman" w:eastAsia="宋体" w:cs="Times New Roman"/>
                <w:szCs w:val="21"/>
                <w:lang w:val="en-US" w:eastAsia="zh-CN"/>
              </w:rPr>
              <w:t>/S011032000110191000567</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eastAsia" w:ascii="Times New Roman" w:hAnsi="Times New Roman" w:cs="Times New Roman"/>
                <w:szCs w:val="28"/>
                <w:lang w:val="en-US" w:eastAsia="zh-CN"/>
              </w:rPr>
              <w:t>42180175741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rPr>
            </w:pPr>
            <w:r>
              <w:rPr>
                <w:rFonts w:hint="default"/>
              </w:rPr>
              <w:t>宜都兴发化工有限公司是湖北兴发化工集团股份有限公司（简称兴发集团）的控股子公司。宜都兴发公司成立于2009年，位于兴发集团宜都绿色生态产业园内（宜都市枝城镇三板湖村），法人代表郑光明，注册资本337650万元，现有职工990人。</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pPr>
            <w:r>
              <w:rPr>
                <w:rFonts w:hint="default"/>
              </w:rPr>
              <w:t>宜都兴发化工有限公司现有年产80万吨和120万吨硫磺制酸装置各一套，年产8000吨液体三氧化硫生产装置一套。为进一步满足企业发展的需求，公司建设了年产2万吨液体三氧化硫生产装置，配套建设了液体三氧化硫储罐区及泵区域等辅助设施。本次验收范围为年产2万吨液体三氧化硫生产装置、液体三氧化硫储罐区及泵区域等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6"/>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夏鹏、鲁小芳、</w:t>
            </w:r>
            <w:r>
              <w:rPr>
                <w:rFonts w:hint="eastAsia" w:ascii="Times New Roman" w:hAnsi="Times New Roman" w:cs="Times New Roman"/>
                <w:szCs w:val="21"/>
                <w:lang w:eastAsia="zh-CN"/>
              </w:rPr>
              <w:t>周智鑫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ascii="Times New Roman" w:hAnsi="Times New Roman" w:eastAsia="宋体" w:cs="Times New Roman"/>
                <w:szCs w:val="21"/>
                <w:highlight w:val="none"/>
              </w:rPr>
              <w:t>20</w:t>
            </w:r>
            <w:r>
              <w:rPr>
                <w:rFonts w:hint="eastAsia" w:ascii="Times New Roman" w:hAnsi="Times New Roman" w:eastAsia="宋体" w:cs="Times New Roman"/>
                <w:szCs w:val="21"/>
                <w:highlight w:val="none"/>
                <w:lang w:val="en-US" w:eastAsia="zh-CN"/>
              </w:rPr>
              <w:t>21</w:t>
            </w:r>
            <w:r>
              <w:rPr>
                <w:rFonts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5</w:t>
            </w:r>
            <w:r>
              <w:rPr>
                <w:rFonts w:hint="eastAsia"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8（勘查时间）、2021.7.28（复查</w:t>
            </w:r>
            <w:r>
              <w:rPr>
                <w:rFonts w:hint="eastAsia" w:ascii="Times New Roman" w:hAnsi="Times New Roman" w:eastAsia="宋体" w:cs="Times New Roman"/>
                <w:szCs w:val="21"/>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rPr>
            </w:pPr>
            <w:r>
              <w:rPr>
                <w:rFonts w:hint="eastAsia"/>
              </w:rPr>
              <w:t>1.控制室无便携式有毒气体检测报警仪（用于检测三氧化硫）2只。</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2.储罐区事故应急柜未见不发火花工器具，1套。</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3.液体三氧化硫储罐区入口处及液体三氧化硫生产区未见防静电触摸装置。</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4.储罐区设备及管道未见防灼烫标识。</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5.液体三氧化硫生产区灭火器数量不足16具，</w:t>
            </w:r>
            <w:bookmarkStart w:id="0" w:name="_GoBack"/>
            <w:bookmarkEnd w:id="0"/>
            <w:r>
              <w:rPr>
                <w:rFonts w:hint="eastAsia"/>
              </w:rPr>
              <w:t>现场勘查为12具。</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6.液体三氧化硫储罐区事故应急柜无管道在线堵漏设施。</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7.液体三氧化硫储罐区事故应急柜无药箱。</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8.储罐区事故应急柜无重型防护服。</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9.储罐区无安全警示标识，缺少管道介质流向标识。</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10.液体三氧化硫生产装置区现场压力表红线标识不明显。</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11.液体三氧化硫生产装置区通道不畅通，有堵塞情况。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5"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bidi w:val="0"/>
              <w:jc w:val="both"/>
              <w:rPr>
                <w:rFonts w:hint="eastAsia"/>
                <w:lang w:eastAsia="zh-CN"/>
              </w:rPr>
            </w:pPr>
            <w:r>
              <w:rPr>
                <w:rFonts w:hint="eastAsia"/>
                <w:lang w:eastAsia="zh-CN"/>
              </w:rPr>
              <w:drawing>
                <wp:inline distT="0" distB="0" distL="114300" distR="114300">
                  <wp:extent cx="5266055" cy="1904365"/>
                  <wp:effectExtent l="0" t="0" r="10795" b="635"/>
                  <wp:docPr id="1" name="图片 1" descr="b27f29e28bf385a25d37410e7b64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27f29e28bf385a25d37410e7b640bb"/>
                          <pic:cNvPicPr>
                            <a:picLocks noChangeAspect="1"/>
                          </pic:cNvPicPr>
                        </pic:nvPicPr>
                        <pic:blipFill>
                          <a:blip r:embed="rId4"/>
                          <a:srcRect t="22694" b="3746"/>
                          <a:stretch>
                            <a:fillRect/>
                          </a:stretch>
                        </pic:blipFill>
                        <pic:spPr>
                          <a:xfrm>
                            <a:off x="0" y="0"/>
                            <a:ext cx="5266055" cy="1904365"/>
                          </a:xfrm>
                          <a:prstGeom prst="rect">
                            <a:avLst/>
                          </a:prstGeom>
                        </pic:spPr>
                      </pic:pic>
                    </a:graphicData>
                  </a:graphic>
                </wp:inline>
              </w:drawing>
            </w:r>
          </w:p>
          <w:p>
            <w:pPr>
              <w:bidi w:val="0"/>
              <w:jc w:val="both"/>
            </w:pPr>
            <w:r>
              <w:drawing>
                <wp:inline distT="0" distB="0" distL="114300" distR="114300">
                  <wp:extent cx="5219700" cy="203073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19700" cy="2030730"/>
                          </a:xfrm>
                          <a:prstGeom prst="rect">
                            <a:avLst/>
                          </a:prstGeom>
                          <a:noFill/>
                          <a:ln>
                            <a:noFill/>
                          </a:ln>
                        </pic:spPr>
                      </pic:pic>
                    </a:graphicData>
                  </a:graphic>
                </wp:inline>
              </w:drawing>
            </w:r>
          </w:p>
          <w:p>
            <w:pPr>
              <w:bidi w:val="0"/>
              <w:rPr>
                <w:rFonts w:hint="eastAsia"/>
                <w:lang w:eastAsia="zh-CN"/>
              </w:rPr>
            </w:pPr>
            <w:r>
              <w:rPr>
                <w:rFonts w:hint="eastAsia" w:eastAsia="宋体"/>
                <w:lang w:eastAsia="zh-CN"/>
              </w:rPr>
              <w:drawing>
                <wp:inline distT="0" distB="0" distL="114300" distR="114300">
                  <wp:extent cx="5234940" cy="3145155"/>
                  <wp:effectExtent l="0" t="0" r="3810" b="17145"/>
                  <wp:docPr id="4" name="图片 2" descr="IMG_20210517_11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0210517_110204"/>
                          <pic:cNvPicPr>
                            <a:picLocks noChangeAspect="1"/>
                          </pic:cNvPicPr>
                        </pic:nvPicPr>
                        <pic:blipFill>
                          <a:blip r:embed="rId6"/>
                          <a:srcRect t="6550"/>
                          <a:stretch>
                            <a:fillRect/>
                          </a:stretch>
                        </pic:blipFill>
                        <pic:spPr>
                          <a:xfrm>
                            <a:off x="0" y="0"/>
                            <a:ext cx="5234940" cy="3145155"/>
                          </a:xfrm>
                          <a:prstGeom prst="rect">
                            <a:avLst/>
                          </a:prstGeom>
                          <a:noFill/>
                          <a:ln>
                            <a:noFill/>
                          </a:ln>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32FF9"/>
    <w:rsid w:val="00035D91"/>
    <w:rsid w:val="0006644B"/>
    <w:rsid w:val="0007789C"/>
    <w:rsid w:val="0008447B"/>
    <w:rsid w:val="000C019E"/>
    <w:rsid w:val="000F0D1F"/>
    <w:rsid w:val="001A2140"/>
    <w:rsid w:val="00216717"/>
    <w:rsid w:val="002252BB"/>
    <w:rsid w:val="002452E5"/>
    <w:rsid w:val="00260342"/>
    <w:rsid w:val="002836F3"/>
    <w:rsid w:val="003306E1"/>
    <w:rsid w:val="0033323F"/>
    <w:rsid w:val="00333C8D"/>
    <w:rsid w:val="00363F20"/>
    <w:rsid w:val="003A4866"/>
    <w:rsid w:val="003C11AC"/>
    <w:rsid w:val="00441ECF"/>
    <w:rsid w:val="00443F57"/>
    <w:rsid w:val="004552F3"/>
    <w:rsid w:val="00472297"/>
    <w:rsid w:val="004D16FD"/>
    <w:rsid w:val="004E3860"/>
    <w:rsid w:val="00503B5C"/>
    <w:rsid w:val="00511CC8"/>
    <w:rsid w:val="00522843"/>
    <w:rsid w:val="00562DFB"/>
    <w:rsid w:val="005A2343"/>
    <w:rsid w:val="005E7254"/>
    <w:rsid w:val="005E7707"/>
    <w:rsid w:val="005F3542"/>
    <w:rsid w:val="00602EEA"/>
    <w:rsid w:val="00624703"/>
    <w:rsid w:val="0063569B"/>
    <w:rsid w:val="006C336F"/>
    <w:rsid w:val="006F7F1B"/>
    <w:rsid w:val="007057D1"/>
    <w:rsid w:val="007153A0"/>
    <w:rsid w:val="00721B3F"/>
    <w:rsid w:val="0072260B"/>
    <w:rsid w:val="00754407"/>
    <w:rsid w:val="00762B6B"/>
    <w:rsid w:val="007C40AE"/>
    <w:rsid w:val="0082314C"/>
    <w:rsid w:val="00850D90"/>
    <w:rsid w:val="0088430C"/>
    <w:rsid w:val="008A7027"/>
    <w:rsid w:val="008B6E31"/>
    <w:rsid w:val="008D11A5"/>
    <w:rsid w:val="00930DEA"/>
    <w:rsid w:val="009A0DE0"/>
    <w:rsid w:val="009C52DF"/>
    <w:rsid w:val="00A1528C"/>
    <w:rsid w:val="00A84ACB"/>
    <w:rsid w:val="00AA4740"/>
    <w:rsid w:val="00AC1F21"/>
    <w:rsid w:val="00B25996"/>
    <w:rsid w:val="00B269FD"/>
    <w:rsid w:val="00B6707E"/>
    <w:rsid w:val="00B75E9C"/>
    <w:rsid w:val="00BB7406"/>
    <w:rsid w:val="00BF1A1F"/>
    <w:rsid w:val="00BF1DB1"/>
    <w:rsid w:val="00C2459E"/>
    <w:rsid w:val="00C30872"/>
    <w:rsid w:val="00C32FF9"/>
    <w:rsid w:val="00C42AD8"/>
    <w:rsid w:val="00C457EC"/>
    <w:rsid w:val="00C62E8F"/>
    <w:rsid w:val="00CA77FF"/>
    <w:rsid w:val="00CD410D"/>
    <w:rsid w:val="00D255BC"/>
    <w:rsid w:val="00D42EC0"/>
    <w:rsid w:val="00D54E7F"/>
    <w:rsid w:val="00D85DBF"/>
    <w:rsid w:val="00DC2B70"/>
    <w:rsid w:val="00E0518A"/>
    <w:rsid w:val="00E0520C"/>
    <w:rsid w:val="00E13DF9"/>
    <w:rsid w:val="00E579F5"/>
    <w:rsid w:val="00E950D2"/>
    <w:rsid w:val="00EC685F"/>
    <w:rsid w:val="00EC6932"/>
    <w:rsid w:val="00ED2BA2"/>
    <w:rsid w:val="00F11F3B"/>
    <w:rsid w:val="00F30F60"/>
    <w:rsid w:val="00F31BE4"/>
    <w:rsid w:val="00F34C2B"/>
    <w:rsid w:val="00F54203"/>
    <w:rsid w:val="00F57A83"/>
    <w:rsid w:val="00FA03CB"/>
    <w:rsid w:val="00FB5DDF"/>
    <w:rsid w:val="05E42AA5"/>
    <w:rsid w:val="0CC87E5D"/>
    <w:rsid w:val="0E40580F"/>
    <w:rsid w:val="1F2C72EF"/>
    <w:rsid w:val="2CD91527"/>
    <w:rsid w:val="3ED218E0"/>
    <w:rsid w:val="4365014E"/>
    <w:rsid w:val="44BC33A0"/>
    <w:rsid w:val="5CB5012F"/>
    <w:rsid w:val="6496505F"/>
    <w:rsid w:val="6C3C7313"/>
    <w:rsid w:val="71BE335E"/>
    <w:rsid w:val="787D00C6"/>
    <w:rsid w:val="78A76481"/>
    <w:rsid w:val="7A7946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pPr>
    <w:rPr>
      <w:sz w:val="24"/>
      <w:szCs w:val="20"/>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2">
    <w:name w:val="工贸一封委托单位名称"/>
    <w:basedOn w:val="1"/>
    <w:qFormat/>
    <w:uiPriority w:val="0"/>
    <w:pPr>
      <w:spacing w:before="600" w:beforeLines="600" w:line="360" w:lineRule="auto"/>
      <w:jc w:val="center"/>
    </w:pPr>
    <w:rPr>
      <w:b/>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133</Words>
  <Characters>763</Characters>
  <Lines>6</Lines>
  <Paragraphs>1</Paragraphs>
  <TotalTime>0</TotalTime>
  <ScaleCrop>false</ScaleCrop>
  <LinksUpToDate>false</LinksUpToDate>
  <CharactersWithSpaces>895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shoona</cp:lastModifiedBy>
  <dcterms:modified xsi:type="dcterms:W3CDTF">2021-12-01T07:34:55Z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E14C5D6276D74CDC9D7EA154BAD57675</vt:lpwstr>
  </property>
</Properties>
</file>