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安全评价报告信息公布表</w:t>
      </w:r>
    </w:p>
    <w:tbl>
      <w:tblPr>
        <w:tblStyle w:val="6"/>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cs="Times New Roman"/>
                <w:szCs w:val="21"/>
              </w:rPr>
              <w:t>APJ-（鄂）-002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eastAsia="zh-CN"/>
              </w:rPr>
            </w:pPr>
            <w:r>
              <w:rPr>
                <w:rFonts w:hint="eastAsia" w:ascii="Times New Roman" w:hAnsi="Times New Roman" w:cs="Times New Roman"/>
                <w:sz w:val="24"/>
                <w:lang w:val="en-US" w:eastAsia="zh-CN"/>
              </w:rPr>
              <w:t>五峰赤诚生物科技股份有限公司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五峰赤诚生物科技股份有限公司</w:t>
            </w:r>
          </w:p>
          <w:p>
            <w:pPr>
              <w:adjustRightInd w:val="0"/>
              <w:snapToGrid w:val="0"/>
              <w:jc w:val="center"/>
              <w:rPr>
                <w:rFonts w:hint="default" w:ascii="Times New Roman" w:hAnsi="Times New Roman" w:cs="Times New Roman" w:eastAsiaTheme="minorEastAsia"/>
                <w:lang w:eastAsia="zh-CN"/>
              </w:rPr>
            </w:pPr>
            <w:r>
              <w:rPr>
                <w:rFonts w:hint="eastAsia" w:ascii="Times New Roman" w:hAnsi="Times New Roman" w:cs="Times New Roman"/>
                <w:sz w:val="24"/>
                <w:lang w:val="en-US" w:eastAsia="zh-CN"/>
              </w:rPr>
              <w:t>安全现状评价报告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安全评价</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王正飞</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color w:val="auto"/>
                <w:sz w:val="21"/>
                <w:szCs w:val="21"/>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编制</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color w:val="auto"/>
                <w:sz w:val="21"/>
                <w:szCs w:val="21"/>
              </w:rPr>
              <w:t>李祥太</w:t>
            </w:r>
            <w:r>
              <w:rPr>
                <w:rFonts w:hint="eastAsia" w:ascii="宋体" w:hAnsi="宋体" w:eastAsia="宋体" w:cs="宋体"/>
                <w:sz w:val="21"/>
                <w:szCs w:val="21"/>
                <w:lang w:eastAsia="zh-CN"/>
              </w:rPr>
              <w:t>、</w:t>
            </w:r>
            <w:r>
              <w:rPr>
                <w:rFonts w:hint="eastAsia" w:ascii="宋体" w:hAnsi="宋体" w:eastAsia="宋体" w:cs="宋体"/>
                <w:i w:val="0"/>
                <w:color w:val="auto"/>
                <w:kern w:val="2"/>
                <w:sz w:val="21"/>
                <w:szCs w:val="21"/>
                <w:u w:val="none"/>
                <w:lang w:val="en-US" w:eastAsia="zh-CN" w:bidi="ar"/>
              </w:rPr>
              <w:t>周智鑫</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rPr>
              <w:t>2021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8月</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color w:val="auto"/>
                <w:sz w:val="21"/>
                <w:szCs w:val="21"/>
              </w:rPr>
              <w:t>谭  辉</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eastAsia="zh-CN"/>
              </w:rPr>
            </w:pPr>
            <w:r>
              <w:rPr>
                <w:rFonts w:hint="eastAsia" w:ascii="宋体" w:hAnsi="宋体" w:eastAsia="宋体" w:cs="宋体"/>
                <w:sz w:val="21"/>
                <w:szCs w:val="21"/>
                <w:lang w:eastAsia="zh-CN"/>
              </w:rPr>
              <w:t>王正飞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安全</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评价</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项目</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参与</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安全评价师从业识别卡/</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郭  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测绘工程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S011032000110192001195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贺  琼</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材料化学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S011032000110193001092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李</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俊</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采矿工程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S011032000110193000864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rPr>
              <w:t>李祥太</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生物科学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rPr>
              <w:t>S011032000110192001139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i w:val="0"/>
                <w:color w:val="auto"/>
                <w:kern w:val="2"/>
                <w:sz w:val="21"/>
                <w:szCs w:val="21"/>
                <w:u w:val="none"/>
                <w:lang w:val="en-US" w:eastAsia="zh-CN" w:bidi="ar"/>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化学工程与工艺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rPr>
              <w:t>谭  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rPr>
              <w:t>余海波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弹药工程与爆炸技术</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S011032000110193001025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 w:val="21"/>
                <w:szCs w:val="21"/>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S011032000110192001415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315" w:firstLineChars="150"/>
              <w:textAlignment w:val="auto"/>
              <w:rPr>
                <w:rFonts w:hint="eastAsia" w:ascii="Times New Roman" w:hAnsi="Times New Roman" w:cs="Times New Roman" w:eastAsiaTheme="minorEastAsia"/>
                <w:color w:val="000000"/>
                <w:sz w:val="24"/>
                <w:lang w:eastAsia="zh-CN"/>
              </w:rPr>
            </w:pPr>
            <w:r>
              <w:rPr>
                <w:rFonts w:hint="eastAsia"/>
                <w:color w:val="auto"/>
                <w:szCs w:val="20"/>
              </w:rPr>
              <w:t>五峰赤诚生物科技股份有限公司成立于2004年11月5日，法人代表陈赤清，注册地址宜昌市五峰渔洋关镇天池路8号，主要经营范围包括食品添加剂食用单宁酸、食品添加剂没</w:t>
            </w:r>
            <w:r>
              <w:rPr>
                <w:rFonts w:hint="eastAsia"/>
                <w:color w:val="auto"/>
                <w:szCs w:val="20"/>
                <w:lang w:eastAsia="zh-CN"/>
              </w:rPr>
              <w:t>食</w:t>
            </w:r>
            <w:r>
              <w:rPr>
                <w:rFonts w:hint="eastAsia"/>
                <w:color w:val="auto"/>
                <w:szCs w:val="20"/>
              </w:rPr>
              <w:t>子酸丙酯、饲料添加剂没食子酸丙酯、混合型饲料添加剂、植物提取物、有机酸、单宁酸、没食子酸的生产和销售；货物或技术进出口生产（国家禁止或涉及行政审批的货物和技术进出口除外）；工业及城市固体废物无害化处置；再生资源回收（不含固体废物、危险废物、报废汽车等需经相关部门批准的项目）；矿产品（不含限制、禁止经营的项目）收购、销售；光固化涂料制造（不含工商登记前置审批事项）；新材料、精细化学品及生物医药的技术开发、技术咨询；化工产品与化工原料销售（不含危险爆炸化学品及国家限制经营的品种）；五倍子蚜虫培育及基地建设；五倍子系列产品收购、加工、销售（依法须经批准的项目，经相关部门批准后方可开展经营活动）等</w:t>
            </w:r>
            <w:r>
              <w:rPr>
                <w:rFonts w:hint="eastAsia"/>
                <w:color w:val="auto"/>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5"/>
              <w:adjustRightInd w:val="0"/>
              <w:snapToGrid w:val="0"/>
              <w:spacing w:beforeAutospacing="0" w:afterAutospacing="0"/>
              <w:jc w:val="center"/>
              <w:rPr>
                <w:rFonts w:hint="default" w:ascii="Times New Roman" w:hAnsi="Times New Roman" w:cs="Times New Roman"/>
                <w:bCs/>
                <w:kern w:val="2"/>
                <w:sz w:val="21"/>
                <w:szCs w:val="21"/>
              </w:rPr>
            </w:pPr>
            <w:r>
              <w:rPr>
                <w:rFonts w:hint="default" w:ascii="Times New Roman" w:hAnsi="Times New Roman" w:cs="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cs="Times New Roman"/>
                <w:sz w:val="24"/>
              </w:rPr>
              <w:t>郭辉、</w:t>
            </w:r>
            <w:r>
              <w:rPr>
                <w:rFonts w:hint="default" w:ascii="Times New Roman" w:hAnsi="Times New Roman" w:eastAsia="宋体" w:cs="Times New Roman"/>
                <w:i w:val="0"/>
                <w:color w:val="auto"/>
                <w:kern w:val="2"/>
                <w:sz w:val="21"/>
                <w:szCs w:val="21"/>
                <w:u w:val="none"/>
                <w:lang w:val="en-US" w:eastAsia="zh-CN" w:bidi="ar"/>
              </w:rPr>
              <w:t>周智鑫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2021.</w:t>
            </w:r>
            <w:r>
              <w:rPr>
                <w:rFonts w:hint="eastAsia" w:ascii="Times New Roman" w:hAnsi="Times New Roman" w:eastAsia="宋体" w:cs="Times New Roman"/>
                <w:szCs w:val="21"/>
                <w:lang w:val="en-US" w:eastAsia="zh-CN"/>
              </w:rPr>
              <w:t>7</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cs="Times New Roman"/>
                <w:szCs w:val="21"/>
              </w:rPr>
              <w:t>现场勘查、收集并核实业主单位提供的安全</w:t>
            </w:r>
            <w:r>
              <w:rPr>
                <w:rFonts w:hint="eastAsia" w:ascii="Times New Roman" w:hAnsi="Times New Roman" w:cs="Times New Roman"/>
                <w:szCs w:val="21"/>
                <w:lang w:eastAsia="zh-CN"/>
              </w:rPr>
              <w:t>现状</w:t>
            </w:r>
            <w:r>
              <w:rPr>
                <w:rFonts w:hint="default" w:ascii="Times New Roman" w:hAnsi="Times New Roman" w:cs="Times New Roman"/>
                <w:szCs w:val="21"/>
              </w:rPr>
              <w:t>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勘察中发</w:t>
            </w:r>
          </w:p>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1、</w:t>
            </w:r>
            <w:r>
              <w:rPr>
                <w:rFonts w:hint="eastAsia"/>
                <w:bCs/>
                <w:color w:val="auto"/>
                <w:sz w:val="21"/>
                <w:szCs w:val="21"/>
              </w:rPr>
              <w:t>各车间临时用电较多，线路未穿管敷设</w:t>
            </w:r>
            <w:r>
              <w:rPr>
                <w:bCs/>
                <w:color w:val="auto"/>
                <w:sz w:val="21"/>
                <w:szCs w:val="21"/>
              </w:rPr>
              <w:t>；</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2、</w:t>
            </w:r>
            <w:r>
              <w:rPr>
                <w:rFonts w:hint="eastAsia"/>
                <w:bCs/>
                <w:color w:val="auto"/>
                <w:sz w:val="21"/>
                <w:szCs w:val="21"/>
              </w:rPr>
              <w:t>单宁酸车间五倍子浸泡池无防护栏、无盖板，存淹溺安全隐患</w:t>
            </w:r>
            <w:r>
              <w:rPr>
                <w:bCs/>
                <w:color w:val="auto"/>
                <w:sz w:val="21"/>
                <w:szCs w:val="21"/>
              </w:rPr>
              <w:t>；</w:t>
            </w:r>
          </w:p>
          <w:p>
            <w:pPr>
              <w:adjustRightInd w:val="0"/>
              <w:snapToGrid w:val="0"/>
              <w:jc w:val="left"/>
              <w:rPr>
                <w:bCs/>
                <w:color w:val="auto"/>
                <w:sz w:val="21"/>
                <w:szCs w:val="21"/>
              </w:rPr>
            </w:pPr>
            <w:r>
              <w:rPr>
                <w:rFonts w:hint="default" w:ascii="Times New Roman" w:hAnsi="Times New Roman" w:cs="Times New Roman"/>
                <w:szCs w:val="21"/>
              </w:rPr>
              <w:t>3、</w:t>
            </w:r>
            <w:r>
              <w:rPr>
                <w:rFonts w:hint="eastAsia"/>
                <w:bCs/>
                <w:color w:val="auto"/>
                <w:sz w:val="21"/>
                <w:szCs w:val="21"/>
              </w:rPr>
              <w:t>单宁酸车间二层平台无踢脚</w:t>
            </w:r>
            <w:r>
              <w:rPr>
                <w:bCs/>
                <w:color w:val="auto"/>
                <w:sz w:val="21"/>
                <w:szCs w:val="21"/>
              </w:rPr>
              <w:t>；</w:t>
            </w:r>
          </w:p>
          <w:p>
            <w:pPr>
              <w:adjustRightInd w:val="0"/>
              <w:snapToGrid w:val="0"/>
              <w:jc w:val="left"/>
              <w:rPr>
                <w:bCs/>
                <w:color w:val="auto"/>
                <w:sz w:val="21"/>
                <w:szCs w:val="21"/>
              </w:rPr>
            </w:pPr>
            <w:r>
              <w:rPr>
                <w:rFonts w:hint="eastAsia"/>
                <w:bCs/>
                <w:color w:val="auto"/>
                <w:sz w:val="21"/>
                <w:szCs w:val="21"/>
                <w:lang w:val="en-US" w:eastAsia="zh-CN"/>
              </w:rPr>
              <w:t>4、</w:t>
            </w:r>
            <w:r>
              <w:rPr>
                <w:rFonts w:hint="eastAsia"/>
                <w:bCs/>
                <w:color w:val="auto"/>
                <w:sz w:val="21"/>
                <w:szCs w:val="21"/>
              </w:rPr>
              <w:t>单宁酸车间外甲类危险性的乙酸乙酯露天存放</w:t>
            </w:r>
            <w:r>
              <w:rPr>
                <w:bCs/>
                <w:color w:val="auto"/>
                <w:sz w:val="21"/>
                <w:szCs w:val="21"/>
              </w:rPr>
              <w:t>；</w:t>
            </w:r>
          </w:p>
          <w:p>
            <w:pPr>
              <w:adjustRightInd w:val="0"/>
              <w:snapToGrid w:val="0"/>
              <w:jc w:val="left"/>
              <w:rPr>
                <w:rFonts w:hint="eastAsia"/>
                <w:bCs/>
                <w:color w:val="auto"/>
                <w:sz w:val="21"/>
                <w:szCs w:val="21"/>
              </w:rPr>
            </w:pPr>
            <w:r>
              <w:rPr>
                <w:rFonts w:hint="eastAsia"/>
                <w:bCs/>
                <w:color w:val="auto"/>
                <w:sz w:val="21"/>
                <w:szCs w:val="21"/>
                <w:lang w:val="en-US" w:eastAsia="zh-CN"/>
              </w:rPr>
              <w:t>5、</w:t>
            </w:r>
            <w:r>
              <w:rPr>
                <w:rFonts w:hint="eastAsia"/>
                <w:bCs/>
                <w:color w:val="auto"/>
                <w:sz w:val="21"/>
                <w:szCs w:val="21"/>
              </w:rPr>
              <w:t>厂区未设置消防水池；</w:t>
            </w:r>
          </w:p>
          <w:p>
            <w:pPr>
              <w:adjustRightInd w:val="0"/>
              <w:snapToGrid w:val="0"/>
              <w:jc w:val="left"/>
              <w:rPr>
                <w:bCs/>
                <w:color w:val="auto"/>
                <w:sz w:val="21"/>
                <w:szCs w:val="21"/>
              </w:rPr>
            </w:pPr>
            <w:r>
              <w:rPr>
                <w:rFonts w:hint="eastAsia"/>
                <w:bCs/>
                <w:color w:val="auto"/>
                <w:sz w:val="21"/>
                <w:szCs w:val="21"/>
                <w:lang w:val="en-US" w:eastAsia="zh-CN"/>
              </w:rPr>
              <w:t>6、</w:t>
            </w:r>
            <w:r>
              <w:rPr>
                <w:rFonts w:hint="eastAsia"/>
                <w:bCs/>
                <w:color w:val="auto"/>
                <w:sz w:val="21"/>
                <w:szCs w:val="21"/>
              </w:rPr>
              <w:t>现场检修作业过程中，煤气罐、乙炔瓶露天暴晒且防护间距不符合要求</w:t>
            </w:r>
            <w:r>
              <w:rPr>
                <w:bCs/>
                <w:color w:val="auto"/>
                <w:sz w:val="21"/>
                <w:szCs w:val="21"/>
              </w:rPr>
              <w:t>；</w:t>
            </w:r>
          </w:p>
          <w:p>
            <w:pPr>
              <w:adjustRightInd w:val="0"/>
              <w:snapToGrid w:val="0"/>
              <w:jc w:val="left"/>
              <w:rPr>
                <w:bCs/>
                <w:color w:val="auto"/>
                <w:sz w:val="21"/>
                <w:szCs w:val="21"/>
              </w:rPr>
            </w:pPr>
            <w:r>
              <w:rPr>
                <w:rFonts w:hint="eastAsia"/>
                <w:bCs/>
                <w:color w:val="auto"/>
                <w:sz w:val="21"/>
                <w:szCs w:val="21"/>
                <w:lang w:val="en-US" w:eastAsia="zh-CN"/>
              </w:rPr>
              <w:t>7、</w:t>
            </w:r>
            <w:r>
              <w:rPr>
                <w:rFonts w:hint="eastAsia"/>
                <w:bCs/>
                <w:color w:val="auto"/>
                <w:sz w:val="21"/>
                <w:szCs w:val="21"/>
              </w:rPr>
              <w:t>乙酸乙酯属甲类危险物，盛装介质的罐体周边，边生产、边检修，且存动火作业</w:t>
            </w:r>
            <w:r>
              <w:rPr>
                <w:bCs/>
                <w:color w:val="auto"/>
                <w:sz w:val="21"/>
                <w:szCs w:val="21"/>
              </w:rPr>
              <w:t>；</w:t>
            </w:r>
          </w:p>
          <w:p>
            <w:pPr>
              <w:adjustRightInd w:val="0"/>
              <w:snapToGrid w:val="0"/>
              <w:jc w:val="left"/>
              <w:rPr>
                <w:rFonts w:hint="eastAsia"/>
                <w:bCs/>
                <w:color w:val="auto"/>
                <w:sz w:val="21"/>
                <w:szCs w:val="21"/>
                <w:lang w:eastAsia="zh-CN"/>
              </w:rPr>
            </w:pPr>
            <w:r>
              <w:rPr>
                <w:rFonts w:hint="eastAsia"/>
                <w:bCs/>
                <w:color w:val="auto"/>
                <w:sz w:val="21"/>
                <w:szCs w:val="21"/>
                <w:lang w:val="en-US" w:eastAsia="zh-CN"/>
              </w:rPr>
              <w:t>8、</w:t>
            </w:r>
            <w:r>
              <w:rPr>
                <w:rFonts w:hint="eastAsia"/>
                <w:bCs/>
                <w:color w:val="auto"/>
                <w:sz w:val="21"/>
                <w:szCs w:val="21"/>
              </w:rPr>
              <w:t>单宁酸等甲类危险物使用场所未安装可燃气体探测装置（《建筑设计防火规范》GB50016-2014（2018版8.4.3））</w:t>
            </w:r>
            <w:r>
              <w:rPr>
                <w:rFonts w:hint="eastAsia"/>
                <w:bCs/>
                <w:color w:val="auto"/>
                <w:sz w:val="21"/>
                <w:szCs w:val="21"/>
                <w:lang w:eastAsia="zh-CN"/>
              </w:rPr>
              <w:t>；</w:t>
            </w:r>
          </w:p>
          <w:p>
            <w:pPr>
              <w:adjustRightInd w:val="0"/>
              <w:snapToGrid w:val="0"/>
              <w:jc w:val="left"/>
              <w:rPr>
                <w:rFonts w:hint="eastAsia"/>
                <w:bCs/>
                <w:color w:val="auto"/>
                <w:sz w:val="21"/>
                <w:szCs w:val="21"/>
              </w:rPr>
            </w:pPr>
            <w:r>
              <w:rPr>
                <w:rFonts w:hint="eastAsia"/>
                <w:bCs/>
                <w:color w:val="auto"/>
                <w:sz w:val="21"/>
                <w:szCs w:val="21"/>
                <w:lang w:val="en-US" w:eastAsia="zh-CN"/>
              </w:rPr>
              <w:t>9、</w:t>
            </w:r>
            <w:r>
              <w:rPr>
                <w:rFonts w:hint="eastAsia"/>
                <w:bCs/>
                <w:color w:val="auto"/>
                <w:sz w:val="21"/>
                <w:szCs w:val="21"/>
              </w:rPr>
              <w:t>蒸汽锅炉（6t/h）厂房耐火等级不足，不符合《建筑设计防火规范》GB50016-2014（2018版）3.2.5要求；现场电源未穿管敷设，部分电器不防爆（饮水机+插座）；</w:t>
            </w:r>
          </w:p>
          <w:p>
            <w:pPr>
              <w:adjustRightInd w:val="0"/>
              <w:snapToGrid w:val="0"/>
              <w:jc w:val="left"/>
              <w:rPr>
                <w:bCs/>
                <w:color w:val="auto"/>
                <w:sz w:val="21"/>
                <w:szCs w:val="21"/>
              </w:rPr>
            </w:pPr>
            <w:r>
              <w:rPr>
                <w:rFonts w:hint="eastAsia"/>
                <w:bCs/>
                <w:color w:val="auto"/>
                <w:sz w:val="21"/>
                <w:szCs w:val="21"/>
                <w:lang w:val="en-US" w:eastAsia="zh-CN"/>
              </w:rPr>
              <w:t>10、</w:t>
            </w:r>
            <w:r>
              <w:rPr>
                <w:rFonts w:hint="eastAsia"/>
                <w:bCs/>
                <w:color w:val="auto"/>
                <w:sz w:val="21"/>
                <w:szCs w:val="21"/>
              </w:rPr>
              <w:t>锅炉房与办公楼间距约2m，不符合《建筑设计防火规范》GB50016-2014（2018版）表3.4.1的相关要求</w:t>
            </w:r>
            <w:r>
              <w:rPr>
                <w:bCs/>
                <w:color w:val="auto"/>
                <w:sz w:val="21"/>
                <w:szCs w:val="21"/>
              </w:rPr>
              <w:t>；</w:t>
            </w:r>
          </w:p>
          <w:p>
            <w:pPr>
              <w:adjustRightInd w:val="0"/>
              <w:snapToGrid w:val="0"/>
              <w:jc w:val="left"/>
              <w:rPr>
                <w:rFonts w:hint="eastAsia"/>
                <w:bCs/>
                <w:color w:val="auto"/>
                <w:sz w:val="21"/>
                <w:szCs w:val="21"/>
              </w:rPr>
            </w:pPr>
            <w:r>
              <w:rPr>
                <w:rFonts w:hint="eastAsia"/>
                <w:bCs/>
                <w:color w:val="auto"/>
                <w:sz w:val="21"/>
                <w:szCs w:val="21"/>
                <w:lang w:val="en-US" w:eastAsia="zh-CN"/>
              </w:rPr>
              <w:t>11、</w:t>
            </w:r>
            <w:r>
              <w:rPr>
                <w:rFonts w:hint="eastAsia"/>
                <w:bCs/>
                <w:color w:val="auto"/>
                <w:sz w:val="21"/>
                <w:szCs w:val="21"/>
              </w:rPr>
              <w:t>没食子酸丙酯车间，甲类危险性的正丙醇使用金属开盖器，易产生火花导致燃爆；作业场所电器设备不防爆、电源线未穿管敷设；</w:t>
            </w:r>
          </w:p>
          <w:p>
            <w:pPr>
              <w:adjustRightInd w:val="0"/>
              <w:snapToGrid w:val="0"/>
              <w:jc w:val="left"/>
              <w:rPr>
                <w:rFonts w:hint="eastAsia"/>
                <w:bCs/>
                <w:color w:val="auto"/>
                <w:sz w:val="21"/>
                <w:szCs w:val="21"/>
              </w:rPr>
            </w:pPr>
            <w:r>
              <w:rPr>
                <w:rFonts w:hint="eastAsia"/>
                <w:bCs/>
                <w:color w:val="auto"/>
                <w:sz w:val="21"/>
                <w:szCs w:val="21"/>
                <w:lang w:val="en-US" w:eastAsia="zh-CN"/>
              </w:rPr>
              <w:t>12、</w:t>
            </w:r>
            <w:r>
              <w:rPr>
                <w:rFonts w:hint="eastAsia"/>
                <w:bCs/>
                <w:color w:val="auto"/>
                <w:sz w:val="21"/>
                <w:szCs w:val="21"/>
              </w:rPr>
              <w:t>各车间设备、储罐未进行接地电阻检测；生产车间、部分仓库未进行防雷检测；</w:t>
            </w:r>
          </w:p>
          <w:p>
            <w:pPr>
              <w:adjustRightInd w:val="0"/>
              <w:snapToGrid w:val="0"/>
              <w:jc w:val="left"/>
              <w:rPr>
                <w:rFonts w:hint="eastAsia"/>
                <w:bCs/>
                <w:color w:val="auto"/>
                <w:sz w:val="21"/>
                <w:szCs w:val="21"/>
              </w:rPr>
            </w:pPr>
            <w:r>
              <w:rPr>
                <w:rFonts w:hint="eastAsia"/>
                <w:bCs/>
                <w:color w:val="auto"/>
                <w:sz w:val="21"/>
                <w:szCs w:val="21"/>
                <w:lang w:val="en-US" w:eastAsia="zh-CN"/>
              </w:rPr>
              <w:t>13、</w:t>
            </w:r>
            <w:r>
              <w:rPr>
                <w:rFonts w:hint="eastAsia"/>
                <w:bCs/>
                <w:color w:val="auto"/>
                <w:sz w:val="21"/>
                <w:szCs w:val="21"/>
              </w:rPr>
              <w:t>没食子酸丙酯车间一电机旋转部位缺少防护罩；</w:t>
            </w:r>
          </w:p>
          <w:p>
            <w:pPr>
              <w:adjustRightInd w:val="0"/>
              <w:snapToGrid w:val="0"/>
              <w:jc w:val="left"/>
              <w:rPr>
                <w:rFonts w:hint="eastAsia"/>
                <w:bCs/>
                <w:color w:val="auto"/>
                <w:sz w:val="21"/>
                <w:szCs w:val="21"/>
              </w:rPr>
            </w:pPr>
            <w:r>
              <w:rPr>
                <w:rFonts w:hint="eastAsia"/>
                <w:bCs/>
                <w:color w:val="auto"/>
                <w:sz w:val="21"/>
                <w:szCs w:val="21"/>
                <w:lang w:val="en-US" w:eastAsia="zh-CN"/>
              </w:rPr>
              <w:t>14、</w:t>
            </w:r>
            <w:r>
              <w:rPr>
                <w:rFonts w:hint="eastAsia"/>
                <w:bCs/>
                <w:color w:val="auto"/>
                <w:sz w:val="21"/>
                <w:szCs w:val="21"/>
              </w:rPr>
              <w:t>没食子酸丙酯成品码垛不规范，存安全隐患；</w:t>
            </w:r>
          </w:p>
          <w:p>
            <w:pPr>
              <w:adjustRightInd w:val="0"/>
              <w:snapToGrid w:val="0"/>
              <w:jc w:val="left"/>
              <w:rPr>
                <w:rFonts w:hint="eastAsia"/>
                <w:bCs/>
                <w:color w:val="auto"/>
                <w:sz w:val="21"/>
                <w:szCs w:val="21"/>
              </w:rPr>
            </w:pPr>
            <w:r>
              <w:rPr>
                <w:rFonts w:hint="eastAsia"/>
                <w:bCs/>
                <w:color w:val="auto"/>
                <w:sz w:val="21"/>
                <w:szCs w:val="21"/>
                <w:lang w:val="en-US" w:eastAsia="zh-CN"/>
              </w:rPr>
              <w:t>15、</w:t>
            </w:r>
            <w:r>
              <w:rPr>
                <w:rFonts w:hint="eastAsia"/>
                <w:bCs/>
                <w:color w:val="auto"/>
                <w:sz w:val="21"/>
                <w:szCs w:val="21"/>
              </w:rPr>
              <w:t>废水站区域，双氧水储罐周边电源线未穿管敷设；</w:t>
            </w:r>
          </w:p>
          <w:p>
            <w:pPr>
              <w:adjustRightInd w:val="0"/>
              <w:snapToGrid w:val="0"/>
              <w:jc w:val="left"/>
              <w:rPr>
                <w:rFonts w:hint="eastAsia"/>
                <w:bCs/>
                <w:color w:val="auto"/>
                <w:sz w:val="21"/>
                <w:szCs w:val="21"/>
              </w:rPr>
            </w:pPr>
            <w:r>
              <w:rPr>
                <w:rFonts w:hint="eastAsia"/>
                <w:bCs/>
                <w:color w:val="auto"/>
                <w:sz w:val="21"/>
                <w:szCs w:val="21"/>
                <w:lang w:val="en-US" w:eastAsia="zh-CN"/>
              </w:rPr>
              <w:t>16、</w:t>
            </w:r>
            <w:r>
              <w:rPr>
                <w:rFonts w:hint="eastAsia"/>
                <w:bCs/>
                <w:color w:val="auto"/>
                <w:sz w:val="21"/>
                <w:szCs w:val="21"/>
              </w:rPr>
              <w:t>没食子酸丙酯干燥工序，室内设员工临时休息区，存临时用电等安全隐患；</w:t>
            </w:r>
          </w:p>
          <w:p>
            <w:pPr>
              <w:adjustRightInd w:val="0"/>
              <w:snapToGrid w:val="0"/>
              <w:jc w:val="left"/>
              <w:rPr>
                <w:rFonts w:hint="eastAsia"/>
                <w:bCs/>
                <w:color w:val="auto"/>
                <w:sz w:val="21"/>
                <w:szCs w:val="21"/>
              </w:rPr>
            </w:pPr>
            <w:r>
              <w:rPr>
                <w:rFonts w:hint="eastAsia"/>
                <w:bCs/>
                <w:color w:val="auto"/>
                <w:sz w:val="21"/>
                <w:szCs w:val="21"/>
                <w:lang w:val="en-US" w:eastAsia="zh-CN"/>
              </w:rPr>
              <w:t>17、</w:t>
            </w:r>
            <w:r>
              <w:rPr>
                <w:rFonts w:hint="eastAsia"/>
                <w:bCs/>
                <w:color w:val="auto"/>
                <w:sz w:val="21"/>
                <w:szCs w:val="21"/>
              </w:rPr>
              <w:t>废水站区域，氢氧化钠在线存储量较多；</w:t>
            </w:r>
          </w:p>
          <w:p>
            <w:pPr>
              <w:adjustRightInd w:val="0"/>
              <w:snapToGrid w:val="0"/>
              <w:jc w:val="left"/>
              <w:rPr>
                <w:rFonts w:hint="eastAsia" w:ascii="Times New Roman" w:hAnsi="Times New Roman" w:eastAsia="宋体" w:cs="Times New Roman"/>
                <w:b w:val="0"/>
                <w:bCs/>
                <w:color w:val="auto"/>
                <w:sz w:val="21"/>
                <w:szCs w:val="21"/>
              </w:rPr>
            </w:pPr>
            <w:r>
              <w:rPr>
                <w:rFonts w:hint="eastAsia"/>
                <w:bCs/>
                <w:color w:val="auto"/>
                <w:sz w:val="21"/>
                <w:szCs w:val="21"/>
                <w:lang w:val="en-US" w:eastAsia="zh-CN"/>
              </w:rPr>
              <w:t>18、</w:t>
            </w:r>
            <w:r>
              <w:rPr>
                <w:rFonts w:hint="eastAsia" w:ascii="Times New Roman" w:hAnsi="Times New Roman" w:eastAsia="宋体" w:cs="Times New Roman"/>
                <w:b w:val="0"/>
                <w:bCs/>
                <w:color w:val="auto"/>
                <w:sz w:val="21"/>
                <w:szCs w:val="21"/>
              </w:rPr>
              <w:t>危化品仓库厂房耐火等级不符合规范，未设置防爆卸爆装置，与周边建筑物防火间距不足；</w:t>
            </w:r>
          </w:p>
          <w:p>
            <w:pPr>
              <w:adjustRightInd w:val="0"/>
              <w:snapToGrid w:val="0"/>
              <w:jc w:val="left"/>
              <w:rPr>
                <w:rFonts w:hint="eastAsia"/>
                <w:bCs/>
                <w:color w:val="auto"/>
                <w:sz w:val="21"/>
                <w:szCs w:val="21"/>
              </w:rPr>
            </w:pPr>
            <w:r>
              <w:rPr>
                <w:rFonts w:hint="eastAsia" w:ascii="Times New Roman" w:hAnsi="Times New Roman" w:eastAsia="宋体" w:cs="Times New Roman"/>
                <w:b w:val="0"/>
                <w:bCs/>
                <w:color w:val="auto"/>
                <w:sz w:val="21"/>
                <w:szCs w:val="21"/>
                <w:lang w:val="en-US" w:eastAsia="zh-CN"/>
              </w:rPr>
              <w:t>19、</w:t>
            </w:r>
            <w:r>
              <w:rPr>
                <w:rFonts w:hint="eastAsia"/>
                <w:bCs/>
                <w:color w:val="auto"/>
                <w:sz w:val="21"/>
                <w:szCs w:val="21"/>
              </w:rPr>
              <w:t>饲料加工车间布袋除尘装置区域，粉尘未及时清理，现场临时用电较多，电源线未穿管敷设；</w:t>
            </w:r>
          </w:p>
          <w:p>
            <w:pPr>
              <w:adjustRightInd w:val="0"/>
              <w:snapToGrid w:val="0"/>
              <w:jc w:val="left"/>
              <w:rPr>
                <w:rFonts w:hint="eastAsia"/>
                <w:bCs/>
                <w:color w:val="auto"/>
                <w:sz w:val="21"/>
                <w:szCs w:val="21"/>
              </w:rPr>
            </w:pPr>
            <w:r>
              <w:rPr>
                <w:rFonts w:hint="eastAsia"/>
                <w:bCs/>
                <w:color w:val="auto"/>
                <w:sz w:val="21"/>
                <w:szCs w:val="21"/>
                <w:lang w:val="en-US" w:eastAsia="zh-CN"/>
              </w:rPr>
              <w:t>20、</w:t>
            </w:r>
            <w:r>
              <w:rPr>
                <w:rFonts w:hint="eastAsia"/>
                <w:bCs/>
                <w:color w:val="auto"/>
                <w:sz w:val="21"/>
                <w:szCs w:val="21"/>
              </w:rPr>
              <w:t>厂区内所有消火栓、灭火器均无定期</w:t>
            </w:r>
            <w:r>
              <w:rPr>
                <w:rFonts w:hint="eastAsia"/>
                <w:bCs/>
                <w:color w:val="auto"/>
                <w:sz w:val="21"/>
                <w:szCs w:val="21"/>
                <w:lang w:eastAsia="zh-CN"/>
              </w:rPr>
              <w:t>点检</w:t>
            </w:r>
            <w:r>
              <w:rPr>
                <w:rFonts w:hint="eastAsia"/>
                <w:bCs/>
                <w:color w:val="auto"/>
                <w:sz w:val="21"/>
                <w:szCs w:val="21"/>
              </w:rPr>
              <w:t>记录。大部分灭火器、消火栓被物料堵塞；</w:t>
            </w:r>
          </w:p>
          <w:p>
            <w:pPr>
              <w:adjustRightInd w:val="0"/>
              <w:snapToGrid w:val="0"/>
              <w:jc w:val="left"/>
              <w:rPr>
                <w:rFonts w:hint="eastAsia"/>
                <w:bCs/>
                <w:color w:val="auto"/>
                <w:sz w:val="21"/>
                <w:szCs w:val="21"/>
              </w:rPr>
            </w:pPr>
            <w:r>
              <w:rPr>
                <w:rFonts w:hint="eastAsia"/>
                <w:bCs/>
                <w:color w:val="auto"/>
                <w:sz w:val="21"/>
                <w:szCs w:val="21"/>
                <w:lang w:val="en-US" w:eastAsia="zh-CN"/>
              </w:rPr>
              <w:t>21、</w:t>
            </w:r>
            <w:r>
              <w:rPr>
                <w:rFonts w:hint="eastAsia"/>
                <w:bCs/>
                <w:color w:val="auto"/>
                <w:sz w:val="21"/>
                <w:szCs w:val="21"/>
              </w:rPr>
              <w:t>危化品仓库安全出口只有一个；</w:t>
            </w:r>
          </w:p>
          <w:p>
            <w:pPr>
              <w:adjustRightInd w:val="0"/>
              <w:snapToGrid w:val="0"/>
              <w:jc w:val="left"/>
              <w:rPr>
                <w:rFonts w:hint="eastAsia"/>
                <w:bCs/>
                <w:color w:val="auto"/>
                <w:sz w:val="21"/>
                <w:szCs w:val="21"/>
              </w:rPr>
            </w:pPr>
            <w:r>
              <w:rPr>
                <w:rFonts w:hint="eastAsia"/>
                <w:bCs/>
                <w:color w:val="auto"/>
                <w:sz w:val="21"/>
                <w:szCs w:val="21"/>
                <w:lang w:val="en-US" w:eastAsia="zh-CN"/>
              </w:rPr>
              <w:t>22、</w:t>
            </w:r>
            <w:r>
              <w:rPr>
                <w:rFonts w:hint="eastAsia"/>
                <w:bCs/>
                <w:color w:val="auto"/>
                <w:sz w:val="21"/>
                <w:szCs w:val="21"/>
              </w:rPr>
              <w:t>五倍子仓库（丙类危险性）电源线老化，存临时用电，电源线未穿管敷设；</w:t>
            </w:r>
          </w:p>
          <w:p>
            <w:pPr>
              <w:adjustRightInd w:val="0"/>
              <w:snapToGrid w:val="0"/>
              <w:jc w:val="left"/>
              <w:rPr>
                <w:rFonts w:hint="eastAsia"/>
                <w:bCs/>
                <w:color w:val="auto"/>
                <w:sz w:val="21"/>
                <w:szCs w:val="21"/>
              </w:rPr>
            </w:pPr>
            <w:r>
              <w:rPr>
                <w:rFonts w:hint="eastAsia"/>
                <w:bCs/>
                <w:color w:val="auto"/>
                <w:sz w:val="21"/>
                <w:szCs w:val="21"/>
                <w:lang w:val="en-US" w:eastAsia="zh-CN"/>
              </w:rPr>
              <w:t>23、</w:t>
            </w:r>
            <w:r>
              <w:rPr>
                <w:rFonts w:hint="eastAsia"/>
                <w:bCs/>
                <w:color w:val="auto"/>
                <w:sz w:val="21"/>
                <w:szCs w:val="21"/>
              </w:rPr>
              <w:t>厂区未设置环形消防通道、部分区域通道堵塞后不足4m；</w:t>
            </w:r>
          </w:p>
          <w:p>
            <w:pPr>
              <w:adjustRightInd w:val="0"/>
              <w:snapToGrid w:val="0"/>
              <w:jc w:val="left"/>
              <w:rPr>
                <w:rFonts w:hint="eastAsia"/>
                <w:bCs/>
                <w:color w:val="auto"/>
                <w:sz w:val="21"/>
                <w:szCs w:val="21"/>
              </w:rPr>
            </w:pPr>
            <w:r>
              <w:rPr>
                <w:rFonts w:hint="eastAsia"/>
                <w:bCs/>
                <w:color w:val="auto"/>
                <w:sz w:val="21"/>
                <w:szCs w:val="21"/>
                <w:lang w:val="en-US" w:eastAsia="zh-CN"/>
              </w:rPr>
              <w:t>24、</w:t>
            </w:r>
            <w:r>
              <w:rPr>
                <w:rFonts w:hint="eastAsia"/>
                <w:bCs/>
                <w:color w:val="auto"/>
                <w:sz w:val="21"/>
                <w:szCs w:val="21"/>
              </w:rPr>
              <w:t>单宁酸车间、没食子酸丙酯车间、鞣花酸等车间均只设置有一个安全出口，且均有生产作业占用消防通道的现象；</w:t>
            </w:r>
          </w:p>
          <w:p>
            <w:pPr>
              <w:adjustRightInd w:val="0"/>
              <w:snapToGrid w:val="0"/>
              <w:jc w:val="left"/>
              <w:rPr>
                <w:rFonts w:hint="default" w:eastAsiaTheme="minorEastAsia"/>
                <w:bCs/>
                <w:color w:val="auto"/>
                <w:sz w:val="21"/>
                <w:szCs w:val="21"/>
                <w:lang w:val="en-US" w:eastAsia="zh-CN"/>
              </w:rPr>
            </w:pPr>
            <w:r>
              <w:rPr>
                <w:rFonts w:hint="eastAsia"/>
                <w:bCs/>
                <w:color w:val="auto"/>
                <w:sz w:val="21"/>
                <w:szCs w:val="21"/>
                <w:lang w:val="en-US" w:eastAsia="zh-CN"/>
              </w:rPr>
              <w:t>25、</w:t>
            </w:r>
            <w:r>
              <w:rPr>
                <w:rFonts w:hint="eastAsia"/>
                <w:bCs/>
                <w:color w:val="auto"/>
                <w:sz w:val="21"/>
                <w:szCs w:val="21"/>
              </w:rPr>
              <w:t>乙酸乙酯、正丙醇、环己烷、浓硫酸、盐酸、食用纯碱等危险品使用场缺乏安全警示标识以及危险化学品安全周知卡。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480" w:lineRule="auto"/>
              <w:ind w:firstLine="210" w:firstLineChars="100"/>
              <w:jc w:val="center"/>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5263515" cy="3749675"/>
                  <wp:effectExtent l="0" t="0" r="13335" b="3175"/>
                  <wp:docPr id="1" name="图片 1" descr="1630399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0399274(1)"/>
                          <pic:cNvPicPr>
                            <a:picLocks noChangeAspect="1"/>
                          </pic:cNvPicPr>
                        </pic:nvPicPr>
                        <pic:blipFill>
                          <a:blip r:embed="rId4"/>
                          <a:stretch>
                            <a:fillRect/>
                          </a:stretch>
                        </pic:blipFill>
                        <pic:spPr>
                          <a:xfrm>
                            <a:off x="0" y="0"/>
                            <a:ext cx="5263515" cy="3749675"/>
                          </a:xfrm>
                          <a:prstGeom prst="rect">
                            <a:avLst/>
                          </a:prstGeom>
                        </pic:spPr>
                      </pic:pic>
                    </a:graphicData>
                  </a:graphic>
                </wp:inline>
              </w:drawing>
            </w:r>
            <w:bookmarkStart w:id="0" w:name="_GoBack"/>
            <w:bookmarkEnd w:id="0"/>
          </w:p>
        </w:tc>
      </w:tr>
    </w:tbl>
    <w:p>
      <w:pPr>
        <w:rPr>
          <w:rFonts w:hint="default" w:ascii="Times New Roman" w:hAnsi="Times New Roman" w:cs="Times New Roman"/>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2845"/>
    <w:rsid w:val="00035D91"/>
    <w:rsid w:val="0005239F"/>
    <w:rsid w:val="000A1929"/>
    <w:rsid w:val="000F609C"/>
    <w:rsid w:val="00125EDA"/>
    <w:rsid w:val="001545E7"/>
    <w:rsid w:val="00194BE7"/>
    <w:rsid w:val="00195D31"/>
    <w:rsid w:val="001A0318"/>
    <w:rsid w:val="001A3461"/>
    <w:rsid w:val="001C5F6E"/>
    <w:rsid w:val="001D3612"/>
    <w:rsid w:val="001D398E"/>
    <w:rsid w:val="00204AA5"/>
    <w:rsid w:val="002452E5"/>
    <w:rsid w:val="00250D82"/>
    <w:rsid w:val="002862A0"/>
    <w:rsid w:val="00297A5E"/>
    <w:rsid w:val="00297BEE"/>
    <w:rsid w:val="002C41D8"/>
    <w:rsid w:val="002D1384"/>
    <w:rsid w:val="0031798A"/>
    <w:rsid w:val="00332107"/>
    <w:rsid w:val="0033323F"/>
    <w:rsid w:val="00353FDF"/>
    <w:rsid w:val="00356E23"/>
    <w:rsid w:val="00363F20"/>
    <w:rsid w:val="00365DF8"/>
    <w:rsid w:val="0038270D"/>
    <w:rsid w:val="003C11AC"/>
    <w:rsid w:val="003C565C"/>
    <w:rsid w:val="003E1B58"/>
    <w:rsid w:val="003F67B9"/>
    <w:rsid w:val="00443F57"/>
    <w:rsid w:val="00476BA3"/>
    <w:rsid w:val="004A2C1D"/>
    <w:rsid w:val="004B7939"/>
    <w:rsid w:val="004C4F94"/>
    <w:rsid w:val="004D4AA6"/>
    <w:rsid w:val="004D56BC"/>
    <w:rsid w:val="004D71F6"/>
    <w:rsid w:val="004E3860"/>
    <w:rsid w:val="004F0B0B"/>
    <w:rsid w:val="004F2F65"/>
    <w:rsid w:val="00520D4F"/>
    <w:rsid w:val="00525163"/>
    <w:rsid w:val="00571083"/>
    <w:rsid w:val="005A2343"/>
    <w:rsid w:val="005C7504"/>
    <w:rsid w:val="005E7707"/>
    <w:rsid w:val="005F4385"/>
    <w:rsid w:val="006432F1"/>
    <w:rsid w:val="00647FFB"/>
    <w:rsid w:val="00656C7A"/>
    <w:rsid w:val="0066372A"/>
    <w:rsid w:val="00677166"/>
    <w:rsid w:val="006A0E18"/>
    <w:rsid w:val="006A2675"/>
    <w:rsid w:val="006B2ACB"/>
    <w:rsid w:val="006C336F"/>
    <w:rsid w:val="006E1C14"/>
    <w:rsid w:val="006F507C"/>
    <w:rsid w:val="006F7F1B"/>
    <w:rsid w:val="0070373E"/>
    <w:rsid w:val="00720ED1"/>
    <w:rsid w:val="00721B3F"/>
    <w:rsid w:val="007313A4"/>
    <w:rsid w:val="007712C4"/>
    <w:rsid w:val="00774C79"/>
    <w:rsid w:val="007A34FC"/>
    <w:rsid w:val="00800545"/>
    <w:rsid w:val="00806D0C"/>
    <w:rsid w:val="00843C11"/>
    <w:rsid w:val="00876432"/>
    <w:rsid w:val="0088430C"/>
    <w:rsid w:val="008D11A5"/>
    <w:rsid w:val="008D3EFA"/>
    <w:rsid w:val="00930DEA"/>
    <w:rsid w:val="00954499"/>
    <w:rsid w:val="00985F45"/>
    <w:rsid w:val="009866A6"/>
    <w:rsid w:val="00996C62"/>
    <w:rsid w:val="009A0DE0"/>
    <w:rsid w:val="009B624C"/>
    <w:rsid w:val="009D3C39"/>
    <w:rsid w:val="009F663D"/>
    <w:rsid w:val="00A336ED"/>
    <w:rsid w:val="00A36C3F"/>
    <w:rsid w:val="00A77FDF"/>
    <w:rsid w:val="00A82471"/>
    <w:rsid w:val="00A83D3A"/>
    <w:rsid w:val="00AA4740"/>
    <w:rsid w:val="00AA6476"/>
    <w:rsid w:val="00AB228D"/>
    <w:rsid w:val="00AB72A2"/>
    <w:rsid w:val="00AD6719"/>
    <w:rsid w:val="00AF3EF1"/>
    <w:rsid w:val="00B148DB"/>
    <w:rsid w:val="00B17160"/>
    <w:rsid w:val="00B269FD"/>
    <w:rsid w:val="00B26CBB"/>
    <w:rsid w:val="00B419DC"/>
    <w:rsid w:val="00B6281C"/>
    <w:rsid w:val="00B75CB4"/>
    <w:rsid w:val="00B75E9C"/>
    <w:rsid w:val="00B83D9A"/>
    <w:rsid w:val="00B92338"/>
    <w:rsid w:val="00BB3533"/>
    <w:rsid w:val="00BB7406"/>
    <w:rsid w:val="00C30872"/>
    <w:rsid w:val="00C32FF9"/>
    <w:rsid w:val="00C457EC"/>
    <w:rsid w:val="00C62260"/>
    <w:rsid w:val="00C84D16"/>
    <w:rsid w:val="00C8713F"/>
    <w:rsid w:val="00CA029A"/>
    <w:rsid w:val="00CA474B"/>
    <w:rsid w:val="00CC50EB"/>
    <w:rsid w:val="00CD2D56"/>
    <w:rsid w:val="00CE7FB1"/>
    <w:rsid w:val="00D11F37"/>
    <w:rsid w:val="00D16845"/>
    <w:rsid w:val="00D20D6B"/>
    <w:rsid w:val="00D85C74"/>
    <w:rsid w:val="00D85DBF"/>
    <w:rsid w:val="00D86B57"/>
    <w:rsid w:val="00D94369"/>
    <w:rsid w:val="00DA17EC"/>
    <w:rsid w:val="00DC0410"/>
    <w:rsid w:val="00DF0C49"/>
    <w:rsid w:val="00E0403A"/>
    <w:rsid w:val="00E3253C"/>
    <w:rsid w:val="00E422ED"/>
    <w:rsid w:val="00E467DD"/>
    <w:rsid w:val="00E968FB"/>
    <w:rsid w:val="00EC3810"/>
    <w:rsid w:val="00F21D5C"/>
    <w:rsid w:val="00F34C2B"/>
    <w:rsid w:val="00F50B77"/>
    <w:rsid w:val="00F51F73"/>
    <w:rsid w:val="00F54203"/>
    <w:rsid w:val="00F566E3"/>
    <w:rsid w:val="00F57A83"/>
    <w:rsid w:val="00F71732"/>
    <w:rsid w:val="00F72317"/>
    <w:rsid w:val="00F75659"/>
    <w:rsid w:val="00F82067"/>
    <w:rsid w:val="00F97A62"/>
    <w:rsid w:val="00FA7AB6"/>
    <w:rsid w:val="00FB2FCE"/>
    <w:rsid w:val="00FB5DDF"/>
    <w:rsid w:val="00FD7D5A"/>
    <w:rsid w:val="00FE74ED"/>
    <w:rsid w:val="00FF1470"/>
    <w:rsid w:val="0920073E"/>
    <w:rsid w:val="0A0C5713"/>
    <w:rsid w:val="11510E8C"/>
    <w:rsid w:val="128B2640"/>
    <w:rsid w:val="15DA2850"/>
    <w:rsid w:val="21902E98"/>
    <w:rsid w:val="2CA63131"/>
    <w:rsid w:val="3169606F"/>
    <w:rsid w:val="379A62B8"/>
    <w:rsid w:val="39BF1CE5"/>
    <w:rsid w:val="3B8D5589"/>
    <w:rsid w:val="3CFA504F"/>
    <w:rsid w:val="3D603CF6"/>
    <w:rsid w:val="44BC33A0"/>
    <w:rsid w:val="51CB7E06"/>
    <w:rsid w:val="581F09F9"/>
    <w:rsid w:val="594E62E6"/>
    <w:rsid w:val="6C3C7313"/>
    <w:rsid w:val="6E611E3D"/>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171</Words>
  <Characters>981</Characters>
  <Lines>8</Lines>
  <Paragraphs>2</Paragraphs>
  <TotalTime>1</TotalTime>
  <ScaleCrop>false</ScaleCrop>
  <LinksUpToDate>false</LinksUpToDate>
  <CharactersWithSpaces>1150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抽离的情绪</cp:lastModifiedBy>
  <dcterms:modified xsi:type="dcterms:W3CDTF">2021-08-31T08:41:34Z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DF9ADE21ADB445C890BBA013813406F1</vt:lpwstr>
  </property>
</Properties>
</file>