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90461" w14:textId="77777777" w:rsidR="0051170D" w:rsidRDefault="00E42DB3">
      <w:pPr>
        <w:adjustRightInd w:val="0"/>
        <w:snapToGrid w:val="0"/>
        <w:spacing w:beforeLines="50" w:before="156" w:afterLines="50" w:after="156" w:line="276" w:lineRule="auto"/>
        <w:rPr>
          <w:rFonts w:ascii="Arial" w:hAnsi="Arial" w:cs="Arial"/>
          <w:bCs/>
          <w:iCs/>
          <w:szCs w:val="21"/>
        </w:rPr>
      </w:pPr>
      <w:bookmarkStart w:id="0" w:name="_GoBack"/>
      <w:bookmarkEnd w:id="0"/>
      <w:r>
        <w:rPr>
          <w:rFonts w:ascii="Arial" w:hAnsi="宋体" w:cs="Arial"/>
          <w:bCs/>
          <w:iCs/>
          <w:szCs w:val="21"/>
        </w:rPr>
        <w:t>证券代码：</w:t>
      </w:r>
      <w:r>
        <w:rPr>
          <w:rFonts w:ascii="Arial" w:hAnsi="Arial" w:cs="Arial"/>
          <w:bCs/>
          <w:iCs/>
          <w:szCs w:val="21"/>
        </w:rPr>
        <w:t xml:space="preserve">002422         </w:t>
      </w:r>
      <w:r>
        <w:rPr>
          <w:rFonts w:ascii="Arial" w:hAnsi="Arial" w:cs="Arial" w:hint="eastAsia"/>
          <w:bCs/>
          <w:iCs/>
          <w:szCs w:val="21"/>
        </w:rPr>
        <w:t xml:space="preserve">       </w:t>
      </w:r>
      <w:r>
        <w:rPr>
          <w:rFonts w:ascii="Arial" w:hAnsi="Arial" w:cs="Arial"/>
          <w:bCs/>
          <w:iCs/>
          <w:szCs w:val="21"/>
        </w:rPr>
        <w:t xml:space="preserve">                           </w:t>
      </w:r>
      <w:r>
        <w:rPr>
          <w:rFonts w:ascii="Arial" w:hAnsi="宋体" w:cs="Arial"/>
          <w:bCs/>
          <w:iCs/>
          <w:szCs w:val="21"/>
        </w:rPr>
        <w:t>证券简称：科伦药业</w:t>
      </w:r>
    </w:p>
    <w:p w14:paraId="51E9C265" w14:textId="77777777" w:rsidR="0051170D" w:rsidRDefault="0051170D">
      <w:pPr>
        <w:adjustRightInd w:val="0"/>
        <w:snapToGrid w:val="0"/>
        <w:spacing w:beforeLines="50" w:before="156" w:afterLines="50" w:after="156" w:line="276" w:lineRule="auto"/>
        <w:ind w:firstLineChars="200" w:firstLine="480"/>
        <w:rPr>
          <w:rFonts w:ascii="宋体" w:hAnsi="宋体"/>
          <w:bCs/>
          <w:iCs/>
          <w:sz w:val="24"/>
        </w:rPr>
      </w:pPr>
    </w:p>
    <w:p w14:paraId="0FD38FA2" w14:textId="77777777" w:rsidR="0051170D" w:rsidRDefault="00E42DB3">
      <w:pPr>
        <w:adjustRightInd w:val="0"/>
        <w:snapToGrid w:val="0"/>
        <w:spacing w:beforeLines="50" w:before="156" w:afterLines="50" w:after="156" w:line="276" w:lineRule="auto"/>
        <w:ind w:firstLineChars="200" w:firstLine="562"/>
        <w:jc w:val="center"/>
        <w:rPr>
          <w:rFonts w:ascii="宋体" w:hAnsi="宋体"/>
          <w:b/>
          <w:bCs/>
          <w:iCs/>
          <w:sz w:val="28"/>
          <w:szCs w:val="28"/>
        </w:rPr>
      </w:pPr>
      <w:r>
        <w:rPr>
          <w:rFonts w:ascii="宋体" w:hAnsi="宋体" w:hint="eastAsia"/>
          <w:b/>
          <w:bCs/>
          <w:iCs/>
          <w:sz w:val="28"/>
          <w:szCs w:val="28"/>
        </w:rPr>
        <w:t>四川科伦药业股份有限公司投资者关系活动记录表</w:t>
      </w:r>
    </w:p>
    <w:p w14:paraId="423A05C1" w14:textId="7B8C0AB2" w:rsidR="0051170D" w:rsidRDefault="00E42DB3">
      <w:pPr>
        <w:adjustRightInd w:val="0"/>
        <w:snapToGrid w:val="0"/>
        <w:spacing w:beforeLines="50" w:before="156" w:afterLines="50" w:after="156" w:line="276" w:lineRule="auto"/>
        <w:ind w:firstLineChars="200" w:firstLine="480"/>
        <w:rPr>
          <w:rFonts w:ascii="宋体" w:hAnsi="宋体"/>
          <w:bCs/>
          <w:iCs/>
          <w:szCs w:val="21"/>
        </w:rPr>
      </w:pPr>
      <w:r>
        <w:rPr>
          <w:rFonts w:ascii="宋体" w:hAnsi="宋体" w:hint="eastAsia"/>
          <w:bCs/>
          <w:iCs/>
          <w:sz w:val="24"/>
        </w:rPr>
        <w:t xml:space="preserve">                                                        </w:t>
      </w:r>
      <w:r>
        <w:rPr>
          <w:rFonts w:ascii="宋体" w:hAnsi="宋体" w:hint="eastAsia"/>
          <w:bCs/>
          <w:iCs/>
          <w:szCs w:val="21"/>
        </w:rPr>
        <w:t>编号：</w:t>
      </w:r>
      <w:r w:rsidR="00462A63">
        <w:rPr>
          <w:rFonts w:ascii="宋体" w:hAnsi="宋体" w:hint="eastAsia"/>
          <w:bCs/>
          <w:iCs/>
          <w:szCs w:val="21"/>
        </w:rPr>
        <w:t>004</w:t>
      </w:r>
      <w:r w:rsidR="006D3B33">
        <w:rPr>
          <w:rFonts w:ascii="宋体" w:hAnsi="宋体"/>
          <w:bCs/>
          <w:iCs/>
          <w:szCs w:val="21"/>
        </w:rPr>
        <w:t>3</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6997"/>
      </w:tblGrid>
      <w:tr w:rsidR="0051170D" w14:paraId="5CE3C63A" w14:textId="77777777">
        <w:tc>
          <w:tcPr>
            <w:tcW w:w="1525" w:type="dxa"/>
          </w:tcPr>
          <w:p w14:paraId="46FB9707" w14:textId="77777777" w:rsidR="0051170D" w:rsidRDefault="00E42DB3">
            <w:pPr>
              <w:spacing w:beforeLines="100" w:before="312" w:afterLines="100" w:after="312" w:line="360" w:lineRule="auto"/>
              <w:rPr>
                <w:rFonts w:ascii="宋体" w:hAnsi="宋体"/>
                <w:b/>
                <w:bCs/>
                <w:iCs/>
                <w:sz w:val="24"/>
              </w:rPr>
            </w:pPr>
            <w:r>
              <w:rPr>
                <w:rFonts w:ascii="宋体" w:hAnsi="宋体" w:hint="eastAsia"/>
                <w:b/>
                <w:bCs/>
                <w:iCs/>
                <w:sz w:val="24"/>
              </w:rPr>
              <w:t>投资者关系活动类别</w:t>
            </w:r>
          </w:p>
        </w:tc>
        <w:tc>
          <w:tcPr>
            <w:tcW w:w="6997" w:type="dxa"/>
          </w:tcPr>
          <w:p w14:paraId="3CDDC02F" w14:textId="77777777" w:rsidR="0051170D" w:rsidRDefault="00E42DB3">
            <w:pPr>
              <w:rPr>
                <w:bCs/>
                <w:iCs/>
                <w:szCs w:val="21"/>
              </w:rPr>
            </w:pPr>
            <w:r>
              <w:rPr>
                <w:szCs w:val="21"/>
              </w:rPr>
              <w:t>√</w:t>
            </w:r>
            <w:r>
              <w:rPr>
                <w:rFonts w:hint="eastAsia"/>
                <w:szCs w:val="21"/>
              </w:rPr>
              <w:t>特定对象调研</w:t>
            </w:r>
            <w:r>
              <w:rPr>
                <w:rFonts w:hint="eastAsia"/>
                <w:szCs w:val="21"/>
              </w:rPr>
              <w:t xml:space="preserve">         </w:t>
            </w:r>
            <w:r w:rsidR="00462A63">
              <w:rPr>
                <w:rFonts w:hint="eastAsia"/>
                <w:bCs/>
                <w:iCs/>
                <w:szCs w:val="21"/>
              </w:rPr>
              <w:t>□</w:t>
            </w:r>
            <w:r>
              <w:rPr>
                <w:rFonts w:hint="eastAsia"/>
                <w:szCs w:val="21"/>
              </w:rPr>
              <w:t>分析师会议</w:t>
            </w:r>
          </w:p>
          <w:p w14:paraId="2222A058" w14:textId="77777777" w:rsidR="0051170D" w:rsidRDefault="00E42DB3">
            <w:pPr>
              <w:rPr>
                <w:bCs/>
                <w:iCs/>
                <w:szCs w:val="21"/>
              </w:rPr>
            </w:pPr>
            <w:r>
              <w:rPr>
                <w:rFonts w:hint="eastAsia"/>
                <w:bCs/>
                <w:iCs/>
                <w:szCs w:val="21"/>
              </w:rPr>
              <w:t>□</w:t>
            </w:r>
            <w:r>
              <w:rPr>
                <w:rFonts w:hint="eastAsia"/>
                <w:szCs w:val="21"/>
              </w:rPr>
              <w:t>媒体采访</w:t>
            </w:r>
            <w:r>
              <w:rPr>
                <w:rFonts w:hint="eastAsia"/>
                <w:szCs w:val="21"/>
              </w:rPr>
              <w:t xml:space="preserve">            </w:t>
            </w:r>
            <w:r>
              <w:rPr>
                <w:rFonts w:hint="eastAsia"/>
                <w:bCs/>
                <w:iCs/>
                <w:szCs w:val="21"/>
              </w:rPr>
              <w:t>□</w:t>
            </w:r>
            <w:r>
              <w:rPr>
                <w:rFonts w:hint="eastAsia"/>
                <w:szCs w:val="21"/>
              </w:rPr>
              <w:t>业绩说明会</w:t>
            </w:r>
          </w:p>
          <w:p w14:paraId="256E1E92" w14:textId="77777777" w:rsidR="0051170D" w:rsidRDefault="00E42DB3">
            <w:pPr>
              <w:rPr>
                <w:bCs/>
                <w:iCs/>
                <w:szCs w:val="21"/>
              </w:rPr>
            </w:pPr>
            <w:r>
              <w:rPr>
                <w:rFonts w:hint="eastAsia"/>
                <w:bCs/>
                <w:iCs/>
                <w:szCs w:val="21"/>
              </w:rPr>
              <w:t>□</w:t>
            </w:r>
            <w:r>
              <w:rPr>
                <w:rFonts w:hint="eastAsia"/>
                <w:szCs w:val="21"/>
              </w:rPr>
              <w:t>新闻发布会</w:t>
            </w:r>
            <w:r>
              <w:rPr>
                <w:rFonts w:hint="eastAsia"/>
                <w:szCs w:val="21"/>
              </w:rPr>
              <w:t xml:space="preserve">          </w:t>
            </w:r>
            <w:r>
              <w:rPr>
                <w:rFonts w:hint="eastAsia"/>
                <w:bCs/>
                <w:iCs/>
                <w:szCs w:val="21"/>
              </w:rPr>
              <w:t>□</w:t>
            </w:r>
            <w:r>
              <w:rPr>
                <w:rFonts w:hint="eastAsia"/>
                <w:szCs w:val="21"/>
              </w:rPr>
              <w:t>路演活动</w:t>
            </w:r>
          </w:p>
          <w:p w14:paraId="0C978F46" w14:textId="77777777" w:rsidR="0051170D" w:rsidRDefault="00E42DB3">
            <w:pPr>
              <w:rPr>
                <w:bCs/>
                <w:iCs/>
                <w:szCs w:val="21"/>
              </w:rPr>
            </w:pPr>
            <w:r>
              <w:rPr>
                <w:rFonts w:hint="eastAsia"/>
                <w:bCs/>
                <w:iCs/>
                <w:szCs w:val="21"/>
              </w:rPr>
              <w:t>□</w:t>
            </w:r>
            <w:r>
              <w:rPr>
                <w:rFonts w:hint="eastAsia"/>
                <w:szCs w:val="21"/>
              </w:rPr>
              <w:t>现场参观</w:t>
            </w:r>
          </w:p>
          <w:p w14:paraId="2D6027CE" w14:textId="77777777" w:rsidR="0051170D" w:rsidRDefault="00E42DB3">
            <w:pPr>
              <w:rPr>
                <w:rFonts w:ascii="宋体" w:hAnsi="宋体"/>
                <w:bCs/>
                <w:iCs/>
                <w:szCs w:val="21"/>
              </w:rPr>
            </w:pPr>
            <w:r>
              <w:rPr>
                <w:rFonts w:hint="eastAsia"/>
                <w:bCs/>
                <w:iCs/>
                <w:szCs w:val="21"/>
              </w:rPr>
              <w:t>□</w:t>
            </w:r>
            <w:r>
              <w:rPr>
                <w:rFonts w:hint="eastAsia"/>
                <w:szCs w:val="21"/>
              </w:rPr>
              <w:t>其他</w:t>
            </w:r>
            <w:r>
              <w:rPr>
                <w:rFonts w:hint="eastAsia"/>
                <w:szCs w:val="21"/>
              </w:rPr>
              <w:t xml:space="preserve"> </w:t>
            </w:r>
            <w:r>
              <w:rPr>
                <w:rFonts w:hint="eastAsia"/>
                <w:szCs w:val="21"/>
              </w:rPr>
              <w:t>（</w:t>
            </w:r>
            <w:r>
              <w:rPr>
                <w:rFonts w:hint="eastAsia"/>
                <w:szCs w:val="21"/>
                <w:u w:val="single"/>
              </w:rPr>
              <w:t>请文字说明其他活动内容）</w:t>
            </w:r>
          </w:p>
        </w:tc>
      </w:tr>
      <w:tr w:rsidR="0051170D" w14:paraId="63EFB64A" w14:textId="77777777">
        <w:trPr>
          <w:trHeight w:val="1348"/>
        </w:trPr>
        <w:tc>
          <w:tcPr>
            <w:tcW w:w="1525" w:type="dxa"/>
          </w:tcPr>
          <w:p w14:paraId="29388859" w14:textId="77777777" w:rsidR="0051170D" w:rsidRDefault="00E42DB3">
            <w:pPr>
              <w:spacing w:beforeLines="100" w:before="312" w:afterLines="100" w:after="312"/>
              <w:rPr>
                <w:rFonts w:ascii="宋体" w:hAnsi="宋体"/>
                <w:b/>
                <w:bCs/>
                <w:iCs/>
                <w:sz w:val="24"/>
              </w:rPr>
            </w:pPr>
            <w:r>
              <w:rPr>
                <w:rFonts w:ascii="宋体" w:hAnsi="宋体" w:hint="eastAsia"/>
                <w:b/>
                <w:bCs/>
                <w:iCs/>
                <w:sz w:val="24"/>
              </w:rPr>
              <w:t>参与单位名称及人员姓名</w:t>
            </w:r>
          </w:p>
        </w:tc>
        <w:tc>
          <w:tcPr>
            <w:tcW w:w="6997" w:type="dxa"/>
            <w:vAlign w:val="center"/>
          </w:tcPr>
          <w:p w14:paraId="78D379AC" w14:textId="77777777" w:rsidR="0051170D" w:rsidRDefault="00462A63" w:rsidP="00462A63">
            <w:pPr>
              <w:rPr>
                <w:szCs w:val="21"/>
              </w:rPr>
            </w:pPr>
            <w:r>
              <w:rPr>
                <w:rFonts w:ascii="Calibri" w:hAnsi="Calibri" w:hint="eastAsia"/>
                <w:szCs w:val="21"/>
              </w:rPr>
              <w:t>长江</w:t>
            </w:r>
            <w:r w:rsidR="009A2486" w:rsidRPr="009A2486">
              <w:rPr>
                <w:rFonts w:ascii="Calibri" w:hAnsi="Calibri" w:hint="eastAsia"/>
                <w:szCs w:val="21"/>
              </w:rPr>
              <w:t>证券</w:t>
            </w:r>
            <w:r w:rsidR="009A2486">
              <w:rPr>
                <w:rFonts w:ascii="Calibri" w:hAnsi="Calibri" w:hint="eastAsia"/>
                <w:szCs w:val="21"/>
              </w:rPr>
              <w:t>、</w:t>
            </w:r>
            <w:r>
              <w:rPr>
                <w:rFonts w:ascii="Calibri" w:hAnsi="Calibri" w:hint="eastAsia"/>
                <w:szCs w:val="21"/>
              </w:rPr>
              <w:t>中欧</w:t>
            </w:r>
            <w:r w:rsidR="009A2486">
              <w:rPr>
                <w:rFonts w:ascii="Calibri" w:hAnsi="Calibri" w:hint="eastAsia"/>
                <w:szCs w:val="21"/>
              </w:rPr>
              <w:t>基金</w:t>
            </w:r>
            <w:r>
              <w:rPr>
                <w:rFonts w:ascii="Calibri" w:hAnsi="Calibri" w:hint="eastAsia"/>
                <w:szCs w:val="21"/>
              </w:rPr>
              <w:t>、富国基金、中金资管、建信基金、中融基金、国寿养老、泰康资产</w:t>
            </w:r>
            <w:r w:rsidR="00F15DF9">
              <w:rPr>
                <w:rFonts w:ascii="Calibri" w:hAnsi="Calibri"/>
                <w:szCs w:val="21"/>
              </w:rPr>
              <w:t>等</w:t>
            </w:r>
            <w:r w:rsidR="003F713E">
              <w:rPr>
                <w:rFonts w:ascii="Calibri" w:hAnsi="Calibri" w:hint="eastAsia"/>
                <w:szCs w:val="21"/>
              </w:rPr>
              <w:t>1</w:t>
            </w:r>
            <w:r w:rsidR="003F713E">
              <w:rPr>
                <w:rFonts w:ascii="Calibri" w:hAnsi="Calibri"/>
                <w:szCs w:val="21"/>
              </w:rPr>
              <w:t>6</w:t>
            </w:r>
            <w:r w:rsidR="00F15DF9">
              <w:rPr>
                <w:rFonts w:ascii="Calibri" w:hAnsi="Calibri"/>
                <w:szCs w:val="21"/>
              </w:rPr>
              <w:t>位机构和投资人</w:t>
            </w:r>
            <w:r w:rsidR="0025197C">
              <w:rPr>
                <w:rFonts w:ascii="Calibri" w:hAnsi="Calibri" w:hint="eastAsia"/>
                <w:szCs w:val="21"/>
              </w:rPr>
              <w:t>。</w:t>
            </w:r>
          </w:p>
        </w:tc>
      </w:tr>
      <w:tr w:rsidR="0051170D" w14:paraId="075D417C" w14:textId="77777777">
        <w:tc>
          <w:tcPr>
            <w:tcW w:w="1525" w:type="dxa"/>
            <w:vAlign w:val="center"/>
          </w:tcPr>
          <w:p w14:paraId="7E3129FE" w14:textId="77777777" w:rsidR="0051170D" w:rsidRDefault="00E42DB3">
            <w:pPr>
              <w:rPr>
                <w:b/>
                <w:sz w:val="24"/>
              </w:rPr>
            </w:pPr>
            <w:r>
              <w:rPr>
                <w:rFonts w:hint="eastAsia"/>
                <w:b/>
                <w:sz w:val="24"/>
              </w:rPr>
              <w:t>时间</w:t>
            </w:r>
          </w:p>
        </w:tc>
        <w:tc>
          <w:tcPr>
            <w:tcW w:w="6997" w:type="dxa"/>
            <w:vAlign w:val="center"/>
          </w:tcPr>
          <w:p w14:paraId="3F24F1CE" w14:textId="77777777" w:rsidR="0051170D" w:rsidRDefault="00E42DB3" w:rsidP="005A5DB7">
            <w:pPr>
              <w:rPr>
                <w:szCs w:val="21"/>
              </w:rPr>
            </w:pPr>
            <w:r>
              <w:rPr>
                <w:rFonts w:ascii="Calibri" w:hAnsi="Calibri"/>
                <w:szCs w:val="21"/>
              </w:rPr>
              <w:t>201</w:t>
            </w:r>
            <w:r w:rsidR="005A5DB7">
              <w:rPr>
                <w:rFonts w:ascii="Calibri" w:hAnsi="Calibri" w:hint="eastAsia"/>
                <w:szCs w:val="21"/>
              </w:rPr>
              <w:t>8</w:t>
            </w:r>
            <w:r>
              <w:rPr>
                <w:rFonts w:ascii="Calibri" w:hAnsi="Calibri" w:hint="eastAsia"/>
                <w:szCs w:val="21"/>
              </w:rPr>
              <w:t>年</w:t>
            </w:r>
            <w:r w:rsidR="001A74DF">
              <w:rPr>
                <w:rFonts w:ascii="Calibri" w:hAnsi="Calibri"/>
                <w:szCs w:val="21"/>
              </w:rPr>
              <w:t>9</w:t>
            </w:r>
            <w:r>
              <w:rPr>
                <w:rFonts w:ascii="Calibri" w:hAnsi="Calibri" w:hint="eastAsia"/>
                <w:szCs w:val="21"/>
              </w:rPr>
              <w:t>月</w:t>
            </w:r>
            <w:r w:rsidR="00462A63">
              <w:rPr>
                <w:rFonts w:ascii="Calibri" w:hAnsi="Calibri"/>
                <w:szCs w:val="21"/>
              </w:rPr>
              <w:t>10</w:t>
            </w:r>
            <w:r>
              <w:rPr>
                <w:rFonts w:ascii="Calibri" w:hAnsi="Calibri" w:hint="eastAsia"/>
                <w:szCs w:val="21"/>
              </w:rPr>
              <w:t>日</w:t>
            </w:r>
          </w:p>
        </w:tc>
      </w:tr>
      <w:tr w:rsidR="0051170D" w14:paraId="2A5434A0" w14:textId="77777777">
        <w:trPr>
          <w:trHeight w:val="510"/>
        </w:trPr>
        <w:tc>
          <w:tcPr>
            <w:tcW w:w="1525" w:type="dxa"/>
            <w:vAlign w:val="center"/>
          </w:tcPr>
          <w:p w14:paraId="1FA5D6C4" w14:textId="77777777" w:rsidR="0051170D" w:rsidRDefault="00E42DB3">
            <w:pPr>
              <w:rPr>
                <w:b/>
                <w:sz w:val="24"/>
              </w:rPr>
            </w:pPr>
            <w:r>
              <w:rPr>
                <w:rFonts w:hint="eastAsia"/>
                <w:b/>
                <w:sz w:val="24"/>
              </w:rPr>
              <w:t>地点</w:t>
            </w:r>
          </w:p>
        </w:tc>
        <w:tc>
          <w:tcPr>
            <w:tcW w:w="6997" w:type="dxa"/>
            <w:vAlign w:val="center"/>
          </w:tcPr>
          <w:p w14:paraId="382CD0D4" w14:textId="77777777" w:rsidR="0051170D" w:rsidRDefault="00A65D2E">
            <w:pPr>
              <w:rPr>
                <w:szCs w:val="21"/>
              </w:rPr>
            </w:pPr>
            <w:r>
              <w:rPr>
                <w:rFonts w:hint="eastAsia"/>
                <w:szCs w:val="21"/>
              </w:rPr>
              <w:t>科</w:t>
            </w:r>
            <w:r>
              <w:rPr>
                <w:szCs w:val="21"/>
              </w:rPr>
              <w:t>伦药业</w:t>
            </w:r>
            <w:r>
              <w:rPr>
                <w:rFonts w:hint="eastAsia"/>
                <w:szCs w:val="21"/>
              </w:rPr>
              <w:t>总</w:t>
            </w:r>
            <w:r>
              <w:rPr>
                <w:szCs w:val="21"/>
              </w:rPr>
              <w:t>部会议室</w:t>
            </w:r>
            <w:r w:rsidR="00600003">
              <w:rPr>
                <w:rFonts w:hint="eastAsia"/>
                <w:szCs w:val="21"/>
              </w:rPr>
              <w:t>现场及电话</w:t>
            </w:r>
            <w:r>
              <w:rPr>
                <w:szCs w:val="21"/>
              </w:rPr>
              <w:t>（成都市青羊区百花</w:t>
            </w:r>
            <w:r>
              <w:rPr>
                <w:rFonts w:hint="eastAsia"/>
                <w:szCs w:val="21"/>
              </w:rPr>
              <w:t>西</w:t>
            </w:r>
            <w:r>
              <w:rPr>
                <w:szCs w:val="21"/>
              </w:rPr>
              <w:t>路</w:t>
            </w:r>
            <w:r>
              <w:rPr>
                <w:szCs w:val="21"/>
              </w:rPr>
              <w:t>36</w:t>
            </w:r>
            <w:r>
              <w:rPr>
                <w:szCs w:val="21"/>
              </w:rPr>
              <w:t>号）</w:t>
            </w:r>
          </w:p>
        </w:tc>
      </w:tr>
      <w:tr w:rsidR="0051170D" w14:paraId="4EE25DA4" w14:textId="77777777">
        <w:trPr>
          <w:trHeight w:val="1047"/>
        </w:trPr>
        <w:tc>
          <w:tcPr>
            <w:tcW w:w="1525" w:type="dxa"/>
            <w:vAlign w:val="center"/>
          </w:tcPr>
          <w:p w14:paraId="7B73AF45" w14:textId="77777777" w:rsidR="0051170D" w:rsidRDefault="00E42DB3">
            <w:pPr>
              <w:rPr>
                <w:b/>
                <w:sz w:val="24"/>
              </w:rPr>
            </w:pPr>
            <w:r>
              <w:rPr>
                <w:rFonts w:hint="eastAsia"/>
                <w:b/>
                <w:sz w:val="24"/>
              </w:rPr>
              <w:t>上市公司接待人员姓名</w:t>
            </w:r>
          </w:p>
        </w:tc>
        <w:tc>
          <w:tcPr>
            <w:tcW w:w="6997" w:type="dxa"/>
            <w:vAlign w:val="center"/>
          </w:tcPr>
          <w:p w14:paraId="2017DF68" w14:textId="77777777" w:rsidR="0051170D" w:rsidRDefault="00462A63" w:rsidP="005A5DB7">
            <w:pPr>
              <w:rPr>
                <w:rFonts w:ascii="宋体" w:hAnsi="宋体"/>
                <w:color w:val="000000"/>
                <w:szCs w:val="21"/>
                <w:shd w:val="clear" w:color="auto" w:fill="FFFFFF"/>
              </w:rPr>
            </w:pPr>
            <w:r>
              <w:rPr>
                <w:rFonts w:ascii="宋体" w:hAnsi="宋体" w:hint="eastAsia"/>
                <w:color w:val="000000"/>
                <w:szCs w:val="21"/>
                <w:shd w:val="clear" w:color="auto" w:fill="FFFFFF"/>
              </w:rPr>
              <w:t>副总经理兼董事会秘书冯昊、</w:t>
            </w:r>
            <w:r w:rsidR="005A5DB7">
              <w:rPr>
                <w:rFonts w:ascii="宋体" w:hAnsi="宋体" w:hint="eastAsia"/>
                <w:color w:val="000000"/>
                <w:szCs w:val="21"/>
                <w:shd w:val="clear" w:color="auto" w:fill="FFFFFF"/>
              </w:rPr>
              <w:t>副总</w:t>
            </w:r>
            <w:r w:rsidR="005A5DB7">
              <w:rPr>
                <w:rFonts w:ascii="宋体" w:hAnsi="宋体"/>
                <w:color w:val="000000"/>
                <w:szCs w:val="21"/>
                <w:shd w:val="clear" w:color="auto" w:fill="FFFFFF"/>
              </w:rPr>
              <w:t>经理兼财务总监赖德贵、证券事务代表黄新</w:t>
            </w:r>
          </w:p>
        </w:tc>
      </w:tr>
      <w:tr w:rsidR="0051170D" w14:paraId="54A00A6A" w14:textId="77777777">
        <w:trPr>
          <w:trHeight w:val="629"/>
        </w:trPr>
        <w:tc>
          <w:tcPr>
            <w:tcW w:w="1525" w:type="dxa"/>
            <w:vAlign w:val="center"/>
          </w:tcPr>
          <w:p w14:paraId="5D2F33A5" w14:textId="77777777" w:rsidR="0051170D" w:rsidRDefault="00E42DB3">
            <w:pPr>
              <w:spacing w:beforeLines="100" w:before="312" w:afterLines="100" w:after="312" w:line="360" w:lineRule="auto"/>
              <w:rPr>
                <w:rFonts w:ascii="宋体" w:hAnsi="宋体"/>
                <w:b/>
                <w:bCs/>
                <w:iCs/>
                <w:sz w:val="24"/>
              </w:rPr>
            </w:pPr>
            <w:r>
              <w:rPr>
                <w:rFonts w:ascii="宋体" w:hAnsi="宋体" w:hint="eastAsia"/>
                <w:b/>
                <w:bCs/>
                <w:iCs/>
                <w:sz w:val="24"/>
              </w:rPr>
              <w:t>投资者关系活动主要内容介绍</w:t>
            </w:r>
          </w:p>
          <w:p w14:paraId="76DD1D53" w14:textId="77777777" w:rsidR="0051170D" w:rsidRDefault="0051170D">
            <w:pPr>
              <w:spacing w:beforeLines="100" w:before="312" w:afterLines="100" w:after="312" w:line="360" w:lineRule="auto"/>
              <w:rPr>
                <w:rFonts w:ascii="宋体" w:hAnsi="宋体"/>
                <w:b/>
                <w:bCs/>
                <w:iCs/>
                <w:sz w:val="24"/>
              </w:rPr>
            </w:pPr>
          </w:p>
        </w:tc>
        <w:tc>
          <w:tcPr>
            <w:tcW w:w="6997" w:type="dxa"/>
          </w:tcPr>
          <w:p w14:paraId="1BBAF7EF" w14:textId="77777777" w:rsidR="0051170D" w:rsidRPr="00A06A17" w:rsidRDefault="00E42DB3" w:rsidP="00A06A17">
            <w:pPr>
              <w:ind w:firstLineChars="150" w:firstLine="270"/>
              <w:rPr>
                <w:rFonts w:asciiTheme="minorEastAsia" w:eastAsiaTheme="minorEastAsia" w:hAnsiTheme="minorEastAsia" w:cs="宋体"/>
                <w:sz w:val="18"/>
                <w:szCs w:val="18"/>
              </w:rPr>
            </w:pPr>
            <w:r w:rsidRPr="00A06A17">
              <w:rPr>
                <w:rFonts w:asciiTheme="minorEastAsia" w:eastAsiaTheme="minorEastAsia" w:hAnsiTheme="minorEastAsia" w:cs="宋体" w:hint="eastAsia"/>
                <w:sz w:val="18"/>
                <w:szCs w:val="18"/>
              </w:rPr>
              <w:t>会议主要就公司</w:t>
            </w:r>
            <w:r w:rsidR="005512E1">
              <w:rPr>
                <w:rFonts w:asciiTheme="minorEastAsia" w:eastAsiaTheme="minorEastAsia" w:hAnsiTheme="minorEastAsia" w:cs="宋体" w:hint="eastAsia"/>
                <w:sz w:val="18"/>
                <w:szCs w:val="18"/>
              </w:rPr>
              <w:t>融资方面</w:t>
            </w:r>
            <w:r w:rsidR="00415221" w:rsidRPr="00A06A17">
              <w:rPr>
                <w:rFonts w:asciiTheme="minorEastAsia" w:eastAsiaTheme="minorEastAsia" w:hAnsiTheme="minorEastAsia" w:cs="宋体" w:hint="eastAsia"/>
                <w:sz w:val="18"/>
                <w:szCs w:val="18"/>
              </w:rPr>
              <w:t>、输液</w:t>
            </w:r>
            <w:r w:rsidR="00415221" w:rsidRPr="00A06A17">
              <w:rPr>
                <w:rFonts w:asciiTheme="minorEastAsia" w:eastAsiaTheme="minorEastAsia" w:hAnsiTheme="minorEastAsia" w:cs="宋体"/>
                <w:sz w:val="18"/>
                <w:szCs w:val="18"/>
              </w:rPr>
              <w:t>领域、抗生素领域</w:t>
            </w:r>
            <w:r w:rsidR="00415221" w:rsidRPr="00A06A17">
              <w:rPr>
                <w:rFonts w:asciiTheme="minorEastAsia" w:eastAsiaTheme="minorEastAsia" w:hAnsiTheme="minorEastAsia" w:cs="宋体" w:hint="eastAsia"/>
                <w:sz w:val="18"/>
                <w:szCs w:val="18"/>
              </w:rPr>
              <w:t>，</w:t>
            </w:r>
            <w:r w:rsidR="00415221" w:rsidRPr="00A06A17">
              <w:rPr>
                <w:rFonts w:asciiTheme="minorEastAsia" w:eastAsiaTheme="minorEastAsia" w:hAnsiTheme="minorEastAsia" w:cs="宋体"/>
                <w:sz w:val="18"/>
                <w:szCs w:val="18"/>
              </w:rPr>
              <w:t>以及销售等方面</w:t>
            </w:r>
            <w:r w:rsidRPr="00A06A17">
              <w:rPr>
                <w:rFonts w:asciiTheme="minorEastAsia" w:eastAsiaTheme="minorEastAsia" w:hAnsiTheme="minorEastAsia" w:cs="宋体" w:hint="eastAsia"/>
                <w:sz w:val="18"/>
                <w:szCs w:val="18"/>
              </w:rPr>
              <w:t>进行了沟通交流。</w:t>
            </w:r>
          </w:p>
          <w:p w14:paraId="6EC64C2F" w14:textId="77777777" w:rsidR="00462A63" w:rsidRPr="00462A63" w:rsidRDefault="00462A63"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问：</w:t>
            </w:r>
            <w:r w:rsidRPr="00462A63">
              <w:rPr>
                <w:rFonts w:asciiTheme="minorEastAsia" w:eastAsiaTheme="minorEastAsia" w:hAnsiTheme="minorEastAsia" w:cs="宋体" w:hint="eastAsia"/>
                <w:sz w:val="18"/>
                <w:szCs w:val="18"/>
              </w:rPr>
              <w:t>公司实际控制人股权质押情况，用于哪方面？</w:t>
            </w:r>
          </w:p>
          <w:p w14:paraId="4865A866" w14:textId="1E47D9F6" w:rsidR="00462A63" w:rsidRPr="00462A63" w:rsidRDefault="00462A63"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答：</w:t>
            </w:r>
            <w:r w:rsidRPr="00462A63">
              <w:rPr>
                <w:rFonts w:asciiTheme="minorEastAsia" w:eastAsiaTheme="minorEastAsia" w:hAnsiTheme="minorEastAsia" w:cs="宋体" w:hint="eastAsia"/>
                <w:sz w:val="18"/>
                <w:szCs w:val="18"/>
              </w:rPr>
              <w:t>公司实际控制人股权质押比例已下降，不超过47%，后续预计仍将下降，其原因在于2</w:t>
            </w:r>
            <w:r>
              <w:rPr>
                <w:rFonts w:asciiTheme="minorEastAsia" w:eastAsiaTheme="minorEastAsia" w:hAnsiTheme="minorEastAsia" w:cs="宋体" w:hint="eastAsia"/>
                <w:sz w:val="18"/>
                <w:szCs w:val="18"/>
              </w:rPr>
              <w:t>年前进行股票质押时股价相对较低，两年到期续</w:t>
            </w:r>
            <w:r w:rsidRPr="00462A63">
              <w:rPr>
                <w:rFonts w:asciiTheme="minorEastAsia" w:eastAsiaTheme="minorEastAsia" w:hAnsiTheme="minorEastAsia" w:cs="宋体" w:hint="eastAsia"/>
                <w:sz w:val="18"/>
                <w:szCs w:val="18"/>
              </w:rPr>
              <w:t>后，由于股价上涨，质押股数相应减少。公司实际控制人股权质押融资主要用于</w:t>
            </w:r>
            <w:r w:rsidR="00EB547A">
              <w:rPr>
                <w:rFonts w:asciiTheme="minorEastAsia" w:eastAsiaTheme="minorEastAsia" w:hAnsiTheme="minorEastAsia" w:cs="宋体" w:hint="eastAsia"/>
                <w:sz w:val="18"/>
                <w:szCs w:val="18"/>
              </w:rPr>
              <w:t>与川宁生物配套的</w:t>
            </w:r>
            <w:r w:rsidRPr="00462A63">
              <w:rPr>
                <w:rFonts w:asciiTheme="minorEastAsia" w:eastAsiaTheme="minorEastAsia" w:hAnsiTheme="minorEastAsia" w:cs="宋体" w:hint="eastAsia"/>
                <w:sz w:val="18"/>
                <w:szCs w:val="18"/>
              </w:rPr>
              <w:t>关联方企业，以及前期对上市公司的财务资助。</w:t>
            </w:r>
          </w:p>
          <w:p w14:paraId="7EFA3EAC" w14:textId="77777777" w:rsidR="00462A63" w:rsidRPr="00462A63" w:rsidRDefault="00462A63"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问：</w:t>
            </w:r>
            <w:r w:rsidRPr="00462A63">
              <w:rPr>
                <w:rFonts w:asciiTheme="minorEastAsia" w:eastAsiaTheme="minorEastAsia" w:hAnsiTheme="minorEastAsia" w:cs="宋体" w:hint="eastAsia"/>
                <w:sz w:val="18"/>
                <w:szCs w:val="18"/>
              </w:rPr>
              <w:t xml:space="preserve">公司银行借款主要为短期借款，投资资金量较大为何没有银行资金配套？短期借款主要用途是什么？ </w:t>
            </w:r>
          </w:p>
          <w:p w14:paraId="614342B8" w14:textId="5EACB514" w:rsidR="00462A63" w:rsidRPr="00462A63" w:rsidRDefault="00462A63"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答：</w:t>
            </w:r>
            <w:r w:rsidR="00C77144">
              <w:rPr>
                <w:rFonts w:asciiTheme="minorEastAsia" w:eastAsiaTheme="minorEastAsia" w:hAnsiTheme="minorEastAsia" w:cs="宋体" w:hint="eastAsia"/>
                <w:sz w:val="18"/>
                <w:szCs w:val="18"/>
              </w:rPr>
              <w:t>公司近几年生产经营规模每年保持增长</w:t>
            </w:r>
            <w:r w:rsidR="00C77144" w:rsidRPr="00C77144">
              <w:rPr>
                <w:rFonts w:asciiTheme="minorEastAsia" w:eastAsiaTheme="minorEastAsia" w:hAnsiTheme="minorEastAsia" w:cs="宋体" w:hint="eastAsia"/>
                <w:sz w:val="18"/>
                <w:szCs w:val="18"/>
              </w:rPr>
              <w:t>，</w:t>
            </w:r>
            <w:r w:rsidR="00C77144">
              <w:rPr>
                <w:rFonts w:asciiTheme="minorEastAsia" w:eastAsiaTheme="minorEastAsia" w:hAnsiTheme="minorEastAsia" w:cs="宋体" w:hint="eastAsia"/>
                <w:sz w:val="18"/>
                <w:szCs w:val="18"/>
              </w:rPr>
              <w:t>经营规模增加的同时还来</w:t>
            </w:r>
            <w:r w:rsidR="00C77144" w:rsidRPr="00C77144">
              <w:rPr>
                <w:rFonts w:asciiTheme="minorEastAsia" w:eastAsiaTheme="minorEastAsia" w:hAnsiTheme="minorEastAsia" w:cs="宋体" w:hint="eastAsia"/>
                <w:sz w:val="18"/>
                <w:szCs w:val="18"/>
              </w:rPr>
              <w:t>相应资金需求</w:t>
            </w:r>
            <w:r w:rsidR="00C77144">
              <w:rPr>
                <w:rFonts w:asciiTheme="minorEastAsia" w:eastAsiaTheme="minorEastAsia" w:hAnsiTheme="minorEastAsia" w:cs="宋体" w:hint="eastAsia"/>
                <w:sz w:val="18"/>
                <w:szCs w:val="18"/>
              </w:rPr>
              <w:t>的增长。</w:t>
            </w:r>
            <w:r w:rsidR="008F2BDE">
              <w:rPr>
                <w:rFonts w:asciiTheme="minorEastAsia" w:eastAsiaTheme="minorEastAsia" w:hAnsiTheme="minorEastAsia" w:cs="宋体" w:hint="eastAsia"/>
                <w:sz w:val="18"/>
                <w:szCs w:val="18"/>
              </w:rPr>
              <w:t>公司</w:t>
            </w:r>
            <w:r w:rsidR="008F2BDE">
              <w:rPr>
                <w:rFonts w:asciiTheme="minorEastAsia" w:eastAsiaTheme="minorEastAsia" w:hAnsiTheme="minorEastAsia" w:cs="宋体"/>
                <w:sz w:val="18"/>
                <w:szCs w:val="18"/>
              </w:rPr>
              <w:t>短期借款</w:t>
            </w:r>
            <w:r w:rsidR="008F2BDE">
              <w:rPr>
                <w:rFonts w:asciiTheme="minorEastAsia" w:eastAsiaTheme="minorEastAsia" w:hAnsiTheme="minorEastAsia" w:cs="宋体" w:hint="eastAsia"/>
                <w:sz w:val="18"/>
                <w:szCs w:val="18"/>
              </w:rPr>
              <w:t>主要</w:t>
            </w:r>
            <w:r w:rsidR="008F2BDE">
              <w:rPr>
                <w:rFonts w:asciiTheme="minorEastAsia" w:eastAsiaTheme="minorEastAsia" w:hAnsiTheme="minorEastAsia" w:cs="宋体"/>
                <w:sz w:val="18"/>
                <w:szCs w:val="18"/>
              </w:rPr>
              <w:t>为满足应收账款和存货对营业资金的需求。</w:t>
            </w:r>
            <w:r w:rsidRPr="00462A63">
              <w:rPr>
                <w:rFonts w:asciiTheme="minorEastAsia" w:eastAsiaTheme="minorEastAsia" w:hAnsiTheme="minorEastAsia" w:cs="宋体" w:hint="eastAsia"/>
                <w:sz w:val="18"/>
                <w:szCs w:val="18"/>
              </w:rPr>
              <w:t>公司</w:t>
            </w:r>
            <w:r w:rsidR="008F2BDE">
              <w:rPr>
                <w:rFonts w:asciiTheme="minorEastAsia" w:eastAsiaTheme="minorEastAsia" w:hAnsiTheme="minorEastAsia" w:cs="宋体" w:hint="eastAsia"/>
                <w:sz w:val="18"/>
                <w:szCs w:val="18"/>
              </w:rPr>
              <w:t>最大</w:t>
            </w:r>
            <w:r w:rsidR="008F2BDE">
              <w:rPr>
                <w:rFonts w:asciiTheme="minorEastAsia" w:eastAsiaTheme="minorEastAsia" w:hAnsiTheme="minorEastAsia" w:cs="宋体"/>
                <w:sz w:val="18"/>
                <w:szCs w:val="18"/>
              </w:rPr>
              <w:t>的投资为</w:t>
            </w:r>
            <w:r w:rsidR="008F2BDE">
              <w:rPr>
                <w:rFonts w:asciiTheme="minorEastAsia" w:eastAsiaTheme="minorEastAsia" w:hAnsiTheme="minorEastAsia" w:cs="宋体" w:hint="eastAsia"/>
                <w:sz w:val="18"/>
                <w:szCs w:val="18"/>
              </w:rPr>
              <w:t>伊犁</w:t>
            </w:r>
            <w:r w:rsidR="008F2BDE">
              <w:rPr>
                <w:rFonts w:asciiTheme="minorEastAsia" w:eastAsiaTheme="minorEastAsia" w:hAnsiTheme="minorEastAsia" w:cs="宋体"/>
                <w:sz w:val="18"/>
                <w:szCs w:val="18"/>
              </w:rPr>
              <w:t>川宁项目，</w:t>
            </w:r>
            <w:r w:rsidR="006510C0">
              <w:rPr>
                <w:rFonts w:asciiTheme="minorEastAsia" w:eastAsiaTheme="minorEastAsia" w:hAnsiTheme="minorEastAsia" w:cs="宋体" w:hint="eastAsia"/>
                <w:sz w:val="18"/>
                <w:szCs w:val="18"/>
              </w:rPr>
              <w:t>项目</w:t>
            </w:r>
            <w:r w:rsidR="006510C0">
              <w:rPr>
                <w:rFonts w:asciiTheme="minorEastAsia" w:eastAsiaTheme="minorEastAsia" w:hAnsiTheme="minorEastAsia" w:cs="宋体"/>
                <w:sz w:val="18"/>
                <w:szCs w:val="18"/>
              </w:rPr>
              <w:t>主要使用公司上市的募集资金，</w:t>
            </w:r>
            <w:r w:rsidR="008F2BDE">
              <w:rPr>
                <w:rFonts w:asciiTheme="minorEastAsia" w:eastAsiaTheme="minorEastAsia" w:hAnsiTheme="minorEastAsia" w:cs="宋体" w:hint="eastAsia"/>
                <w:sz w:val="18"/>
                <w:szCs w:val="18"/>
              </w:rPr>
              <w:t>剩余资金</w:t>
            </w:r>
            <w:r w:rsidR="008F2BDE">
              <w:rPr>
                <w:rFonts w:asciiTheme="minorEastAsia" w:eastAsiaTheme="minorEastAsia" w:hAnsiTheme="minorEastAsia" w:cs="宋体"/>
                <w:sz w:val="18"/>
                <w:szCs w:val="18"/>
              </w:rPr>
              <w:t>通过母公司融资。</w:t>
            </w:r>
            <w:r w:rsidR="008F2BDE">
              <w:rPr>
                <w:rFonts w:asciiTheme="minorEastAsia" w:eastAsiaTheme="minorEastAsia" w:hAnsiTheme="minorEastAsia" w:cs="宋体" w:hint="eastAsia"/>
                <w:sz w:val="18"/>
                <w:szCs w:val="18"/>
              </w:rPr>
              <w:t>没有</w:t>
            </w:r>
            <w:r w:rsidR="008F2BDE">
              <w:rPr>
                <w:rFonts w:asciiTheme="minorEastAsia" w:eastAsiaTheme="minorEastAsia" w:hAnsiTheme="minorEastAsia" w:cs="宋体"/>
                <w:sz w:val="18"/>
                <w:szCs w:val="18"/>
              </w:rPr>
              <w:t>配套银行贷款主要系</w:t>
            </w:r>
            <w:r w:rsidR="006510C0">
              <w:rPr>
                <w:rFonts w:asciiTheme="minorEastAsia" w:eastAsiaTheme="minorEastAsia" w:hAnsiTheme="minorEastAsia" w:cs="宋体" w:hint="eastAsia"/>
                <w:sz w:val="18"/>
                <w:szCs w:val="18"/>
              </w:rPr>
              <w:t>两方面</w:t>
            </w:r>
            <w:r w:rsidR="006510C0">
              <w:rPr>
                <w:rFonts w:asciiTheme="minorEastAsia" w:eastAsiaTheme="minorEastAsia" w:hAnsiTheme="minorEastAsia" w:cs="宋体"/>
                <w:sz w:val="18"/>
                <w:szCs w:val="18"/>
              </w:rPr>
              <w:t>原因：</w:t>
            </w:r>
            <w:r w:rsidRPr="00462A63">
              <w:rPr>
                <w:rFonts w:asciiTheme="minorEastAsia" w:eastAsiaTheme="minorEastAsia" w:hAnsiTheme="minorEastAsia" w:cs="宋体" w:hint="eastAsia"/>
                <w:sz w:val="18"/>
                <w:szCs w:val="18"/>
              </w:rPr>
              <w:t>一方面作为新成立公司，</w:t>
            </w:r>
            <w:r w:rsidR="008F2BDE">
              <w:rPr>
                <w:rFonts w:asciiTheme="minorEastAsia" w:eastAsiaTheme="minorEastAsia" w:hAnsiTheme="minorEastAsia" w:cs="宋体" w:hint="eastAsia"/>
                <w:sz w:val="18"/>
                <w:szCs w:val="18"/>
              </w:rPr>
              <w:t>川宁</w:t>
            </w:r>
            <w:r w:rsidRPr="00462A63">
              <w:rPr>
                <w:rFonts w:asciiTheme="minorEastAsia" w:eastAsiaTheme="minorEastAsia" w:hAnsiTheme="minorEastAsia" w:cs="宋体" w:hint="eastAsia"/>
                <w:sz w:val="18"/>
                <w:szCs w:val="18"/>
              </w:rPr>
              <w:t>通过银行融资难度系数较大；另一方面从融资成本角度来看，2012年至2016年银行中长期融资成本</w:t>
            </w:r>
            <w:r>
              <w:rPr>
                <w:rFonts w:asciiTheme="minorEastAsia" w:eastAsiaTheme="minorEastAsia" w:hAnsiTheme="minorEastAsia" w:cs="宋体" w:hint="eastAsia"/>
                <w:sz w:val="18"/>
                <w:szCs w:val="18"/>
              </w:rPr>
              <w:t>较短期高</w:t>
            </w:r>
            <w:r w:rsidRPr="00462A63">
              <w:rPr>
                <w:rFonts w:asciiTheme="minorEastAsia" w:eastAsiaTheme="minorEastAsia" w:hAnsiTheme="minorEastAsia" w:cs="宋体" w:hint="eastAsia"/>
                <w:sz w:val="18"/>
                <w:szCs w:val="18"/>
              </w:rPr>
              <w:t>，而通过母公司融资成本则会降低很多，因此公司未通过银行进行项目融资。</w:t>
            </w:r>
          </w:p>
          <w:p w14:paraId="6B5E6400" w14:textId="77777777" w:rsidR="00462A63" w:rsidRPr="00462A63" w:rsidRDefault="0078681C"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lastRenderedPageBreak/>
              <w:t>问：</w:t>
            </w:r>
            <w:r w:rsidR="00462A63" w:rsidRPr="00462A63">
              <w:rPr>
                <w:rFonts w:asciiTheme="minorEastAsia" w:eastAsiaTheme="minorEastAsia" w:hAnsiTheme="minorEastAsia" w:cs="宋体" w:hint="eastAsia"/>
                <w:sz w:val="18"/>
                <w:szCs w:val="18"/>
              </w:rPr>
              <w:t>截至2018年6月底，公司债务结构2/3为债券，1/3为银行借款，目前债券市场对民企而言融资渠道不太稳定，公司是否会通过调整债务结构比例，来防止债券市场波动对公司流动性带来不利影响？</w:t>
            </w:r>
          </w:p>
          <w:p w14:paraId="1F2F3675" w14:textId="32B5E94B" w:rsidR="00462A63" w:rsidRPr="00462A63" w:rsidRDefault="0078681C"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答：</w:t>
            </w:r>
            <w:r w:rsidR="00462A63" w:rsidRPr="00462A63">
              <w:rPr>
                <w:rFonts w:asciiTheme="minorEastAsia" w:eastAsiaTheme="minorEastAsia" w:hAnsiTheme="minorEastAsia" w:cs="宋体" w:hint="eastAsia"/>
                <w:sz w:val="18"/>
                <w:szCs w:val="18"/>
              </w:rPr>
              <w:t>公司</w:t>
            </w:r>
            <w:r w:rsidR="006510C0">
              <w:rPr>
                <w:rFonts w:asciiTheme="minorEastAsia" w:eastAsiaTheme="minorEastAsia" w:hAnsiTheme="minorEastAsia" w:cs="宋体" w:hint="eastAsia"/>
                <w:sz w:val="18"/>
                <w:szCs w:val="18"/>
              </w:rPr>
              <w:t>已经开始</w:t>
            </w:r>
            <w:r w:rsidR="006510C0" w:rsidRPr="00462A63">
              <w:rPr>
                <w:rFonts w:asciiTheme="minorEastAsia" w:eastAsiaTheme="minorEastAsia" w:hAnsiTheme="minorEastAsia" w:cs="宋体" w:hint="eastAsia"/>
                <w:sz w:val="18"/>
                <w:szCs w:val="18"/>
              </w:rPr>
              <w:t>调整</w:t>
            </w:r>
            <w:r w:rsidR="00462A63" w:rsidRPr="00462A63">
              <w:rPr>
                <w:rFonts w:asciiTheme="minorEastAsia" w:eastAsiaTheme="minorEastAsia" w:hAnsiTheme="minorEastAsia" w:cs="宋体" w:hint="eastAsia"/>
                <w:sz w:val="18"/>
                <w:szCs w:val="18"/>
              </w:rPr>
              <w:t>债务结构</w:t>
            </w:r>
            <w:r w:rsidR="006510C0">
              <w:rPr>
                <w:rFonts w:asciiTheme="minorEastAsia" w:eastAsiaTheme="minorEastAsia" w:hAnsiTheme="minorEastAsia" w:cs="宋体" w:hint="eastAsia"/>
                <w:sz w:val="18"/>
                <w:szCs w:val="18"/>
              </w:rPr>
              <w:t>增加间接融资的比重。一方面，目前多家银行陆续对公司新增授信额度，</w:t>
            </w:r>
            <w:r w:rsidR="006510C0" w:rsidRPr="00462A63" w:rsidDel="006510C0">
              <w:rPr>
                <w:rFonts w:asciiTheme="minorEastAsia" w:eastAsiaTheme="minorEastAsia" w:hAnsiTheme="minorEastAsia" w:cs="宋体" w:hint="eastAsia"/>
                <w:sz w:val="18"/>
                <w:szCs w:val="18"/>
              </w:rPr>
              <w:t xml:space="preserve"> </w:t>
            </w:r>
            <w:r w:rsidR="006510C0">
              <w:rPr>
                <w:rFonts w:asciiTheme="minorEastAsia" w:eastAsiaTheme="minorEastAsia" w:hAnsiTheme="minorEastAsia" w:cs="宋体" w:hint="eastAsia"/>
                <w:sz w:val="18"/>
                <w:szCs w:val="18"/>
              </w:rPr>
              <w:t>另一方面，部分金融租赁公司今年对公司新增授信额度，不仅调整了公司直接融资和间接融资结构，还调整了长短期债务比。</w:t>
            </w:r>
            <w:r w:rsidR="00462A63" w:rsidRPr="00462A63">
              <w:rPr>
                <w:rFonts w:asciiTheme="minorEastAsia" w:eastAsiaTheme="minorEastAsia" w:hAnsiTheme="minorEastAsia" w:cs="宋体" w:hint="eastAsia"/>
                <w:sz w:val="18"/>
                <w:szCs w:val="18"/>
              </w:rPr>
              <w:t>2018年公司使用上市公司设备开展融资租赁业务，融资租赁获得授信额度约10亿元，目前已使用约3亿元</w:t>
            </w:r>
            <w:r>
              <w:rPr>
                <w:rFonts w:asciiTheme="minorEastAsia" w:eastAsiaTheme="minorEastAsia" w:hAnsiTheme="minorEastAsia" w:cs="宋体" w:hint="eastAsia"/>
                <w:sz w:val="18"/>
                <w:szCs w:val="18"/>
              </w:rPr>
              <w:t>，</w:t>
            </w:r>
            <w:r w:rsidR="006510C0">
              <w:rPr>
                <w:rFonts w:asciiTheme="minorEastAsia" w:eastAsiaTheme="minorEastAsia" w:hAnsiTheme="minorEastAsia" w:cs="宋体" w:hint="eastAsia"/>
                <w:sz w:val="18"/>
                <w:szCs w:val="18"/>
              </w:rPr>
              <w:t>尚有7亿可用额度</w:t>
            </w:r>
            <w:r w:rsidR="00462A63" w:rsidRPr="00462A63">
              <w:rPr>
                <w:rFonts w:asciiTheme="minorEastAsia" w:eastAsiaTheme="minorEastAsia" w:hAnsiTheme="minorEastAsia" w:cs="宋体" w:hint="eastAsia"/>
                <w:sz w:val="18"/>
                <w:szCs w:val="18"/>
              </w:rPr>
              <w:t>。</w:t>
            </w:r>
          </w:p>
          <w:p w14:paraId="7148F40D" w14:textId="77777777" w:rsidR="00462A63" w:rsidRPr="00462A63" w:rsidRDefault="0078681C"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问：</w:t>
            </w:r>
            <w:r w:rsidR="00462A63" w:rsidRPr="00462A63">
              <w:rPr>
                <w:rFonts w:asciiTheme="minorEastAsia" w:eastAsiaTheme="minorEastAsia" w:hAnsiTheme="minorEastAsia" w:cs="宋体" w:hint="eastAsia"/>
                <w:sz w:val="18"/>
                <w:szCs w:val="18"/>
              </w:rPr>
              <w:t>能否介绍一下伊犁川宁三个项目的成本以及竞争对手成本情况，成本差别的主要原因。</w:t>
            </w:r>
          </w:p>
          <w:p w14:paraId="16C796DA" w14:textId="086276CB" w:rsidR="00462A63" w:rsidRPr="00462A63" w:rsidRDefault="0078681C"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答：</w:t>
            </w:r>
            <w:r w:rsidR="00462A63" w:rsidRPr="00462A63">
              <w:rPr>
                <w:rFonts w:asciiTheme="minorEastAsia" w:eastAsiaTheme="minorEastAsia" w:hAnsiTheme="minorEastAsia" w:cs="宋体" w:hint="eastAsia"/>
                <w:sz w:val="18"/>
                <w:szCs w:val="18"/>
              </w:rPr>
              <w:t>伊犁川宁较竞争对手保持20%以上的综合成本优势。成本差别的主要原因在于成本构成。伊犁川宁项目</w:t>
            </w:r>
            <w:r w:rsidR="00EB547A">
              <w:rPr>
                <w:rFonts w:asciiTheme="minorEastAsia" w:eastAsiaTheme="minorEastAsia" w:hAnsiTheme="minorEastAsia" w:cs="宋体" w:hint="eastAsia"/>
                <w:sz w:val="18"/>
                <w:szCs w:val="18"/>
              </w:rPr>
              <w:t>总</w:t>
            </w:r>
            <w:r w:rsidR="00462A63" w:rsidRPr="00462A63">
              <w:rPr>
                <w:rFonts w:asciiTheme="minorEastAsia" w:eastAsiaTheme="minorEastAsia" w:hAnsiTheme="minorEastAsia" w:cs="宋体" w:hint="eastAsia"/>
                <w:sz w:val="18"/>
                <w:szCs w:val="18"/>
              </w:rPr>
              <w:t>投资70</w:t>
            </w:r>
            <w:r w:rsidR="00EB547A">
              <w:rPr>
                <w:rFonts w:asciiTheme="minorEastAsia" w:eastAsiaTheme="minorEastAsia" w:hAnsiTheme="minorEastAsia" w:cs="宋体" w:hint="eastAsia"/>
                <w:sz w:val="18"/>
                <w:szCs w:val="18"/>
              </w:rPr>
              <w:t>多</w:t>
            </w:r>
            <w:r w:rsidR="00462A63" w:rsidRPr="00462A63">
              <w:rPr>
                <w:rFonts w:asciiTheme="minorEastAsia" w:eastAsiaTheme="minorEastAsia" w:hAnsiTheme="minorEastAsia" w:cs="宋体" w:hint="eastAsia"/>
                <w:sz w:val="18"/>
                <w:szCs w:val="18"/>
              </w:rPr>
              <w:t>亿元，每年折旧摊销4</w:t>
            </w:r>
            <w:r w:rsidR="00621330">
              <w:rPr>
                <w:rFonts w:asciiTheme="minorEastAsia" w:eastAsiaTheme="minorEastAsia" w:hAnsiTheme="minorEastAsia" w:cs="宋体" w:hint="eastAsia"/>
                <w:sz w:val="18"/>
                <w:szCs w:val="18"/>
              </w:rPr>
              <w:t>个多</w:t>
            </w:r>
            <w:r w:rsidR="00462A63" w:rsidRPr="00462A63">
              <w:rPr>
                <w:rFonts w:asciiTheme="minorEastAsia" w:eastAsiaTheme="minorEastAsia" w:hAnsiTheme="minorEastAsia" w:cs="宋体" w:hint="eastAsia"/>
                <w:sz w:val="18"/>
                <w:szCs w:val="18"/>
              </w:rPr>
              <w:t>亿，以伊利川宁总体产能，每公斤产品</w:t>
            </w:r>
            <w:r w:rsidR="00EB547A">
              <w:rPr>
                <w:rFonts w:asciiTheme="minorEastAsia" w:eastAsiaTheme="minorEastAsia" w:hAnsiTheme="minorEastAsia" w:cs="宋体" w:hint="eastAsia"/>
                <w:sz w:val="18"/>
                <w:szCs w:val="18"/>
              </w:rPr>
              <w:t>固定资产</w:t>
            </w:r>
            <w:r w:rsidR="00462A63" w:rsidRPr="00462A63">
              <w:rPr>
                <w:rFonts w:asciiTheme="minorEastAsia" w:eastAsiaTheme="minorEastAsia" w:hAnsiTheme="minorEastAsia" w:cs="宋体" w:hint="eastAsia"/>
                <w:sz w:val="18"/>
                <w:szCs w:val="18"/>
              </w:rPr>
              <w:t>折旧摊销的非付现成本占</w:t>
            </w:r>
            <w:r w:rsidR="00EB547A">
              <w:rPr>
                <w:rFonts w:asciiTheme="minorEastAsia" w:eastAsiaTheme="minorEastAsia" w:hAnsiTheme="minorEastAsia" w:cs="宋体" w:hint="eastAsia"/>
                <w:sz w:val="18"/>
                <w:szCs w:val="18"/>
              </w:rPr>
              <w:t>总成本比重较低</w:t>
            </w:r>
            <w:r w:rsidR="00462A63" w:rsidRPr="00462A63">
              <w:rPr>
                <w:rFonts w:asciiTheme="minorEastAsia" w:eastAsiaTheme="minorEastAsia" w:hAnsiTheme="minorEastAsia" w:cs="宋体" w:hint="eastAsia"/>
                <w:sz w:val="18"/>
                <w:szCs w:val="18"/>
              </w:rPr>
              <w:t>，</w:t>
            </w:r>
            <w:r w:rsidR="00EB547A">
              <w:rPr>
                <w:rFonts w:asciiTheme="minorEastAsia" w:eastAsiaTheme="minorEastAsia" w:hAnsiTheme="minorEastAsia" w:cs="宋体" w:hint="eastAsia"/>
                <w:sz w:val="18"/>
                <w:szCs w:val="18"/>
              </w:rPr>
              <w:t>超过</w:t>
            </w:r>
            <w:r w:rsidR="00462A63" w:rsidRPr="00462A63">
              <w:rPr>
                <w:rFonts w:asciiTheme="minorEastAsia" w:eastAsiaTheme="minorEastAsia" w:hAnsiTheme="minorEastAsia" w:cs="宋体" w:hint="eastAsia"/>
                <w:sz w:val="18"/>
                <w:szCs w:val="18"/>
              </w:rPr>
              <w:t>70%</w:t>
            </w:r>
            <w:r w:rsidR="00EB547A">
              <w:rPr>
                <w:rFonts w:asciiTheme="minorEastAsia" w:eastAsiaTheme="minorEastAsia" w:hAnsiTheme="minorEastAsia" w:cs="宋体" w:hint="eastAsia"/>
                <w:sz w:val="18"/>
                <w:szCs w:val="18"/>
              </w:rPr>
              <w:t>的产品</w:t>
            </w:r>
            <w:r w:rsidR="00462A63" w:rsidRPr="00462A63">
              <w:rPr>
                <w:rFonts w:asciiTheme="minorEastAsia" w:eastAsiaTheme="minorEastAsia" w:hAnsiTheme="minorEastAsia" w:cs="宋体" w:hint="eastAsia"/>
                <w:sz w:val="18"/>
                <w:szCs w:val="18"/>
              </w:rPr>
              <w:t>成本为付现成本，包括粮食、能源、水和环保处理能源消耗费用。</w:t>
            </w:r>
            <w:r w:rsidR="00EB547A">
              <w:rPr>
                <w:rFonts w:asciiTheme="minorEastAsia" w:eastAsiaTheme="minorEastAsia" w:hAnsiTheme="minorEastAsia" w:cs="宋体" w:hint="eastAsia"/>
                <w:sz w:val="18"/>
                <w:szCs w:val="18"/>
              </w:rPr>
              <w:t>综合</w:t>
            </w:r>
            <w:r w:rsidR="00462A63" w:rsidRPr="00462A63">
              <w:rPr>
                <w:rFonts w:asciiTheme="minorEastAsia" w:eastAsiaTheme="minorEastAsia" w:hAnsiTheme="minorEastAsia" w:cs="宋体" w:hint="eastAsia"/>
                <w:sz w:val="18"/>
                <w:szCs w:val="18"/>
              </w:rPr>
              <w:t>成本低于竞争对手</w:t>
            </w:r>
            <w:r w:rsidR="00EB547A">
              <w:rPr>
                <w:rFonts w:asciiTheme="minorEastAsia" w:eastAsiaTheme="minorEastAsia" w:hAnsiTheme="minorEastAsia" w:cs="宋体" w:hint="eastAsia"/>
                <w:sz w:val="18"/>
                <w:szCs w:val="18"/>
              </w:rPr>
              <w:t>主要是</w:t>
            </w:r>
            <w:r w:rsidR="00462A63" w:rsidRPr="00462A63">
              <w:rPr>
                <w:rFonts w:asciiTheme="minorEastAsia" w:eastAsiaTheme="minorEastAsia" w:hAnsiTheme="minorEastAsia" w:cs="宋体" w:hint="eastAsia"/>
                <w:sz w:val="18"/>
                <w:szCs w:val="18"/>
              </w:rPr>
              <w:t>由于</w:t>
            </w:r>
            <w:r w:rsidR="00EB547A">
              <w:rPr>
                <w:rFonts w:asciiTheme="minorEastAsia" w:eastAsiaTheme="minorEastAsia" w:hAnsiTheme="minorEastAsia" w:cs="宋体" w:hint="eastAsia"/>
                <w:sz w:val="18"/>
                <w:szCs w:val="18"/>
              </w:rPr>
              <w:t>产品</w:t>
            </w:r>
            <w:r w:rsidR="00462A63" w:rsidRPr="00462A63">
              <w:rPr>
                <w:rFonts w:asciiTheme="minorEastAsia" w:eastAsiaTheme="minorEastAsia" w:hAnsiTheme="minorEastAsia" w:cs="宋体" w:hint="eastAsia"/>
                <w:sz w:val="18"/>
                <w:szCs w:val="18"/>
              </w:rPr>
              <w:t>成本</w:t>
            </w:r>
            <w:r w:rsidR="00EB547A">
              <w:rPr>
                <w:rFonts w:asciiTheme="minorEastAsia" w:eastAsiaTheme="minorEastAsia" w:hAnsiTheme="minorEastAsia" w:cs="宋体" w:hint="eastAsia"/>
                <w:sz w:val="18"/>
                <w:szCs w:val="18"/>
              </w:rPr>
              <w:t>中</w:t>
            </w:r>
            <w:r w:rsidR="00462A63" w:rsidRPr="00462A63">
              <w:rPr>
                <w:rFonts w:asciiTheme="minorEastAsia" w:eastAsiaTheme="minorEastAsia" w:hAnsiTheme="minorEastAsia" w:cs="宋体" w:hint="eastAsia"/>
                <w:sz w:val="18"/>
                <w:szCs w:val="18"/>
              </w:rPr>
              <w:t>付现成本</w:t>
            </w:r>
            <w:r w:rsidR="00EB547A">
              <w:rPr>
                <w:rFonts w:asciiTheme="minorEastAsia" w:eastAsiaTheme="minorEastAsia" w:hAnsiTheme="minorEastAsia" w:cs="宋体" w:hint="eastAsia"/>
                <w:sz w:val="18"/>
                <w:szCs w:val="18"/>
              </w:rPr>
              <w:t>占比很重</w:t>
            </w:r>
            <w:r w:rsidR="00462A63" w:rsidRPr="00462A63">
              <w:rPr>
                <w:rFonts w:asciiTheme="minorEastAsia" w:eastAsiaTheme="minorEastAsia" w:hAnsiTheme="minorEastAsia" w:cs="宋体" w:hint="eastAsia"/>
                <w:sz w:val="18"/>
                <w:szCs w:val="18"/>
              </w:rPr>
              <w:t>。公司选择布局新疆主要由于当地能源和农副产品成本较低，公司每年玉米消耗</w:t>
            </w:r>
            <w:r>
              <w:rPr>
                <w:rFonts w:asciiTheme="minorEastAsia" w:eastAsiaTheme="minorEastAsia" w:hAnsiTheme="minorEastAsia" w:cs="宋体" w:hint="eastAsia"/>
                <w:sz w:val="18"/>
                <w:szCs w:val="18"/>
              </w:rPr>
              <w:t>约</w:t>
            </w:r>
            <w:r w:rsidR="00462A63" w:rsidRPr="00462A63">
              <w:rPr>
                <w:rFonts w:asciiTheme="minorEastAsia" w:eastAsiaTheme="minorEastAsia" w:hAnsiTheme="minorEastAsia" w:cs="宋体" w:hint="eastAsia"/>
                <w:sz w:val="18"/>
                <w:szCs w:val="18"/>
              </w:rPr>
              <w:t>40万吨，大豆</w:t>
            </w:r>
            <w:r>
              <w:rPr>
                <w:rFonts w:asciiTheme="minorEastAsia" w:eastAsiaTheme="minorEastAsia" w:hAnsiTheme="minorEastAsia" w:cs="宋体" w:hint="eastAsia"/>
                <w:sz w:val="18"/>
                <w:szCs w:val="18"/>
              </w:rPr>
              <w:t>约</w:t>
            </w:r>
            <w:r w:rsidR="00462A63" w:rsidRPr="00462A63">
              <w:rPr>
                <w:rFonts w:asciiTheme="minorEastAsia" w:eastAsiaTheme="minorEastAsia" w:hAnsiTheme="minorEastAsia" w:cs="宋体" w:hint="eastAsia"/>
                <w:sz w:val="18"/>
                <w:szCs w:val="18"/>
              </w:rPr>
              <w:t>20万吨，粮食一方面由公司自行种植，一方面通过境外采收储实现，具有绝对的成本优势。运费方面压缩比很大，因此运费成本并不高。</w:t>
            </w:r>
          </w:p>
          <w:p w14:paraId="01F2F40E" w14:textId="77777777" w:rsidR="00462A63" w:rsidRPr="00462A63" w:rsidRDefault="0078681C"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问：</w:t>
            </w:r>
            <w:r w:rsidR="00462A63" w:rsidRPr="00462A63">
              <w:rPr>
                <w:rFonts w:asciiTheme="minorEastAsia" w:eastAsiaTheme="minorEastAsia" w:hAnsiTheme="minorEastAsia" w:cs="宋体" w:hint="eastAsia"/>
                <w:sz w:val="18"/>
                <w:szCs w:val="18"/>
              </w:rPr>
              <w:t>输液中低端产品未来有0.3元至0.5元的提升空间，是如何预测的？</w:t>
            </w:r>
          </w:p>
          <w:p w14:paraId="60895BCE" w14:textId="31FF9749" w:rsidR="00462A63" w:rsidRPr="00462A63" w:rsidRDefault="0078681C"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答：</w:t>
            </w:r>
            <w:r w:rsidR="00462A63" w:rsidRPr="00462A63">
              <w:rPr>
                <w:rFonts w:asciiTheme="minorEastAsia" w:eastAsiaTheme="minorEastAsia" w:hAnsiTheme="minorEastAsia" w:cs="宋体" w:hint="eastAsia"/>
                <w:sz w:val="18"/>
                <w:szCs w:val="18"/>
              </w:rPr>
              <w:t>价格变化是公司对未来的预期。目前价格合理恢复趋势</w:t>
            </w:r>
            <w:r w:rsidR="00543EF7">
              <w:rPr>
                <w:rFonts w:asciiTheme="minorEastAsia" w:eastAsiaTheme="minorEastAsia" w:hAnsiTheme="minorEastAsia" w:cs="宋体" w:hint="eastAsia"/>
                <w:sz w:val="18"/>
                <w:szCs w:val="18"/>
              </w:rPr>
              <w:t>逐渐</w:t>
            </w:r>
            <w:r w:rsidR="00462A63" w:rsidRPr="00462A63">
              <w:rPr>
                <w:rFonts w:asciiTheme="minorEastAsia" w:eastAsiaTheme="minorEastAsia" w:hAnsiTheme="minorEastAsia" w:cs="宋体" w:hint="eastAsia"/>
                <w:sz w:val="18"/>
                <w:szCs w:val="18"/>
              </w:rPr>
              <w:t>形</w:t>
            </w:r>
            <w:r>
              <w:rPr>
                <w:rFonts w:asciiTheme="minorEastAsia" w:eastAsiaTheme="minorEastAsia" w:hAnsiTheme="minorEastAsia" w:cs="宋体" w:hint="eastAsia"/>
                <w:sz w:val="18"/>
                <w:szCs w:val="18"/>
              </w:rPr>
              <w:t>成，不仅仅是科伦</w:t>
            </w:r>
            <w:r w:rsidR="00462A63" w:rsidRPr="00462A63">
              <w:rPr>
                <w:rFonts w:asciiTheme="minorEastAsia" w:eastAsiaTheme="minorEastAsia" w:hAnsiTheme="minorEastAsia" w:cs="宋体" w:hint="eastAsia"/>
                <w:sz w:val="18"/>
                <w:szCs w:val="18"/>
              </w:rPr>
              <w:t>一家，主流医药企业价格均在上调。随着输液行业集中度的提升，恶性竞争恶意报价的情况减少，在整个市场环境比较友好的情况之下，价格恢复有了合理的空间。</w:t>
            </w:r>
          </w:p>
          <w:p w14:paraId="293B177C" w14:textId="5E4A71D9" w:rsidR="00462A63" w:rsidRPr="00462A63" w:rsidRDefault="0078681C"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问：</w:t>
            </w:r>
            <w:r w:rsidR="00462A63" w:rsidRPr="00462A63">
              <w:rPr>
                <w:rFonts w:asciiTheme="minorEastAsia" w:eastAsiaTheme="minorEastAsia" w:hAnsiTheme="minorEastAsia" w:cs="宋体" w:hint="eastAsia"/>
                <w:sz w:val="18"/>
                <w:szCs w:val="18"/>
              </w:rPr>
              <w:t>抗抑郁的药已经过了首家一致性评价，未来市场份额如何？</w:t>
            </w:r>
          </w:p>
          <w:p w14:paraId="5B00B37B" w14:textId="77777777" w:rsidR="00462A63" w:rsidRPr="00462A63" w:rsidRDefault="0078681C"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答：</w:t>
            </w:r>
            <w:r w:rsidR="00462A63" w:rsidRPr="00462A63">
              <w:rPr>
                <w:rFonts w:asciiTheme="minorEastAsia" w:eastAsiaTheme="minorEastAsia" w:hAnsiTheme="minorEastAsia" w:cs="宋体" w:hint="eastAsia"/>
                <w:sz w:val="18"/>
                <w:szCs w:val="18"/>
              </w:rPr>
              <w:t>此类产品主要是与原研企业竞争，公司主要是希望通过价格换市场，尽快放量。原研企业原本占据80%-90%</w:t>
            </w:r>
            <w:r>
              <w:rPr>
                <w:rFonts w:asciiTheme="minorEastAsia" w:eastAsiaTheme="minorEastAsia" w:hAnsiTheme="minorEastAsia" w:cs="宋体" w:hint="eastAsia"/>
                <w:sz w:val="18"/>
                <w:szCs w:val="18"/>
              </w:rPr>
              <w:t>的市场份额。未来</w:t>
            </w:r>
            <w:r w:rsidR="00462A63" w:rsidRPr="00462A63">
              <w:rPr>
                <w:rFonts w:asciiTheme="minorEastAsia" w:eastAsiaTheme="minorEastAsia" w:hAnsiTheme="minorEastAsia" w:cs="宋体" w:hint="eastAsia"/>
                <w:sz w:val="18"/>
                <w:szCs w:val="18"/>
              </w:rPr>
              <w:t>大量采购政策的出台</w:t>
            </w:r>
            <w:r>
              <w:rPr>
                <w:rFonts w:asciiTheme="minorEastAsia" w:eastAsiaTheme="minorEastAsia" w:hAnsiTheme="minorEastAsia" w:cs="宋体" w:hint="eastAsia"/>
                <w:sz w:val="18"/>
                <w:szCs w:val="18"/>
              </w:rPr>
              <w:t>，</w:t>
            </w:r>
            <w:r w:rsidR="00462A63" w:rsidRPr="00462A63">
              <w:rPr>
                <w:rFonts w:asciiTheme="minorEastAsia" w:eastAsiaTheme="minorEastAsia" w:hAnsiTheme="minorEastAsia" w:cs="宋体" w:hint="eastAsia"/>
                <w:sz w:val="18"/>
                <w:szCs w:val="18"/>
              </w:rPr>
              <w:t>这种方式将节省进院、学术和渠道的费用。对科伦来说利大于弊。</w:t>
            </w:r>
          </w:p>
          <w:p w14:paraId="44F261CE" w14:textId="77777777" w:rsidR="00462A63" w:rsidRPr="00462A63" w:rsidRDefault="0078681C"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问：</w:t>
            </w:r>
            <w:r w:rsidR="00462A63" w:rsidRPr="00462A63">
              <w:rPr>
                <w:rFonts w:asciiTheme="minorEastAsia" w:eastAsiaTheme="minorEastAsia" w:hAnsiTheme="minorEastAsia" w:cs="宋体" w:hint="eastAsia"/>
                <w:sz w:val="18"/>
                <w:szCs w:val="18"/>
              </w:rPr>
              <w:t>公司临床后续资金投入较大，有些地方政府补贴到位情况如何？当临床进入三期是否考虑通过股权合作降低投入？</w:t>
            </w:r>
          </w:p>
          <w:p w14:paraId="219EF9CC" w14:textId="77777777" w:rsidR="00462A63" w:rsidRPr="00462A63" w:rsidRDefault="0078681C"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答：</w:t>
            </w:r>
            <w:r w:rsidR="00462A63" w:rsidRPr="00462A63">
              <w:rPr>
                <w:rFonts w:asciiTheme="minorEastAsia" w:eastAsiaTheme="minorEastAsia" w:hAnsiTheme="minorEastAsia" w:cs="宋体" w:hint="eastAsia"/>
                <w:sz w:val="18"/>
                <w:szCs w:val="18"/>
              </w:rPr>
              <w:t>政府补助相对较低，百万至千万级别，公司依然会争取相应政府补助。后续不排除股权合作的可能性。</w:t>
            </w:r>
          </w:p>
          <w:p w14:paraId="6AE1D867" w14:textId="77777777" w:rsidR="00462A63" w:rsidRPr="00462A63" w:rsidRDefault="0078681C"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问：</w:t>
            </w:r>
            <w:r w:rsidR="00462A63" w:rsidRPr="00462A63">
              <w:rPr>
                <w:rFonts w:asciiTheme="minorEastAsia" w:eastAsiaTheme="minorEastAsia" w:hAnsiTheme="minorEastAsia" w:cs="宋体" w:hint="eastAsia"/>
                <w:sz w:val="18"/>
                <w:szCs w:val="18"/>
              </w:rPr>
              <w:t>关联交易方面，公司和科伦医贸交易规模较大，未来如何处理？君健塑胶主要是对内部进行销售吗？公司与广西科伦和四川科伦研究院往来款金额较大，但这两家公司盈利贡献较低，请具体说明原因。请说明广西科伦目前财务状况、资产负债率情况和主要业务。</w:t>
            </w:r>
          </w:p>
          <w:p w14:paraId="7537EAB0" w14:textId="77777777" w:rsidR="00462A63" w:rsidRPr="00462A63" w:rsidRDefault="0078681C"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lastRenderedPageBreak/>
              <w:t>答：</w:t>
            </w:r>
            <w:r w:rsidR="00462A63" w:rsidRPr="00462A63">
              <w:rPr>
                <w:rFonts w:asciiTheme="minorEastAsia" w:eastAsiaTheme="minorEastAsia" w:hAnsiTheme="minorEastAsia" w:cs="宋体" w:hint="eastAsia"/>
                <w:sz w:val="18"/>
                <w:szCs w:val="18"/>
              </w:rPr>
              <w:t>关联交易基本上发生在四川区域，主要由于科伦医贸为四川省龙头医药贸易企业，具备很强的配送能力，双方按照公允价格进行交易，公司愿意与其紧密合作。科伦医贸为公司四川最大代理商，渠道最广客户最多，合作长久。自上市以来，定价保持公允性。</w:t>
            </w:r>
          </w:p>
          <w:p w14:paraId="7D336B21" w14:textId="77777777" w:rsidR="00462A63" w:rsidRPr="00462A63" w:rsidRDefault="00462A63" w:rsidP="0078681C">
            <w:pPr>
              <w:widowControl/>
              <w:shd w:val="clear" w:color="auto" w:fill="FFFFFF"/>
              <w:spacing w:before="100" w:beforeAutospacing="1" w:after="100" w:afterAutospacing="1"/>
              <w:ind w:firstLineChars="200" w:firstLine="360"/>
              <w:rPr>
                <w:rFonts w:asciiTheme="minorEastAsia" w:eastAsiaTheme="minorEastAsia" w:hAnsiTheme="minorEastAsia" w:cs="宋体"/>
                <w:sz w:val="18"/>
                <w:szCs w:val="18"/>
              </w:rPr>
            </w:pPr>
            <w:r w:rsidRPr="00462A63">
              <w:rPr>
                <w:rFonts w:asciiTheme="minorEastAsia" w:eastAsiaTheme="minorEastAsia" w:hAnsiTheme="minorEastAsia" w:cs="宋体" w:hint="eastAsia"/>
                <w:sz w:val="18"/>
                <w:szCs w:val="18"/>
              </w:rPr>
              <w:t>君健塑胶主要是对内进行销售。</w:t>
            </w:r>
          </w:p>
          <w:p w14:paraId="38A1C14E" w14:textId="77777777" w:rsidR="00462A63" w:rsidRPr="00462A63" w:rsidRDefault="00462A63" w:rsidP="0078681C">
            <w:pPr>
              <w:widowControl/>
              <w:shd w:val="clear" w:color="auto" w:fill="FFFFFF"/>
              <w:spacing w:before="100" w:beforeAutospacing="1" w:after="100" w:afterAutospacing="1"/>
              <w:ind w:firstLineChars="200" w:firstLine="360"/>
              <w:rPr>
                <w:rFonts w:asciiTheme="minorEastAsia" w:eastAsiaTheme="minorEastAsia" w:hAnsiTheme="minorEastAsia" w:cs="宋体"/>
                <w:sz w:val="18"/>
                <w:szCs w:val="18"/>
              </w:rPr>
            </w:pPr>
            <w:r w:rsidRPr="00462A63">
              <w:rPr>
                <w:rFonts w:asciiTheme="minorEastAsia" w:eastAsiaTheme="minorEastAsia" w:hAnsiTheme="minorEastAsia" w:cs="宋体" w:hint="eastAsia"/>
                <w:sz w:val="18"/>
                <w:szCs w:val="18"/>
              </w:rPr>
              <w:t>科伦研究院主要从事研发工作，因此主要以支出为主；</w:t>
            </w:r>
          </w:p>
          <w:p w14:paraId="3081B1F7" w14:textId="77777777" w:rsidR="00462A63" w:rsidRPr="00462A63" w:rsidRDefault="00462A63" w:rsidP="0078681C">
            <w:pPr>
              <w:widowControl/>
              <w:shd w:val="clear" w:color="auto" w:fill="FFFFFF"/>
              <w:spacing w:before="100" w:beforeAutospacing="1" w:after="100" w:afterAutospacing="1"/>
              <w:ind w:firstLineChars="200" w:firstLine="360"/>
              <w:rPr>
                <w:rFonts w:asciiTheme="minorEastAsia" w:eastAsiaTheme="minorEastAsia" w:hAnsiTheme="minorEastAsia" w:cs="宋体"/>
                <w:sz w:val="18"/>
                <w:szCs w:val="18"/>
              </w:rPr>
            </w:pPr>
            <w:r w:rsidRPr="00462A63">
              <w:rPr>
                <w:rFonts w:asciiTheme="minorEastAsia" w:eastAsiaTheme="minorEastAsia" w:hAnsiTheme="minorEastAsia" w:cs="宋体" w:hint="eastAsia"/>
                <w:sz w:val="18"/>
                <w:szCs w:val="18"/>
              </w:rPr>
              <w:t>广西科伦被科伦药业收购后正处于改造阶段，截至目前尚未产生较大的收益，因此形成了借款情况。</w:t>
            </w:r>
          </w:p>
          <w:p w14:paraId="7A952865" w14:textId="68FE8C1D" w:rsidR="00462A63" w:rsidRPr="00462A63" w:rsidRDefault="00462A63" w:rsidP="0078681C">
            <w:pPr>
              <w:widowControl/>
              <w:shd w:val="clear" w:color="auto" w:fill="FFFFFF"/>
              <w:spacing w:before="100" w:beforeAutospacing="1" w:after="100" w:afterAutospacing="1"/>
              <w:ind w:firstLineChars="200" w:firstLine="360"/>
              <w:rPr>
                <w:rFonts w:asciiTheme="minorEastAsia" w:eastAsiaTheme="minorEastAsia" w:hAnsiTheme="minorEastAsia" w:cs="宋体"/>
                <w:sz w:val="18"/>
                <w:szCs w:val="18"/>
              </w:rPr>
            </w:pPr>
            <w:r w:rsidRPr="00462A63">
              <w:rPr>
                <w:rFonts w:asciiTheme="minorEastAsia" w:eastAsiaTheme="minorEastAsia" w:hAnsiTheme="minorEastAsia" w:cs="宋体" w:hint="eastAsia"/>
                <w:sz w:val="18"/>
                <w:szCs w:val="18"/>
              </w:rPr>
              <w:t>广西科伦2018年预计会产生一定亏损，但亏损额逐步减少，现金流方面预计不会亏损。广西科伦的负债除了经营性借款以外，主要为上市公司对其借款。广西科伦主要从事抗生素原料部分分装。</w:t>
            </w:r>
          </w:p>
          <w:p w14:paraId="473B9876" w14:textId="77777777" w:rsidR="00462A63" w:rsidRPr="00462A63" w:rsidRDefault="0078681C"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问：</w:t>
            </w:r>
            <w:r w:rsidR="00462A63" w:rsidRPr="00462A63">
              <w:rPr>
                <w:rFonts w:asciiTheme="minorEastAsia" w:eastAsiaTheme="minorEastAsia" w:hAnsiTheme="minorEastAsia" w:cs="宋体" w:hint="eastAsia"/>
                <w:sz w:val="18"/>
                <w:szCs w:val="18"/>
              </w:rPr>
              <w:t>公司仿制药销售建设团队情况如何？对销售团队做怎样的激励？</w:t>
            </w:r>
          </w:p>
          <w:p w14:paraId="5454C4C0" w14:textId="08521F29" w:rsidR="00462A63" w:rsidRPr="00462A63" w:rsidRDefault="0078681C"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答：</w:t>
            </w:r>
            <w:r w:rsidR="00462A63" w:rsidRPr="00462A63">
              <w:rPr>
                <w:rFonts w:asciiTheme="minorEastAsia" w:eastAsiaTheme="minorEastAsia" w:hAnsiTheme="minorEastAsia" w:cs="宋体" w:hint="eastAsia"/>
                <w:sz w:val="18"/>
                <w:szCs w:val="18"/>
              </w:rPr>
              <w:t>关于专科用药，公司在前期</w:t>
            </w:r>
            <w:r w:rsidR="00F05299">
              <w:rPr>
                <w:rFonts w:asciiTheme="minorEastAsia" w:eastAsiaTheme="minorEastAsia" w:hAnsiTheme="minorEastAsia" w:cs="宋体" w:hint="eastAsia"/>
                <w:sz w:val="18"/>
                <w:szCs w:val="18"/>
              </w:rPr>
              <w:t>渠道</w:t>
            </w:r>
            <w:r w:rsidR="00462A63" w:rsidRPr="00462A63">
              <w:rPr>
                <w:rFonts w:asciiTheme="minorEastAsia" w:eastAsiaTheme="minorEastAsia" w:hAnsiTheme="minorEastAsia" w:cs="宋体" w:hint="eastAsia"/>
                <w:sz w:val="18"/>
                <w:szCs w:val="18"/>
              </w:rPr>
              <w:t>基础上，通过打造新团队进行品牌形象的建立，自2016年开始建设，到2017年公司已搭建相应学术推广团队，总部建立相应管理团队，公司同时要求过往经销商层面建立相应团队。根据目前市场情况来看，外资企业在仿制替代原研的压力下，以及很多国内企业在创新的比拼下，经营效益下滑，人才溢出，公司在经销商层面有许多来自主流大型医药集团技术推广团队的核心成员。公司经销商40多个销售片区已经有1/3的经销商具备了相应的推广能力，公司将新的专科用药销售权限给予这些经销商。对于不能达到考核标准的经销商，公司在当地采取精细化招商。同时在10个省区建立起自己的费用制管理的医贸公司，具有直营特色，有利于公司加强对新药的销售和管理。新药的销售和管理和过往的销售管理制度有所不同，分为六至七个步骤，每一步都有严格的考核。以科瑞舒为例，今年公司给新药的管理团队的任务是完成17至23个省区的招标准备工作，根据今年半年报披露，目前已经完成了15个省区，从进度来看可以达到预期甚至超出预期。从销售收入来看，公司今年三季度或者四季度会体现一定量的释放，明年全年，新药的销售会成为公司的业绩考核目标之一。</w:t>
            </w:r>
          </w:p>
          <w:p w14:paraId="530CEA71" w14:textId="77777777" w:rsidR="00462A63" w:rsidRPr="00462A63" w:rsidRDefault="0078681C"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问：</w:t>
            </w:r>
            <w:r w:rsidR="00462A63" w:rsidRPr="00462A63">
              <w:rPr>
                <w:rFonts w:asciiTheme="minorEastAsia" w:eastAsiaTheme="minorEastAsia" w:hAnsiTheme="minorEastAsia" w:cs="宋体" w:hint="eastAsia"/>
                <w:sz w:val="18"/>
                <w:szCs w:val="18"/>
              </w:rPr>
              <w:t>公司目前</w:t>
            </w:r>
            <w:r w:rsidR="0008578F">
              <w:rPr>
                <w:rFonts w:asciiTheme="minorEastAsia" w:eastAsiaTheme="minorEastAsia" w:hAnsiTheme="minorEastAsia" w:cs="宋体" w:hint="eastAsia"/>
                <w:sz w:val="18"/>
                <w:szCs w:val="18"/>
              </w:rPr>
              <w:t>销售</w:t>
            </w:r>
            <w:r w:rsidR="00462A63" w:rsidRPr="00462A63">
              <w:rPr>
                <w:rFonts w:asciiTheme="minorEastAsia" w:eastAsiaTheme="minorEastAsia" w:hAnsiTheme="minorEastAsia" w:cs="宋体" w:hint="eastAsia"/>
                <w:sz w:val="18"/>
                <w:szCs w:val="18"/>
              </w:rPr>
              <w:t>管理团队有多少人员？公司高管人员有12人，是否在医药行业中普遍高管团队会比较庞大？</w:t>
            </w:r>
          </w:p>
          <w:p w14:paraId="318AD216" w14:textId="77777777" w:rsidR="00462A63" w:rsidRPr="00462A63" w:rsidRDefault="0008578F"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答：</w:t>
            </w:r>
            <w:r w:rsidR="00462A63" w:rsidRPr="00462A63">
              <w:rPr>
                <w:rFonts w:asciiTheme="minorEastAsia" w:eastAsiaTheme="minorEastAsia" w:hAnsiTheme="minorEastAsia" w:cs="宋体" w:hint="eastAsia"/>
                <w:sz w:val="18"/>
                <w:szCs w:val="18"/>
              </w:rPr>
              <w:t>公司目前总部的</w:t>
            </w:r>
            <w:r>
              <w:rPr>
                <w:rFonts w:asciiTheme="minorEastAsia" w:eastAsiaTheme="minorEastAsia" w:hAnsiTheme="minorEastAsia" w:cs="宋体" w:hint="eastAsia"/>
                <w:sz w:val="18"/>
                <w:szCs w:val="18"/>
              </w:rPr>
              <w:t>销售</w:t>
            </w:r>
            <w:r w:rsidR="00462A63" w:rsidRPr="00462A63">
              <w:rPr>
                <w:rFonts w:asciiTheme="minorEastAsia" w:eastAsiaTheme="minorEastAsia" w:hAnsiTheme="minorEastAsia" w:cs="宋体" w:hint="eastAsia"/>
                <w:sz w:val="18"/>
                <w:szCs w:val="18"/>
              </w:rPr>
              <w:t>管理团队有100多人； 10个销售费用的片区，</w:t>
            </w:r>
            <w:r w:rsidR="00A624A1">
              <w:rPr>
                <w:rFonts w:asciiTheme="minorEastAsia" w:eastAsiaTheme="minorEastAsia" w:hAnsiTheme="minorEastAsia" w:cs="宋体" w:hint="eastAsia"/>
                <w:sz w:val="18"/>
                <w:szCs w:val="18"/>
              </w:rPr>
              <w:t>后续将近</w:t>
            </w:r>
            <w:r w:rsidR="00462A63" w:rsidRPr="00462A63">
              <w:rPr>
                <w:rFonts w:asciiTheme="minorEastAsia" w:eastAsiaTheme="minorEastAsia" w:hAnsiTheme="minorEastAsia" w:cs="宋体" w:hint="eastAsia"/>
                <w:sz w:val="18"/>
                <w:szCs w:val="18"/>
              </w:rPr>
              <w:t>1,000人；全国的代理商、经销商总共约3,000多人，将来争取达到4,000人。</w:t>
            </w:r>
          </w:p>
          <w:p w14:paraId="35AA5216" w14:textId="0A1B5DC3" w:rsidR="00462A63" w:rsidRPr="00462A63" w:rsidRDefault="00462A63" w:rsidP="0008578F">
            <w:pPr>
              <w:widowControl/>
              <w:shd w:val="clear" w:color="auto" w:fill="FFFFFF"/>
              <w:spacing w:before="100" w:beforeAutospacing="1" w:after="100" w:afterAutospacing="1"/>
              <w:ind w:firstLineChars="200" w:firstLine="360"/>
              <w:rPr>
                <w:rFonts w:asciiTheme="minorEastAsia" w:eastAsiaTheme="minorEastAsia" w:hAnsiTheme="minorEastAsia" w:cs="宋体"/>
                <w:sz w:val="18"/>
                <w:szCs w:val="18"/>
              </w:rPr>
            </w:pPr>
            <w:r w:rsidRPr="00462A63">
              <w:rPr>
                <w:rFonts w:asciiTheme="minorEastAsia" w:eastAsiaTheme="minorEastAsia" w:hAnsiTheme="minorEastAsia" w:cs="宋体" w:hint="eastAsia"/>
                <w:sz w:val="18"/>
                <w:szCs w:val="18"/>
              </w:rPr>
              <w:t>关于高管团队。首先，公司自身规模较大</w:t>
            </w:r>
            <w:r w:rsidR="00F05299">
              <w:rPr>
                <w:rFonts w:asciiTheme="minorEastAsia" w:eastAsiaTheme="minorEastAsia" w:hAnsiTheme="minorEastAsia" w:cs="宋体" w:hint="eastAsia"/>
                <w:sz w:val="18"/>
                <w:szCs w:val="18"/>
              </w:rPr>
              <w:t>，产品种类多</w:t>
            </w:r>
            <w:r w:rsidRPr="00462A63">
              <w:rPr>
                <w:rFonts w:asciiTheme="minorEastAsia" w:eastAsiaTheme="minorEastAsia" w:hAnsiTheme="minorEastAsia" w:cs="宋体" w:hint="eastAsia"/>
                <w:sz w:val="18"/>
                <w:szCs w:val="18"/>
              </w:rPr>
              <w:t>，共有</w:t>
            </w:r>
            <w:r w:rsidR="00621330" w:rsidRPr="00462A63">
              <w:rPr>
                <w:rFonts w:asciiTheme="minorEastAsia" w:eastAsiaTheme="minorEastAsia" w:hAnsiTheme="minorEastAsia" w:cs="宋体" w:hint="eastAsia"/>
                <w:sz w:val="18"/>
                <w:szCs w:val="18"/>
              </w:rPr>
              <w:t>5</w:t>
            </w:r>
            <w:r w:rsidR="00621330">
              <w:rPr>
                <w:rFonts w:asciiTheme="minorEastAsia" w:eastAsiaTheme="minorEastAsia" w:hAnsiTheme="minorEastAsia" w:cs="宋体"/>
                <w:sz w:val="18"/>
                <w:szCs w:val="18"/>
              </w:rPr>
              <w:t>0</w:t>
            </w:r>
            <w:r w:rsidR="00621330">
              <w:rPr>
                <w:rFonts w:asciiTheme="minorEastAsia" w:eastAsiaTheme="minorEastAsia" w:hAnsiTheme="minorEastAsia" w:cs="宋体" w:hint="eastAsia"/>
                <w:sz w:val="18"/>
                <w:szCs w:val="18"/>
              </w:rPr>
              <w:t>多</w:t>
            </w:r>
            <w:r w:rsidRPr="00462A63">
              <w:rPr>
                <w:rFonts w:asciiTheme="minorEastAsia" w:eastAsiaTheme="minorEastAsia" w:hAnsiTheme="minorEastAsia" w:cs="宋体" w:hint="eastAsia"/>
                <w:sz w:val="18"/>
                <w:szCs w:val="18"/>
              </w:rPr>
              <w:t>家企业；其次，从公司治理结构上来看，例如生产方面会涉及到输液领域副总、非输液制剂领域副总、原料中间体副总等，每一名副总都分管多家企业，与销售相关的领域也包括市场和其他工作等等，因此12名高管是比较合理的人数。</w:t>
            </w:r>
          </w:p>
          <w:p w14:paraId="621BE364" w14:textId="77777777" w:rsidR="00462A63" w:rsidRPr="00462A63" w:rsidRDefault="0008578F"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问：</w:t>
            </w:r>
            <w:r w:rsidR="00462A63" w:rsidRPr="00462A63">
              <w:rPr>
                <w:rFonts w:asciiTheme="minorEastAsia" w:eastAsiaTheme="minorEastAsia" w:hAnsiTheme="minorEastAsia" w:cs="宋体" w:hint="eastAsia"/>
                <w:sz w:val="18"/>
                <w:szCs w:val="18"/>
              </w:rPr>
              <w:t>公司去年扣非利润率波动比较大，尤其去年扣非净利润和收入的差距比较显著？公司预计2018年扣非后净利润将达到多少？</w:t>
            </w:r>
          </w:p>
          <w:p w14:paraId="62EF6584" w14:textId="77777777" w:rsidR="00462A63" w:rsidRPr="00462A63" w:rsidRDefault="0008578F"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答：</w:t>
            </w:r>
            <w:r w:rsidR="00462A63" w:rsidRPr="00462A63">
              <w:rPr>
                <w:rFonts w:asciiTheme="minorEastAsia" w:eastAsiaTheme="minorEastAsia" w:hAnsiTheme="minorEastAsia" w:cs="宋体" w:hint="eastAsia"/>
                <w:sz w:val="18"/>
                <w:szCs w:val="18"/>
              </w:rPr>
              <w:t>去年对于公司而言是相对特殊的一个年份，一方面公司与石四药集团的联合，由于会计处理方式的变化，产生了较大的投资收益；另一方面，公司下属一家承接抗生素下游原料生产的子公司，资产减值达到1.8亿元。上述两个方面，对去年公司利润的影响比较大。但从今年开始会相对正常。</w:t>
            </w:r>
          </w:p>
          <w:p w14:paraId="15167244" w14:textId="77777777" w:rsidR="00462A63" w:rsidRPr="00462A63" w:rsidRDefault="00462A63" w:rsidP="0008578F">
            <w:pPr>
              <w:widowControl/>
              <w:shd w:val="clear" w:color="auto" w:fill="FFFFFF"/>
              <w:spacing w:before="100" w:beforeAutospacing="1" w:after="100" w:afterAutospacing="1"/>
              <w:ind w:firstLineChars="200" w:firstLine="360"/>
              <w:rPr>
                <w:rFonts w:asciiTheme="minorEastAsia" w:eastAsiaTheme="minorEastAsia" w:hAnsiTheme="minorEastAsia" w:cs="宋体"/>
                <w:sz w:val="18"/>
                <w:szCs w:val="18"/>
              </w:rPr>
            </w:pPr>
            <w:r w:rsidRPr="00462A63">
              <w:rPr>
                <w:rFonts w:asciiTheme="minorEastAsia" w:eastAsiaTheme="minorEastAsia" w:hAnsiTheme="minorEastAsia" w:cs="宋体" w:hint="eastAsia"/>
                <w:sz w:val="18"/>
                <w:szCs w:val="18"/>
              </w:rPr>
              <w:t>公司预计2018年利润将达到12亿元，扣非后净利润与这一数值相差不大。</w:t>
            </w:r>
          </w:p>
          <w:p w14:paraId="192A511B" w14:textId="77777777" w:rsidR="00462A63" w:rsidRPr="00462A63" w:rsidRDefault="0008578F"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问：</w:t>
            </w:r>
            <w:r w:rsidR="00462A63" w:rsidRPr="00462A63">
              <w:rPr>
                <w:rFonts w:asciiTheme="minorEastAsia" w:eastAsiaTheme="minorEastAsia" w:hAnsiTheme="minorEastAsia" w:cs="宋体" w:hint="eastAsia"/>
                <w:sz w:val="18"/>
                <w:szCs w:val="18"/>
              </w:rPr>
              <w:t>公司除刘思川先生之外，实际控制人刘革新是否还存在其他家属或亲戚在公司担任职务？</w:t>
            </w:r>
          </w:p>
          <w:p w14:paraId="07762758" w14:textId="77777777" w:rsidR="00462A63" w:rsidRPr="00462A63" w:rsidRDefault="0008578F"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答：</w:t>
            </w:r>
            <w:r w:rsidR="00462A63" w:rsidRPr="00462A63">
              <w:rPr>
                <w:rFonts w:asciiTheme="minorEastAsia" w:eastAsiaTheme="minorEastAsia" w:hAnsiTheme="minorEastAsia" w:cs="宋体" w:hint="eastAsia"/>
                <w:sz w:val="18"/>
                <w:szCs w:val="18"/>
              </w:rPr>
              <w:t>截至目前不存在这种情况，原其他相关人员已经退休。</w:t>
            </w:r>
          </w:p>
          <w:p w14:paraId="5AD006BA" w14:textId="77777777" w:rsidR="00462A63" w:rsidRPr="00462A63" w:rsidRDefault="0008578F"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问：</w:t>
            </w:r>
            <w:r w:rsidR="00462A63" w:rsidRPr="00462A63">
              <w:rPr>
                <w:rFonts w:asciiTheme="minorEastAsia" w:eastAsiaTheme="minorEastAsia" w:hAnsiTheme="minorEastAsia" w:cs="宋体" w:hint="eastAsia"/>
                <w:sz w:val="18"/>
                <w:szCs w:val="18"/>
              </w:rPr>
              <w:t>公司在伊犁设有自备电厂，手续方面情况如何？</w:t>
            </w:r>
          </w:p>
          <w:p w14:paraId="799EEA67" w14:textId="77777777" w:rsidR="00462A63" w:rsidRPr="00462A63" w:rsidRDefault="0008578F"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答：</w:t>
            </w:r>
            <w:r w:rsidR="00462A63" w:rsidRPr="00462A63">
              <w:rPr>
                <w:rFonts w:asciiTheme="minorEastAsia" w:eastAsiaTheme="minorEastAsia" w:hAnsiTheme="minorEastAsia" w:cs="宋体" w:hint="eastAsia"/>
                <w:sz w:val="18"/>
                <w:szCs w:val="18"/>
              </w:rPr>
              <w:t>公司自备电厂近期已进一步完成了相关手续，包括并网和发电的许可证等。</w:t>
            </w:r>
          </w:p>
          <w:p w14:paraId="609373A4" w14:textId="77777777" w:rsidR="00462A63" w:rsidRPr="00462A63" w:rsidRDefault="0008578F"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问：</w:t>
            </w:r>
            <w:r w:rsidR="00462A63" w:rsidRPr="00462A63">
              <w:rPr>
                <w:rFonts w:asciiTheme="minorEastAsia" w:eastAsiaTheme="minorEastAsia" w:hAnsiTheme="minorEastAsia" w:cs="宋体" w:hint="eastAsia"/>
                <w:sz w:val="18"/>
                <w:szCs w:val="18"/>
              </w:rPr>
              <w:t>去年公司采购大豆存在汇率损失，请问今年汇率变化对公司会产生怎么样的影响？KAZ科伦借款是否已经偿还？</w:t>
            </w:r>
          </w:p>
          <w:p w14:paraId="13C84F18" w14:textId="518C9238" w:rsidR="00462A63" w:rsidRPr="00462A63" w:rsidRDefault="0008578F"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答：</w:t>
            </w:r>
            <w:r w:rsidR="00462A63" w:rsidRPr="00462A63">
              <w:rPr>
                <w:rFonts w:asciiTheme="minorEastAsia" w:eastAsiaTheme="minorEastAsia" w:hAnsiTheme="minorEastAsia" w:cs="宋体" w:hint="eastAsia"/>
                <w:sz w:val="18"/>
                <w:szCs w:val="18"/>
              </w:rPr>
              <w:t>该损失并非主要由采购大豆造成的汇兑损溢，主要因哈萨克</w:t>
            </w:r>
            <w:r w:rsidR="006D6486">
              <w:rPr>
                <w:rFonts w:asciiTheme="minorEastAsia" w:eastAsiaTheme="minorEastAsia" w:hAnsiTheme="minorEastAsia" w:cs="宋体" w:hint="eastAsia"/>
                <w:sz w:val="18"/>
                <w:szCs w:val="18"/>
              </w:rPr>
              <w:t>斯坦</w:t>
            </w:r>
            <w:r w:rsidR="00462A63" w:rsidRPr="00462A63">
              <w:rPr>
                <w:rFonts w:asciiTheme="minorEastAsia" w:eastAsiaTheme="minorEastAsia" w:hAnsiTheme="minorEastAsia" w:cs="宋体" w:hint="eastAsia"/>
                <w:sz w:val="18"/>
                <w:szCs w:val="18"/>
              </w:rPr>
              <w:t>货币</w:t>
            </w:r>
            <w:r w:rsidR="006D6486">
              <w:rPr>
                <w:rFonts w:asciiTheme="minorEastAsia" w:eastAsiaTheme="minorEastAsia" w:hAnsiTheme="minorEastAsia" w:cs="宋体" w:hint="eastAsia"/>
                <w:sz w:val="18"/>
                <w:szCs w:val="18"/>
              </w:rPr>
              <w:t>汇率</w:t>
            </w:r>
            <w:r w:rsidR="006D6486">
              <w:rPr>
                <w:rFonts w:asciiTheme="minorEastAsia" w:eastAsiaTheme="minorEastAsia" w:hAnsiTheme="minorEastAsia" w:cs="宋体"/>
                <w:sz w:val="18"/>
                <w:szCs w:val="18"/>
              </w:rPr>
              <w:t>波动所致。</w:t>
            </w:r>
            <w:r w:rsidR="00462A63" w:rsidRPr="00462A63">
              <w:rPr>
                <w:rFonts w:asciiTheme="minorEastAsia" w:eastAsiaTheme="minorEastAsia" w:hAnsiTheme="minorEastAsia" w:cs="宋体" w:hint="eastAsia"/>
                <w:sz w:val="18"/>
                <w:szCs w:val="18"/>
              </w:rPr>
              <w:t>今年汇兑损溢会有一定的影响，</w:t>
            </w:r>
            <w:r w:rsidR="006D6486">
              <w:rPr>
                <w:rFonts w:asciiTheme="minorEastAsia" w:eastAsiaTheme="minorEastAsia" w:hAnsiTheme="minorEastAsia" w:cs="宋体" w:hint="eastAsia"/>
                <w:sz w:val="18"/>
                <w:szCs w:val="18"/>
              </w:rPr>
              <w:t>具体</w:t>
            </w:r>
            <w:r w:rsidR="006D6486">
              <w:rPr>
                <w:rFonts w:asciiTheme="minorEastAsia" w:eastAsiaTheme="minorEastAsia" w:hAnsiTheme="minorEastAsia" w:cs="宋体"/>
                <w:sz w:val="18"/>
                <w:szCs w:val="18"/>
              </w:rPr>
              <w:t>要看四季度货币</w:t>
            </w:r>
            <w:r w:rsidR="006D6486">
              <w:rPr>
                <w:rFonts w:asciiTheme="minorEastAsia" w:eastAsiaTheme="minorEastAsia" w:hAnsiTheme="minorEastAsia" w:cs="宋体" w:hint="eastAsia"/>
                <w:sz w:val="18"/>
                <w:szCs w:val="18"/>
              </w:rPr>
              <w:t>汇率</w:t>
            </w:r>
            <w:r w:rsidR="006D6486">
              <w:rPr>
                <w:rFonts w:asciiTheme="minorEastAsia" w:eastAsiaTheme="minorEastAsia" w:hAnsiTheme="minorEastAsia" w:cs="宋体"/>
                <w:sz w:val="18"/>
                <w:szCs w:val="18"/>
              </w:rPr>
              <w:t>波动情况，预计</w:t>
            </w:r>
            <w:r w:rsidR="00462A63" w:rsidRPr="00462A63">
              <w:rPr>
                <w:rFonts w:asciiTheme="minorEastAsia" w:eastAsiaTheme="minorEastAsia" w:hAnsiTheme="minorEastAsia" w:cs="宋体" w:hint="eastAsia"/>
                <w:sz w:val="18"/>
                <w:szCs w:val="18"/>
              </w:rPr>
              <w:t>影响不大。</w:t>
            </w:r>
            <w:r w:rsidR="006D6486">
              <w:rPr>
                <w:rFonts w:asciiTheme="minorEastAsia" w:eastAsiaTheme="minorEastAsia" w:hAnsiTheme="minorEastAsia" w:cs="宋体" w:hint="eastAsia"/>
                <w:sz w:val="18"/>
                <w:szCs w:val="18"/>
              </w:rPr>
              <w:t>未来</w:t>
            </w:r>
            <w:r w:rsidR="006D6486">
              <w:rPr>
                <w:rFonts w:asciiTheme="minorEastAsia" w:eastAsiaTheme="minorEastAsia" w:hAnsiTheme="minorEastAsia" w:cs="宋体"/>
                <w:sz w:val="18"/>
                <w:szCs w:val="18"/>
              </w:rPr>
              <w:t>随着公司国际化发力，</w:t>
            </w:r>
            <w:r w:rsidR="006D6486">
              <w:rPr>
                <w:rFonts w:asciiTheme="minorEastAsia" w:eastAsiaTheme="minorEastAsia" w:hAnsiTheme="minorEastAsia" w:cs="宋体" w:hint="eastAsia"/>
                <w:sz w:val="18"/>
                <w:szCs w:val="18"/>
              </w:rPr>
              <w:t>公司</w:t>
            </w:r>
            <w:r w:rsidR="006D6486">
              <w:rPr>
                <w:rFonts w:asciiTheme="minorEastAsia" w:eastAsiaTheme="minorEastAsia" w:hAnsiTheme="minorEastAsia" w:cs="宋体"/>
                <w:sz w:val="18"/>
                <w:szCs w:val="18"/>
              </w:rPr>
              <w:t>也将加强汇率管理</w:t>
            </w:r>
            <w:r w:rsidR="006D6486">
              <w:rPr>
                <w:rFonts w:asciiTheme="minorEastAsia" w:eastAsiaTheme="minorEastAsia" w:hAnsiTheme="minorEastAsia" w:cs="宋体" w:hint="eastAsia"/>
                <w:sz w:val="18"/>
                <w:szCs w:val="18"/>
              </w:rPr>
              <w:t>。</w:t>
            </w:r>
            <w:r w:rsidR="00462A63" w:rsidRPr="00462A63">
              <w:rPr>
                <w:rFonts w:asciiTheme="minorEastAsia" w:eastAsiaTheme="minorEastAsia" w:hAnsiTheme="minorEastAsia" w:cs="宋体" w:hint="eastAsia"/>
                <w:sz w:val="18"/>
                <w:szCs w:val="18"/>
              </w:rPr>
              <w:t>截至目前，哈萨克科伦尚未归还母公司的借款。</w:t>
            </w:r>
          </w:p>
          <w:p w14:paraId="068F1082" w14:textId="77777777" w:rsidR="00462A63" w:rsidRPr="00462A63" w:rsidRDefault="0008578F"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问：</w:t>
            </w:r>
            <w:r w:rsidR="00462A63" w:rsidRPr="00462A63">
              <w:rPr>
                <w:rFonts w:asciiTheme="minorEastAsia" w:eastAsiaTheme="minorEastAsia" w:hAnsiTheme="minorEastAsia" w:cs="宋体" w:hint="eastAsia"/>
                <w:sz w:val="18"/>
                <w:szCs w:val="18"/>
              </w:rPr>
              <w:t>美国科伦和新迪医化也存在亏损情况，请说明缘由。</w:t>
            </w:r>
          </w:p>
          <w:p w14:paraId="3978F4F6" w14:textId="566FE183" w:rsidR="00462A63" w:rsidRPr="00462A63" w:rsidRDefault="0008578F"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答：</w:t>
            </w:r>
            <w:r w:rsidR="00462A63" w:rsidRPr="00462A63">
              <w:rPr>
                <w:rFonts w:asciiTheme="minorEastAsia" w:eastAsiaTheme="minorEastAsia" w:hAnsiTheme="minorEastAsia" w:cs="宋体" w:hint="eastAsia"/>
                <w:sz w:val="18"/>
                <w:szCs w:val="18"/>
              </w:rPr>
              <w:t>美国科伦目前是一个研发机构，主要以</w:t>
            </w:r>
            <w:r w:rsidR="006D6486">
              <w:rPr>
                <w:rFonts w:asciiTheme="minorEastAsia" w:eastAsiaTheme="minorEastAsia" w:hAnsiTheme="minorEastAsia" w:cs="宋体" w:hint="eastAsia"/>
                <w:sz w:val="18"/>
                <w:szCs w:val="18"/>
              </w:rPr>
              <w:t>研发投入</w:t>
            </w:r>
            <w:r w:rsidR="00462A63" w:rsidRPr="00462A63">
              <w:rPr>
                <w:rFonts w:asciiTheme="minorEastAsia" w:eastAsiaTheme="minorEastAsia" w:hAnsiTheme="minorEastAsia" w:cs="宋体" w:hint="eastAsia"/>
                <w:sz w:val="18"/>
                <w:szCs w:val="18"/>
              </w:rPr>
              <w:t>为主，主要方向是创新研发生物大分子和创新小分子。该机构主要配合国内的博泰生物两个板块的研发，包括美国的一些临床工作都由该机构完成。</w:t>
            </w:r>
          </w:p>
          <w:p w14:paraId="705A61DF" w14:textId="1D2B440C" w:rsidR="00462A63" w:rsidRPr="00462A63" w:rsidRDefault="00462A63" w:rsidP="0008578F">
            <w:pPr>
              <w:widowControl/>
              <w:shd w:val="clear" w:color="auto" w:fill="FFFFFF"/>
              <w:spacing w:before="100" w:beforeAutospacing="1" w:after="100" w:afterAutospacing="1"/>
              <w:ind w:firstLineChars="200" w:firstLine="360"/>
              <w:rPr>
                <w:rFonts w:asciiTheme="minorEastAsia" w:eastAsiaTheme="minorEastAsia" w:hAnsiTheme="minorEastAsia" w:cs="宋体"/>
                <w:sz w:val="18"/>
                <w:szCs w:val="18"/>
              </w:rPr>
            </w:pPr>
            <w:r w:rsidRPr="00462A63">
              <w:rPr>
                <w:rFonts w:asciiTheme="minorEastAsia" w:eastAsiaTheme="minorEastAsia" w:hAnsiTheme="minorEastAsia" w:cs="宋体" w:hint="eastAsia"/>
                <w:sz w:val="18"/>
                <w:szCs w:val="18"/>
              </w:rPr>
              <w:t>新迪医化去年进行了减值，主要是因为抗生素中间体的两个深加工产品在工艺方面尚未完全突破。今年虽然工艺有所突破，但具备批量生产能力还需要一定时间，要产生利润或者正的现金流量预计至少在明年或者后年。</w:t>
            </w:r>
          </w:p>
          <w:p w14:paraId="5669A66A" w14:textId="77777777" w:rsidR="00462A63" w:rsidRPr="00462A63" w:rsidRDefault="0008578F"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问：</w:t>
            </w:r>
            <w:r w:rsidR="00462A63" w:rsidRPr="00462A63">
              <w:rPr>
                <w:rFonts w:asciiTheme="minorEastAsia" w:eastAsiaTheme="minorEastAsia" w:hAnsiTheme="minorEastAsia" w:cs="宋体" w:hint="eastAsia"/>
                <w:sz w:val="18"/>
                <w:szCs w:val="18"/>
              </w:rPr>
              <w:t>公司固定资产周转率在医药行业相对较低，请说明原因。</w:t>
            </w:r>
          </w:p>
          <w:p w14:paraId="2E221AD5" w14:textId="1FDE3197" w:rsidR="00462A63" w:rsidRPr="00462A63" w:rsidRDefault="0008578F"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答：</w:t>
            </w:r>
            <w:r w:rsidR="00462A63" w:rsidRPr="00462A63">
              <w:rPr>
                <w:rFonts w:asciiTheme="minorEastAsia" w:eastAsiaTheme="minorEastAsia" w:hAnsiTheme="minorEastAsia" w:cs="宋体" w:hint="eastAsia"/>
                <w:sz w:val="18"/>
                <w:szCs w:val="18"/>
              </w:rPr>
              <w:t>截至目前公司总固定资产(含在建工程)120余亿元，伊犁川宁占70亿元。伊犁川宁</w:t>
            </w:r>
            <w:r w:rsidR="006D6486">
              <w:rPr>
                <w:rFonts w:asciiTheme="minorEastAsia" w:eastAsiaTheme="minorEastAsia" w:hAnsiTheme="minorEastAsia" w:cs="宋体" w:hint="eastAsia"/>
                <w:sz w:val="18"/>
                <w:szCs w:val="18"/>
              </w:rPr>
              <w:t>环保</w:t>
            </w:r>
            <w:r w:rsidR="006D6486">
              <w:rPr>
                <w:rFonts w:asciiTheme="minorEastAsia" w:eastAsiaTheme="minorEastAsia" w:hAnsiTheme="minorEastAsia" w:cs="宋体"/>
                <w:sz w:val="18"/>
                <w:szCs w:val="18"/>
              </w:rPr>
              <w:t>设施投入占比超过1/4</w:t>
            </w:r>
            <w:r w:rsidR="006D6486">
              <w:rPr>
                <w:rFonts w:asciiTheme="minorEastAsia" w:eastAsiaTheme="minorEastAsia" w:hAnsiTheme="minorEastAsia" w:cs="宋体" w:hint="eastAsia"/>
                <w:sz w:val="18"/>
                <w:szCs w:val="18"/>
              </w:rPr>
              <w:t>，</w:t>
            </w:r>
            <w:r w:rsidR="00462A63" w:rsidRPr="00462A63">
              <w:rPr>
                <w:rFonts w:asciiTheme="minorEastAsia" w:eastAsiaTheme="minorEastAsia" w:hAnsiTheme="minorEastAsia" w:cs="宋体" w:hint="eastAsia"/>
                <w:sz w:val="18"/>
                <w:szCs w:val="18"/>
              </w:rPr>
              <w:t>，因此从整体上看固体资产投资占比较大</w:t>
            </w:r>
            <w:r w:rsidR="006D6486">
              <w:rPr>
                <w:rFonts w:asciiTheme="minorEastAsia" w:eastAsiaTheme="minorEastAsia" w:hAnsiTheme="minorEastAsia" w:cs="宋体" w:hint="eastAsia"/>
                <w:sz w:val="18"/>
                <w:szCs w:val="18"/>
              </w:rPr>
              <w:t>，</w:t>
            </w:r>
            <w:r w:rsidR="006D6486">
              <w:rPr>
                <w:rFonts w:asciiTheme="minorEastAsia" w:eastAsiaTheme="minorEastAsia" w:hAnsiTheme="minorEastAsia" w:cs="宋体"/>
                <w:sz w:val="18"/>
                <w:szCs w:val="18"/>
              </w:rPr>
              <w:t>导致周转率偏低</w:t>
            </w:r>
            <w:r w:rsidR="00462A63" w:rsidRPr="00462A63">
              <w:rPr>
                <w:rFonts w:asciiTheme="minorEastAsia" w:eastAsiaTheme="minorEastAsia" w:hAnsiTheme="minorEastAsia" w:cs="宋体" w:hint="eastAsia"/>
                <w:sz w:val="18"/>
                <w:szCs w:val="18"/>
              </w:rPr>
              <w:t>。</w:t>
            </w:r>
          </w:p>
          <w:p w14:paraId="5DDCE405" w14:textId="77777777" w:rsidR="00462A63" w:rsidRPr="00462A63" w:rsidRDefault="0008578F"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问：</w:t>
            </w:r>
            <w:r w:rsidR="00462A63" w:rsidRPr="00462A63">
              <w:rPr>
                <w:rFonts w:asciiTheme="minorEastAsia" w:eastAsiaTheme="minorEastAsia" w:hAnsiTheme="minorEastAsia" w:cs="宋体" w:hint="eastAsia"/>
                <w:sz w:val="18"/>
                <w:szCs w:val="18"/>
              </w:rPr>
              <w:t>公司去年是否因涉及到房地产行业方面的问题而要进行一定裁员情况？</w:t>
            </w:r>
          </w:p>
          <w:p w14:paraId="7E248567" w14:textId="5C999E28" w:rsidR="00462A63" w:rsidRPr="00462A63" w:rsidRDefault="0008578F"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答：</w:t>
            </w:r>
            <w:r w:rsidR="00462A63" w:rsidRPr="00462A63">
              <w:rPr>
                <w:rFonts w:asciiTheme="minorEastAsia" w:eastAsiaTheme="minorEastAsia" w:hAnsiTheme="minorEastAsia" w:cs="宋体" w:hint="eastAsia"/>
                <w:sz w:val="18"/>
                <w:szCs w:val="18"/>
              </w:rPr>
              <w:t>公司</w:t>
            </w:r>
            <w:r w:rsidR="00EB547A">
              <w:rPr>
                <w:rFonts w:asciiTheme="minorEastAsia" w:eastAsiaTheme="minorEastAsia" w:hAnsiTheme="minorEastAsia" w:cs="宋体" w:hint="eastAsia"/>
                <w:sz w:val="18"/>
                <w:szCs w:val="18"/>
              </w:rPr>
              <w:t>从未涉足房地产行业，因此</w:t>
            </w:r>
            <w:r w:rsidR="00462A63" w:rsidRPr="00462A63">
              <w:rPr>
                <w:rFonts w:asciiTheme="minorEastAsia" w:eastAsiaTheme="minorEastAsia" w:hAnsiTheme="minorEastAsia" w:cs="宋体" w:hint="eastAsia"/>
                <w:sz w:val="18"/>
                <w:szCs w:val="18"/>
              </w:rPr>
              <w:t>不存在上述情况。</w:t>
            </w:r>
          </w:p>
          <w:p w14:paraId="5A1ECEB5" w14:textId="77777777" w:rsidR="00462A63" w:rsidRPr="00462A63" w:rsidRDefault="0008578F"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问：</w:t>
            </w:r>
            <w:r w:rsidR="00462A63" w:rsidRPr="00462A63">
              <w:rPr>
                <w:rFonts w:asciiTheme="minorEastAsia" w:eastAsiaTheme="minorEastAsia" w:hAnsiTheme="minorEastAsia" w:cs="宋体" w:hint="eastAsia"/>
                <w:sz w:val="18"/>
                <w:szCs w:val="18"/>
              </w:rPr>
              <w:t xml:space="preserve">公司一年内到期或行权的债券有41亿元，短期借款33亿元，半年报中货币资金为10.9亿元。而今年整个债券市场对民营企业并不友好，因此公司是否有考虑在脱离发债的前提下如何融资，债券到期后，公司是通过银行贷款还是发债进行偿还？ </w:t>
            </w:r>
          </w:p>
          <w:p w14:paraId="6AECCD31" w14:textId="77777777" w:rsidR="00462A63" w:rsidRPr="00462A63" w:rsidRDefault="0008578F"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答：</w:t>
            </w:r>
            <w:r w:rsidR="00462A63" w:rsidRPr="00462A63">
              <w:rPr>
                <w:rFonts w:asciiTheme="minorEastAsia" w:eastAsiaTheme="minorEastAsia" w:hAnsiTheme="minorEastAsia" w:cs="宋体" w:hint="eastAsia"/>
                <w:sz w:val="18"/>
                <w:szCs w:val="18"/>
              </w:rPr>
              <w:t>公司银行授信额度肯定要进行增加。就目前进度来看，新增授信额度快则1个月，慢则2至3个月可以获批，获批后公司总银行授信额度将达到60亿元。公司将根据资金需求和市场情况进行提款。</w:t>
            </w:r>
          </w:p>
          <w:p w14:paraId="1988D008" w14:textId="77777777" w:rsidR="00462A63" w:rsidRPr="00462A63" w:rsidRDefault="00462A63" w:rsidP="0008578F">
            <w:pPr>
              <w:widowControl/>
              <w:shd w:val="clear" w:color="auto" w:fill="FFFFFF"/>
              <w:spacing w:before="100" w:beforeAutospacing="1" w:after="100" w:afterAutospacing="1"/>
              <w:ind w:firstLineChars="200" w:firstLine="360"/>
              <w:rPr>
                <w:rFonts w:asciiTheme="minorEastAsia" w:eastAsiaTheme="minorEastAsia" w:hAnsiTheme="minorEastAsia" w:cs="宋体"/>
                <w:sz w:val="18"/>
                <w:szCs w:val="18"/>
              </w:rPr>
            </w:pPr>
            <w:r w:rsidRPr="00462A63">
              <w:rPr>
                <w:rFonts w:asciiTheme="minorEastAsia" w:eastAsiaTheme="minorEastAsia" w:hAnsiTheme="minorEastAsia" w:cs="宋体" w:hint="eastAsia"/>
                <w:sz w:val="18"/>
                <w:szCs w:val="18"/>
              </w:rPr>
              <w:t>债券到期后，公司通过银行贷款还是发债进行偿还两种情况均有可能。</w:t>
            </w:r>
          </w:p>
          <w:p w14:paraId="30A186DE" w14:textId="3FF59546" w:rsidR="00462A63" w:rsidRPr="00462A63" w:rsidRDefault="00462A63" w:rsidP="0008578F">
            <w:pPr>
              <w:widowControl/>
              <w:shd w:val="clear" w:color="auto" w:fill="FFFFFF"/>
              <w:spacing w:before="100" w:beforeAutospacing="1" w:after="100" w:afterAutospacing="1"/>
              <w:ind w:firstLineChars="200" w:firstLine="360"/>
              <w:rPr>
                <w:rFonts w:asciiTheme="minorEastAsia" w:eastAsiaTheme="minorEastAsia" w:hAnsiTheme="minorEastAsia" w:cs="宋体"/>
                <w:sz w:val="18"/>
                <w:szCs w:val="18"/>
              </w:rPr>
            </w:pPr>
            <w:r w:rsidRPr="00462A63">
              <w:rPr>
                <w:rFonts w:asciiTheme="minorEastAsia" w:eastAsiaTheme="minorEastAsia" w:hAnsiTheme="minorEastAsia" w:cs="宋体" w:hint="eastAsia"/>
                <w:sz w:val="18"/>
                <w:szCs w:val="18"/>
              </w:rPr>
              <w:t>另外，公司融资租赁业务现在只开展3亿元，但最终授信可以达到15亿元，尚有富裕额度；超短融方面公司已注册30亿元，同时现在正在注册一个20亿元规模的超短融；短融公司尚有10亿元额度未发行；公司债将获批28亿元。这些都是可以</w:t>
            </w:r>
            <w:r w:rsidR="00E0435A">
              <w:rPr>
                <w:rFonts w:asciiTheme="minorEastAsia" w:eastAsiaTheme="minorEastAsia" w:hAnsiTheme="minorEastAsia" w:cs="宋体" w:hint="eastAsia"/>
                <w:sz w:val="18"/>
                <w:szCs w:val="18"/>
              </w:rPr>
              <w:t>提升</w:t>
            </w:r>
            <w:r w:rsidRPr="00462A63">
              <w:rPr>
                <w:rFonts w:asciiTheme="minorEastAsia" w:eastAsiaTheme="minorEastAsia" w:hAnsiTheme="minorEastAsia" w:cs="宋体" w:hint="eastAsia"/>
                <w:sz w:val="18"/>
                <w:szCs w:val="18"/>
              </w:rPr>
              <w:t>公司流动性</w:t>
            </w:r>
            <w:r w:rsidR="00E0435A">
              <w:rPr>
                <w:rFonts w:asciiTheme="minorEastAsia" w:eastAsiaTheme="minorEastAsia" w:hAnsiTheme="minorEastAsia" w:cs="宋体" w:hint="eastAsia"/>
                <w:sz w:val="18"/>
                <w:szCs w:val="18"/>
              </w:rPr>
              <w:t>的</w:t>
            </w:r>
            <w:r w:rsidR="00E0435A">
              <w:rPr>
                <w:rFonts w:asciiTheme="minorEastAsia" w:eastAsiaTheme="minorEastAsia" w:hAnsiTheme="minorEastAsia" w:cs="宋体"/>
                <w:sz w:val="18"/>
                <w:szCs w:val="18"/>
              </w:rPr>
              <w:t>措施</w:t>
            </w:r>
            <w:r w:rsidRPr="00462A63">
              <w:rPr>
                <w:rFonts w:asciiTheme="minorEastAsia" w:eastAsiaTheme="minorEastAsia" w:hAnsiTheme="minorEastAsia" w:cs="宋体" w:hint="eastAsia"/>
                <w:sz w:val="18"/>
                <w:szCs w:val="18"/>
              </w:rPr>
              <w:t>。</w:t>
            </w:r>
          </w:p>
          <w:p w14:paraId="3FBFC2D2" w14:textId="77777777" w:rsidR="00462A63" w:rsidRPr="00462A63" w:rsidRDefault="0008578F"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问：</w:t>
            </w:r>
            <w:r w:rsidR="00462A63" w:rsidRPr="00462A63">
              <w:rPr>
                <w:rFonts w:asciiTheme="minorEastAsia" w:eastAsiaTheme="minorEastAsia" w:hAnsiTheme="minorEastAsia" w:cs="宋体" w:hint="eastAsia"/>
                <w:sz w:val="18"/>
                <w:szCs w:val="18"/>
              </w:rPr>
              <w:t>如果公司通过发债进行融资对成本的预期是多少？长江</w:t>
            </w:r>
            <w:r>
              <w:rPr>
                <w:rFonts w:asciiTheme="minorEastAsia" w:eastAsiaTheme="minorEastAsia" w:hAnsiTheme="minorEastAsia" w:cs="宋体" w:hint="eastAsia"/>
                <w:sz w:val="18"/>
                <w:szCs w:val="18"/>
              </w:rPr>
              <w:t>证券</w:t>
            </w:r>
            <w:r w:rsidR="00462A63" w:rsidRPr="00462A63">
              <w:rPr>
                <w:rFonts w:asciiTheme="minorEastAsia" w:eastAsiaTheme="minorEastAsia" w:hAnsiTheme="minorEastAsia" w:cs="宋体" w:hint="eastAsia"/>
                <w:sz w:val="18"/>
                <w:szCs w:val="18"/>
              </w:rPr>
              <w:t>是否会认购发债份额？本次发债期限如何？</w:t>
            </w:r>
          </w:p>
          <w:p w14:paraId="3AA1D9C4" w14:textId="77777777" w:rsidR="00462A63" w:rsidRPr="00462A63" w:rsidRDefault="0008578F"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答：</w:t>
            </w:r>
            <w:r w:rsidR="00462A63" w:rsidRPr="00462A63">
              <w:rPr>
                <w:rFonts w:asciiTheme="minorEastAsia" w:eastAsiaTheme="minorEastAsia" w:hAnsiTheme="minorEastAsia" w:cs="宋体" w:hint="eastAsia"/>
                <w:sz w:val="18"/>
                <w:szCs w:val="18"/>
              </w:rPr>
              <w:t>发债的融资成本主要看整个市场情况，发债的时候根据市场价格决定。公司希望发债成本相较于银行融资成本而言悬殊不要太大。</w:t>
            </w:r>
          </w:p>
          <w:p w14:paraId="6E2C081F" w14:textId="118D8473" w:rsidR="00462A63" w:rsidRPr="00462A63" w:rsidRDefault="00462A63" w:rsidP="0008578F">
            <w:pPr>
              <w:widowControl/>
              <w:shd w:val="clear" w:color="auto" w:fill="FFFFFF"/>
              <w:spacing w:before="100" w:beforeAutospacing="1" w:after="100" w:afterAutospacing="1"/>
              <w:ind w:firstLineChars="200" w:firstLine="360"/>
              <w:rPr>
                <w:rFonts w:asciiTheme="minorEastAsia" w:eastAsiaTheme="minorEastAsia" w:hAnsiTheme="minorEastAsia" w:cs="宋体"/>
                <w:sz w:val="18"/>
                <w:szCs w:val="18"/>
              </w:rPr>
            </w:pPr>
            <w:r w:rsidRPr="00462A63">
              <w:rPr>
                <w:rFonts w:asciiTheme="minorEastAsia" w:eastAsiaTheme="minorEastAsia" w:hAnsiTheme="minorEastAsia" w:cs="宋体" w:hint="eastAsia"/>
                <w:sz w:val="18"/>
                <w:szCs w:val="18"/>
              </w:rPr>
              <w:t>本次债券主体评级和债券评级均为AA+，主体评级正面。因为本次公司债总量获批28亿元，规模是初定5+23亿元，基础量为5亿元，可能存在超募情况，具体发多少主要看机构的认购情况，目前公司估算至少可以发出10个亿。期限可能是2+2+1和3+2两个品种，利率小区间为5.3%至5.7%。</w:t>
            </w:r>
          </w:p>
          <w:p w14:paraId="2A4077E3" w14:textId="77777777" w:rsidR="00462A63" w:rsidRPr="00462A63" w:rsidRDefault="00462A63" w:rsidP="0008578F">
            <w:pPr>
              <w:widowControl/>
              <w:shd w:val="clear" w:color="auto" w:fill="FFFFFF"/>
              <w:spacing w:before="100" w:beforeAutospacing="1" w:after="100" w:afterAutospacing="1"/>
              <w:ind w:firstLineChars="200" w:firstLine="360"/>
              <w:rPr>
                <w:rFonts w:asciiTheme="minorEastAsia" w:eastAsiaTheme="minorEastAsia" w:hAnsiTheme="minorEastAsia" w:cs="宋体"/>
                <w:sz w:val="18"/>
                <w:szCs w:val="18"/>
              </w:rPr>
            </w:pPr>
            <w:r w:rsidRPr="00462A63">
              <w:rPr>
                <w:rFonts w:asciiTheme="minorEastAsia" w:eastAsiaTheme="minorEastAsia" w:hAnsiTheme="minorEastAsia" w:cs="宋体" w:hint="eastAsia"/>
                <w:sz w:val="18"/>
                <w:szCs w:val="18"/>
              </w:rPr>
              <w:t>根据现在半年报的情况，可以看到科伦药业经营活动有很大的改善而且是处于可持续的状态，且科伦药业主体评级从上一次的AA+稳定提升到现在的AA+正面。理论上AA+正面在近2至3年内评级可能达到AAA。</w:t>
            </w:r>
          </w:p>
          <w:p w14:paraId="0644053A" w14:textId="77777777" w:rsidR="00462A63" w:rsidRPr="00462A63" w:rsidRDefault="00462A63" w:rsidP="0008578F">
            <w:pPr>
              <w:widowControl/>
              <w:shd w:val="clear" w:color="auto" w:fill="FFFFFF"/>
              <w:spacing w:before="100" w:beforeAutospacing="1" w:after="100" w:afterAutospacing="1"/>
              <w:ind w:firstLineChars="200" w:firstLine="360"/>
              <w:rPr>
                <w:rFonts w:asciiTheme="minorEastAsia" w:eastAsiaTheme="minorEastAsia" w:hAnsiTheme="minorEastAsia" w:cs="宋体"/>
                <w:sz w:val="18"/>
                <w:szCs w:val="18"/>
              </w:rPr>
            </w:pPr>
            <w:r w:rsidRPr="00462A63">
              <w:rPr>
                <w:rFonts w:asciiTheme="minorEastAsia" w:eastAsiaTheme="minorEastAsia" w:hAnsiTheme="minorEastAsia" w:cs="宋体" w:hint="eastAsia"/>
                <w:sz w:val="18"/>
                <w:szCs w:val="18"/>
              </w:rPr>
              <w:t>主承销商系投行团队非自营团队，但也会与自营团队进行协商看情况进行参与。</w:t>
            </w:r>
          </w:p>
          <w:p w14:paraId="7A8939AA" w14:textId="77777777" w:rsidR="00462A63" w:rsidRPr="00462A63" w:rsidRDefault="0008578F"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问：</w:t>
            </w:r>
            <w:r w:rsidR="00462A63" w:rsidRPr="00462A63">
              <w:rPr>
                <w:rFonts w:asciiTheme="minorEastAsia" w:eastAsiaTheme="minorEastAsia" w:hAnsiTheme="minorEastAsia" w:cs="宋体" w:hint="eastAsia"/>
                <w:sz w:val="18"/>
                <w:szCs w:val="18"/>
              </w:rPr>
              <w:t>2018年3月份，市场对民企的规避情绪可能依然较强，相比于成本问题，公司是否更应关注发债募满量的问题。</w:t>
            </w:r>
          </w:p>
          <w:p w14:paraId="7D76266A" w14:textId="77777777" w:rsidR="00462A63" w:rsidRPr="00462A63" w:rsidRDefault="0008578F"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答：</w:t>
            </w:r>
            <w:r w:rsidR="00462A63" w:rsidRPr="00462A63">
              <w:rPr>
                <w:rFonts w:asciiTheme="minorEastAsia" w:eastAsiaTheme="minorEastAsia" w:hAnsiTheme="minorEastAsia" w:cs="宋体" w:hint="eastAsia"/>
                <w:sz w:val="18"/>
                <w:szCs w:val="18"/>
              </w:rPr>
              <w:t>首先，本次发债有意向的投资者包括上周四共20多家，周五10多家，算上今天的在现场已经差不多50余家；其次，从之前的沟通来看，愿意认购的机构比较多，这些机构认为通过与企业沟通后对科伦药业更加有信心。</w:t>
            </w:r>
          </w:p>
          <w:p w14:paraId="38ACB3DC" w14:textId="77777777" w:rsidR="00462A63" w:rsidRPr="00462A63" w:rsidRDefault="00462A63" w:rsidP="004D5122">
            <w:pPr>
              <w:widowControl/>
              <w:shd w:val="clear" w:color="auto" w:fill="FFFFFF"/>
              <w:spacing w:before="100" w:beforeAutospacing="1" w:after="100" w:afterAutospacing="1"/>
              <w:ind w:firstLineChars="200" w:firstLine="360"/>
              <w:rPr>
                <w:rFonts w:asciiTheme="minorEastAsia" w:eastAsiaTheme="minorEastAsia" w:hAnsiTheme="minorEastAsia" w:cs="宋体"/>
                <w:sz w:val="18"/>
                <w:szCs w:val="18"/>
              </w:rPr>
            </w:pPr>
            <w:r w:rsidRPr="00462A63">
              <w:rPr>
                <w:rFonts w:asciiTheme="minorEastAsia" w:eastAsiaTheme="minorEastAsia" w:hAnsiTheme="minorEastAsia" w:cs="宋体" w:hint="eastAsia"/>
                <w:sz w:val="18"/>
                <w:szCs w:val="18"/>
              </w:rPr>
              <w:t>另外，在评级方面，中诚信给予公司较高评价，表示如果净资产从120亿元提升到170至180亿，企业完全具备AAA水平。</w:t>
            </w:r>
          </w:p>
          <w:p w14:paraId="547CC26E" w14:textId="77777777" w:rsidR="00462A63" w:rsidRPr="00462A63" w:rsidRDefault="00462A63" w:rsidP="004D5122">
            <w:pPr>
              <w:widowControl/>
              <w:shd w:val="clear" w:color="auto" w:fill="FFFFFF"/>
              <w:spacing w:before="100" w:beforeAutospacing="1" w:after="100" w:afterAutospacing="1"/>
              <w:ind w:firstLineChars="200" w:firstLine="360"/>
              <w:rPr>
                <w:rFonts w:asciiTheme="minorEastAsia" w:eastAsiaTheme="minorEastAsia" w:hAnsiTheme="minorEastAsia" w:cs="宋体"/>
                <w:sz w:val="18"/>
                <w:szCs w:val="18"/>
              </w:rPr>
            </w:pPr>
            <w:r w:rsidRPr="00462A63">
              <w:rPr>
                <w:rFonts w:asciiTheme="minorEastAsia" w:eastAsiaTheme="minorEastAsia" w:hAnsiTheme="minorEastAsia" w:cs="宋体" w:hint="eastAsia"/>
                <w:sz w:val="18"/>
                <w:szCs w:val="18"/>
              </w:rPr>
              <w:t>最后，由于今年上半年投资者基本上看的是公司去年年报的水平，而从现在半年报出具后可以看出每一个指标都有非常积极的改变，特别是从债券投资而言，公司的经营性现金流上半年就到达11亿元</w:t>
            </w:r>
            <w:r w:rsidR="004D5122">
              <w:rPr>
                <w:rFonts w:asciiTheme="minorEastAsia" w:eastAsiaTheme="minorEastAsia" w:hAnsiTheme="minorEastAsia" w:cs="宋体" w:hint="eastAsia"/>
                <w:sz w:val="18"/>
                <w:szCs w:val="18"/>
              </w:rPr>
              <w:t>，</w:t>
            </w:r>
            <w:r w:rsidRPr="00462A63">
              <w:rPr>
                <w:rFonts w:asciiTheme="minorEastAsia" w:eastAsiaTheme="minorEastAsia" w:hAnsiTheme="minorEastAsia" w:cs="宋体" w:hint="eastAsia"/>
                <w:sz w:val="18"/>
                <w:szCs w:val="18"/>
              </w:rPr>
              <w:t>今年全年的经营性现金流预计会达到20亿</w:t>
            </w:r>
            <w:r w:rsidR="004D5122">
              <w:rPr>
                <w:rFonts w:asciiTheme="minorEastAsia" w:eastAsiaTheme="minorEastAsia" w:hAnsiTheme="minorEastAsia" w:cs="宋体" w:hint="eastAsia"/>
                <w:sz w:val="18"/>
                <w:szCs w:val="18"/>
              </w:rPr>
              <w:t>元以上，经营性现金流比一些</w:t>
            </w:r>
            <w:r w:rsidRPr="00462A63">
              <w:rPr>
                <w:rFonts w:asciiTheme="minorEastAsia" w:eastAsiaTheme="minorEastAsia" w:hAnsiTheme="minorEastAsia" w:cs="宋体" w:hint="eastAsia"/>
                <w:sz w:val="18"/>
                <w:szCs w:val="18"/>
              </w:rPr>
              <w:t>AAA的企业还要好。</w:t>
            </w:r>
          </w:p>
          <w:p w14:paraId="513BE90D" w14:textId="77777777" w:rsidR="00462A63" w:rsidRPr="00462A63" w:rsidRDefault="004D5122"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问：</w:t>
            </w:r>
            <w:r w:rsidR="00462A63" w:rsidRPr="00462A63">
              <w:rPr>
                <w:rFonts w:asciiTheme="minorEastAsia" w:eastAsiaTheme="minorEastAsia" w:hAnsiTheme="minorEastAsia" w:cs="宋体" w:hint="eastAsia"/>
                <w:sz w:val="18"/>
                <w:szCs w:val="18"/>
              </w:rPr>
              <w:t>公司贷款主要是抵押和保证借款，没有信用贷款，请说明原因。</w:t>
            </w:r>
          </w:p>
          <w:p w14:paraId="02687191" w14:textId="77777777" w:rsidR="00462A63" w:rsidRPr="00462A63" w:rsidRDefault="004D5122"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答：</w:t>
            </w:r>
            <w:r w:rsidR="00462A63" w:rsidRPr="00462A63">
              <w:rPr>
                <w:rFonts w:asciiTheme="minorEastAsia" w:eastAsiaTheme="minorEastAsia" w:hAnsiTheme="minorEastAsia" w:cs="宋体" w:hint="eastAsia"/>
                <w:sz w:val="18"/>
                <w:szCs w:val="18"/>
              </w:rPr>
              <w:t>公司贷款除了进出口银行政策性低息借款是抵押以外，其他银行均为大股东个人保证借款，基本等同于信用借款。</w:t>
            </w:r>
          </w:p>
          <w:p w14:paraId="7BD972FB" w14:textId="77777777" w:rsidR="00462A63" w:rsidRPr="00462A63" w:rsidRDefault="004D5122"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问：</w:t>
            </w:r>
            <w:r w:rsidR="00462A63" w:rsidRPr="00462A63">
              <w:rPr>
                <w:rFonts w:asciiTheme="minorEastAsia" w:eastAsiaTheme="minorEastAsia" w:hAnsiTheme="minorEastAsia" w:cs="宋体" w:hint="eastAsia"/>
                <w:sz w:val="18"/>
                <w:szCs w:val="18"/>
              </w:rPr>
              <w:t>公司是否有考虑与政府性基金进行合作？</w:t>
            </w:r>
          </w:p>
          <w:p w14:paraId="601D06F0" w14:textId="77777777" w:rsidR="0051170D" w:rsidRPr="00F47035" w:rsidRDefault="004D5122" w:rsidP="00462A63">
            <w:pPr>
              <w:widowControl/>
              <w:shd w:val="clear" w:color="auto" w:fill="FFFFFF"/>
              <w:spacing w:before="100" w:beforeAutospacing="1" w:after="100" w:afterAutospacing="1"/>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答：</w:t>
            </w:r>
            <w:r w:rsidR="00462A63" w:rsidRPr="00462A63">
              <w:rPr>
                <w:rFonts w:asciiTheme="minorEastAsia" w:eastAsiaTheme="minorEastAsia" w:hAnsiTheme="minorEastAsia" w:cs="宋体" w:hint="eastAsia"/>
                <w:sz w:val="18"/>
                <w:szCs w:val="18"/>
              </w:rPr>
              <w:t>有很多政府性基金希望与科伦药业合作，但公司目前暂时没有打算。首先，因为政府基金的决策周期较长；其次，政府性的基金要求7%至8%的固定收益，相比而言银行贷款发债的融资成本会低很多，因此公司目前</w:t>
            </w:r>
            <w:r>
              <w:rPr>
                <w:rFonts w:asciiTheme="minorEastAsia" w:eastAsiaTheme="minorEastAsia" w:hAnsiTheme="minorEastAsia" w:cs="宋体" w:hint="eastAsia"/>
                <w:sz w:val="18"/>
                <w:szCs w:val="18"/>
              </w:rPr>
              <w:t>暂时</w:t>
            </w:r>
            <w:r w:rsidR="00462A63" w:rsidRPr="00462A63">
              <w:rPr>
                <w:rFonts w:asciiTheme="minorEastAsia" w:eastAsiaTheme="minorEastAsia" w:hAnsiTheme="minorEastAsia" w:cs="宋体" w:hint="eastAsia"/>
                <w:sz w:val="18"/>
                <w:szCs w:val="18"/>
              </w:rPr>
              <w:t>没有计划与政府基金进行合作；现在科伦药业不需要太多资金，每</w:t>
            </w:r>
            <w:r>
              <w:rPr>
                <w:rFonts w:asciiTheme="minorEastAsia" w:eastAsiaTheme="minorEastAsia" w:hAnsiTheme="minorEastAsia" w:cs="宋体" w:hint="eastAsia"/>
                <w:sz w:val="18"/>
                <w:szCs w:val="18"/>
              </w:rPr>
              <w:t>年的现金流回款稳定，</w:t>
            </w:r>
            <w:r w:rsidR="00462A63" w:rsidRPr="00462A63">
              <w:rPr>
                <w:rFonts w:asciiTheme="minorEastAsia" w:eastAsiaTheme="minorEastAsia" w:hAnsiTheme="minorEastAsia" w:cs="宋体" w:hint="eastAsia"/>
                <w:sz w:val="18"/>
                <w:szCs w:val="18"/>
              </w:rPr>
              <w:t>发</w:t>
            </w:r>
            <w:r>
              <w:rPr>
                <w:rFonts w:asciiTheme="minorEastAsia" w:eastAsiaTheme="minorEastAsia" w:hAnsiTheme="minorEastAsia" w:cs="宋体" w:hint="eastAsia"/>
                <w:sz w:val="18"/>
                <w:szCs w:val="18"/>
              </w:rPr>
              <w:t>公司</w:t>
            </w:r>
            <w:r w:rsidR="00462A63" w:rsidRPr="00462A63">
              <w:rPr>
                <w:rFonts w:asciiTheme="minorEastAsia" w:eastAsiaTheme="minorEastAsia" w:hAnsiTheme="minorEastAsia" w:cs="宋体" w:hint="eastAsia"/>
                <w:sz w:val="18"/>
                <w:szCs w:val="18"/>
              </w:rPr>
              <w:t>债主要目的也是调整公司债务结构。</w:t>
            </w:r>
          </w:p>
        </w:tc>
      </w:tr>
      <w:tr w:rsidR="0051170D" w14:paraId="789F4D8E" w14:textId="77777777">
        <w:tc>
          <w:tcPr>
            <w:tcW w:w="1525" w:type="dxa"/>
            <w:vAlign w:val="center"/>
          </w:tcPr>
          <w:p w14:paraId="1ABC6D8F" w14:textId="77777777" w:rsidR="0051170D" w:rsidRDefault="00E42DB3">
            <w:pPr>
              <w:rPr>
                <w:b/>
                <w:sz w:val="24"/>
              </w:rPr>
            </w:pPr>
            <w:r>
              <w:rPr>
                <w:rFonts w:hint="eastAsia"/>
                <w:b/>
                <w:sz w:val="24"/>
              </w:rPr>
              <w:lastRenderedPageBreak/>
              <w:t>附件清单（如有）</w:t>
            </w:r>
          </w:p>
        </w:tc>
        <w:tc>
          <w:tcPr>
            <w:tcW w:w="6997" w:type="dxa"/>
          </w:tcPr>
          <w:p w14:paraId="49C3D3C0" w14:textId="77777777" w:rsidR="0051170D" w:rsidRDefault="0051170D">
            <w:pPr>
              <w:rPr>
                <w:b/>
                <w:sz w:val="24"/>
              </w:rPr>
            </w:pPr>
          </w:p>
        </w:tc>
      </w:tr>
      <w:tr w:rsidR="0051170D" w14:paraId="15A09748" w14:textId="77777777">
        <w:tc>
          <w:tcPr>
            <w:tcW w:w="1525" w:type="dxa"/>
            <w:vAlign w:val="center"/>
          </w:tcPr>
          <w:p w14:paraId="126F3481" w14:textId="77777777" w:rsidR="0051170D" w:rsidRDefault="00E42DB3">
            <w:pPr>
              <w:rPr>
                <w:b/>
                <w:sz w:val="24"/>
              </w:rPr>
            </w:pPr>
            <w:r>
              <w:rPr>
                <w:rFonts w:hint="eastAsia"/>
                <w:b/>
                <w:sz w:val="24"/>
              </w:rPr>
              <w:t>日期</w:t>
            </w:r>
          </w:p>
        </w:tc>
        <w:tc>
          <w:tcPr>
            <w:tcW w:w="6997" w:type="dxa"/>
          </w:tcPr>
          <w:p w14:paraId="4F3DEC57" w14:textId="77777777" w:rsidR="0051170D" w:rsidRDefault="00E42DB3" w:rsidP="00A65D2E">
            <w:pPr>
              <w:jc w:val="left"/>
              <w:rPr>
                <w:b/>
                <w:sz w:val="24"/>
              </w:rPr>
            </w:pPr>
            <w:r>
              <w:rPr>
                <w:b/>
                <w:sz w:val="24"/>
              </w:rPr>
              <w:t>201</w:t>
            </w:r>
            <w:r w:rsidR="005A5DB7">
              <w:rPr>
                <w:b/>
                <w:sz w:val="24"/>
              </w:rPr>
              <w:t>8</w:t>
            </w:r>
            <w:r>
              <w:rPr>
                <w:b/>
                <w:sz w:val="24"/>
              </w:rPr>
              <w:t>-</w:t>
            </w:r>
            <w:r w:rsidR="00A65D2E">
              <w:rPr>
                <w:b/>
                <w:sz w:val="24"/>
              </w:rPr>
              <w:t>9</w:t>
            </w:r>
            <w:r>
              <w:rPr>
                <w:b/>
                <w:sz w:val="24"/>
              </w:rPr>
              <w:t>-</w:t>
            </w:r>
            <w:r w:rsidR="00462A63">
              <w:rPr>
                <w:b/>
                <w:sz w:val="24"/>
              </w:rPr>
              <w:t>10</w:t>
            </w:r>
          </w:p>
        </w:tc>
      </w:tr>
    </w:tbl>
    <w:p w14:paraId="4CD8582F" w14:textId="77777777" w:rsidR="0051170D" w:rsidRDefault="0051170D" w:rsidP="00B2305A"/>
    <w:sectPr w:rsidR="0051170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97EF0" w14:textId="77777777" w:rsidR="001B3111" w:rsidRDefault="001B3111" w:rsidP="00220A77">
      <w:r>
        <w:separator/>
      </w:r>
    </w:p>
  </w:endnote>
  <w:endnote w:type="continuationSeparator" w:id="0">
    <w:p w14:paraId="304902AC" w14:textId="77777777" w:rsidR="001B3111" w:rsidRDefault="001B3111" w:rsidP="0022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51DF0" w14:textId="77777777" w:rsidR="001B3111" w:rsidRDefault="001B3111" w:rsidP="00220A77">
      <w:r>
        <w:separator/>
      </w:r>
    </w:p>
  </w:footnote>
  <w:footnote w:type="continuationSeparator" w:id="0">
    <w:p w14:paraId="2646033A" w14:textId="77777777" w:rsidR="001B3111" w:rsidRDefault="001B3111" w:rsidP="00220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0D"/>
    <w:rsid w:val="00024394"/>
    <w:rsid w:val="000308E2"/>
    <w:rsid w:val="000343BB"/>
    <w:rsid w:val="000443D3"/>
    <w:rsid w:val="00081117"/>
    <w:rsid w:val="00081F2A"/>
    <w:rsid w:val="0008578F"/>
    <w:rsid w:val="000C3292"/>
    <w:rsid w:val="001141BB"/>
    <w:rsid w:val="00120207"/>
    <w:rsid w:val="0013674B"/>
    <w:rsid w:val="00140DEF"/>
    <w:rsid w:val="00157FC3"/>
    <w:rsid w:val="001808D5"/>
    <w:rsid w:val="001A74DF"/>
    <w:rsid w:val="001B2540"/>
    <w:rsid w:val="001B3111"/>
    <w:rsid w:val="001D268D"/>
    <w:rsid w:val="00220A77"/>
    <w:rsid w:val="002269B3"/>
    <w:rsid w:val="002473F4"/>
    <w:rsid w:val="0025197C"/>
    <w:rsid w:val="00264002"/>
    <w:rsid w:val="002644EC"/>
    <w:rsid w:val="002B1548"/>
    <w:rsid w:val="002B70D9"/>
    <w:rsid w:val="00311BFF"/>
    <w:rsid w:val="00356FE6"/>
    <w:rsid w:val="0038265E"/>
    <w:rsid w:val="003A0490"/>
    <w:rsid w:val="003B7702"/>
    <w:rsid w:val="003E1C59"/>
    <w:rsid w:val="003F53F6"/>
    <w:rsid w:val="003F713E"/>
    <w:rsid w:val="004043DB"/>
    <w:rsid w:val="00415221"/>
    <w:rsid w:val="004272CB"/>
    <w:rsid w:val="0045508C"/>
    <w:rsid w:val="00461684"/>
    <w:rsid w:val="00462A63"/>
    <w:rsid w:val="00465A57"/>
    <w:rsid w:val="00467C02"/>
    <w:rsid w:val="004838AC"/>
    <w:rsid w:val="00484FD8"/>
    <w:rsid w:val="004A1196"/>
    <w:rsid w:val="004B0B4C"/>
    <w:rsid w:val="004C5F49"/>
    <w:rsid w:val="004D2AA7"/>
    <w:rsid w:val="004D5122"/>
    <w:rsid w:val="00502C99"/>
    <w:rsid w:val="0051170D"/>
    <w:rsid w:val="00543EF7"/>
    <w:rsid w:val="005512E1"/>
    <w:rsid w:val="00555B24"/>
    <w:rsid w:val="00580FB4"/>
    <w:rsid w:val="005A5DB7"/>
    <w:rsid w:val="005C3755"/>
    <w:rsid w:val="005E4E97"/>
    <w:rsid w:val="005E6A38"/>
    <w:rsid w:val="005F5527"/>
    <w:rsid w:val="00600003"/>
    <w:rsid w:val="00606D35"/>
    <w:rsid w:val="00621330"/>
    <w:rsid w:val="006510C0"/>
    <w:rsid w:val="00671277"/>
    <w:rsid w:val="006A26F8"/>
    <w:rsid w:val="006A275B"/>
    <w:rsid w:val="006B5451"/>
    <w:rsid w:val="006D3B33"/>
    <w:rsid w:val="006D6486"/>
    <w:rsid w:val="006F5194"/>
    <w:rsid w:val="00707187"/>
    <w:rsid w:val="007411C4"/>
    <w:rsid w:val="00746E33"/>
    <w:rsid w:val="00762C0F"/>
    <w:rsid w:val="0078681C"/>
    <w:rsid w:val="007A1F43"/>
    <w:rsid w:val="007B1607"/>
    <w:rsid w:val="007B7BA7"/>
    <w:rsid w:val="007D56A9"/>
    <w:rsid w:val="00834EEC"/>
    <w:rsid w:val="00836627"/>
    <w:rsid w:val="00843F81"/>
    <w:rsid w:val="00854147"/>
    <w:rsid w:val="008608E4"/>
    <w:rsid w:val="008F2BDE"/>
    <w:rsid w:val="00921D22"/>
    <w:rsid w:val="00943601"/>
    <w:rsid w:val="00947D3A"/>
    <w:rsid w:val="009574C6"/>
    <w:rsid w:val="00964EF8"/>
    <w:rsid w:val="009942D3"/>
    <w:rsid w:val="009954B9"/>
    <w:rsid w:val="009A2486"/>
    <w:rsid w:val="009C2008"/>
    <w:rsid w:val="00A06A17"/>
    <w:rsid w:val="00A46A0D"/>
    <w:rsid w:val="00A624A1"/>
    <w:rsid w:val="00A65D2E"/>
    <w:rsid w:val="00A6710A"/>
    <w:rsid w:val="00A70DD3"/>
    <w:rsid w:val="00A761F5"/>
    <w:rsid w:val="00AA0C04"/>
    <w:rsid w:val="00AA48BE"/>
    <w:rsid w:val="00B2305A"/>
    <w:rsid w:val="00B42421"/>
    <w:rsid w:val="00B52FE6"/>
    <w:rsid w:val="00B90270"/>
    <w:rsid w:val="00BA12F8"/>
    <w:rsid w:val="00BD0772"/>
    <w:rsid w:val="00BE7281"/>
    <w:rsid w:val="00BE79D6"/>
    <w:rsid w:val="00BF3E33"/>
    <w:rsid w:val="00C166D0"/>
    <w:rsid w:val="00C260D8"/>
    <w:rsid w:val="00C7363F"/>
    <w:rsid w:val="00C77144"/>
    <w:rsid w:val="00CA6F94"/>
    <w:rsid w:val="00CD6590"/>
    <w:rsid w:val="00D005AF"/>
    <w:rsid w:val="00D35640"/>
    <w:rsid w:val="00D41073"/>
    <w:rsid w:val="00DA57B4"/>
    <w:rsid w:val="00DB3979"/>
    <w:rsid w:val="00DC2542"/>
    <w:rsid w:val="00E0435A"/>
    <w:rsid w:val="00E11068"/>
    <w:rsid w:val="00E11B2E"/>
    <w:rsid w:val="00E26A39"/>
    <w:rsid w:val="00E36AA7"/>
    <w:rsid w:val="00E42DB3"/>
    <w:rsid w:val="00E50EB9"/>
    <w:rsid w:val="00E55086"/>
    <w:rsid w:val="00EA5894"/>
    <w:rsid w:val="00EB547A"/>
    <w:rsid w:val="00F05299"/>
    <w:rsid w:val="00F15DF9"/>
    <w:rsid w:val="00F47035"/>
    <w:rsid w:val="00F4703F"/>
    <w:rsid w:val="00F512E2"/>
    <w:rsid w:val="00FA4844"/>
    <w:rsid w:val="00FD4E96"/>
    <w:rsid w:val="00FF5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B6FE8"/>
  <w15:docId w15:val="{8E03B226-F211-473F-84CE-CF1AAE1A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cs="Times New Roman"/>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Pr>
      <w:sz w:val="21"/>
      <w:szCs w:val="21"/>
    </w:rPr>
  </w:style>
  <w:style w:type="paragraph" w:styleId="a4">
    <w:name w:val="annotation text"/>
    <w:basedOn w:val="a"/>
    <w:link w:val="Char"/>
    <w:uiPriority w:val="99"/>
    <w:pPr>
      <w:jc w:val="left"/>
    </w:pPr>
  </w:style>
  <w:style w:type="character" w:customStyle="1" w:styleId="Char">
    <w:name w:val="批注文字 Char"/>
    <w:basedOn w:val="a0"/>
    <w:link w:val="a4"/>
    <w:uiPriority w:val="99"/>
    <w:rPr>
      <w:rFonts w:ascii="Times New Roman" w:eastAsia="宋体" w:hAnsi="Times New Roman" w:cs="Times New Roman"/>
      <w:szCs w:val="24"/>
    </w:rPr>
  </w:style>
  <w:style w:type="paragraph" w:styleId="a5">
    <w:name w:val="annotation subject"/>
    <w:basedOn w:val="a4"/>
    <w:next w:val="a4"/>
    <w:link w:val="Char0"/>
    <w:uiPriority w:val="99"/>
    <w:rPr>
      <w:b/>
      <w:bCs/>
    </w:rPr>
  </w:style>
  <w:style w:type="character" w:customStyle="1" w:styleId="Char0">
    <w:name w:val="批注主题 Char"/>
    <w:basedOn w:val="Char"/>
    <w:link w:val="a5"/>
    <w:uiPriority w:val="99"/>
    <w:rPr>
      <w:rFonts w:ascii="Times New Roman" w:eastAsia="宋体" w:hAnsi="Times New Roman" w:cs="Times New Roman"/>
      <w:b/>
      <w:bCs/>
      <w:szCs w:val="24"/>
    </w:rPr>
  </w:style>
  <w:style w:type="paragraph" w:styleId="a6">
    <w:name w:val="Balloon Text"/>
    <w:basedOn w:val="a"/>
    <w:link w:val="Char1"/>
    <w:uiPriority w:val="99"/>
    <w:rPr>
      <w:sz w:val="18"/>
      <w:szCs w:val="18"/>
    </w:rPr>
  </w:style>
  <w:style w:type="character" w:customStyle="1" w:styleId="Char1">
    <w:name w:val="批注框文本 Char"/>
    <w:basedOn w:val="a0"/>
    <w:link w:val="a6"/>
    <w:uiPriority w:val="99"/>
    <w:rPr>
      <w:rFonts w:ascii="Times New Roman" w:eastAsia="宋体" w:hAnsi="Times New Roman" w:cs="Times New Roman"/>
      <w:sz w:val="18"/>
      <w:szCs w:val="18"/>
    </w:rPr>
  </w:style>
  <w:style w:type="paragraph" w:styleId="a7">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Pr>
      <w:rFonts w:ascii="Times New Roman" w:eastAsia="宋体" w:hAnsi="Times New Roman" w:cs="Times New Roman"/>
      <w:sz w:val="18"/>
      <w:szCs w:val="18"/>
    </w:rPr>
  </w:style>
  <w:style w:type="paragraph" w:styleId="a8">
    <w:name w:val="footer"/>
    <w:basedOn w:val="a"/>
    <w:link w:val="Char3"/>
    <w:uiPriority w:val="99"/>
    <w:pPr>
      <w:tabs>
        <w:tab w:val="center" w:pos="4153"/>
        <w:tab w:val="right" w:pos="8306"/>
      </w:tabs>
      <w:snapToGrid w:val="0"/>
      <w:jc w:val="left"/>
    </w:pPr>
    <w:rPr>
      <w:sz w:val="18"/>
      <w:szCs w:val="18"/>
    </w:rPr>
  </w:style>
  <w:style w:type="character" w:customStyle="1" w:styleId="Char3">
    <w:name w:val="页脚 Char"/>
    <w:basedOn w:val="a0"/>
    <w:link w:val="a8"/>
    <w:uiPriority w:val="99"/>
    <w:rPr>
      <w:rFonts w:ascii="Times New Roman" w:eastAsia="宋体" w:hAnsi="Times New Roman" w:cs="Times New Roman"/>
      <w:sz w:val="18"/>
      <w:szCs w:val="18"/>
    </w:rPr>
  </w:style>
  <w:style w:type="character" w:customStyle="1" w:styleId="3Char">
    <w:name w:val="标题 3 Char"/>
    <w:basedOn w:val="a0"/>
    <w:link w:val="3"/>
    <w:uiPriority w:val="9"/>
    <w:rPr>
      <w:rFonts w:ascii="宋体" w:eastAsia="宋体" w:hAnsi="宋体" w:cs="宋体"/>
      <w:b/>
      <w:bCs/>
      <w:kern w:val="0"/>
      <w:sz w:val="27"/>
      <w:szCs w:val="27"/>
    </w:rPr>
  </w:style>
  <w:style w:type="character" w:styleId="a9">
    <w:name w:val="Hyperlink"/>
    <w:basedOn w:val="a0"/>
    <w:uiPriority w:val="99"/>
    <w:rPr>
      <w:color w:val="0000FF"/>
      <w:u w:val="single"/>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ask-title">
    <w:name w:val="ask-title"/>
    <w:basedOn w:val="a0"/>
  </w:style>
  <w:style w:type="paragraph" w:styleId="aa">
    <w:name w:val="Revision"/>
    <w:hidden/>
    <w:uiPriority w:val="99"/>
    <w:semiHidden/>
    <w:rsid w:val="006510C0"/>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796</Words>
  <Characters>4539</Characters>
  <Application>Microsoft Office Word</Application>
  <DocSecurity>0</DocSecurity>
  <Lines>37</Lines>
  <Paragraphs>10</Paragraphs>
  <ScaleCrop>false</ScaleCrop>
  <Company>Microsoft</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sss</dc:creator>
  <cp:lastModifiedBy>cyl</cp:lastModifiedBy>
  <cp:revision>2</cp:revision>
  <dcterms:created xsi:type="dcterms:W3CDTF">2020-08-13T06:15:00Z</dcterms:created>
  <dcterms:modified xsi:type="dcterms:W3CDTF">2020-08-13T06:15:00Z</dcterms:modified>
</cp:coreProperties>
</file>