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pPr>
      <w:bookmarkStart w:id="0" w:name="_GoBack"/>
      <w:r>
        <w:rPr>
          <w:color w:val="000000"/>
        </w:rPr>
        <w:t>GBT 5750.1-2006 生活饮用水标准检验方法 总则</w:t>
      </w:r>
    </w:p>
    <w:bookmarkEnd w:id="0"/>
    <w:p>
      <w:pPr>
        <w:keepNext w:val="0"/>
        <w:keepLines w:val="0"/>
        <w:widowControl/>
        <w:suppressLineNumbers w:val="0"/>
        <w:spacing w:before="0" w:beforeAutospacing="0" w:after="0" w:afterAutospacing="0"/>
        <w:ind w:left="0" w:right="0"/>
        <w:jc w:val="center"/>
        <w:rPr>
          <w:rFonts w:ascii="Arial" w:hAnsi="Arial" w:cs="Arial"/>
          <w:b w:val="0"/>
          <w:bCs w:val="0"/>
          <w:spacing w:val="0"/>
          <w:sz w:val="21"/>
          <w:szCs w:val="21"/>
        </w:rPr>
      </w:pPr>
      <w:r>
        <w:rPr>
          <w:rFonts w:hint="default" w:ascii="Arial" w:hAnsi="Arial" w:cs="Arial" w:eastAsiaTheme="minorEastAsia"/>
          <w:b w:val="0"/>
          <w:bCs w:val="0"/>
          <w:color w:val="B61212"/>
          <w:spacing w:val="0"/>
          <w:kern w:val="0"/>
          <w:sz w:val="21"/>
          <w:szCs w:val="21"/>
          <w:u w:val="none"/>
          <w:lang w:val="en-US" w:eastAsia="zh-CN" w:bidi="ar"/>
        </w:rPr>
        <w:fldChar w:fldCharType="begin"/>
      </w:r>
      <w:r>
        <w:rPr>
          <w:rFonts w:hint="default" w:ascii="Arial" w:hAnsi="Arial" w:cs="Arial" w:eastAsiaTheme="minorEastAsia"/>
          <w:b w:val="0"/>
          <w:bCs w:val="0"/>
          <w:color w:val="B61212"/>
          <w:spacing w:val="0"/>
          <w:kern w:val="0"/>
          <w:sz w:val="21"/>
          <w:szCs w:val="21"/>
          <w:u w:val="none"/>
          <w:lang w:val="en-US" w:eastAsia="zh-CN" w:bidi="ar"/>
        </w:rPr>
        <w:instrText xml:space="preserve"> HYPERLINK "http://www.byxy.com.cn/product/product-0001,0007,0061.shtml" \t "http://www.byxy.com.cn/news/_blank" </w:instrText>
      </w:r>
      <w:r>
        <w:rPr>
          <w:rFonts w:hint="default" w:ascii="Arial" w:hAnsi="Arial" w:cs="Arial" w:eastAsiaTheme="minorEastAsia"/>
          <w:b w:val="0"/>
          <w:bCs w:val="0"/>
          <w:color w:val="B61212"/>
          <w:spacing w:val="0"/>
          <w:kern w:val="0"/>
          <w:sz w:val="21"/>
          <w:szCs w:val="21"/>
          <w:u w:val="none"/>
          <w:lang w:val="en-US" w:eastAsia="zh-CN" w:bidi="ar"/>
        </w:rPr>
        <w:fldChar w:fldCharType="separate"/>
      </w:r>
      <w:r>
        <w:rPr>
          <w:rStyle w:val="13"/>
          <w:rFonts w:ascii="微软雅黑" w:hAnsi="微软雅黑" w:eastAsia="微软雅黑" w:cs="微软雅黑"/>
          <w:color w:val="0000FF"/>
          <w:spacing w:val="0"/>
          <w:sz w:val="24"/>
          <w:szCs w:val="24"/>
          <w:u w:val="none"/>
        </w:rPr>
        <w:t>生活饮用水水质检</w:t>
      </w:r>
      <w:r>
        <w:rPr>
          <w:rStyle w:val="13"/>
          <w:rFonts w:hint="eastAsia" w:ascii="微软雅黑" w:hAnsi="微软雅黑" w:eastAsia="微软雅黑" w:cs="微软雅黑"/>
          <w:color w:val="0000FF"/>
          <w:spacing w:val="0"/>
          <w:sz w:val="24"/>
          <w:szCs w:val="24"/>
          <w:u w:val="none"/>
        </w:rPr>
        <w:t>测推荐仪器</w:t>
      </w:r>
      <w:r>
        <w:rPr>
          <w:rFonts w:hint="default" w:ascii="Arial" w:hAnsi="Arial" w:cs="Arial" w:eastAsiaTheme="minorEastAsia"/>
          <w:b w:val="0"/>
          <w:bCs w:val="0"/>
          <w:color w:val="B61212"/>
          <w:spacing w:val="0"/>
          <w:kern w:val="0"/>
          <w:sz w:val="21"/>
          <w:szCs w:val="21"/>
          <w:u w:val="none"/>
          <w:lang w:val="en-US" w:eastAsia="zh-CN" w:bidi="ar"/>
        </w:rPr>
        <w:fldChar w:fldCharType="end"/>
      </w:r>
    </w:p>
    <w:p>
      <w:pPr>
        <w:keepNext w:val="0"/>
        <w:keepLines w:val="0"/>
        <w:widowControl/>
        <w:suppressLineNumbers w:val="0"/>
        <w:spacing w:before="0" w:beforeAutospacing="0" w:after="0" w:afterAutospacing="0"/>
        <w:ind w:left="0" w:right="0"/>
        <w:jc w:val="center"/>
        <w:rPr>
          <w:rFonts w:hint="default" w:ascii="Arial" w:hAnsi="Arial" w:cs="Arial"/>
          <w:b w:val="0"/>
          <w:bCs w:val="0"/>
          <w:spacing w:val="0"/>
          <w:sz w:val="21"/>
          <w:szCs w:val="21"/>
        </w:rPr>
      </w:pPr>
      <w:r>
        <w:rPr>
          <w:rStyle w:val="6"/>
          <w:rFonts w:hint="default" w:ascii="Arial" w:hAnsi="Arial" w:cs="Arial" w:eastAsiaTheme="minorEastAsia"/>
          <w:color w:val="B61212"/>
          <w:spacing w:val="0"/>
          <w:sz w:val="21"/>
          <w:szCs w:val="21"/>
          <w:u w:val="none"/>
          <w:lang w:val="en-US" w:eastAsia="zh-CN" w:bidi="ar"/>
        </w:rPr>
        <w:fldChar w:fldCharType="begin"/>
      </w:r>
      <w:r>
        <w:rPr>
          <w:rStyle w:val="6"/>
          <w:rFonts w:hint="default" w:ascii="Arial" w:hAnsi="Arial" w:cs="Arial" w:eastAsiaTheme="minorEastAsia"/>
          <w:color w:val="B61212"/>
          <w:spacing w:val="0"/>
          <w:sz w:val="21"/>
          <w:szCs w:val="21"/>
          <w:u w:val="none"/>
          <w:lang w:val="en-US" w:eastAsia="zh-CN" w:bidi="ar"/>
        </w:rPr>
        <w:instrText xml:space="preserve"> HYPERLINK "http://www.byxy.com.cn/Products/xuanzhuanshishuizhij.html" \t "http://www.byxy.com.cn/news/_blank" </w:instrText>
      </w:r>
      <w:r>
        <w:rPr>
          <w:rStyle w:val="6"/>
          <w:rFonts w:hint="default" w:ascii="Arial" w:hAnsi="Arial" w:cs="Arial" w:eastAsiaTheme="minorEastAsia"/>
          <w:color w:val="B61212"/>
          <w:spacing w:val="0"/>
          <w:sz w:val="21"/>
          <w:szCs w:val="21"/>
          <w:u w:val="none"/>
          <w:lang w:val="en-US" w:eastAsia="zh-CN" w:bidi="ar"/>
        </w:rPr>
        <w:fldChar w:fldCharType="separate"/>
      </w:r>
      <w:r>
        <w:rPr>
          <w:rStyle w:val="13"/>
          <w:rFonts w:hint="default" w:ascii="Arial" w:hAnsi="Arial" w:cs="Arial"/>
          <w:color w:val="B61212"/>
          <w:spacing w:val="0"/>
          <w:sz w:val="21"/>
          <w:szCs w:val="21"/>
          <w:u w:val="none"/>
        </w:rPr>
        <w:t>Spin Touch旋转式水质检测仪</w:t>
      </w:r>
      <w:r>
        <w:rPr>
          <w:rStyle w:val="6"/>
          <w:rFonts w:hint="default" w:ascii="Arial" w:hAnsi="Arial" w:cs="Arial" w:eastAsiaTheme="minorEastAsia"/>
          <w:color w:val="B61212"/>
          <w:spacing w:val="0"/>
          <w:sz w:val="21"/>
          <w:szCs w:val="21"/>
          <w:u w:val="no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b w:val="0"/>
          <w:bCs w:val="0"/>
          <w:color w:val="000000"/>
          <w:sz w:val="21"/>
          <w:szCs w:val="21"/>
        </w:rPr>
      </w:pPr>
      <w:r>
        <w:rPr>
          <w:rFonts w:hint="default" w:ascii="Arial" w:hAnsi="Arial" w:cs="Arial"/>
          <w:b w:val="0"/>
          <w:bCs w:val="0"/>
          <w:color w:val="B61212"/>
          <w:sz w:val="21"/>
          <w:szCs w:val="21"/>
          <w:u w:val="none"/>
          <w:bdr w:val="none" w:color="auto" w:sz="0" w:space="0"/>
        </w:rPr>
        <w:drawing>
          <wp:inline distT="0" distB="0" distL="114300" distR="114300">
            <wp:extent cx="3333750" cy="3810000"/>
            <wp:effectExtent l="0" t="0" r="0" b="0"/>
            <wp:docPr id="5"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3333750" cy="3810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b w:val="0"/>
          <w:bCs w:val="0"/>
          <w:color w:val="000000"/>
          <w:sz w:val="21"/>
          <w:szCs w:val="21"/>
        </w:rPr>
      </w:pPr>
      <w:r>
        <w:rPr>
          <w:rStyle w:val="6"/>
          <w:rFonts w:hint="default" w:ascii="Arial" w:hAnsi="Arial" w:cs="Arial"/>
          <w:color w:val="000000"/>
          <w:sz w:val="21"/>
          <w:szCs w:val="21"/>
          <w:bdr w:val="none" w:color="auto" w:sz="0" w:space="0"/>
        </w:rPr>
        <w:t> 推荐阅读：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b w:val="0"/>
          <w:bCs w:val="0"/>
          <w:color w:val="000000"/>
          <w:sz w:val="21"/>
          <w:szCs w:val="21"/>
        </w:rPr>
      </w:pPr>
      <w:r>
        <w:rPr>
          <w:rFonts w:hint="eastAsia" w:ascii="微软雅黑" w:hAnsi="微软雅黑" w:eastAsia="微软雅黑" w:cs="微软雅黑"/>
          <w:b w:val="0"/>
          <w:bCs w:val="0"/>
          <w:color w:val="000000"/>
          <w:sz w:val="22"/>
          <w:szCs w:val="22"/>
          <w:bdr w:val="none" w:color="auto" w:sz="0" w:space="0"/>
        </w:rPr>
        <w:t>　</w:t>
      </w:r>
      <w:r>
        <w:rPr>
          <w:rStyle w:val="6"/>
          <w:rFonts w:hint="eastAsia" w:ascii="微软雅黑" w:hAnsi="微软雅黑" w:eastAsia="微软雅黑" w:cs="微软雅黑"/>
          <w:color w:val="000000"/>
          <w:sz w:val="22"/>
          <w:szCs w:val="22"/>
          <w:bdr w:val="none" w:color="auto" w:sz="0" w:space="0"/>
        </w:rPr>
        <w:t>·</w:t>
      </w:r>
      <w:r>
        <w:rPr>
          <w:rFonts w:hint="eastAsia" w:ascii="微软雅黑" w:hAnsi="微软雅黑" w:eastAsia="微软雅黑" w:cs="微软雅黑"/>
          <w:b w:val="0"/>
          <w:bCs w:val="0"/>
          <w:color w:val="000000"/>
          <w:sz w:val="22"/>
          <w:szCs w:val="22"/>
          <w:bdr w:val="none" w:color="auto" w:sz="0" w:space="0"/>
        </w:rPr>
        <w:t>　</w:t>
      </w:r>
      <w:r>
        <w:rPr>
          <w:rFonts w:hint="default" w:ascii="Arial" w:hAnsi="Arial" w:cs="Arial"/>
          <w:b w:val="0"/>
          <w:bCs w:val="0"/>
          <w:color w:val="B61212"/>
          <w:sz w:val="22"/>
          <w:szCs w:val="22"/>
          <w:u w:val="none"/>
          <w:bdr w:val="none" w:color="auto" w:sz="0" w:space="0"/>
        </w:rPr>
        <w:fldChar w:fldCharType="begin"/>
      </w:r>
      <w:r>
        <w:rPr>
          <w:rFonts w:hint="default" w:ascii="Arial" w:hAnsi="Arial" w:cs="Arial"/>
          <w:b w:val="0"/>
          <w:bCs w:val="0"/>
          <w:color w:val="B61212"/>
          <w:sz w:val="22"/>
          <w:szCs w:val="22"/>
          <w:u w:val="none"/>
          <w:bdr w:val="none" w:color="auto" w:sz="0" w:space="0"/>
        </w:rPr>
        <w:instrText xml:space="preserve"> HYPERLINK "http://www.byxy.com.cn/news/shenghuoyinyongshuis_1.html" \t "http://www.byxy.com.cn/news/_blank" </w:instrText>
      </w:r>
      <w:r>
        <w:rPr>
          <w:rFonts w:hint="default" w:ascii="Arial" w:hAnsi="Arial" w:cs="Arial"/>
          <w:b w:val="0"/>
          <w:bCs w:val="0"/>
          <w:color w:val="B61212"/>
          <w:sz w:val="22"/>
          <w:szCs w:val="22"/>
          <w:u w:val="none"/>
          <w:bdr w:val="none" w:color="auto" w:sz="0" w:space="0"/>
        </w:rPr>
        <w:fldChar w:fldCharType="separate"/>
      </w:r>
      <w:r>
        <w:rPr>
          <w:rStyle w:val="13"/>
          <w:rFonts w:hint="default" w:ascii="Arial" w:hAnsi="Arial" w:cs="Arial"/>
          <w:b w:val="0"/>
          <w:bCs w:val="0"/>
          <w:color w:val="B61212"/>
          <w:sz w:val="22"/>
          <w:szCs w:val="22"/>
          <w:u w:val="none"/>
          <w:bdr w:val="none" w:color="auto" w:sz="0" w:space="0"/>
        </w:rPr>
        <w:t>生活饮用水水质标准（最新）</w:t>
      </w:r>
      <w:r>
        <w:rPr>
          <w:rFonts w:hint="default" w:ascii="Arial" w:hAnsi="Arial" w:cs="Arial"/>
          <w:b w:val="0"/>
          <w:bCs w:val="0"/>
          <w:color w:val="B61212"/>
          <w:sz w:val="22"/>
          <w:szCs w:val="2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b w:val="0"/>
          <w:bCs w:val="0"/>
          <w:color w:val="000000"/>
          <w:sz w:val="21"/>
          <w:szCs w:val="21"/>
        </w:rPr>
      </w:pPr>
      <w:r>
        <w:rPr>
          <w:rFonts w:hint="eastAsia" w:ascii="微软雅黑" w:hAnsi="微软雅黑" w:eastAsia="微软雅黑" w:cs="微软雅黑"/>
          <w:b w:val="0"/>
          <w:bCs w:val="0"/>
          <w:color w:val="000000"/>
          <w:sz w:val="22"/>
          <w:szCs w:val="22"/>
          <w:bdr w:val="none" w:color="auto" w:sz="0" w:space="0"/>
        </w:rPr>
        <w:t>　</w:t>
      </w:r>
      <w:r>
        <w:rPr>
          <w:rStyle w:val="6"/>
          <w:rFonts w:hint="eastAsia" w:ascii="微软雅黑" w:hAnsi="微软雅黑" w:eastAsia="微软雅黑" w:cs="微软雅黑"/>
          <w:color w:val="000000"/>
          <w:sz w:val="22"/>
          <w:szCs w:val="22"/>
          <w:bdr w:val="none" w:color="auto" w:sz="0" w:space="0"/>
        </w:rPr>
        <w:t>·</w:t>
      </w:r>
      <w:r>
        <w:rPr>
          <w:rFonts w:hint="eastAsia" w:ascii="微软雅黑" w:hAnsi="微软雅黑" w:eastAsia="微软雅黑" w:cs="微软雅黑"/>
          <w:b w:val="0"/>
          <w:bCs w:val="0"/>
          <w:color w:val="000000"/>
          <w:sz w:val="22"/>
          <w:szCs w:val="22"/>
          <w:bdr w:val="none" w:color="auto" w:sz="0" w:space="0"/>
        </w:rPr>
        <w:t>　</w:t>
      </w:r>
      <w:r>
        <w:rPr>
          <w:rFonts w:hint="eastAsia" w:ascii="微软雅黑" w:hAnsi="微软雅黑" w:eastAsia="微软雅黑" w:cs="微软雅黑"/>
          <w:b w:val="0"/>
          <w:bCs w:val="0"/>
          <w:color w:val="B61212"/>
          <w:sz w:val="22"/>
          <w:szCs w:val="22"/>
          <w:u w:val="none"/>
          <w:bdr w:val="none" w:color="auto" w:sz="0" w:space="0"/>
          <w:lang w:val="en-US"/>
        </w:rPr>
        <w:fldChar w:fldCharType="begin"/>
      </w:r>
      <w:r>
        <w:rPr>
          <w:rFonts w:hint="eastAsia" w:ascii="微软雅黑" w:hAnsi="微软雅黑" w:eastAsia="微软雅黑" w:cs="微软雅黑"/>
          <w:b w:val="0"/>
          <w:bCs w:val="0"/>
          <w:color w:val="B61212"/>
          <w:sz w:val="22"/>
          <w:szCs w:val="22"/>
          <w:u w:val="none"/>
          <w:bdr w:val="none" w:color="auto" w:sz="0" w:space="0"/>
          <w:lang w:val="en-US"/>
        </w:rPr>
        <w:instrText xml:space="preserve"> HYPERLINK "http://www.byxy.com.cn/news/GBT57502-2006shenghu_1_1.html" \t "http://www.byxy.com.cn/news/_blank" </w:instrText>
      </w:r>
      <w:r>
        <w:rPr>
          <w:rFonts w:hint="eastAsia" w:ascii="微软雅黑" w:hAnsi="微软雅黑" w:eastAsia="微软雅黑" w:cs="微软雅黑"/>
          <w:b w:val="0"/>
          <w:bCs w:val="0"/>
          <w:color w:val="B61212"/>
          <w:sz w:val="22"/>
          <w:szCs w:val="22"/>
          <w:u w:val="none"/>
          <w:bdr w:val="none" w:color="auto" w:sz="0" w:space="0"/>
          <w:lang w:val="en-US"/>
        </w:rPr>
        <w:fldChar w:fldCharType="separate"/>
      </w:r>
      <w:r>
        <w:rPr>
          <w:rStyle w:val="13"/>
          <w:rFonts w:hint="eastAsia" w:ascii="微软雅黑" w:hAnsi="微软雅黑" w:eastAsia="微软雅黑" w:cs="微软雅黑"/>
          <w:b w:val="0"/>
          <w:bCs w:val="0"/>
          <w:color w:val="B61212"/>
          <w:sz w:val="22"/>
          <w:szCs w:val="22"/>
          <w:u w:val="none"/>
          <w:bdr w:val="none" w:color="auto" w:sz="0" w:space="0"/>
          <w:lang w:val="en-US"/>
        </w:rPr>
        <w:t>GB/T 5750.2-2006 生活饮用水标准检验方法 水样的采集与保存，水质检测</w:t>
      </w:r>
      <w:r>
        <w:rPr>
          <w:rFonts w:hint="eastAsia" w:ascii="微软雅黑" w:hAnsi="微软雅黑" w:eastAsia="微软雅黑" w:cs="微软雅黑"/>
          <w:b w:val="0"/>
          <w:bCs w:val="0"/>
          <w:color w:val="B61212"/>
          <w:sz w:val="22"/>
          <w:szCs w:val="22"/>
          <w:u w:val="none"/>
          <w:bdr w:val="none" w:color="auto" w:sz="0" w:space="0"/>
          <w:lang w:val="en-US"/>
        </w:rPr>
        <w:fldChar w:fldCharType="end"/>
      </w:r>
    </w:p>
    <w:p>
      <w:pPr>
        <w:keepNext w:val="0"/>
        <w:keepLines w:val="0"/>
        <w:widowControl/>
        <w:suppressLineNumbers w:val="0"/>
        <w:spacing w:before="0" w:beforeAutospacing="0" w:after="0" w:afterAutospacing="0"/>
        <w:ind w:left="0" w:right="0"/>
        <w:jc w:val="both"/>
        <w:rPr>
          <w:rFonts w:hint="default" w:ascii="Arial" w:hAnsi="Arial" w:cs="Arial"/>
          <w:b w:val="0"/>
          <w:bCs w:val="0"/>
          <w:spacing w:val="0"/>
          <w:sz w:val="21"/>
          <w:szCs w:val="21"/>
        </w:rPr>
      </w:pPr>
      <w:r>
        <w:rPr>
          <w:rFonts w:hint="eastAsia" w:ascii="微软雅黑" w:hAnsi="微软雅黑" w:eastAsia="微软雅黑" w:cs="微软雅黑"/>
          <w:b w:val="0"/>
          <w:bCs w:val="0"/>
          <w:spacing w:val="0"/>
          <w:kern w:val="0"/>
          <w:sz w:val="23"/>
          <w:szCs w:val="23"/>
          <w:lang w:val="en-US" w:eastAsia="zh-CN" w:bidi="ar"/>
        </w:rPr>
        <w:t>　</w:t>
      </w:r>
      <w:r>
        <w:rPr>
          <w:rStyle w:val="6"/>
          <w:rFonts w:hint="eastAsia" w:ascii="微软雅黑" w:hAnsi="微软雅黑" w:eastAsia="微软雅黑" w:cs="微软雅黑"/>
          <w:spacing w:val="0"/>
          <w:sz w:val="23"/>
          <w:szCs w:val="23"/>
          <w:lang w:val="en-US" w:eastAsia="zh-CN" w:bidi="ar"/>
        </w:rPr>
        <w:t>·</w:t>
      </w:r>
      <w:r>
        <w:rPr>
          <w:rFonts w:hint="eastAsia" w:ascii="微软雅黑" w:hAnsi="微软雅黑" w:eastAsia="微软雅黑" w:cs="微软雅黑"/>
          <w:b w:val="0"/>
          <w:bCs w:val="0"/>
          <w:spacing w:val="0"/>
          <w:kern w:val="0"/>
          <w:sz w:val="23"/>
          <w:szCs w:val="23"/>
          <w:lang w:val="en-US" w:eastAsia="zh-CN" w:bidi="ar"/>
        </w:rPr>
        <w:t>　</w:t>
      </w:r>
      <w:r>
        <w:rPr>
          <w:rFonts w:hint="eastAsia" w:ascii="微软雅黑" w:hAnsi="微软雅黑" w:eastAsia="微软雅黑" w:cs="微软雅黑"/>
          <w:b w:val="0"/>
          <w:bCs w:val="0"/>
          <w:color w:val="B61212"/>
          <w:spacing w:val="0"/>
          <w:kern w:val="0"/>
          <w:sz w:val="23"/>
          <w:szCs w:val="23"/>
          <w:u w:val="none"/>
          <w:lang w:val="en-US" w:eastAsia="zh-CN" w:bidi="ar"/>
        </w:rPr>
        <w:fldChar w:fldCharType="begin"/>
      </w:r>
      <w:r>
        <w:rPr>
          <w:rFonts w:hint="eastAsia" w:ascii="微软雅黑" w:hAnsi="微软雅黑" w:eastAsia="微软雅黑" w:cs="微软雅黑"/>
          <w:b w:val="0"/>
          <w:bCs w:val="0"/>
          <w:color w:val="B61212"/>
          <w:spacing w:val="0"/>
          <w:kern w:val="0"/>
          <w:sz w:val="23"/>
          <w:szCs w:val="23"/>
          <w:u w:val="none"/>
          <w:lang w:val="en-US" w:eastAsia="zh-CN" w:bidi="ar"/>
        </w:rPr>
        <w:instrText xml:space="preserve"> HYPERLINK "http://www.byxy.com.cn/news/GBT575032006shenghuo_1_1.html" \t "http://www.byxy.com.cn/news/_blank" </w:instrText>
      </w:r>
      <w:r>
        <w:rPr>
          <w:rFonts w:hint="eastAsia" w:ascii="微软雅黑" w:hAnsi="微软雅黑" w:eastAsia="微软雅黑" w:cs="微软雅黑"/>
          <w:b w:val="0"/>
          <w:bCs w:val="0"/>
          <w:color w:val="B61212"/>
          <w:spacing w:val="0"/>
          <w:kern w:val="0"/>
          <w:sz w:val="23"/>
          <w:szCs w:val="23"/>
          <w:u w:val="none"/>
          <w:lang w:val="en-US" w:eastAsia="zh-CN" w:bidi="ar"/>
        </w:rPr>
        <w:fldChar w:fldCharType="separate"/>
      </w:r>
      <w:r>
        <w:rPr>
          <w:rStyle w:val="13"/>
          <w:rFonts w:hint="eastAsia" w:ascii="微软雅黑" w:hAnsi="微软雅黑" w:eastAsia="微软雅黑" w:cs="微软雅黑"/>
          <w:b w:val="0"/>
          <w:bCs w:val="0"/>
          <w:color w:val="B61212"/>
          <w:spacing w:val="0"/>
          <w:sz w:val="23"/>
          <w:szCs w:val="23"/>
          <w:u w:val="none"/>
          <w:lang w:val="en-US"/>
        </w:rPr>
        <w:t>GB/T 5750.3-2006 生活饮用水标准检验方法 水质分析质量控制</w:t>
      </w:r>
      <w:r>
        <w:rPr>
          <w:rFonts w:hint="eastAsia" w:ascii="微软雅黑" w:hAnsi="微软雅黑" w:eastAsia="微软雅黑" w:cs="微软雅黑"/>
          <w:b w:val="0"/>
          <w:bCs w:val="0"/>
          <w:color w:val="B61212"/>
          <w:spacing w:val="0"/>
          <w:kern w:val="0"/>
          <w:sz w:val="23"/>
          <w:szCs w:val="23"/>
          <w:u w:val="none"/>
          <w:lang w:val="en-US" w:eastAsia="zh-CN" w:bidi="ar"/>
        </w:rPr>
        <w:fldChar w:fldCharType="end"/>
      </w:r>
    </w:p>
    <w:p>
      <w:pPr>
        <w:pStyle w:val="2"/>
        <w:keepNext w:val="0"/>
        <w:keepLines w:val="0"/>
        <w:widowControl/>
        <w:suppressLineNumbers w:val="0"/>
        <w:spacing w:before="0" w:beforeAutospacing="0" w:after="0" w:afterAutospacing="0" w:line="18" w:lineRule="atLeast"/>
        <w:ind w:left="0" w:right="0"/>
        <w:jc w:val="center"/>
      </w:pPr>
      <w:r>
        <w:rPr>
          <w:color w:val="000000"/>
        </w:rPr>
        <w:t> </w:t>
      </w:r>
    </w:p>
    <w:p>
      <w:pPr>
        <w:pStyle w:val="2"/>
        <w:keepNext w:val="0"/>
        <w:keepLines w:val="0"/>
        <w:widowControl/>
        <w:suppressLineNumbers w:val="0"/>
        <w:spacing w:before="0" w:beforeAutospacing="0" w:after="0" w:afterAutospacing="0" w:line="18" w:lineRule="atLeast"/>
        <w:ind w:left="0" w:right="0"/>
        <w:jc w:val="center"/>
      </w:pPr>
      <w:r>
        <w:rPr>
          <w:rFonts w:hint="eastAsia" w:ascii="微软雅黑" w:hAnsi="微软雅黑" w:eastAsia="微软雅黑" w:cs="微软雅黑"/>
          <w:b/>
          <w:bCs/>
          <w:color w:val="000000"/>
          <w:kern w:val="2"/>
          <w:sz w:val="21"/>
          <w:szCs w:val="21"/>
        </w:rPr>
        <w:t xml:space="preserve">GBT 5750.1-2006 </w:t>
      </w:r>
    </w:p>
    <w:p>
      <w:pPr>
        <w:pStyle w:val="2"/>
        <w:keepNext w:val="0"/>
        <w:keepLines w:val="0"/>
        <w:widowControl/>
        <w:suppressLineNumbers w:val="0"/>
        <w:spacing w:before="0" w:beforeAutospacing="0" w:after="0" w:afterAutospacing="0" w:line="18" w:lineRule="atLeast"/>
        <w:ind w:left="0" w:right="0"/>
        <w:jc w:val="center"/>
      </w:pPr>
      <w:r>
        <w:rPr>
          <w:rFonts w:hint="eastAsia" w:ascii="微软雅黑" w:hAnsi="微软雅黑" w:eastAsia="微软雅黑" w:cs="微软雅黑"/>
          <w:b/>
          <w:bCs/>
          <w:color w:val="000000"/>
          <w:kern w:val="2"/>
          <w:sz w:val="21"/>
          <w:szCs w:val="21"/>
        </w:rPr>
        <w:t>生活饮用水标准检验方法 总则</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1  范围</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本标准规定了生活饮用水水质检验的基本原则和要求。</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本标准适用于生活饮用水水质检验，也适用于水源水和经过处理、储存和输送的</w:t>
      </w:r>
      <w:r>
        <w:rPr>
          <w:rFonts w:hint="eastAsia" w:ascii="微软雅黑" w:hAnsi="微软雅黑" w:eastAsia="微软雅黑" w:cs="微软雅黑"/>
          <w:color w:val="B61212"/>
          <w:spacing w:val="0"/>
          <w:kern w:val="2"/>
          <w:sz w:val="21"/>
          <w:szCs w:val="21"/>
          <w:u w:val="none"/>
          <w:lang w:val="en-US" w:eastAsia="zh-CN" w:bidi="ar"/>
        </w:rPr>
        <w:fldChar w:fldCharType="begin"/>
      </w:r>
      <w:r>
        <w:rPr>
          <w:rFonts w:hint="eastAsia" w:ascii="微软雅黑" w:hAnsi="微软雅黑" w:eastAsia="微软雅黑" w:cs="微软雅黑"/>
          <w:color w:val="B61212"/>
          <w:spacing w:val="0"/>
          <w:kern w:val="2"/>
          <w:sz w:val="21"/>
          <w:szCs w:val="21"/>
          <w:u w:val="none"/>
          <w:lang w:val="en-US" w:eastAsia="zh-CN" w:bidi="ar"/>
        </w:rPr>
        <w:instrText xml:space="preserve"> HYPERLINK "http://www.byxy.com.cn/product/product-0001,0007,0061.shtml" \t "http://www.byxy.com.cn/news/_blank" </w:instrText>
      </w:r>
      <w:r>
        <w:rPr>
          <w:rFonts w:hint="eastAsia" w:ascii="微软雅黑" w:hAnsi="微软雅黑" w:eastAsia="微软雅黑" w:cs="微软雅黑"/>
          <w:color w:val="B61212"/>
          <w:spacing w:val="0"/>
          <w:kern w:val="2"/>
          <w:sz w:val="21"/>
          <w:szCs w:val="21"/>
          <w:u w:val="none"/>
          <w:lang w:val="en-US" w:eastAsia="zh-CN" w:bidi="ar"/>
        </w:rPr>
        <w:fldChar w:fldCharType="separate"/>
      </w:r>
      <w:r>
        <w:rPr>
          <w:rStyle w:val="13"/>
          <w:rFonts w:hint="eastAsia" w:ascii="微软雅黑" w:hAnsi="微软雅黑" w:eastAsia="微软雅黑" w:cs="微软雅黑"/>
          <w:color w:val="B61212"/>
          <w:spacing w:val="0"/>
          <w:kern w:val="2"/>
          <w:sz w:val="21"/>
          <w:szCs w:val="21"/>
          <w:u w:val="none"/>
        </w:rPr>
        <w:t>饮用水的水质检验</w:t>
      </w:r>
      <w:r>
        <w:rPr>
          <w:rFonts w:hint="eastAsia" w:ascii="微软雅黑" w:hAnsi="微软雅黑" w:eastAsia="微软雅黑" w:cs="微软雅黑"/>
          <w:color w:val="B61212"/>
          <w:spacing w:val="0"/>
          <w:kern w:val="2"/>
          <w:sz w:val="21"/>
          <w:szCs w:val="21"/>
          <w:u w:val="none"/>
          <w:lang w:val="en-US" w:eastAsia="zh-CN" w:bidi="ar"/>
        </w:rPr>
        <w:fldChar w:fldCharType="end"/>
      </w:r>
      <w:r>
        <w:rPr>
          <w:rFonts w:hint="eastAsia" w:ascii="微软雅黑" w:hAnsi="微软雅黑" w:eastAsia="微软雅黑" w:cs="微软雅黑"/>
          <w:spacing w:val="0"/>
          <w:kern w:val="2"/>
          <w:sz w:val="21"/>
          <w:szCs w:val="21"/>
          <w:lang w:val="en-US" w:eastAsia="zh-CN" w:bidi="ar"/>
        </w:rPr>
        <w:t>。</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2  规范性引用文件</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GB 5749  生活饮用水卫生标准</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GB/T 6682分析实验室用水规格和试验方法(GB/T 6682-1992，neq IS0 3696：1987)</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GB 15603  常用化学危险品贮存通则</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GB 19489  实验室  生物安全通用要求</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JJG 196  常用玻璃量器计量检定规程</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3  术语和定义</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下列术语和定义适用于本标准。</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3.1</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  恒重  constant weight</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除</w:t>
      </w:r>
      <w:r>
        <w:rPr>
          <w:rFonts w:hint="eastAsia" w:ascii="微软雅黑" w:hAnsi="微软雅黑" w:eastAsia="微软雅黑" w:cs="微软雅黑"/>
          <w:color w:val="B61212"/>
          <w:spacing w:val="0"/>
          <w:kern w:val="2"/>
          <w:sz w:val="21"/>
          <w:szCs w:val="21"/>
          <w:u w:val="none"/>
          <w:lang w:val="en-US" w:eastAsia="zh-CN" w:bidi="ar"/>
        </w:rPr>
        <w:fldChar w:fldCharType="begin"/>
      </w:r>
      <w:r>
        <w:rPr>
          <w:rFonts w:hint="eastAsia" w:ascii="微软雅黑" w:hAnsi="微软雅黑" w:eastAsia="微软雅黑" w:cs="微软雅黑"/>
          <w:color w:val="B61212"/>
          <w:spacing w:val="0"/>
          <w:kern w:val="2"/>
          <w:sz w:val="21"/>
          <w:szCs w:val="21"/>
          <w:u w:val="none"/>
          <w:lang w:val="en-US" w:eastAsia="zh-CN" w:bidi="ar"/>
        </w:rPr>
        <w:instrText xml:space="preserve"> HYPERLINK "http://www.byxy.com.cn/Products/rongjiexingzonggutip.html" \t "http://www.byxy.com.cn/news/_blank" </w:instrText>
      </w:r>
      <w:r>
        <w:rPr>
          <w:rFonts w:hint="eastAsia" w:ascii="微软雅黑" w:hAnsi="微软雅黑" w:eastAsia="微软雅黑" w:cs="微软雅黑"/>
          <w:color w:val="B61212"/>
          <w:spacing w:val="0"/>
          <w:kern w:val="2"/>
          <w:sz w:val="21"/>
          <w:szCs w:val="21"/>
          <w:u w:val="none"/>
          <w:lang w:val="en-US" w:eastAsia="zh-CN" w:bidi="ar"/>
        </w:rPr>
        <w:fldChar w:fldCharType="separate"/>
      </w:r>
      <w:r>
        <w:rPr>
          <w:rStyle w:val="13"/>
          <w:rFonts w:hint="eastAsia" w:ascii="微软雅黑" w:hAnsi="微软雅黑" w:eastAsia="微软雅黑" w:cs="微软雅黑"/>
          <w:color w:val="B61212"/>
          <w:spacing w:val="0"/>
          <w:kern w:val="2"/>
          <w:sz w:val="21"/>
          <w:szCs w:val="21"/>
          <w:u w:val="none"/>
        </w:rPr>
        <w:t>溶解性总固体</w:t>
      </w:r>
      <w:r>
        <w:rPr>
          <w:rFonts w:hint="eastAsia" w:ascii="微软雅黑" w:hAnsi="微软雅黑" w:eastAsia="微软雅黑" w:cs="微软雅黑"/>
          <w:color w:val="B61212"/>
          <w:spacing w:val="0"/>
          <w:kern w:val="2"/>
          <w:sz w:val="21"/>
          <w:szCs w:val="21"/>
          <w:u w:val="none"/>
          <w:lang w:val="en-US" w:eastAsia="zh-CN" w:bidi="ar"/>
        </w:rPr>
        <w:fldChar w:fldCharType="end"/>
      </w:r>
      <w:r>
        <w:rPr>
          <w:rFonts w:hint="eastAsia" w:ascii="微软雅黑" w:hAnsi="微软雅黑" w:eastAsia="微软雅黑" w:cs="微软雅黑"/>
          <w:spacing w:val="0"/>
          <w:kern w:val="2"/>
          <w:sz w:val="21"/>
          <w:szCs w:val="21"/>
          <w:lang w:val="en-US" w:eastAsia="zh-CN" w:bidi="ar"/>
        </w:rPr>
        <w:t>外，系指连续两次干燥后的质量差异在0.2mg以下。</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3.2</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  量取measure</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用量筒取水样或试液。</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3.3</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  吸取pipet</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用无分度吸管或分度吸管（又称吸量管）吸取。</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3.4</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  定容  constant volume</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容量瓶中用纯水或其他溶剂稀释至刻度的操作。</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3.5    </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  参比溶液  reference solution</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本标准方法所列项目，除另有规定外，均以溶剂空白（纯水或有机溶剂）作参比。</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4  检验方法的选择</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4.1  </w:t>
      </w:r>
      <w:r>
        <w:rPr>
          <w:rFonts w:hint="eastAsia" w:ascii="微软雅黑" w:hAnsi="微软雅黑" w:eastAsia="微软雅黑" w:cs="微软雅黑"/>
          <w:spacing w:val="0"/>
          <w:kern w:val="2"/>
          <w:sz w:val="21"/>
          <w:szCs w:val="21"/>
          <w:lang w:val="en-US" w:eastAsia="zh-CN" w:bidi="ar"/>
        </w:rPr>
        <w:t>同一个项目如果有两个或两个以上的检验方法时，可根据设备及技术条件，选择使用，但以第一法为仲裁法。</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4.2</w:t>
      </w:r>
      <w:r>
        <w:rPr>
          <w:rFonts w:hint="eastAsia" w:ascii="微软雅黑" w:hAnsi="微软雅黑" w:eastAsia="微软雅黑" w:cs="微软雅黑"/>
          <w:spacing w:val="0"/>
          <w:kern w:val="2"/>
          <w:sz w:val="21"/>
          <w:szCs w:val="21"/>
          <w:lang w:val="en-US" w:eastAsia="zh-CN" w:bidi="ar"/>
        </w:rPr>
        <w:t xml:space="preserve">  最低检测质量(minimum detectable mass)：方法能够准确测定的最低质量。</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4.3</w:t>
      </w:r>
      <w:r>
        <w:rPr>
          <w:rFonts w:hint="eastAsia" w:ascii="微软雅黑" w:hAnsi="微软雅黑" w:eastAsia="微软雅黑" w:cs="微软雅黑"/>
          <w:spacing w:val="0"/>
          <w:kern w:val="2"/>
          <w:sz w:val="21"/>
          <w:szCs w:val="21"/>
          <w:lang w:val="en-US" w:eastAsia="zh-CN" w:bidi="ar"/>
        </w:rPr>
        <w:t xml:space="preserve">  最低检测质量浓度(minimum detectable mass concentration)：最低检测质量所对应的浓度。</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4.4</w:t>
      </w:r>
      <w:r>
        <w:rPr>
          <w:rFonts w:hint="eastAsia" w:ascii="微软雅黑" w:hAnsi="微软雅黑" w:eastAsia="微软雅黑" w:cs="微软雅黑"/>
          <w:spacing w:val="0"/>
          <w:kern w:val="2"/>
          <w:sz w:val="21"/>
          <w:szCs w:val="21"/>
          <w:lang w:val="en-US" w:eastAsia="zh-CN" w:bidi="ar"/>
        </w:rPr>
        <w:t xml:space="preserve">  精密度和准确度是定性概念，不宜定量表示，需要用量值表示的均用“不确定度”。目前，国内正在推广采用不确定度的过渡阶段。本标准为与以往资料相衔接，仍沿用精密度和准确度，具体的参数采用标准偏差、相对标准偏差和回收率等。</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5  试剂及浓度表示</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5.1  </w:t>
      </w:r>
      <w:r>
        <w:rPr>
          <w:rFonts w:hint="eastAsia" w:ascii="微软雅黑" w:hAnsi="微软雅黑" w:eastAsia="微软雅黑" w:cs="微软雅黑"/>
          <w:spacing w:val="0"/>
          <w:kern w:val="2"/>
          <w:sz w:val="21"/>
          <w:szCs w:val="21"/>
          <w:lang w:val="en-US" w:eastAsia="zh-CN" w:bidi="ar"/>
        </w:rPr>
        <w:t>试剂规格：本标准所用试剂，凡未指明规格者，均为分析纯(AR)级。当需用其他规格时将另作说明，但指示剂和生物染料不分规格。</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5.2  </w:t>
      </w:r>
      <w:r>
        <w:rPr>
          <w:rFonts w:hint="eastAsia" w:ascii="微软雅黑" w:hAnsi="微软雅黑" w:eastAsia="微软雅黑" w:cs="微软雅黑"/>
          <w:spacing w:val="0"/>
          <w:kern w:val="2"/>
          <w:sz w:val="21"/>
          <w:szCs w:val="21"/>
          <w:lang w:val="en-US" w:eastAsia="zh-CN" w:bidi="ar"/>
        </w:rPr>
        <w:t>校准用标准尽可能使用有证书的标准溶液和使用有证标准参考物按标准方法配制。</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5.3  </w:t>
      </w:r>
      <w:r>
        <w:rPr>
          <w:rFonts w:hint="eastAsia" w:ascii="微软雅黑" w:hAnsi="微软雅黑" w:eastAsia="微软雅黑" w:cs="微软雅黑"/>
          <w:spacing w:val="0"/>
          <w:kern w:val="2"/>
          <w:sz w:val="21"/>
          <w:szCs w:val="21"/>
          <w:lang w:val="en-US" w:eastAsia="zh-CN" w:bidi="ar"/>
        </w:rPr>
        <w:t>试剂溶液未指明用何种溶剂配制时，均指用纯水配置。</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5.4</w:t>
      </w:r>
      <w:r>
        <w:rPr>
          <w:rFonts w:hint="eastAsia" w:ascii="微软雅黑" w:hAnsi="微软雅黑" w:eastAsia="微软雅黑" w:cs="微软雅黑"/>
          <w:spacing w:val="0"/>
          <w:kern w:val="2"/>
          <w:sz w:val="21"/>
          <w:szCs w:val="21"/>
          <w:lang w:val="en-US" w:eastAsia="zh-CN" w:bidi="ar"/>
        </w:rPr>
        <w:t xml:space="preserve">  本标准中所用盐酸、硫酸氨水等均为浓试剂，以HCL（ρ=1.19g/mL）、H2SO4（ρ=1.84g/mL）等的密度表示。对于配制后试剂的浓度以摩尔每升(mol/L)表示。</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5.5</w:t>
      </w:r>
      <w:r>
        <w:rPr>
          <w:rFonts w:hint="eastAsia" w:ascii="微软雅黑" w:hAnsi="微软雅黑" w:eastAsia="微软雅黑" w:cs="微软雅黑"/>
          <w:spacing w:val="0"/>
          <w:kern w:val="2"/>
          <w:sz w:val="21"/>
          <w:szCs w:val="21"/>
          <w:lang w:val="en-US" w:eastAsia="zh-CN" w:bidi="ar"/>
        </w:rPr>
        <w:t xml:space="preserve">  所用试剂的配制方法均羲洛项目中阐明，表1为几种常用酸、碱的浓度和配制稀溶液的配方。</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spacing w:val="0"/>
        </w:rPr>
      </w:pPr>
      <w:r>
        <w:rPr>
          <w:rFonts w:hint="eastAsia" w:ascii="宋体" w:hAnsi="宋体" w:eastAsia="宋体" w:cs="宋体"/>
          <w:spacing w:val="0"/>
          <w:kern w:val="0"/>
          <w:sz w:val="24"/>
          <w:szCs w:val="24"/>
          <w:bdr w:val="none" w:color="auto" w:sz="0" w:space="0"/>
          <w:lang w:val="en-US" w:eastAsia="zh-CN" w:bidi="ar"/>
        </w:rPr>
        <w:drawing>
          <wp:inline distT="0" distB="0" distL="114300" distR="114300">
            <wp:extent cx="5981700" cy="238125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6"/>
                    <a:stretch>
                      <a:fillRect/>
                    </a:stretch>
                  </pic:blipFill>
                  <pic:spPr>
                    <a:xfrm>
                      <a:off x="0" y="0"/>
                      <a:ext cx="5981700" cy="2381250"/>
                    </a:xfrm>
                    <a:prstGeom prst="rect">
                      <a:avLst/>
                    </a:prstGeom>
                    <a:noFill/>
                    <a:ln w="9525">
                      <a:noFill/>
                    </a:ln>
                  </pic:spPr>
                </pic:pic>
              </a:graphicData>
            </a:graphic>
          </wp:inline>
        </w:drawing>
      </w:r>
      <w:r>
        <w:rPr>
          <w:rFonts w:hint="eastAsia" w:ascii="微软雅黑" w:hAnsi="微软雅黑" w:eastAsia="微软雅黑" w:cs="微软雅黑"/>
          <w:spacing w:val="0"/>
          <w:kern w:val="2"/>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5.6</w:t>
      </w:r>
      <w:r>
        <w:rPr>
          <w:rFonts w:hint="eastAsia" w:ascii="微软雅黑" w:hAnsi="微软雅黑" w:eastAsia="微软雅黑" w:cs="微软雅黑"/>
          <w:spacing w:val="0"/>
          <w:kern w:val="2"/>
          <w:sz w:val="21"/>
          <w:szCs w:val="21"/>
          <w:lang w:val="en-US" w:eastAsia="zh-CN" w:bidi="ar"/>
        </w:rPr>
        <w:t xml:space="preserve">  物质B的浓度，又称物资B的物质的量浓度，是物质B的物质的量除以混合物的体积，常用单位：(mol/L)</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w:t>
      </w:r>
      <w:r>
        <w:rPr>
          <w:rFonts w:hint="eastAsia" w:ascii="宋体" w:hAnsi="宋体" w:eastAsia="宋体" w:cs="宋体"/>
          <w:spacing w:val="0"/>
          <w:kern w:val="0"/>
          <w:sz w:val="24"/>
          <w:szCs w:val="24"/>
          <w:bdr w:val="none" w:color="auto" w:sz="0" w:space="0"/>
          <w:lang w:val="en-US" w:eastAsia="zh-CN" w:bidi="ar"/>
        </w:rPr>
        <w:drawing>
          <wp:inline distT="0" distB="0" distL="114300" distR="114300">
            <wp:extent cx="304800" cy="30480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5.7</w:t>
      </w:r>
      <w:r>
        <w:rPr>
          <w:rFonts w:hint="eastAsia" w:ascii="微软雅黑" w:hAnsi="微软雅黑" w:eastAsia="微软雅黑" w:cs="微软雅黑"/>
          <w:spacing w:val="0"/>
          <w:kern w:val="2"/>
          <w:sz w:val="21"/>
          <w:szCs w:val="21"/>
          <w:lang w:val="en-US" w:eastAsia="zh-CN" w:bidi="ar"/>
        </w:rPr>
        <w:t xml:space="preserve">  物质B的质量浓度是物质B的质量除以混合物的体积，常用单位:g/L，μg／mL。</w:t>
      </w:r>
    </w:p>
    <w:p>
      <w:pPr>
        <w:keepNext w:val="0"/>
        <w:keepLines w:val="0"/>
        <w:widowControl/>
        <w:suppressLineNumbers w:val="0"/>
        <w:spacing w:before="0" w:beforeAutospacing="0" w:after="0" w:afterAutospacing="0" w:line="360" w:lineRule="auto"/>
        <w:ind w:left="0" w:right="0"/>
        <w:jc w:val="both"/>
        <w:rPr>
          <w:spacing w:val="0"/>
        </w:rPr>
      </w:pPr>
      <w:r>
        <w:rPr>
          <w:rFonts w:hint="eastAsia" w:ascii="宋体" w:hAnsi="宋体" w:eastAsia="宋体" w:cs="宋体"/>
          <w:spacing w:val="0"/>
          <w:kern w:val="0"/>
          <w:sz w:val="24"/>
          <w:szCs w:val="24"/>
          <w:bdr w:val="none" w:color="auto" w:sz="0" w:space="0"/>
          <w:lang w:val="en-US" w:eastAsia="zh-CN" w:bidi="ar"/>
        </w:rPr>
        <w:drawing>
          <wp:inline distT="0" distB="0" distL="114300" distR="114300">
            <wp:extent cx="304800" cy="3048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spacing w:val="0"/>
          <w:kern w:val="2"/>
          <w:sz w:val="21"/>
          <w:szCs w:val="21"/>
          <w:lang w:val="en-US" w:eastAsia="zh-CN" w:bidi="ar"/>
        </w:rPr>
        <w:br w:type="textWrapping"/>
      </w:r>
      <w:r>
        <w:rPr>
          <w:rFonts w:hint="eastAsia" w:ascii="微软雅黑" w:hAnsi="微软雅黑" w:eastAsia="微软雅黑" w:cs="微软雅黑"/>
          <w:b/>
          <w:bCs/>
          <w:spacing w:val="0"/>
          <w:kern w:val="2"/>
          <w:sz w:val="21"/>
          <w:szCs w:val="21"/>
          <w:lang w:val="en-US" w:eastAsia="zh-CN" w:bidi="ar"/>
        </w:rPr>
        <w:t xml:space="preserve">5.8  </w:t>
      </w:r>
      <w:r>
        <w:rPr>
          <w:rFonts w:hint="eastAsia" w:ascii="微软雅黑" w:hAnsi="微软雅黑" w:eastAsia="微软雅黑" w:cs="微软雅黑"/>
          <w:spacing w:val="0"/>
          <w:kern w:val="2"/>
          <w:sz w:val="21"/>
          <w:szCs w:val="21"/>
          <w:lang w:val="en-US" w:eastAsia="zh-CN" w:bidi="ar"/>
        </w:rPr>
        <w:t>物质B的质量分数是，物质B的质量与混合物质量之比，量纲一的量，可用%表示浓度值。</w:t>
      </w:r>
    </w:p>
    <w:p>
      <w:pPr>
        <w:keepNext w:val="0"/>
        <w:keepLines w:val="0"/>
        <w:widowControl/>
        <w:suppressLineNumbers w:val="0"/>
        <w:spacing w:before="0" w:beforeAutospacing="0" w:after="0" w:afterAutospacing="0" w:line="360" w:lineRule="auto"/>
        <w:ind w:left="0" w:right="0"/>
        <w:jc w:val="both"/>
        <w:rPr>
          <w:spacing w:val="0"/>
        </w:rPr>
      </w:pPr>
      <w:r>
        <w:rPr>
          <w:rFonts w:hint="eastAsia" w:ascii="宋体" w:hAnsi="宋体" w:eastAsia="宋体" w:cs="宋体"/>
          <w:spacing w:val="0"/>
          <w:kern w:val="0"/>
          <w:sz w:val="24"/>
          <w:szCs w:val="24"/>
          <w:bdr w:val="none" w:color="auto" w:sz="0" w:space="0"/>
          <w:lang w:val="en-US" w:eastAsia="zh-CN" w:bidi="ar"/>
        </w:rPr>
        <w:drawing>
          <wp:inline distT="0" distB="0" distL="114300" distR="114300">
            <wp:extent cx="304800" cy="3048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spacing w:val="0"/>
          <w:kern w:val="2"/>
          <w:sz w:val="21"/>
          <w:szCs w:val="21"/>
          <w:lang w:val="en-US" w:eastAsia="zh-CN" w:bidi="ar"/>
        </w:rPr>
        <w:br w:type="textWrapping"/>
      </w:r>
      <w:r>
        <w:rPr>
          <w:rFonts w:hint="eastAsia" w:ascii="微软雅黑" w:hAnsi="微软雅黑" w:eastAsia="微软雅黑" w:cs="微软雅黑"/>
          <w:b/>
          <w:bCs/>
          <w:spacing w:val="0"/>
          <w:kern w:val="2"/>
          <w:sz w:val="21"/>
          <w:szCs w:val="21"/>
          <w:lang w:val="en-US" w:eastAsia="zh-CN" w:bidi="ar"/>
        </w:rPr>
        <w:t xml:space="preserve">5.9  </w:t>
      </w:r>
      <w:r>
        <w:rPr>
          <w:rFonts w:hint="eastAsia" w:ascii="微软雅黑" w:hAnsi="微软雅黑" w:eastAsia="微软雅黑" w:cs="微软雅黑"/>
          <w:spacing w:val="0"/>
          <w:kern w:val="2"/>
          <w:sz w:val="21"/>
          <w:szCs w:val="21"/>
          <w:lang w:val="en-US" w:eastAsia="zh-CN" w:bidi="ar"/>
        </w:rPr>
        <w:t>物质B的体积分数是，物质B的体积除以混合物的体积，量纲一的量，常以%表示浓度值。</w:t>
      </w:r>
    </w:p>
    <w:p>
      <w:pPr>
        <w:keepNext w:val="0"/>
        <w:keepLines w:val="0"/>
        <w:widowControl/>
        <w:suppressLineNumbers w:val="0"/>
        <w:spacing w:before="0" w:beforeAutospacing="0" w:after="0" w:afterAutospacing="0" w:line="360" w:lineRule="auto"/>
        <w:ind w:left="0" w:right="0"/>
        <w:jc w:val="both"/>
        <w:rPr>
          <w:spacing w:val="0"/>
        </w:rPr>
      </w:pPr>
      <w:r>
        <w:rPr>
          <w:rFonts w:hint="eastAsia" w:ascii="宋体" w:hAnsi="宋体" w:eastAsia="宋体" w:cs="宋体"/>
          <w:spacing w:val="0"/>
          <w:kern w:val="0"/>
          <w:sz w:val="24"/>
          <w:szCs w:val="24"/>
          <w:bdr w:val="none" w:color="auto" w:sz="0" w:space="0"/>
          <w:lang w:val="en-US" w:eastAsia="zh-CN" w:bidi="ar"/>
        </w:rPr>
        <w:drawing>
          <wp:inline distT="0" distB="0" distL="114300" distR="114300">
            <wp:extent cx="304800" cy="30480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5.10</w:t>
      </w:r>
      <w:r>
        <w:rPr>
          <w:rFonts w:hint="eastAsia" w:ascii="微软雅黑" w:hAnsi="微软雅黑" w:eastAsia="微软雅黑" w:cs="微软雅黑"/>
          <w:spacing w:val="0"/>
          <w:kern w:val="2"/>
          <w:sz w:val="21"/>
          <w:szCs w:val="21"/>
          <w:lang w:val="en-US" w:eastAsia="zh-CN" w:bidi="ar"/>
        </w:rPr>
        <w:t xml:space="preserve">  体积比浓度是两种液体分别以V1与V2体积相混。凡未注明溶剂名称时，均指纯水。两种以上特定液体与水相混合时，应注明水。例如：HCl(1+2)，H2SO4+H3PO4+H2O= (1.5+1.5+7)。</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6  实验纯水</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6.1</w:t>
      </w:r>
      <w:r>
        <w:rPr>
          <w:rFonts w:hint="eastAsia" w:ascii="微软雅黑" w:hAnsi="微软雅黑" w:eastAsia="微软雅黑" w:cs="微软雅黑"/>
          <w:spacing w:val="0"/>
          <w:kern w:val="2"/>
          <w:sz w:val="21"/>
          <w:szCs w:val="21"/>
          <w:lang w:val="en-US" w:eastAsia="zh-CN" w:bidi="ar"/>
        </w:rPr>
        <w:t xml:space="preserve">  检验中所使用的水均为纯水，可由蒸馏、重蒸馏、亚沸蒸馏和离子交换等方法制得，也可采用复合处理技术制取。用有特殊要求的纯水，则另做了具体说明。</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6.2  </w:t>
      </w:r>
      <w:r>
        <w:rPr>
          <w:rFonts w:hint="eastAsia" w:ascii="微软雅黑" w:hAnsi="微软雅黑" w:eastAsia="微软雅黑" w:cs="微软雅黑"/>
          <w:spacing w:val="0"/>
          <w:kern w:val="2"/>
          <w:sz w:val="21"/>
          <w:szCs w:val="21"/>
          <w:lang w:val="en-US" w:eastAsia="zh-CN" w:bidi="ar"/>
        </w:rPr>
        <w:t>实验室检验用水应符合GB/T 6682的要求，实验室用水分级见表2。</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w:t>
      </w:r>
      <w:r>
        <w:rPr>
          <w:rFonts w:hint="eastAsia" w:ascii="宋体" w:hAnsi="宋体" w:eastAsia="宋体" w:cs="宋体"/>
          <w:spacing w:val="0"/>
          <w:kern w:val="0"/>
          <w:sz w:val="24"/>
          <w:szCs w:val="24"/>
          <w:bdr w:val="none" w:color="auto" w:sz="0" w:space="0"/>
          <w:lang w:val="en-US" w:eastAsia="zh-CN" w:bidi="ar"/>
        </w:rPr>
        <w:drawing>
          <wp:inline distT="0" distB="0" distL="114300" distR="114300">
            <wp:extent cx="304800" cy="3048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6.3</w:t>
      </w:r>
      <w:r>
        <w:rPr>
          <w:rFonts w:hint="eastAsia" w:ascii="微软雅黑" w:hAnsi="微软雅黑" w:eastAsia="微软雅黑" w:cs="微软雅黑"/>
          <w:spacing w:val="0"/>
          <w:kern w:val="2"/>
          <w:sz w:val="21"/>
          <w:szCs w:val="21"/>
          <w:lang w:val="en-US" w:eastAsia="zh-CN" w:bidi="ar"/>
        </w:rPr>
        <w:t xml:space="preserve">  超痕量分析时使用一级水。对高灵敏度微量分析使用二级水。三级水用于一般化学分析。</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6.4</w:t>
      </w:r>
      <w:r>
        <w:rPr>
          <w:rFonts w:hint="eastAsia" w:ascii="微软雅黑" w:hAnsi="微软雅黑" w:eastAsia="微软雅黑" w:cs="微软雅黑"/>
          <w:spacing w:val="0"/>
          <w:kern w:val="2"/>
          <w:sz w:val="21"/>
          <w:szCs w:val="21"/>
          <w:lang w:val="en-US" w:eastAsia="zh-CN" w:bidi="ar"/>
        </w:rPr>
        <w:t xml:space="preserve">  各级纯水均应使用密闭、专用的聚乙烯、聚丙烯、聚碳酸酯等类容器。三级水也可使用专用玻璃容器。新容器在使用前应进行处理，常用20%盐酸溶液浸泡2 d～3 d，再用待测水反复冲洗，并注满待测水浸泡6h以上，沥空后再使用。</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6.5</w:t>
      </w:r>
      <w:r>
        <w:rPr>
          <w:rFonts w:hint="eastAsia" w:ascii="微软雅黑" w:hAnsi="微软雅黑" w:eastAsia="微软雅黑" w:cs="微软雅黑"/>
          <w:spacing w:val="0"/>
          <w:kern w:val="2"/>
          <w:sz w:val="21"/>
          <w:szCs w:val="21"/>
          <w:lang w:val="en-US" w:eastAsia="zh-CN" w:bidi="ar"/>
        </w:rPr>
        <w:t xml:space="preserve">  由于纯水贮存期间，可能会受到实验室空气中C02、NH3、微生物和其他物质以及来自容器壁污染物的污染，因此，一级水应在使用前新鲜制备；二级水、三级水贮存时间也不易过长。</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6.6 </w:t>
      </w:r>
      <w:r>
        <w:rPr>
          <w:rFonts w:hint="eastAsia" w:ascii="微软雅黑" w:hAnsi="微软雅黑" w:eastAsia="微软雅黑" w:cs="微软雅黑"/>
          <w:spacing w:val="0"/>
          <w:kern w:val="2"/>
          <w:sz w:val="21"/>
          <w:szCs w:val="21"/>
          <w:lang w:val="en-US" w:eastAsia="zh-CN" w:bidi="ar"/>
        </w:rPr>
        <w:t xml:space="preserve"> 各级用水在运输过程中应避免受到污染。</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  玻璃仪器与洗涤</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7.1</w:t>
      </w:r>
      <w:r>
        <w:rPr>
          <w:rFonts w:hint="eastAsia" w:ascii="微软雅黑" w:hAnsi="微软雅黑" w:eastAsia="微软雅黑" w:cs="微软雅黑"/>
          <w:spacing w:val="0"/>
          <w:kern w:val="2"/>
          <w:sz w:val="21"/>
          <w:szCs w:val="21"/>
          <w:lang w:val="en-US" w:eastAsia="zh-CN" w:bidi="ar"/>
        </w:rPr>
        <w:t xml:space="preserve">  玻璃仪器的检定与校正：容量瓶、滴定管、无分度吸管、刻度吸管等应按照JJG 196进行检定与校正。</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7.2  </w:t>
      </w:r>
      <w:r>
        <w:rPr>
          <w:rFonts w:hint="eastAsia" w:ascii="微软雅黑" w:hAnsi="微软雅黑" w:eastAsia="微软雅黑" w:cs="微软雅黑"/>
          <w:spacing w:val="0"/>
          <w:kern w:val="2"/>
          <w:sz w:val="21"/>
          <w:szCs w:val="21"/>
          <w:lang w:val="en-US" w:eastAsia="zh-CN" w:bidi="ar"/>
        </w:rPr>
        <w:t>配制标准色列时，需使用成套的比色管，各管内径与分度高低应该一致，必要时应对体积进行校正。</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7.3  </w:t>
      </w:r>
      <w:r>
        <w:rPr>
          <w:rFonts w:hint="eastAsia" w:ascii="微软雅黑" w:hAnsi="微软雅黑" w:eastAsia="微软雅黑" w:cs="微软雅黑"/>
          <w:spacing w:val="0"/>
          <w:kern w:val="2"/>
          <w:sz w:val="21"/>
          <w:szCs w:val="21"/>
          <w:lang w:val="en-US" w:eastAsia="zh-CN" w:bidi="ar"/>
        </w:rPr>
        <w:t>玻璃器皿须经彻底洗净后方能使用。玻璃仪器的洗涤可先用自来水浸泡和冲洗，再用洗涤液浸泡洗涤，然后用自来水冲洗干净，最后用纯水淋洗3次。洗净后的器皿内壁应能均匀地被水润湿，如果发现有小水珠或不沾水的地方，说明容器壁上有油垢，应重新洗涤。</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7.4</w:t>
      </w:r>
      <w:r>
        <w:rPr>
          <w:rFonts w:hint="eastAsia" w:ascii="微软雅黑" w:hAnsi="微软雅黑" w:eastAsia="微软雅黑" w:cs="微软雅黑"/>
          <w:spacing w:val="0"/>
          <w:kern w:val="2"/>
          <w:sz w:val="21"/>
          <w:szCs w:val="21"/>
          <w:lang w:val="en-US" w:eastAsia="zh-CN" w:bidi="ar"/>
        </w:rPr>
        <w:t xml:space="preserve">  洗涤液的配制和使用</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7.4.1</w:t>
      </w:r>
      <w:r>
        <w:rPr>
          <w:rFonts w:hint="eastAsia" w:ascii="微软雅黑" w:hAnsi="微软雅黑" w:eastAsia="微软雅黑" w:cs="微软雅黑"/>
          <w:spacing w:val="0"/>
          <w:kern w:val="2"/>
          <w:sz w:val="21"/>
          <w:szCs w:val="21"/>
          <w:lang w:val="en-US" w:eastAsia="zh-CN" w:bidi="ar"/>
        </w:rPr>
        <w:t xml:space="preserve">  冼涤液由重铬酸钾溶液与浓硫酸配制。称取100g工业用经研细的重铬酸钾于烧杯中，加入约100 mL水，沿烧杯壁缓缓加入工业用浓硫酸，边加边用玻璃棒搅动（注意：放热反应，防止硫酸溅出），开始加入硫酸时有红色铬酸沉淀析出，加硫酸至沉淀刚好溶解为止。</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7.4.2  </w:t>
      </w:r>
      <w:r>
        <w:rPr>
          <w:rFonts w:hint="eastAsia" w:ascii="微软雅黑" w:hAnsi="微软雅黑" w:eastAsia="微软雅黑" w:cs="微软雅黑"/>
          <w:spacing w:val="0"/>
          <w:kern w:val="2"/>
          <w:sz w:val="21"/>
          <w:szCs w:val="21"/>
          <w:lang w:val="en-US" w:eastAsia="zh-CN" w:bidi="ar"/>
        </w:rPr>
        <w:t>洗涤液是一种很强的氧化剂，但作用比较慢，因此须使洗涤的器皿与洗涤液充分接触，浸泡数分钟至数小时。用铬酸洗涤液洗过的器皿，要用自来水充分清洗，一般要冲洗7～10次，最后用纯水淋洗3次。用洗涤液洗过的器皿要特别注意吸咐在器皿壁上尤其是磨沙部分沾污铬和其他杂质对试验的干扰。</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7.4.3  </w:t>
      </w:r>
      <w:r>
        <w:rPr>
          <w:rFonts w:hint="eastAsia" w:ascii="微软雅黑" w:hAnsi="微软雅黑" w:eastAsia="微软雅黑" w:cs="微软雅黑"/>
          <w:spacing w:val="0"/>
          <w:kern w:val="2"/>
          <w:sz w:val="21"/>
          <w:szCs w:val="21"/>
          <w:lang w:val="en-US" w:eastAsia="zh-CN" w:bidi="ar"/>
        </w:rPr>
        <w:t>洗涤液应储存于磨口瓶塞的玻璃瓶内，以免吸收水分，用后仍倒回瓶中。多次使用后洗涤液中铬酸被还原变为绿褐色，不再具氧化性，就不能再用。</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7.5  </w:t>
      </w:r>
      <w:r>
        <w:rPr>
          <w:rFonts w:hint="eastAsia" w:ascii="微软雅黑" w:hAnsi="微软雅黑" w:eastAsia="微软雅黑" w:cs="微软雅黑"/>
          <w:spacing w:val="0"/>
          <w:kern w:val="2"/>
          <w:sz w:val="21"/>
          <w:szCs w:val="21"/>
          <w:lang w:val="en-US" w:eastAsia="zh-CN" w:bidi="ar"/>
        </w:rPr>
        <w:t>肥皂液、碱液及合成洗涤剂可用于洗涤油脂和有机物。</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7.6</w:t>
      </w:r>
      <w:r>
        <w:rPr>
          <w:rFonts w:hint="eastAsia" w:ascii="微软雅黑" w:hAnsi="微软雅黑" w:eastAsia="微软雅黑" w:cs="微软雅黑"/>
          <w:spacing w:val="0"/>
          <w:kern w:val="2"/>
          <w:sz w:val="21"/>
          <w:szCs w:val="21"/>
          <w:lang w:val="en-US" w:eastAsia="zh-CN" w:bidi="ar"/>
        </w:rPr>
        <w:t xml:space="preserve">  氢氧化钾酒精溶液(100 g/L)：称取100 9氢氧化钾，加50 mL水溶解，加工业酒精至1 000 m。适用于洗涤油垢、树脂等。</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7.7</w:t>
      </w:r>
      <w:r>
        <w:rPr>
          <w:rFonts w:hint="eastAsia" w:ascii="微软雅黑" w:hAnsi="微软雅黑" w:eastAsia="微软雅黑" w:cs="微软雅黑"/>
          <w:spacing w:val="0"/>
          <w:kern w:val="2"/>
          <w:sz w:val="21"/>
          <w:szCs w:val="21"/>
          <w:lang w:val="en-US" w:eastAsia="zh-CN" w:bidi="ar"/>
        </w:rPr>
        <w:t xml:space="preserve">  酸性草酸或酸性羟胺洗涤液：适用于洗涤氧化性物质。如洗涤沾污氧化锰的容器，羟胺作用较快。其配方是：称取10 9草酸或1 9盐酸羟胺，溶于100 mL盐酸溶液(1+4)中。</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7.8</w:t>
      </w:r>
      <w:r>
        <w:rPr>
          <w:rFonts w:hint="eastAsia" w:ascii="微软雅黑" w:hAnsi="微软雅黑" w:eastAsia="微软雅黑" w:cs="微软雅黑"/>
          <w:spacing w:val="0"/>
          <w:kern w:val="2"/>
          <w:sz w:val="21"/>
          <w:szCs w:val="21"/>
          <w:lang w:val="en-US" w:eastAsia="zh-CN" w:bidi="ar"/>
        </w:rPr>
        <w:t xml:space="preserve">  硝酸溶液：测定金属离子时需用不同浓度的硝酸溶液[常用(1+9)]浸泡，洗涤玻璃仪器。</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7.9</w:t>
      </w:r>
      <w:r>
        <w:rPr>
          <w:rFonts w:hint="eastAsia" w:ascii="微软雅黑" w:hAnsi="微软雅黑" w:eastAsia="微软雅黑" w:cs="微软雅黑"/>
          <w:spacing w:val="0"/>
          <w:kern w:val="2"/>
          <w:sz w:val="21"/>
          <w:szCs w:val="21"/>
          <w:lang w:val="en-US" w:eastAsia="zh-CN" w:bidi="ar"/>
        </w:rPr>
        <w:t xml:space="preserve">  洗涤玻璃仪器时应防止受到新的污染，如测铁所用的玻璃仪器不能用铁丝柄毛刷，可用塑料棒拴以泡沫塑料刷洗；测锌、铁用的玻璃仪器用酸洗后不能再用自来水冲洗，应直接用纯水淋洗；测氨和碘化物用的仪器洗净后应浸泡在纯水中。</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8  检测仪器、设备的计量检定与维护</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各项测定项目中使用的天平、分析仪器以及与检测数据直接有关的设备，应建立定期的检定和经常的自校与维护，并有详细的记录，以保证仪器和设备在分析工作中正常运行。</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9  实验室安全</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9.1  </w:t>
      </w:r>
      <w:r>
        <w:rPr>
          <w:rFonts w:hint="eastAsia" w:ascii="微软雅黑" w:hAnsi="微软雅黑" w:eastAsia="微软雅黑" w:cs="微软雅黑"/>
          <w:spacing w:val="0"/>
          <w:kern w:val="2"/>
          <w:sz w:val="21"/>
          <w:szCs w:val="21"/>
          <w:lang w:val="en-US" w:eastAsia="zh-CN" w:bidi="ar"/>
        </w:rPr>
        <w:t>常用化学危险品（以下简称化学危险品）贮存的基本要求应按照GB 15603执行。</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b/>
          <w:bCs/>
          <w:spacing w:val="0"/>
          <w:kern w:val="2"/>
          <w:sz w:val="21"/>
          <w:szCs w:val="21"/>
          <w:lang w:val="en-US" w:eastAsia="zh-CN" w:bidi="ar"/>
        </w:rPr>
        <w:t xml:space="preserve">9.2  </w:t>
      </w:r>
      <w:r>
        <w:rPr>
          <w:rFonts w:hint="eastAsia" w:ascii="微软雅黑" w:hAnsi="微软雅黑" w:eastAsia="微软雅黑" w:cs="微软雅黑"/>
          <w:color w:val="B61212"/>
          <w:spacing w:val="0"/>
          <w:kern w:val="2"/>
          <w:sz w:val="21"/>
          <w:szCs w:val="21"/>
          <w:u w:val="none"/>
          <w:lang w:val="en-US" w:eastAsia="zh-CN" w:bidi="ar"/>
        </w:rPr>
        <w:fldChar w:fldCharType="begin"/>
      </w:r>
      <w:r>
        <w:rPr>
          <w:rFonts w:hint="eastAsia" w:ascii="微软雅黑" w:hAnsi="微软雅黑" w:eastAsia="微软雅黑" w:cs="微软雅黑"/>
          <w:color w:val="B61212"/>
          <w:spacing w:val="0"/>
          <w:kern w:val="2"/>
          <w:sz w:val="21"/>
          <w:szCs w:val="21"/>
          <w:u w:val="none"/>
          <w:lang w:val="en-US" w:eastAsia="zh-CN" w:bidi="ar"/>
        </w:rPr>
        <w:instrText xml:space="preserve"> HYPERLINK "http://www.byxy.com.cn/product/product-0001,0007,0061,0091.shtml" \t "http://www.byxy.com.cn/news/_blank" </w:instrText>
      </w:r>
      <w:r>
        <w:rPr>
          <w:rFonts w:hint="eastAsia" w:ascii="微软雅黑" w:hAnsi="微软雅黑" w:eastAsia="微软雅黑" w:cs="微软雅黑"/>
          <w:color w:val="B61212"/>
          <w:spacing w:val="0"/>
          <w:kern w:val="2"/>
          <w:sz w:val="21"/>
          <w:szCs w:val="21"/>
          <w:u w:val="none"/>
          <w:lang w:val="en-US" w:eastAsia="zh-CN" w:bidi="ar"/>
        </w:rPr>
        <w:fldChar w:fldCharType="separate"/>
      </w:r>
      <w:r>
        <w:rPr>
          <w:rStyle w:val="13"/>
          <w:rFonts w:hint="eastAsia" w:ascii="微软雅黑" w:hAnsi="微软雅黑" w:eastAsia="微软雅黑" w:cs="微软雅黑"/>
          <w:color w:val="B61212"/>
          <w:spacing w:val="0"/>
          <w:kern w:val="2"/>
          <w:sz w:val="21"/>
          <w:szCs w:val="21"/>
          <w:u w:val="none"/>
        </w:rPr>
        <w:t>微生物</w:t>
      </w:r>
      <w:r>
        <w:rPr>
          <w:rFonts w:hint="eastAsia" w:ascii="微软雅黑" w:hAnsi="微软雅黑" w:eastAsia="微软雅黑" w:cs="微软雅黑"/>
          <w:color w:val="B61212"/>
          <w:spacing w:val="0"/>
          <w:kern w:val="2"/>
          <w:sz w:val="21"/>
          <w:szCs w:val="21"/>
          <w:u w:val="none"/>
          <w:lang w:val="en-US" w:eastAsia="zh-CN" w:bidi="ar"/>
        </w:rPr>
        <w:fldChar w:fldCharType="end"/>
      </w:r>
      <w:r>
        <w:rPr>
          <w:rFonts w:hint="eastAsia" w:ascii="微软雅黑" w:hAnsi="微软雅黑" w:eastAsia="微软雅黑" w:cs="微软雅黑"/>
          <w:spacing w:val="0"/>
          <w:kern w:val="2"/>
          <w:sz w:val="21"/>
          <w:szCs w:val="21"/>
          <w:lang w:val="en-US" w:eastAsia="zh-CN" w:bidi="ar"/>
        </w:rPr>
        <w:t>实验室生物安全管理，实验室设施设备的配置，个人防护和实验室安全行为等应按照GB 19489执行。</w:t>
      </w:r>
    </w:p>
    <w:p>
      <w:pPr>
        <w:keepNext w:val="0"/>
        <w:keepLines w:val="0"/>
        <w:widowControl/>
        <w:suppressLineNumbers w:val="0"/>
        <w:spacing w:before="0" w:beforeAutospacing="0" w:after="0" w:afterAutospacing="0" w:line="360" w:lineRule="auto"/>
        <w:ind w:left="0" w:right="0"/>
        <w:jc w:val="both"/>
        <w:rPr>
          <w:spacing w:val="0"/>
        </w:rPr>
      </w:pPr>
      <w:r>
        <w:rPr>
          <w:rFonts w:hint="eastAsia" w:ascii="微软雅黑" w:hAnsi="微软雅黑" w:eastAsia="微软雅黑" w:cs="微软雅黑"/>
          <w:spacing w:val="0"/>
          <w:kern w:val="2"/>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jc w:val="right"/>
        <w:rPr>
          <w:spacing w:val="0"/>
        </w:rPr>
      </w:pPr>
      <w:r>
        <w:rPr>
          <w:rFonts w:hint="eastAsia" w:ascii="微软雅黑" w:hAnsi="微软雅黑" w:eastAsia="微软雅黑" w:cs="微软雅黑"/>
          <w:color w:val="B61212"/>
          <w:spacing w:val="0"/>
          <w:kern w:val="2"/>
          <w:sz w:val="21"/>
          <w:szCs w:val="21"/>
          <w:u w:val="none"/>
          <w:lang w:val="en-US" w:eastAsia="zh-CN" w:bidi="ar"/>
        </w:rPr>
        <w:fldChar w:fldCharType="begin"/>
      </w:r>
      <w:r>
        <w:rPr>
          <w:rFonts w:hint="eastAsia" w:ascii="微软雅黑" w:hAnsi="微软雅黑" w:eastAsia="微软雅黑" w:cs="微软雅黑"/>
          <w:color w:val="B61212"/>
          <w:spacing w:val="0"/>
          <w:kern w:val="2"/>
          <w:sz w:val="21"/>
          <w:szCs w:val="21"/>
          <w:u w:val="none"/>
          <w:lang w:val="en-US" w:eastAsia="zh-CN" w:bidi="ar"/>
        </w:rPr>
        <w:instrText xml:space="preserve"> HYPERLINK "http://www.byxy.com.cn/" \t "http://www.byxy.com.cn/news/_blank" </w:instrText>
      </w:r>
      <w:r>
        <w:rPr>
          <w:rFonts w:hint="eastAsia" w:ascii="微软雅黑" w:hAnsi="微软雅黑" w:eastAsia="微软雅黑" w:cs="微软雅黑"/>
          <w:color w:val="B61212"/>
          <w:spacing w:val="0"/>
          <w:kern w:val="2"/>
          <w:sz w:val="21"/>
          <w:szCs w:val="21"/>
          <w:u w:val="none"/>
          <w:lang w:val="en-US" w:eastAsia="zh-CN" w:bidi="ar"/>
        </w:rPr>
        <w:fldChar w:fldCharType="separate"/>
      </w:r>
      <w:r>
        <w:rPr>
          <w:rStyle w:val="13"/>
          <w:rFonts w:hint="eastAsia" w:ascii="微软雅黑" w:hAnsi="微软雅黑" w:eastAsia="微软雅黑" w:cs="微软雅黑"/>
          <w:color w:val="B61212"/>
          <w:spacing w:val="0"/>
          <w:kern w:val="2"/>
          <w:sz w:val="21"/>
          <w:szCs w:val="21"/>
          <w:u w:val="none"/>
        </w:rPr>
        <w:t>北京宝云</w:t>
      </w:r>
      <w:r>
        <w:rPr>
          <w:rFonts w:hint="eastAsia" w:ascii="微软雅黑" w:hAnsi="微软雅黑" w:eastAsia="微软雅黑" w:cs="微软雅黑"/>
          <w:color w:val="B61212"/>
          <w:spacing w:val="0"/>
          <w:kern w:val="2"/>
          <w:sz w:val="21"/>
          <w:szCs w:val="21"/>
          <w:u w:val="non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949C5"/>
    <w:rsid w:val="0A69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hint="eastAsia" w:ascii="宋体" w:hAnsi="宋体" w:eastAsia="宋体" w:cs="宋体"/>
      <w:b/>
      <w:bCs/>
      <w:kern w:val="44"/>
      <w:sz w:val="28"/>
      <w:szCs w:val="2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both"/>
    </w:pPr>
    <w:rPr>
      <w:spacing w:val="0"/>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Emphasis"/>
    <w:basedOn w:val="5"/>
    <w:qFormat/>
    <w:uiPriority w:val="0"/>
    <w:rPr>
      <w:i/>
    </w:rPr>
  </w:style>
  <w:style w:type="character" w:styleId="9">
    <w:name w:val="HTML Definition"/>
    <w:basedOn w:val="5"/>
    <w:uiPriority w:val="0"/>
    <w:rPr>
      <w:i/>
    </w:rPr>
  </w:style>
  <w:style w:type="character" w:styleId="10">
    <w:name w:val="HTML Typewriter"/>
    <w:basedOn w:val="5"/>
    <w:uiPriority w:val="0"/>
    <w:rPr>
      <w:rFonts w:hint="default" w:ascii="monospace" w:hAnsi="monospace" w:eastAsia="monospace" w:cs="monospace"/>
      <w:sz w:val="25"/>
      <w:szCs w:val="25"/>
    </w:rPr>
  </w:style>
  <w:style w:type="character" w:styleId="11">
    <w:name w:val="HTML Acronym"/>
    <w:basedOn w:val="5"/>
    <w:uiPriority w:val="0"/>
    <w:rPr>
      <w:bdr w:val="none" w:color="auto" w:sz="0" w:space="0"/>
    </w:rPr>
  </w:style>
  <w:style w:type="character" w:styleId="12">
    <w:name w:val="HTML Variable"/>
    <w:basedOn w:val="5"/>
    <w:uiPriority w:val="0"/>
    <w:rPr>
      <w:b/>
      <w:bCs/>
      <w:i/>
      <w:color w:val="FFFFFF"/>
      <w:sz w:val="21"/>
      <w:szCs w:val="21"/>
      <w:bdr w:val="none" w:color="auto" w:sz="0" w:space="0"/>
    </w:rPr>
  </w:style>
  <w:style w:type="character" w:styleId="13">
    <w:name w:val="Hyperlink"/>
    <w:basedOn w:val="5"/>
    <w:uiPriority w:val="0"/>
    <w:rPr>
      <w:color w:val="666666"/>
      <w:u w:val="none"/>
    </w:rPr>
  </w:style>
  <w:style w:type="character" w:styleId="14">
    <w:name w:val="HTML Code"/>
    <w:basedOn w:val="5"/>
    <w:uiPriority w:val="0"/>
    <w:rPr>
      <w:rFonts w:hint="default" w:ascii="monospace" w:hAnsi="monospace" w:eastAsia="monospace" w:cs="monospace"/>
      <w:sz w:val="25"/>
      <w:szCs w:val="25"/>
      <w:bdr w:val="none" w:color="auto" w:sz="0" w:space="0"/>
    </w:rPr>
  </w:style>
  <w:style w:type="character" w:styleId="15">
    <w:name w:val="HTML Cite"/>
    <w:basedOn w:val="5"/>
    <w:uiPriority w:val="0"/>
    <w:rPr>
      <w:i/>
    </w:rPr>
  </w:style>
  <w:style w:type="character" w:styleId="16">
    <w:name w:val="HTML Keyboard"/>
    <w:basedOn w:val="5"/>
    <w:uiPriority w:val="0"/>
    <w:rPr>
      <w:rFonts w:ascii="monospace" w:hAnsi="monospace" w:eastAsia="monospace" w:cs="monospace"/>
      <w:sz w:val="25"/>
      <w:szCs w:val="25"/>
    </w:rPr>
  </w:style>
  <w:style w:type="character" w:styleId="17">
    <w:name w:val="HTML Sample"/>
    <w:basedOn w:val="5"/>
    <w:uiPriority w:val="0"/>
    <w:rPr>
      <w:rFonts w:hint="default" w:ascii="monospace" w:hAnsi="monospace" w:eastAsia="monospace" w:cs="monospace"/>
      <w:sz w:val="25"/>
      <w:szCs w:val="25"/>
    </w:rPr>
  </w:style>
  <w:style w:type="character" w:customStyle="1" w:styleId="18">
    <w:name w:val="promotion_red"/>
    <w:basedOn w:val="5"/>
    <w:uiPriority w:val="0"/>
    <w:rPr>
      <w:color w:val="CC0000"/>
    </w:rPr>
  </w:style>
  <w:style w:type="character" w:customStyle="1" w:styleId="19">
    <w:name w:val="promotion_red1"/>
    <w:basedOn w:val="5"/>
    <w:uiPriority w:val="0"/>
    <w:rPr>
      <w:color w:val="CC0000"/>
    </w:rPr>
  </w:style>
  <w:style w:type="character" w:customStyle="1" w:styleId="20">
    <w:name w:val="promotion_red2"/>
    <w:basedOn w:val="5"/>
    <w:uiPriority w:val="0"/>
    <w:rPr>
      <w:color w:val="CC0000"/>
    </w:rPr>
  </w:style>
  <w:style w:type="character" w:customStyle="1" w:styleId="21">
    <w:name w:val="promotion_red3"/>
    <w:basedOn w:val="5"/>
    <w:uiPriority w:val="0"/>
    <w:rPr>
      <w:color w:val="CC0000"/>
    </w:rPr>
  </w:style>
  <w:style w:type="character" w:customStyle="1" w:styleId="22">
    <w:name w:val="num"/>
    <w:basedOn w:val="5"/>
    <w:uiPriority w:val="0"/>
    <w:rPr>
      <w:b/>
      <w:bCs/>
      <w:color w:val="CC0000"/>
      <w:bdr w:val="none" w:color="auto" w:sz="0" w:space="0"/>
    </w:rPr>
  </w:style>
  <w:style w:type="character" w:customStyle="1" w:styleId="23">
    <w:name w:val="num1"/>
    <w:basedOn w:val="5"/>
    <w:uiPriority w:val="0"/>
    <w:rPr>
      <w:b/>
      <w:bCs/>
      <w:color w:val="CC0000"/>
      <w:sz w:val="21"/>
      <w:szCs w:val="21"/>
      <w:bdr w:val="none" w:color="auto" w:sz="0" w:space="0"/>
    </w:rPr>
  </w:style>
  <w:style w:type="character" w:customStyle="1" w:styleId="24">
    <w:name w:val="btn7"/>
    <w:basedOn w:val="5"/>
    <w:uiPriority w:val="0"/>
    <w:rPr>
      <w:bdr w:val="none" w:color="auto" w:sz="0" w:space="0"/>
    </w:rPr>
  </w:style>
  <w:style w:type="character" w:customStyle="1" w:styleId="25">
    <w:name w:val="s3"/>
    <w:basedOn w:val="5"/>
    <w:uiPriority w:val="0"/>
    <w:rPr>
      <w:b/>
      <w:bCs/>
      <w:color w:val="EE0000"/>
    </w:rPr>
  </w:style>
  <w:style w:type="character" w:customStyle="1" w:styleId="26">
    <w:name w:val="ip"/>
    <w:basedOn w:val="5"/>
    <w:uiPriority w:val="0"/>
    <w:rPr>
      <w:bdr w:val="none" w:color="auto" w:sz="0" w:space="0"/>
    </w:rPr>
  </w:style>
  <w:style w:type="character" w:customStyle="1" w:styleId="27">
    <w:name w:val="price"/>
    <w:basedOn w:val="5"/>
    <w:uiPriority w:val="0"/>
    <w:rPr>
      <w:b/>
      <w:bCs/>
      <w:color w:val="CC0000"/>
      <w:sz w:val="21"/>
      <w:szCs w:val="21"/>
    </w:rPr>
  </w:style>
  <w:style w:type="character" w:customStyle="1" w:styleId="28">
    <w:name w:val="price1"/>
    <w:basedOn w:val="5"/>
    <w:uiPriority w:val="0"/>
    <w:rPr>
      <w:b/>
      <w:bCs/>
      <w:color w:val="CC0000"/>
      <w:sz w:val="21"/>
      <w:szCs w:val="21"/>
    </w:rPr>
  </w:style>
  <w:style w:type="character" w:customStyle="1" w:styleId="29">
    <w:name w:val="price2"/>
    <w:basedOn w:val="5"/>
    <w:uiPriority w:val="0"/>
    <w:rPr>
      <w:b/>
      <w:bCs/>
      <w:color w:val="CC0000"/>
      <w:sz w:val="21"/>
      <w:szCs w:val="21"/>
    </w:rPr>
  </w:style>
  <w:style w:type="character" w:customStyle="1" w:styleId="30">
    <w:name w:val="s1"/>
    <w:basedOn w:val="5"/>
    <w:uiPriority w:val="0"/>
    <w:rPr>
      <w:color w:val="3366FF"/>
    </w:rPr>
  </w:style>
  <w:style w:type="character" w:customStyle="1" w:styleId="31">
    <w:name w:val="s2"/>
    <w:basedOn w:val="5"/>
    <w:uiPriority w:val="0"/>
    <w:rPr>
      <w:bdr w:val="none" w:color="auto" w:sz="0" w:space="0"/>
    </w:rPr>
  </w:style>
  <w:style w:type="character" w:customStyle="1" w:styleId="32">
    <w:name w:val="span_title2"/>
    <w:basedOn w:val="5"/>
    <w:uiPriority w:val="0"/>
    <w:rPr>
      <w:shd w:val="clear" w:fill="DBDBDB"/>
    </w:rPr>
  </w:style>
  <w:style w:type="character" w:customStyle="1" w:styleId="33">
    <w:name w:val="slt"/>
    <w:basedOn w:val="5"/>
    <w:uiPriority w:val="0"/>
    <w:rPr>
      <w:bdr w:val="none" w:color="auto" w:sz="0" w:space="0"/>
    </w:rPr>
  </w:style>
  <w:style w:type="character" w:customStyle="1" w:styleId="34">
    <w:name w:val="now"/>
    <w:basedOn w:val="5"/>
    <w:uiPriority w:val="0"/>
    <w:rPr>
      <w:color w:val="CC0000"/>
    </w:rPr>
  </w:style>
  <w:style w:type="character" w:customStyle="1" w:styleId="35">
    <w:name w:val="over"/>
    <w:basedOn w:val="5"/>
    <w:uiPriority w:val="0"/>
    <w:rPr>
      <w:color w:val="CC0000"/>
    </w:rPr>
  </w:style>
  <w:style w:type="character" w:customStyle="1" w:styleId="36">
    <w:name w:val="close6"/>
    <w:basedOn w:val="5"/>
    <w:uiPriority w:val="0"/>
    <w:rPr>
      <w:color w:val="947FAA"/>
      <w:sz w:val="18"/>
      <w:szCs w:val="18"/>
    </w:rPr>
  </w:style>
  <w:style w:type="character" w:customStyle="1" w:styleId="37">
    <w:name w:val="txt4"/>
    <w:basedOn w:val="5"/>
    <w:uiPriority w:val="0"/>
    <w:rPr>
      <w:bdr w:val="none" w:color="auto" w:sz="0" w:space="0"/>
    </w:rPr>
  </w:style>
  <w:style w:type="character" w:customStyle="1" w:styleId="38">
    <w:name w:val="buy"/>
    <w:basedOn w:val="5"/>
    <w:uiPriority w:val="0"/>
  </w:style>
  <w:style w:type="character" w:customStyle="1" w:styleId="39">
    <w:name w:val="buy1"/>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yxy.com.cn/Products/xuanzhuanshishuizhij.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2021-07-09T03:47:00Z</dcterms:created>
  <dc:creator>CAO</dc:creator>
  <cp:lastModifiedBy>CAO</cp:lastModifiedBy>
  <dcterms:modified xsi:type="dcterms:W3CDTF">2021-07-09T03:48:22Z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804C0A478AD34AE1902D696259320E85</vt:lpwstr>
  </property>
</Properties>
</file>